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3.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7F660A" w14:textId="77777777" w:rsidR="004E4982" w:rsidRPr="0002056A" w:rsidRDefault="004E4982" w:rsidP="004E4982">
      <w:pPr>
        <w:jc w:val="center"/>
        <w:rPr>
          <w:rFonts w:ascii="Georgia" w:hAnsi="Georgia"/>
          <w:b/>
          <w:color w:val="4472C4" w:themeColor="accent1"/>
          <w:sz w:val="40"/>
          <w:szCs w:val="40"/>
          <w:lang w:val="en-GB" w:eastAsia="hu-HU"/>
        </w:rPr>
      </w:pPr>
      <w:bookmarkStart w:id="0" w:name="_Hlk213423937"/>
      <w:bookmarkStart w:id="1" w:name="_Toc132226785"/>
      <w:bookmarkEnd w:id="0"/>
    </w:p>
    <w:p w14:paraId="337A7C27" w14:textId="77777777" w:rsidR="004E4982" w:rsidRPr="0002056A" w:rsidRDefault="004E4982" w:rsidP="004E4982">
      <w:pPr>
        <w:jc w:val="center"/>
        <w:rPr>
          <w:rFonts w:ascii="Georgia" w:hAnsi="Georgia"/>
          <w:b/>
          <w:color w:val="4472C4" w:themeColor="accent1"/>
          <w:sz w:val="40"/>
          <w:szCs w:val="40"/>
          <w:lang w:val="en-GB" w:eastAsia="hu-HU"/>
        </w:rPr>
      </w:pPr>
    </w:p>
    <w:p w14:paraId="7CF9BB02" w14:textId="77777777" w:rsidR="004E4982" w:rsidRPr="0002056A" w:rsidRDefault="004E4982" w:rsidP="004E4982">
      <w:pPr>
        <w:jc w:val="center"/>
        <w:rPr>
          <w:rFonts w:ascii="Georgia" w:hAnsi="Georgia"/>
          <w:b/>
          <w:color w:val="4472C4" w:themeColor="accent1"/>
          <w:sz w:val="40"/>
          <w:szCs w:val="40"/>
          <w:lang w:val="en-GB" w:eastAsia="hu-HU"/>
        </w:rPr>
      </w:pPr>
    </w:p>
    <w:p w14:paraId="13882993" w14:textId="77777777" w:rsidR="004E4982" w:rsidRPr="0002056A" w:rsidRDefault="004E4982" w:rsidP="004E4982">
      <w:pPr>
        <w:jc w:val="center"/>
        <w:rPr>
          <w:rFonts w:ascii="Georgia" w:hAnsi="Georgia"/>
          <w:b/>
          <w:color w:val="4472C4" w:themeColor="accent1"/>
          <w:sz w:val="40"/>
          <w:szCs w:val="40"/>
          <w:lang w:val="en-GB" w:eastAsia="hu-HU"/>
        </w:rPr>
      </w:pPr>
      <w:r w:rsidRPr="0002056A">
        <w:rPr>
          <w:rFonts w:ascii="Georgia" w:hAnsi="Georgia"/>
          <w:b/>
          <w:noProof/>
          <w:color w:val="4472C4" w:themeColor="accent1"/>
          <w:sz w:val="40"/>
          <w:szCs w:val="40"/>
          <w:lang w:val="en-GB" w:eastAsia="hu-HU"/>
        </w:rPr>
        <w:drawing>
          <wp:inline distT="0" distB="0" distL="0" distR="0" wp14:anchorId="05F1CD97" wp14:editId="2868BC53">
            <wp:extent cx="2106777" cy="2106777"/>
            <wp:effectExtent l="0" t="0" r="8255" b="8255"/>
            <wp:docPr id="26319947" name="Kép 26319947" descr="Budapesti Corvinus Egyetem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Budapesti Corvinus Egyetem | Faceboo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14352" cy="2114352"/>
                    </a:xfrm>
                    <a:prstGeom prst="rect">
                      <a:avLst/>
                    </a:prstGeom>
                    <a:noFill/>
                  </pic:spPr>
                </pic:pic>
              </a:graphicData>
            </a:graphic>
          </wp:inline>
        </w:drawing>
      </w:r>
    </w:p>
    <w:p w14:paraId="738D8D82" w14:textId="77777777" w:rsidR="004E06D4" w:rsidRPr="0002056A" w:rsidRDefault="008679D3" w:rsidP="004E4982">
      <w:pPr>
        <w:jc w:val="center"/>
        <w:rPr>
          <w:rFonts w:ascii="Georgia" w:hAnsi="Georgia" w:cstheme="minorHAnsi"/>
          <w:b/>
          <w:smallCaps/>
          <w:color w:val="4472C4" w:themeColor="accent1"/>
          <w:sz w:val="50"/>
          <w:szCs w:val="50"/>
          <w:lang w:val="en-GB" w:eastAsia="hu-HU"/>
        </w:rPr>
      </w:pPr>
      <w:r w:rsidRPr="0002056A">
        <w:rPr>
          <w:rFonts w:ascii="Georgia" w:hAnsi="Georgia" w:cstheme="minorHAnsi"/>
          <w:b/>
          <w:smallCaps/>
          <w:color w:val="4472C4" w:themeColor="accent1"/>
          <w:sz w:val="50"/>
          <w:szCs w:val="50"/>
          <w:lang w:val="en-GB" w:eastAsia="hu-HU"/>
        </w:rPr>
        <w:t xml:space="preserve">The Spatial Dimension of </w:t>
      </w:r>
      <w:r w:rsidR="004E06D4" w:rsidRPr="0002056A">
        <w:rPr>
          <w:rFonts w:ascii="Georgia" w:hAnsi="Georgia" w:cstheme="minorHAnsi"/>
          <w:b/>
          <w:smallCaps/>
          <w:color w:val="4472C4" w:themeColor="accent1"/>
          <w:sz w:val="50"/>
          <w:szCs w:val="50"/>
          <w:lang w:val="en-GB" w:eastAsia="hu-HU"/>
        </w:rPr>
        <w:t xml:space="preserve">Climate </w:t>
      </w:r>
      <w:r w:rsidRPr="0002056A">
        <w:rPr>
          <w:rFonts w:ascii="Georgia" w:hAnsi="Georgia" w:cstheme="minorHAnsi"/>
          <w:b/>
          <w:smallCaps/>
          <w:color w:val="4472C4" w:themeColor="accent1"/>
          <w:sz w:val="50"/>
          <w:szCs w:val="50"/>
          <w:lang w:val="en-GB" w:eastAsia="hu-HU"/>
        </w:rPr>
        <w:t>Adaptation</w:t>
      </w:r>
    </w:p>
    <w:p w14:paraId="69AFAAF7" w14:textId="39E645D6" w:rsidR="004E4982" w:rsidRPr="0002056A" w:rsidRDefault="00420B3F" w:rsidP="004E4982">
      <w:pPr>
        <w:jc w:val="center"/>
        <w:rPr>
          <w:rFonts w:ascii="Georgia" w:hAnsi="Georgia"/>
          <w:b/>
          <w:color w:val="4472C4" w:themeColor="accent1"/>
          <w:sz w:val="36"/>
          <w:szCs w:val="36"/>
          <w:lang w:val="en-GB" w:eastAsia="hu-HU"/>
        </w:rPr>
      </w:pPr>
      <w:r>
        <w:rPr>
          <w:rFonts w:ascii="Georgia" w:hAnsi="Georgia"/>
          <w:b/>
          <w:color w:val="4472C4" w:themeColor="accent1"/>
          <w:sz w:val="36"/>
          <w:szCs w:val="36"/>
          <w:lang w:val="en-GB" w:eastAsia="hu-HU"/>
        </w:rPr>
        <w:t>Assessment of s</w:t>
      </w:r>
      <w:r w:rsidR="00680384" w:rsidRPr="0002056A">
        <w:rPr>
          <w:rFonts w:ascii="Georgia" w:hAnsi="Georgia"/>
          <w:b/>
          <w:color w:val="4472C4" w:themeColor="accent1"/>
          <w:sz w:val="36"/>
          <w:szCs w:val="36"/>
          <w:lang w:val="en-GB" w:eastAsia="hu-HU"/>
        </w:rPr>
        <w:t xml:space="preserve">patial </w:t>
      </w:r>
      <w:r w:rsidR="00876144" w:rsidRPr="0002056A">
        <w:rPr>
          <w:rFonts w:ascii="Georgia" w:hAnsi="Georgia"/>
          <w:b/>
          <w:color w:val="4472C4" w:themeColor="accent1"/>
          <w:sz w:val="36"/>
          <w:szCs w:val="36"/>
          <w:lang w:val="en-GB" w:eastAsia="hu-HU"/>
        </w:rPr>
        <w:t xml:space="preserve">sensitivity </w:t>
      </w:r>
      <w:r w:rsidR="007F7ACF" w:rsidRPr="0002056A">
        <w:rPr>
          <w:rFonts w:ascii="Georgia" w:hAnsi="Georgia"/>
          <w:b/>
          <w:color w:val="4472C4" w:themeColor="accent1"/>
          <w:sz w:val="36"/>
          <w:szCs w:val="36"/>
          <w:lang w:val="en-GB" w:eastAsia="hu-HU"/>
        </w:rPr>
        <w:t>of</w:t>
      </w:r>
      <w:r w:rsidR="004E4982" w:rsidRPr="0002056A">
        <w:rPr>
          <w:rFonts w:ascii="Georgia" w:hAnsi="Georgia"/>
          <w:b/>
          <w:color w:val="4472C4" w:themeColor="accent1"/>
          <w:sz w:val="36"/>
          <w:szCs w:val="36"/>
          <w:lang w:val="en-GB" w:eastAsia="hu-HU"/>
        </w:rPr>
        <w:t xml:space="preserve"> </w:t>
      </w:r>
      <w:r w:rsidR="00D5752F" w:rsidRPr="0002056A">
        <w:rPr>
          <w:rFonts w:ascii="Georgia" w:hAnsi="Georgia"/>
          <w:b/>
          <w:color w:val="4472C4" w:themeColor="accent1"/>
          <w:sz w:val="36"/>
          <w:szCs w:val="36"/>
          <w:lang w:val="en-GB" w:eastAsia="hu-HU"/>
        </w:rPr>
        <w:t xml:space="preserve">European </w:t>
      </w:r>
      <w:r w:rsidR="007B277A" w:rsidRPr="0002056A">
        <w:rPr>
          <w:rFonts w:ascii="Georgia" w:hAnsi="Georgia"/>
          <w:b/>
          <w:color w:val="4472C4" w:themeColor="accent1"/>
          <w:sz w:val="36"/>
          <w:szCs w:val="36"/>
          <w:lang w:val="en-GB" w:eastAsia="hu-HU"/>
        </w:rPr>
        <w:t xml:space="preserve">national </w:t>
      </w:r>
      <w:r w:rsidR="004E4982" w:rsidRPr="0002056A">
        <w:rPr>
          <w:rFonts w:ascii="Georgia" w:hAnsi="Georgia"/>
          <w:b/>
          <w:color w:val="4472C4" w:themeColor="accent1"/>
          <w:sz w:val="36"/>
          <w:szCs w:val="36"/>
          <w:lang w:val="en-GB" w:eastAsia="hu-HU"/>
        </w:rPr>
        <w:t xml:space="preserve">climate adaptation </w:t>
      </w:r>
      <w:r w:rsidR="00876144" w:rsidRPr="0002056A">
        <w:rPr>
          <w:rFonts w:ascii="Georgia" w:hAnsi="Georgia"/>
          <w:b/>
          <w:color w:val="4472C4" w:themeColor="accent1"/>
          <w:sz w:val="36"/>
          <w:szCs w:val="36"/>
          <w:lang w:val="en-GB" w:eastAsia="hu-HU"/>
        </w:rPr>
        <w:t>policy</w:t>
      </w:r>
      <w:r w:rsidR="004E4982" w:rsidRPr="0002056A">
        <w:rPr>
          <w:rFonts w:ascii="Georgia" w:hAnsi="Georgia"/>
          <w:b/>
          <w:color w:val="4472C4" w:themeColor="accent1"/>
          <w:sz w:val="36"/>
          <w:szCs w:val="36"/>
          <w:lang w:val="en-GB" w:eastAsia="hu-HU"/>
        </w:rPr>
        <w:t xml:space="preserve"> </w:t>
      </w:r>
      <w:r w:rsidR="007F7ACF" w:rsidRPr="0002056A">
        <w:rPr>
          <w:rFonts w:ascii="Georgia" w:hAnsi="Georgia"/>
          <w:b/>
          <w:color w:val="4472C4" w:themeColor="accent1"/>
          <w:sz w:val="36"/>
          <w:szCs w:val="36"/>
          <w:lang w:val="en-GB" w:eastAsia="hu-HU"/>
        </w:rPr>
        <w:t>planning</w:t>
      </w:r>
      <w:r w:rsidR="001A4A2D" w:rsidRPr="0002056A">
        <w:rPr>
          <w:rFonts w:ascii="Georgia" w:hAnsi="Georgia"/>
          <w:b/>
          <w:color w:val="4472C4" w:themeColor="accent1"/>
          <w:sz w:val="36"/>
          <w:szCs w:val="36"/>
          <w:lang w:val="en-GB" w:eastAsia="hu-HU"/>
        </w:rPr>
        <w:t xml:space="preserve">, monitoring and evaluation </w:t>
      </w:r>
      <w:r w:rsidR="007F7ACF" w:rsidRPr="0002056A">
        <w:rPr>
          <w:rFonts w:ascii="Georgia" w:hAnsi="Georgia"/>
          <w:b/>
          <w:color w:val="4472C4" w:themeColor="accent1"/>
          <w:sz w:val="36"/>
          <w:szCs w:val="36"/>
          <w:lang w:val="en-GB" w:eastAsia="hu-HU"/>
        </w:rPr>
        <w:t>activities</w:t>
      </w:r>
      <w:r w:rsidR="004E4982" w:rsidRPr="0002056A">
        <w:rPr>
          <w:rFonts w:ascii="Georgia" w:hAnsi="Georgia"/>
          <w:b/>
          <w:color w:val="4472C4" w:themeColor="accent1"/>
          <w:sz w:val="36"/>
          <w:szCs w:val="36"/>
          <w:lang w:val="en-GB" w:eastAsia="hu-HU"/>
        </w:rPr>
        <w:t xml:space="preserve"> </w:t>
      </w:r>
      <w:bookmarkEnd w:id="1"/>
    </w:p>
    <w:p w14:paraId="133EB946" w14:textId="77777777" w:rsidR="004E4982" w:rsidRPr="0002056A" w:rsidRDefault="004E4982" w:rsidP="00F40D37">
      <w:pPr>
        <w:rPr>
          <w:lang w:val="en-GB"/>
        </w:rPr>
      </w:pPr>
    </w:p>
    <w:p w14:paraId="6856695A" w14:textId="35F50E1F" w:rsidR="004E4982" w:rsidRPr="0002056A" w:rsidRDefault="004E4982" w:rsidP="004E4982">
      <w:pPr>
        <w:jc w:val="center"/>
        <w:rPr>
          <w:rFonts w:ascii="Georgia" w:hAnsi="Georgia"/>
          <w:b/>
          <w:color w:val="4472C4" w:themeColor="accent1"/>
          <w:sz w:val="24"/>
          <w:szCs w:val="24"/>
          <w:lang w:val="en-GB"/>
        </w:rPr>
      </w:pPr>
      <w:r w:rsidRPr="0002056A">
        <w:rPr>
          <w:rFonts w:ascii="Georgia" w:hAnsi="Georgia"/>
          <w:b/>
          <w:color w:val="4472C4" w:themeColor="accent1"/>
          <w:sz w:val="24"/>
          <w:szCs w:val="24"/>
          <w:lang w:val="en-GB"/>
        </w:rPr>
        <w:t xml:space="preserve">PhD </w:t>
      </w:r>
      <w:r w:rsidR="002257C6" w:rsidRPr="0002056A">
        <w:rPr>
          <w:rFonts w:ascii="Georgia" w:hAnsi="Georgia"/>
          <w:b/>
          <w:color w:val="4472C4" w:themeColor="accent1"/>
          <w:sz w:val="24"/>
          <w:szCs w:val="24"/>
          <w:lang w:val="en-GB"/>
        </w:rPr>
        <w:t>dissertation</w:t>
      </w:r>
      <w:r w:rsidR="007D3E21" w:rsidRPr="0002056A">
        <w:rPr>
          <w:rFonts w:ascii="Georgia" w:hAnsi="Georgia"/>
          <w:b/>
          <w:color w:val="4472C4" w:themeColor="accent1"/>
          <w:sz w:val="24"/>
          <w:szCs w:val="24"/>
          <w:lang w:val="en-GB"/>
        </w:rPr>
        <w:t xml:space="preserve"> </w:t>
      </w:r>
    </w:p>
    <w:p w14:paraId="56148101" w14:textId="77777777" w:rsidR="004E4982" w:rsidRPr="0002056A" w:rsidRDefault="004E4982" w:rsidP="004E4982">
      <w:pPr>
        <w:jc w:val="center"/>
        <w:rPr>
          <w:rFonts w:ascii="Georgia" w:hAnsi="Georgia"/>
          <w:b/>
          <w:color w:val="4472C4" w:themeColor="accent1"/>
          <w:sz w:val="24"/>
          <w:szCs w:val="24"/>
          <w:lang w:val="en-GB"/>
        </w:rPr>
      </w:pPr>
    </w:p>
    <w:p w14:paraId="6BA5DF00" w14:textId="4B768D40" w:rsidR="004E4982" w:rsidRPr="0002056A" w:rsidRDefault="00C4269C" w:rsidP="004E4982">
      <w:pPr>
        <w:jc w:val="center"/>
        <w:rPr>
          <w:rFonts w:ascii="Georgia" w:hAnsi="Georgia"/>
          <w:b/>
          <w:color w:val="4472C4" w:themeColor="accent1"/>
          <w:sz w:val="24"/>
          <w:szCs w:val="24"/>
          <w:lang w:val="en-GB"/>
        </w:rPr>
      </w:pPr>
      <w:r w:rsidRPr="0002056A">
        <w:rPr>
          <w:rFonts w:ascii="Georgia" w:hAnsi="Georgia"/>
          <w:b/>
          <w:color w:val="4472C4" w:themeColor="accent1"/>
          <w:sz w:val="24"/>
          <w:szCs w:val="24"/>
          <w:lang w:val="en-GB"/>
        </w:rPr>
        <w:t>Prepared</w:t>
      </w:r>
      <w:r w:rsidR="004E4982" w:rsidRPr="0002056A">
        <w:rPr>
          <w:rFonts w:ascii="Georgia" w:hAnsi="Georgia"/>
          <w:b/>
          <w:color w:val="4472C4" w:themeColor="accent1"/>
          <w:sz w:val="24"/>
          <w:szCs w:val="24"/>
          <w:lang w:val="en-GB"/>
        </w:rPr>
        <w:t xml:space="preserve"> by Attila Sütő</w:t>
      </w:r>
    </w:p>
    <w:p w14:paraId="6D075CB5" w14:textId="77777777" w:rsidR="00511AF8" w:rsidRPr="0002056A" w:rsidRDefault="00511AF8" w:rsidP="00511AF8">
      <w:pPr>
        <w:jc w:val="center"/>
        <w:rPr>
          <w:rFonts w:ascii="Georgia" w:hAnsi="Georgia"/>
          <w:b/>
          <w:color w:val="4472C4" w:themeColor="accent1"/>
          <w:sz w:val="24"/>
          <w:szCs w:val="24"/>
          <w:lang w:val="en-GB"/>
        </w:rPr>
      </w:pPr>
      <w:r w:rsidRPr="0002056A">
        <w:rPr>
          <w:rFonts w:ascii="Georgia" w:hAnsi="Georgia"/>
          <w:b/>
          <w:color w:val="4472C4" w:themeColor="accent1"/>
          <w:sz w:val="24"/>
          <w:szCs w:val="24"/>
          <w:lang w:val="en-GB"/>
        </w:rPr>
        <w:t xml:space="preserve">Corvinus University Budapest </w:t>
      </w:r>
    </w:p>
    <w:p w14:paraId="792D1228" w14:textId="77777777" w:rsidR="00511AF8" w:rsidRDefault="00511AF8" w:rsidP="004E4982">
      <w:pPr>
        <w:jc w:val="center"/>
        <w:rPr>
          <w:rFonts w:ascii="Georgia" w:hAnsi="Georgia"/>
          <w:b/>
          <w:color w:val="4472C4" w:themeColor="accent1"/>
          <w:sz w:val="24"/>
          <w:szCs w:val="24"/>
          <w:lang w:val="en-GB"/>
        </w:rPr>
      </w:pPr>
    </w:p>
    <w:p w14:paraId="1C0E95F0" w14:textId="77777777" w:rsidR="00511AF8" w:rsidRDefault="00511AF8" w:rsidP="004E4982">
      <w:pPr>
        <w:jc w:val="center"/>
        <w:rPr>
          <w:rFonts w:ascii="Georgia" w:hAnsi="Georgia"/>
          <w:b/>
          <w:color w:val="4472C4" w:themeColor="accent1"/>
          <w:sz w:val="24"/>
          <w:szCs w:val="24"/>
          <w:lang w:val="en-GB"/>
        </w:rPr>
      </w:pPr>
    </w:p>
    <w:p w14:paraId="6B225168" w14:textId="511E8CDB" w:rsidR="00420B3F" w:rsidRDefault="00420B3F" w:rsidP="004E4982">
      <w:pPr>
        <w:jc w:val="center"/>
        <w:rPr>
          <w:rFonts w:ascii="Georgia" w:hAnsi="Georgia"/>
          <w:b/>
          <w:color w:val="4472C4" w:themeColor="accent1"/>
          <w:sz w:val="24"/>
          <w:szCs w:val="24"/>
          <w:lang w:val="en-GB"/>
        </w:rPr>
      </w:pPr>
      <w:r>
        <w:rPr>
          <w:rFonts w:ascii="Georgia" w:hAnsi="Georgia"/>
          <w:b/>
          <w:color w:val="4472C4" w:themeColor="accent1"/>
          <w:sz w:val="24"/>
          <w:szCs w:val="24"/>
          <w:lang w:val="en-GB"/>
        </w:rPr>
        <w:t xml:space="preserve">Doctoral School of </w:t>
      </w:r>
      <w:r w:rsidR="004E4982" w:rsidRPr="0002056A">
        <w:rPr>
          <w:rFonts w:ascii="Georgia" w:hAnsi="Georgia"/>
          <w:b/>
          <w:color w:val="4472C4" w:themeColor="accent1"/>
          <w:sz w:val="24"/>
          <w:szCs w:val="24"/>
          <w:lang w:val="en-GB"/>
        </w:rPr>
        <w:t xml:space="preserve">International Relations and </w:t>
      </w:r>
      <w:r>
        <w:rPr>
          <w:rFonts w:ascii="Georgia" w:hAnsi="Georgia"/>
          <w:b/>
          <w:color w:val="4472C4" w:themeColor="accent1"/>
          <w:sz w:val="24"/>
          <w:szCs w:val="24"/>
          <w:lang w:val="en-GB"/>
        </w:rPr>
        <w:t>Political Science,</w:t>
      </w:r>
    </w:p>
    <w:p w14:paraId="5D14847F" w14:textId="29F2B097" w:rsidR="00420B3F" w:rsidRDefault="00420B3F" w:rsidP="004E4982">
      <w:pPr>
        <w:jc w:val="center"/>
        <w:rPr>
          <w:rFonts w:ascii="Georgia" w:hAnsi="Georgia"/>
          <w:b/>
          <w:color w:val="4472C4" w:themeColor="accent1"/>
          <w:sz w:val="24"/>
          <w:szCs w:val="24"/>
          <w:lang w:val="en-GB"/>
        </w:rPr>
      </w:pPr>
      <w:r>
        <w:rPr>
          <w:rFonts w:ascii="Georgia" w:hAnsi="Georgia"/>
          <w:b/>
          <w:color w:val="4472C4" w:themeColor="accent1"/>
          <w:sz w:val="24"/>
          <w:szCs w:val="24"/>
          <w:lang w:val="en-GB"/>
        </w:rPr>
        <w:t>Urban and Environmental Policy Studies Doctoral Program</w:t>
      </w:r>
      <w:r w:rsidR="0020355C">
        <w:rPr>
          <w:rFonts w:ascii="Georgia" w:hAnsi="Georgia"/>
          <w:b/>
          <w:color w:val="4472C4" w:themeColor="accent1"/>
          <w:sz w:val="24"/>
          <w:szCs w:val="24"/>
          <w:lang w:val="en-GB"/>
        </w:rPr>
        <w:t>me</w:t>
      </w:r>
    </w:p>
    <w:p w14:paraId="1644723A" w14:textId="6A324088" w:rsidR="004E4982" w:rsidRPr="0002056A" w:rsidRDefault="00420B3F" w:rsidP="004E4982">
      <w:pPr>
        <w:jc w:val="center"/>
        <w:rPr>
          <w:rFonts w:ascii="Georgia" w:hAnsi="Georgia"/>
          <w:b/>
          <w:color w:val="4472C4" w:themeColor="accent1"/>
          <w:sz w:val="24"/>
          <w:szCs w:val="24"/>
          <w:lang w:val="en-GB"/>
        </w:rPr>
      </w:pPr>
      <w:r>
        <w:rPr>
          <w:rFonts w:ascii="Georgia" w:hAnsi="Georgia"/>
          <w:b/>
          <w:color w:val="4472C4" w:themeColor="accent1"/>
          <w:sz w:val="24"/>
          <w:szCs w:val="24"/>
          <w:lang w:val="en-GB"/>
        </w:rPr>
        <w:t>31</w:t>
      </w:r>
      <w:r w:rsidR="00876144" w:rsidRPr="0002056A">
        <w:rPr>
          <w:rFonts w:ascii="Georgia" w:hAnsi="Georgia"/>
          <w:b/>
          <w:color w:val="4472C4" w:themeColor="accent1"/>
          <w:sz w:val="24"/>
          <w:szCs w:val="24"/>
          <w:lang w:val="en-GB"/>
        </w:rPr>
        <w:t>.</w:t>
      </w:r>
      <w:r w:rsidR="00946C60" w:rsidRPr="0002056A">
        <w:rPr>
          <w:rFonts w:ascii="Georgia" w:hAnsi="Georgia"/>
          <w:b/>
          <w:color w:val="4472C4" w:themeColor="accent1"/>
          <w:sz w:val="24"/>
          <w:szCs w:val="24"/>
          <w:lang w:val="en-GB"/>
        </w:rPr>
        <w:t>0</w:t>
      </w:r>
      <w:r w:rsidR="008679D3" w:rsidRPr="0002056A">
        <w:rPr>
          <w:rFonts w:ascii="Georgia" w:hAnsi="Georgia"/>
          <w:b/>
          <w:color w:val="4472C4" w:themeColor="accent1"/>
          <w:sz w:val="24"/>
          <w:szCs w:val="24"/>
          <w:lang w:val="en-GB"/>
        </w:rPr>
        <w:t>3</w:t>
      </w:r>
      <w:r w:rsidR="00876144" w:rsidRPr="0002056A">
        <w:rPr>
          <w:rFonts w:ascii="Georgia" w:hAnsi="Georgia"/>
          <w:b/>
          <w:color w:val="4472C4" w:themeColor="accent1"/>
          <w:sz w:val="24"/>
          <w:szCs w:val="24"/>
          <w:lang w:val="en-GB"/>
        </w:rPr>
        <w:t>.</w:t>
      </w:r>
      <w:r w:rsidR="00CC6ACA" w:rsidRPr="0002056A">
        <w:rPr>
          <w:rFonts w:ascii="Georgia" w:hAnsi="Georgia"/>
          <w:b/>
          <w:color w:val="4472C4" w:themeColor="accent1"/>
          <w:sz w:val="24"/>
          <w:szCs w:val="24"/>
          <w:lang w:val="en-GB"/>
        </w:rPr>
        <w:t>20</w:t>
      </w:r>
      <w:r w:rsidR="00946C60" w:rsidRPr="0002056A">
        <w:rPr>
          <w:rFonts w:ascii="Georgia" w:hAnsi="Georgia"/>
          <w:b/>
          <w:color w:val="4472C4" w:themeColor="accent1"/>
          <w:sz w:val="24"/>
          <w:szCs w:val="24"/>
          <w:lang w:val="en-GB"/>
        </w:rPr>
        <w:t>26</w:t>
      </w:r>
      <w:r w:rsidR="00580817">
        <w:rPr>
          <w:rFonts w:ascii="Georgia" w:hAnsi="Georgia"/>
          <w:b/>
          <w:color w:val="4472C4" w:themeColor="accent1"/>
          <w:sz w:val="24"/>
          <w:szCs w:val="24"/>
          <w:lang w:val="en-GB"/>
        </w:rPr>
        <w:t>.</w:t>
      </w:r>
    </w:p>
    <w:p w14:paraId="31E2D44E" w14:textId="77777777" w:rsidR="004E4982" w:rsidRPr="0002056A" w:rsidRDefault="004E4982" w:rsidP="004E4982">
      <w:pPr>
        <w:jc w:val="center"/>
        <w:rPr>
          <w:rFonts w:ascii="Georgia" w:hAnsi="Georgia"/>
          <w:b/>
          <w:color w:val="4472C4" w:themeColor="accent1"/>
          <w:sz w:val="24"/>
          <w:szCs w:val="24"/>
          <w:lang w:val="en-GB"/>
        </w:rPr>
      </w:pPr>
    </w:p>
    <w:p w14:paraId="01FE17D6" w14:textId="77777777" w:rsidR="00616D89" w:rsidRPr="0002056A" w:rsidRDefault="00BC77BE" w:rsidP="007B277A">
      <w:pPr>
        <w:pStyle w:val="Cmsor1"/>
        <w:rPr>
          <w:rFonts w:asciiTheme="minorHAnsi" w:hAnsiTheme="minorHAnsi" w:cstheme="minorHAnsi"/>
          <w:lang w:val="en-GB"/>
        </w:rPr>
      </w:pPr>
      <w:bookmarkStart w:id="2" w:name="_Toc133854422"/>
      <w:bookmarkStart w:id="3" w:name="_Toc225578828"/>
      <w:r w:rsidRPr="0002056A">
        <w:rPr>
          <w:rFonts w:asciiTheme="minorHAnsi" w:hAnsiTheme="minorHAnsi" w:cstheme="minorHAnsi"/>
          <w:lang w:val="en-GB"/>
        </w:rPr>
        <w:t>Table of c</w:t>
      </w:r>
      <w:r w:rsidR="004E4982" w:rsidRPr="0002056A">
        <w:rPr>
          <w:rFonts w:asciiTheme="minorHAnsi" w:hAnsiTheme="minorHAnsi" w:cstheme="minorHAnsi"/>
          <w:lang w:val="en-GB"/>
        </w:rPr>
        <w:t>ontent</w:t>
      </w:r>
      <w:bookmarkEnd w:id="2"/>
      <w:bookmarkEnd w:id="3"/>
    </w:p>
    <w:sdt>
      <w:sdtPr>
        <w:rPr>
          <w:lang w:val="en-GB"/>
        </w:rPr>
        <w:id w:val="598597601"/>
        <w:docPartObj>
          <w:docPartGallery w:val="Table of Contents"/>
          <w:docPartUnique/>
        </w:docPartObj>
      </w:sdtPr>
      <w:sdtEndPr>
        <w:rPr>
          <w:rFonts w:ascii="Georgia" w:hAnsi="Georgia"/>
          <w:sz w:val="20"/>
          <w:szCs w:val="20"/>
        </w:rPr>
      </w:sdtEndPr>
      <w:sdtContent>
        <w:p w14:paraId="06E94FD7" w14:textId="0F887BB2" w:rsidR="00540247" w:rsidRPr="0002056A" w:rsidRDefault="00540247" w:rsidP="00F40D37">
          <w:pPr>
            <w:rPr>
              <w:lang w:val="en-GB"/>
            </w:rPr>
          </w:pPr>
        </w:p>
        <w:p w14:paraId="2B8B8A68" w14:textId="5CF14C3C" w:rsidR="002603F8" w:rsidRPr="002603F8" w:rsidRDefault="00540247" w:rsidP="002603F8">
          <w:pPr>
            <w:pStyle w:val="TJ1"/>
            <w:rPr>
              <w:rFonts w:eastAsiaTheme="minorEastAsia" w:cstheme="minorBidi"/>
              <w:b w:val="0"/>
              <w:bCs w:val="0"/>
              <w:kern w:val="2"/>
              <w:sz w:val="20"/>
              <w:szCs w:val="20"/>
              <w:lang w:val="hu-HU" w:eastAsia="hu-HU"/>
              <w14:ligatures w14:val="standardContextual"/>
            </w:rPr>
          </w:pPr>
          <w:r w:rsidRPr="002603F8">
            <w:rPr>
              <w:sz w:val="20"/>
              <w:szCs w:val="20"/>
            </w:rPr>
            <w:fldChar w:fldCharType="begin"/>
          </w:r>
          <w:r w:rsidRPr="002603F8">
            <w:rPr>
              <w:sz w:val="20"/>
              <w:szCs w:val="20"/>
            </w:rPr>
            <w:instrText xml:space="preserve"> TOC \o "1-3" \h \z \u </w:instrText>
          </w:r>
          <w:r w:rsidRPr="002603F8">
            <w:rPr>
              <w:sz w:val="20"/>
              <w:szCs w:val="20"/>
            </w:rPr>
            <w:fldChar w:fldCharType="separate"/>
          </w:r>
          <w:hyperlink w:anchor="_Toc225578828" w:history="1">
            <w:r w:rsidR="002603F8" w:rsidRPr="002603F8">
              <w:rPr>
                <w:rStyle w:val="Hiperhivatkozs"/>
                <w:sz w:val="20"/>
                <w:szCs w:val="20"/>
              </w:rPr>
              <w:t>Table of content</w:t>
            </w:r>
            <w:r w:rsidR="002603F8" w:rsidRPr="002603F8">
              <w:rPr>
                <w:webHidden/>
                <w:sz w:val="20"/>
                <w:szCs w:val="20"/>
              </w:rPr>
              <w:tab/>
            </w:r>
            <w:r w:rsidR="002603F8" w:rsidRPr="002603F8">
              <w:rPr>
                <w:webHidden/>
                <w:sz w:val="20"/>
                <w:szCs w:val="20"/>
              </w:rPr>
              <w:fldChar w:fldCharType="begin"/>
            </w:r>
            <w:r w:rsidR="002603F8" w:rsidRPr="002603F8">
              <w:rPr>
                <w:webHidden/>
                <w:sz w:val="20"/>
                <w:szCs w:val="20"/>
              </w:rPr>
              <w:instrText xml:space="preserve"> PAGEREF _Toc225578828 \h </w:instrText>
            </w:r>
            <w:r w:rsidR="002603F8" w:rsidRPr="002603F8">
              <w:rPr>
                <w:webHidden/>
                <w:sz w:val="20"/>
                <w:szCs w:val="20"/>
              </w:rPr>
            </w:r>
            <w:r w:rsidR="002603F8" w:rsidRPr="002603F8">
              <w:rPr>
                <w:webHidden/>
                <w:sz w:val="20"/>
                <w:szCs w:val="20"/>
              </w:rPr>
              <w:fldChar w:fldCharType="separate"/>
            </w:r>
            <w:r w:rsidR="00E24EFB">
              <w:rPr>
                <w:webHidden/>
                <w:sz w:val="20"/>
                <w:szCs w:val="20"/>
              </w:rPr>
              <w:t>2</w:t>
            </w:r>
            <w:r w:rsidR="002603F8" w:rsidRPr="002603F8">
              <w:rPr>
                <w:webHidden/>
                <w:sz w:val="20"/>
                <w:szCs w:val="20"/>
              </w:rPr>
              <w:fldChar w:fldCharType="end"/>
            </w:r>
          </w:hyperlink>
        </w:p>
        <w:p w14:paraId="234970E1" w14:textId="24E35B7B"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29" w:history="1">
            <w:r w:rsidRPr="002603F8">
              <w:rPr>
                <w:rStyle w:val="Hiperhivatkozs"/>
                <w:sz w:val="20"/>
                <w:szCs w:val="20"/>
              </w:rPr>
              <w:t>1.</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Introduction</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_Toc225578829 \h </w:instrText>
            </w:r>
            <w:r w:rsidRPr="002603F8">
              <w:rPr>
                <w:webHidden/>
                <w:sz w:val="20"/>
                <w:szCs w:val="20"/>
              </w:rPr>
            </w:r>
            <w:r w:rsidRPr="002603F8">
              <w:rPr>
                <w:webHidden/>
                <w:sz w:val="20"/>
                <w:szCs w:val="20"/>
              </w:rPr>
              <w:fldChar w:fldCharType="separate"/>
            </w:r>
            <w:r w:rsidR="00E24EFB">
              <w:rPr>
                <w:webHidden/>
                <w:sz w:val="20"/>
                <w:szCs w:val="20"/>
              </w:rPr>
              <w:t>4</w:t>
            </w:r>
            <w:r w:rsidRPr="002603F8">
              <w:rPr>
                <w:webHidden/>
                <w:sz w:val="20"/>
                <w:szCs w:val="20"/>
              </w:rPr>
              <w:fldChar w:fldCharType="end"/>
            </w:r>
          </w:hyperlink>
        </w:p>
        <w:p w14:paraId="537C2AF3" w14:textId="14343D8D"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0" w:history="1">
            <w:r w:rsidRPr="002603F8">
              <w:rPr>
                <w:rStyle w:val="Hiperhivatkozs"/>
                <w:rFonts w:ascii="Georgia" w:hAnsi="Georgia" w:cstheme="minorHAnsi"/>
                <w:i/>
                <w:iCs/>
                <w:noProof/>
                <w:sz w:val="20"/>
                <w:szCs w:val="20"/>
                <w:lang w:val="en-GB"/>
              </w:rPr>
              <w:t>1.1.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Significance and importance of the topic</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4</w:t>
            </w:r>
            <w:r w:rsidRPr="002603F8">
              <w:rPr>
                <w:rFonts w:ascii="Georgia" w:hAnsi="Georgia"/>
                <w:noProof/>
                <w:webHidden/>
                <w:sz w:val="20"/>
                <w:szCs w:val="20"/>
              </w:rPr>
              <w:fldChar w:fldCharType="end"/>
            </w:r>
          </w:hyperlink>
        </w:p>
        <w:p w14:paraId="5D88837E" w14:textId="2DB62FDC"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31" w:history="1">
            <w:r w:rsidRPr="002603F8">
              <w:rPr>
                <w:rStyle w:val="Hiperhivatkozs"/>
                <w:sz w:val="20"/>
                <w:szCs w:val="20"/>
              </w:rPr>
              <w:t>2.</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The frameworks of the research</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_Toc225578831 \h </w:instrText>
            </w:r>
            <w:r w:rsidRPr="002603F8">
              <w:rPr>
                <w:webHidden/>
                <w:sz w:val="20"/>
                <w:szCs w:val="20"/>
              </w:rPr>
            </w:r>
            <w:r w:rsidRPr="002603F8">
              <w:rPr>
                <w:webHidden/>
                <w:sz w:val="20"/>
                <w:szCs w:val="20"/>
              </w:rPr>
              <w:fldChar w:fldCharType="separate"/>
            </w:r>
            <w:r w:rsidR="00E24EFB">
              <w:rPr>
                <w:webHidden/>
                <w:sz w:val="20"/>
                <w:szCs w:val="20"/>
              </w:rPr>
              <w:t>6</w:t>
            </w:r>
            <w:r w:rsidRPr="002603F8">
              <w:rPr>
                <w:webHidden/>
                <w:sz w:val="20"/>
                <w:szCs w:val="20"/>
              </w:rPr>
              <w:fldChar w:fldCharType="end"/>
            </w:r>
          </w:hyperlink>
        </w:p>
        <w:p w14:paraId="59296318" w14:textId="2802FBF2"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2" w:history="1">
            <w:r w:rsidRPr="002603F8">
              <w:rPr>
                <w:rStyle w:val="Hiperhivatkozs"/>
                <w:rFonts w:ascii="Georgia" w:hAnsi="Georgia"/>
                <w:i/>
                <w:iCs/>
                <w:noProof/>
                <w:sz w:val="20"/>
                <w:szCs w:val="20"/>
                <w:lang w:val="en-GB"/>
              </w:rPr>
              <w:t>2.1.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i/>
                <w:iCs/>
                <w:noProof/>
                <w:sz w:val="20"/>
                <w:szCs w:val="20"/>
                <w:lang w:val="en-GB"/>
              </w:rPr>
              <w:t>Research objectives and hypotheses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w:t>
            </w:r>
            <w:r w:rsidRPr="002603F8">
              <w:rPr>
                <w:rFonts w:ascii="Georgia" w:hAnsi="Georgia"/>
                <w:noProof/>
                <w:webHidden/>
                <w:sz w:val="20"/>
                <w:szCs w:val="20"/>
              </w:rPr>
              <w:fldChar w:fldCharType="end"/>
            </w:r>
          </w:hyperlink>
        </w:p>
        <w:p w14:paraId="23CB8642" w14:textId="604B01AC"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3" w:history="1">
            <w:r w:rsidRPr="002603F8">
              <w:rPr>
                <w:rStyle w:val="Hiperhivatkozs"/>
                <w:rFonts w:ascii="Georgia" w:hAnsi="Georgia"/>
                <w:i/>
                <w:iCs/>
                <w:noProof/>
                <w:sz w:val="20"/>
                <w:szCs w:val="20"/>
                <w:lang w:val="en-GB"/>
              </w:rPr>
              <w:t>2.2.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i/>
                <w:iCs/>
                <w:noProof/>
                <w:sz w:val="20"/>
                <w:szCs w:val="20"/>
                <w:lang w:val="en-GB"/>
              </w:rPr>
              <w:t>Research questions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_Toc225578833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w:t>
            </w:r>
            <w:r w:rsidRPr="002603F8">
              <w:rPr>
                <w:rFonts w:ascii="Georgia" w:hAnsi="Georgia"/>
                <w:noProof/>
                <w:webHidden/>
                <w:sz w:val="20"/>
                <w:szCs w:val="20"/>
              </w:rPr>
              <w:fldChar w:fldCharType="end"/>
            </w:r>
          </w:hyperlink>
        </w:p>
        <w:p w14:paraId="51EA5317" w14:textId="77772D39"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4" w:history="1">
            <w:r w:rsidRPr="002603F8">
              <w:rPr>
                <w:rStyle w:val="Hiperhivatkozs"/>
                <w:rFonts w:ascii="Georgia" w:hAnsi="Georgia" w:cstheme="minorHAnsi"/>
                <w:i/>
                <w:iCs/>
                <w:noProof/>
                <w:sz w:val="20"/>
                <w:szCs w:val="20"/>
                <w:lang w:val="en-GB"/>
              </w:rPr>
              <w:t>2.3.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Research design</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w:t>
            </w:r>
            <w:r w:rsidRPr="002603F8">
              <w:rPr>
                <w:rFonts w:ascii="Georgia" w:hAnsi="Georgia"/>
                <w:noProof/>
                <w:webHidden/>
                <w:sz w:val="20"/>
                <w:szCs w:val="20"/>
              </w:rPr>
              <w:fldChar w:fldCharType="end"/>
            </w:r>
          </w:hyperlink>
        </w:p>
        <w:p w14:paraId="25826D47" w14:textId="777B1AD1"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35" w:history="1">
            <w:r w:rsidRPr="002603F8">
              <w:rPr>
                <w:rStyle w:val="Hiperhivatkozs"/>
                <w:sz w:val="20"/>
                <w:szCs w:val="20"/>
              </w:rPr>
              <w:t>3.</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Theoretical foundation and literature analysis</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_Toc225578835 \h </w:instrText>
            </w:r>
            <w:r w:rsidRPr="002603F8">
              <w:rPr>
                <w:webHidden/>
                <w:sz w:val="20"/>
                <w:szCs w:val="20"/>
              </w:rPr>
            </w:r>
            <w:r w:rsidRPr="002603F8">
              <w:rPr>
                <w:webHidden/>
                <w:sz w:val="20"/>
                <w:szCs w:val="20"/>
              </w:rPr>
              <w:fldChar w:fldCharType="separate"/>
            </w:r>
            <w:r w:rsidR="00E24EFB">
              <w:rPr>
                <w:webHidden/>
                <w:sz w:val="20"/>
                <w:szCs w:val="20"/>
              </w:rPr>
              <w:t>12</w:t>
            </w:r>
            <w:r w:rsidRPr="002603F8">
              <w:rPr>
                <w:webHidden/>
                <w:sz w:val="20"/>
                <w:szCs w:val="20"/>
              </w:rPr>
              <w:fldChar w:fldCharType="end"/>
            </w:r>
          </w:hyperlink>
        </w:p>
        <w:p w14:paraId="17A7010E" w14:textId="65290596"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6" w:history="1">
            <w:r w:rsidRPr="002603F8">
              <w:rPr>
                <w:rStyle w:val="Hiperhivatkozs"/>
                <w:rFonts w:ascii="Georgia" w:hAnsi="Georgia" w:cstheme="minorHAnsi"/>
                <w:i/>
                <w:iCs/>
                <w:noProof/>
                <w:sz w:val="20"/>
                <w:szCs w:val="20"/>
                <w:lang w:val="en-GB"/>
              </w:rPr>
              <w:t>3.1.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Literature and scientific context</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_Toc225578836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w:t>
            </w:r>
            <w:r w:rsidRPr="002603F8">
              <w:rPr>
                <w:rFonts w:ascii="Georgia" w:hAnsi="Georgia"/>
                <w:noProof/>
                <w:webHidden/>
                <w:sz w:val="20"/>
                <w:szCs w:val="20"/>
              </w:rPr>
              <w:fldChar w:fldCharType="end"/>
            </w:r>
          </w:hyperlink>
        </w:p>
        <w:p w14:paraId="7CE03BC4" w14:textId="4A387F41"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7" w:history="1">
            <w:r w:rsidRPr="002603F8">
              <w:rPr>
                <w:rStyle w:val="Hiperhivatkozs"/>
                <w:rFonts w:ascii="Georgia" w:hAnsi="Georgia" w:cstheme="minorHAnsi"/>
                <w:i/>
                <w:iCs/>
                <w:noProof/>
                <w:sz w:val="20"/>
                <w:szCs w:val="20"/>
                <w:lang w:val="en-GB"/>
              </w:rPr>
              <w:t>3.2.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Clarification of basic concepts of adaptation policy and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16</w:t>
            </w:r>
            <w:r w:rsidRPr="002603F8">
              <w:rPr>
                <w:rFonts w:ascii="Georgia" w:hAnsi="Georgia"/>
                <w:noProof/>
                <w:webHidden/>
                <w:sz w:val="20"/>
                <w:szCs w:val="20"/>
              </w:rPr>
              <w:fldChar w:fldCharType="end"/>
            </w:r>
          </w:hyperlink>
        </w:p>
        <w:p w14:paraId="4161CB8F" w14:textId="6137C594"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38" w:history="1">
            <w:r w:rsidRPr="002603F8">
              <w:rPr>
                <w:rStyle w:val="Hiperhivatkozs"/>
                <w:rFonts w:ascii="Georgia" w:hAnsi="Georgia" w:cstheme="minorHAnsi"/>
                <w:i/>
                <w:iCs/>
                <w:noProof/>
                <w:sz w:val="20"/>
                <w:szCs w:val="20"/>
                <w:lang w:val="en-GB"/>
              </w:rPr>
              <w:t>3.3.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Policy- and instrumental context</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20</w:t>
            </w:r>
            <w:r w:rsidRPr="002603F8">
              <w:rPr>
                <w:rFonts w:ascii="Georgia" w:hAnsi="Georgia"/>
                <w:noProof/>
                <w:webHidden/>
                <w:sz w:val="20"/>
                <w:szCs w:val="20"/>
              </w:rPr>
              <w:fldChar w:fldCharType="end"/>
            </w:r>
          </w:hyperlink>
        </w:p>
        <w:p w14:paraId="5FCB0271" w14:textId="69338906"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39" w:history="1">
            <w:r w:rsidRPr="002603F8">
              <w:rPr>
                <w:rStyle w:val="Hiperhivatkozs"/>
                <w:rFonts w:ascii="Georgia" w:hAnsi="Georgia" w:cs="Calibri"/>
                <w:noProof/>
                <w:sz w:val="20"/>
                <w:szCs w:val="20"/>
                <w:lang w:val="en-GB"/>
              </w:rPr>
              <w:t>3.3.1.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Climate adaptation policy context worldwide and in Europe</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_Toc225578839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20</w:t>
            </w:r>
            <w:r w:rsidRPr="002603F8">
              <w:rPr>
                <w:rFonts w:ascii="Georgia" w:hAnsi="Georgia"/>
                <w:noProof/>
                <w:webHidden/>
                <w:sz w:val="20"/>
                <w:szCs w:val="20"/>
              </w:rPr>
              <w:fldChar w:fldCharType="end"/>
            </w:r>
          </w:hyperlink>
        </w:p>
        <w:p w14:paraId="0A298C8F" w14:textId="249BD0B8"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40" w:history="1">
            <w:r w:rsidRPr="002603F8">
              <w:rPr>
                <w:rStyle w:val="Hiperhivatkozs"/>
                <w:rFonts w:ascii="Georgia" w:hAnsi="Georgia" w:cs="Calibri"/>
                <w:noProof/>
                <w:sz w:val="20"/>
                <w:szCs w:val="20"/>
                <w:lang w:val="en-GB"/>
              </w:rPr>
              <w:t>3.3.2.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Instruments of strategic planning in general and in adaptation policies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26</w:t>
            </w:r>
            <w:r w:rsidRPr="002603F8">
              <w:rPr>
                <w:rFonts w:ascii="Georgia" w:hAnsi="Georgia"/>
                <w:noProof/>
                <w:webHidden/>
                <w:sz w:val="20"/>
                <w:szCs w:val="20"/>
              </w:rPr>
              <w:fldChar w:fldCharType="end"/>
            </w:r>
          </w:hyperlink>
        </w:p>
        <w:p w14:paraId="770205D0" w14:textId="48BFB404"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41" w:history="1">
            <w:r w:rsidRPr="002603F8">
              <w:rPr>
                <w:rStyle w:val="Hiperhivatkozs"/>
                <w:rFonts w:ascii="Georgia" w:hAnsi="Georgia" w:cstheme="minorHAnsi"/>
                <w:i/>
                <w:iCs/>
                <w:noProof/>
                <w:sz w:val="20"/>
                <w:szCs w:val="20"/>
                <w:lang w:val="en-GB"/>
              </w:rPr>
              <w:t>3.4.</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Spatiality and adaptation policies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28</w:t>
            </w:r>
            <w:r w:rsidRPr="002603F8">
              <w:rPr>
                <w:rFonts w:ascii="Georgia" w:hAnsi="Georgia"/>
                <w:noProof/>
                <w:webHidden/>
                <w:sz w:val="20"/>
                <w:szCs w:val="20"/>
              </w:rPr>
              <w:fldChar w:fldCharType="end"/>
            </w:r>
          </w:hyperlink>
        </w:p>
        <w:p w14:paraId="23A601C9" w14:textId="668B2FFD"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42" w:history="1">
            <w:r w:rsidRPr="002603F8">
              <w:rPr>
                <w:rStyle w:val="Hiperhivatkozs"/>
                <w:rFonts w:ascii="Georgia" w:hAnsi="Georgia"/>
                <w:noProof/>
                <w:sz w:val="20"/>
                <w:szCs w:val="20"/>
                <w:lang w:val="en-GB"/>
              </w:rPr>
              <w:t>3.4.1.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The importance of geographical/spatial aspects in climate adaptation policy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28</w:t>
            </w:r>
            <w:r w:rsidRPr="002603F8">
              <w:rPr>
                <w:rFonts w:ascii="Georgia" w:hAnsi="Georgia"/>
                <w:noProof/>
                <w:webHidden/>
                <w:sz w:val="20"/>
                <w:szCs w:val="20"/>
              </w:rPr>
              <w:fldChar w:fldCharType="end"/>
            </w:r>
          </w:hyperlink>
        </w:p>
        <w:p w14:paraId="329F545C" w14:textId="7AE52C9C"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43" w:history="1">
            <w:r w:rsidRPr="002603F8">
              <w:rPr>
                <w:rStyle w:val="Hiperhivatkozs"/>
                <w:rFonts w:ascii="Georgia" w:hAnsi="Georgia"/>
                <w:noProof/>
                <w:sz w:val="20"/>
                <w:szCs w:val="20"/>
                <w:lang w:val="en-GB"/>
              </w:rPr>
              <w:t>3.4.2.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Main characteristics, trends, and challenges of adaptation planning and MRE at different spatial levels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_Toc225578843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41</w:t>
            </w:r>
            <w:r w:rsidRPr="002603F8">
              <w:rPr>
                <w:rFonts w:ascii="Georgia" w:hAnsi="Georgia"/>
                <w:noProof/>
                <w:webHidden/>
                <w:sz w:val="20"/>
                <w:szCs w:val="20"/>
              </w:rPr>
              <w:fldChar w:fldCharType="end"/>
            </w:r>
          </w:hyperlink>
        </w:p>
        <w:p w14:paraId="25742D2F" w14:textId="0D14350F"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44" w:history="1">
            <w:r w:rsidRPr="002603F8">
              <w:rPr>
                <w:rStyle w:val="Hiperhivatkozs"/>
                <w:rFonts w:ascii="Georgia" w:hAnsi="Georgia" w:cstheme="minorHAnsi"/>
                <w:i/>
                <w:iCs/>
                <w:noProof/>
                <w:sz w:val="20"/>
                <w:szCs w:val="20"/>
                <w:lang w:val="en-GB"/>
              </w:rPr>
              <w:t>3.5.</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Conclusions of the climate adaptation-related literature review</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53</w:t>
            </w:r>
            <w:r w:rsidRPr="002603F8">
              <w:rPr>
                <w:rFonts w:ascii="Georgia" w:hAnsi="Georgia"/>
                <w:noProof/>
                <w:webHidden/>
                <w:sz w:val="20"/>
                <w:szCs w:val="20"/>
              </w:rPr>
              <w:fldChar w:fldCharType="end"/>
            </w:r>
          </w:hyperlink>
        </w:p>
        <w:p w14:paraId="74F61CCB" w14:textId="5FE7F83E"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45" w:history="1">
            <w:r w:rsidRPr="002603F8">
              <w:rPr>
                <w:rStyle w:val="Hiperhivatkozs"/>
                <w:rFonts w:ascii="Georgia" w:hAnsi="Georgia" w:cstheme="minorHAnsi"/>
                <w:i/>
                <w:iCs/>
                <w:noProof/>
                <w:sz w:val="20"/>
                <w:szCs w:val="20"/>
                <w:lang w:val="en-GB"/>
              </w:rPr>
              <w:t>3.6.</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Space interpretations of different scientific disciplines and practical fields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56</w:t>
            </w:r>
            <w:r w:rsidRPr="002603F8">
              <w:rPr>
                <w:rFonts w:ascii="Georgia" w:hAnsi="Georgia"/>
                <w:noProof/>
                <w:webHidden/>
                <w:sz w:val="20"/>
                <w:szCs w:val="20"/>
              </w:rPr>
              <w:fldChar w:fldCharType="end"/>
            </w:r>
          </w:hyperlink>
        </w:p>
        <w:p w14:paraId="20BB84D8" w14:textId="455CF376"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46" w:history="1">
            <w:r w:rsidRPr="002603F8">
              <w:rPr>
                <w:rStyle w:val="Hiperhivatkozs"/>
                <w:sz w:val="20"/>
                <w:szCs w:val="20"/>
              </w:rPr>
              <w:t>4.</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Materials and methods of the empirical research</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_Toc225578846 \h </w:instrText>
            </w:r>
            <w:r w:rsidRPr="002603F8">
              <w:rPr>
                <w:webHidden/>
                <w:sz w:val="20"/>
                <w:szCs w:val="20"/>
              </w:rPr>
            </w:r>
            <w:r w:rsidRPr="002603F8">
              <w:rPr>
                <w:webHidden/>
                <w:sz w:val="20"/>
                <w:szCs w:val="20"/>
              </w:rPr>
              <w:fldChar w:fldCharType="separate"/>
            </w:r>
            <w:r w:rsidR="00E24EFB">
              <w:rPr>
                <w:webHidden/>
                <w:sz w:val="20"/>
                <w:szCs w:val="20"/>
              </w:rPr>
              <w:t>61</w:t>
            </w:r>
            <w:r w:rsidRPr="002603F8">
              <w:rPr>
                <w:webHidden/>
                <w:sz w:val="20"/>
                <w:szCs w:val="20"/>
              </w:rPr>
              <w:fldChar w:fldCharType="end"/>
            </w:r>
          </w:hyperlink>
        </w:p>
        <w:p w14:paraId="54E417ED" w14:textId="560FF231"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47" w:history="1">
            <w:r w:rsidRPr="002603F8">
              <w:rPr>
                <w:rStyle w:val="Hiperhivatkozs"/>
                <w:rFonts w:ascii="Georgia" w:hAnsi="Georgia" w:cstheme="minorHAnsi"/>
                <w:i/>
                <w:iCs/>
                <w:noProof/>
                <w:sz w:val="20"/>
                <w:szCs w:val="20"/>
                <w:lang w:val="en-GB"/>
              </w:rPr>
              <w:t>4.1.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Subject of the empirical research</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61</w:t>
            </w:r>
            <w:r w:rsidRPr="002603F8">
              <w:rPr>
                <w:rFonts w:ascii="Georgia" w:hAnsi="Georgia"/>
                <w:noProof/>
                <w:webHidden/>
                <w:sz w:val="20"/>
                <w:szCs w:val="20"/>
              </w:rPr>
              <w:fldChar w:fldCharType="end"/>
            </w:r>
          </w:hyperlink>
        </w:p>
        <w:p w14:paraId="4D76C78C" w14:textId="5C212907"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48" w:history="1">
            <w:r w:rsidRPr="002603F8">
              <w:rPr>
                <w:rStyle w:val="Hiperhivatkozs"/>
                <w:rFonts w:ascii="Georgia" w:hAnsi="Georgia" w:cs="Calibri"/>
                <w:noProof/>
                <w:sz w:val="20"/>
                <w:szCs w:val="20"/>
                <w:lang w:val="en-GB"/>
              </w:rPr>
              <w:t>4.1.1.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Adaptation policy planning instruments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61</w:t>
            </w:r>
            <w:r w:rsidRPr="002603F8">
              <w:rPr>
                <w:rFonts w:ascii="Georgia" w:hAnsi="Georgia"/>
                <w:noProof/>
                <w:webHidden/>
                <w:sz w:val="20"/>
                <w:szCs w:val="20"/>
              </w:rPr>
              <w:fldChar w:fldCharType="end"/>
            </w:r>
          </w:hyperlink>
        </w:p>
        <w:p w14:paraId="60D227A4" w14:textId="21485F94"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49" w:history="1">
            <w:r w:rsidRPr="002603F8">
              <w:rPr>
                <w:rStyle w:val="Hiperhivatkozs"/>
                <w:rFonts w:ascii="Georgia" w:hAnsi="Georgia" w:cs="Calibri"/>
                <w:noProof/>
                <w:sz w:val="20"/>
                <w:szCs w:val="20"/>
                <w:lang w:val="en-GB"/>
              </w:rPr>
              <w:t>4.1.2.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Geographical and time context</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_Toc225578849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62</w:t>
            </w:r>
            <w:r w:rsidRPr="002603F8">
              <w:rPr>
                <w:rFonts w:ascii="Georgia" w:hAnsi="Georgia"/>
                <w:noProof/>
                <w:webHidden/>
                <w:sz w:val="20"/>
                <w:szCs w:val="20"/>
              </w:rPr>
              <w:fldChar w:fldCharType="end"/>
            </w:r>
          </w:hyperlink>
        </w:p>
        <w:p w14:paraId="794799FD" w14:textId="28103DF9"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50" w:history="1">
            <w:r w:rsidRPr="002603F8">
              <w:rPr>
                <w:rStyle w:val="Hiperhivatkozs"/>
                <w:rFonts w:ascii="Georgia" w:hAnsi="Georgia" w:cstheme="minorHAnsi"/>
                <w:i/>
                <w:iCs/>
                <w:noProof/>
                <w:sz w:val="20"/>
                <w:szCs w:val="20"/>
                <w:lang w:val="en-GB"/>
              </w:rPr>
              <w:t>4.2.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Measuring spatial sensitivity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69</w:t>
            </w:r>
            <w:r w:rsidRPr="002603F8">
              <w:rPr>
                <w:rFonts w:ascii="Georgia" w:hAnsi="Georgia"/>
                <w:noProof/>
                <w:webHidden/>
                <w:sz w:val="20"/>
                <w:szCs w:val="20"/>
              </w:rPr>
              <w:fldChar w:fldCharType="end"/>
            </w:r>
          </w:hyperlink>
        </w:p>
        <w:p w14:paraId="4AEB6FD4" w14:textId="4F1F1391"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1" w:history="1">
            <w:r w:rsidRPr="002603F8">
              <w:rPr>
                <w:rStyle w:val="Hiperhivatkozs"/>
                <w:rFonts w:ascii="Georgia" w:hAnsi="Georgia" w:cs="Calibri"/>
                <w:noProof/>
                <w:sz w:val="20"/>
                <w:szCs w:val="20"/>
                <w:lang w:val="en-GB"/>
              </w:rPr>
              <w:t>4.2.1.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Model of spatial sensitivity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69</w:t>
            </w:r>
            <w:r w:rsidRPr="002603F8">
              <w:rPr>
                <w:rFonts w:ascii="Georgia" w:hAnsi="Georgia"/>
                <w:noProof/>
                <w:webHidden/>
                <w:sz w:val="20"/>
                <w:szCs w:val="20"/>
              </w:rPr>
              <w:fldChar w:fldCharType="end"/>
            </w:r>
          </w:hyperlink>
        </w:p>
        <w:p w14:paraId="452DE7AA" w14:textId="32D57805" w:rsidR="002603F8" w:rsidRPr="002603F8" w:rsidRDefault="002603F8" w:rsidP="002603F8">
          <w:pPr>
            <w:pStyle w:val="TJ3"/>
            <w:tabs>
              <w:tab w:val="left" w:pos="120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2" w:history="1">
            <w:r w:rsidRPr="002603F8">
              <w:rPr>
                <w:rStyle w:val="Hiperhivatkozs"/>
                <w:rFonts w:ascii="Georgia" w:hAnsi="Georgia" w:cs="Calibri"/>
                <w:noProof/>
                <w:sz w:val="20"/>
                <w:szCs w:val="20"/>
                <w:lang w:val="en-GB"/>
              </w:rPr>
              <w:t>4.2.2.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Calibri"/>
                <w:noProof/>
                <w:sz w:val="20"/>
                <w:szCs w:val="20"/>
                <w:lang w:val="en-GB"/>
              </w:rPr>
              <w:t>Analytical aspects of national adaptation policy planning’s spatial sensitivity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71</w:t>
            </w:r>
            <w:r w:rsidRPr="002603F8">
              <w:rPr>
                <w:rFonts w:ascii="Georgia" w:hAnsi="Georgia"/>
                <w:noProof/>
                <w:webHidden/>
                <w:sz w:val="20"/>
                <w:szCs w:val="20"/>
              </w:rPr>
              <w:fldChar w:fldCharType="end"/>
            </w:r>
          </w:hyperlink>
        </w:p>
        <w:p w14:paraId="0D1D41D2" w14:textId="2F68C9BF"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53" w:history="1">
            <w:r w:rsidRPr="002603F8">
              <w:rPr>
                <w:rStyle w:val="Hiperhivatkozs"/>
                <w:sz w:val="20"/>
                <w:szCs w:val="20"/>
              </w:rPr>
              <w:t>5.</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Empirical results</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_Toc225578853 \h </w:instrText>
            </w:r>
            <w:r w:rsidRPr="002603F8">
              <w:rPr>
                <w:webHidden/>
                <w:sz w:val="20"/>
                <w:szCs w:val="20"/>
              </w:rPr>
            </w:r>
            <w:r w:rsidRPr="002603F8">
              <w:rPr>
                <w:webHidden/>
                <w:sz w:val="20"/>
                <w:szCs w:val="20"/>
              </w:rPr>
              <w:fldChar w:fldCharType="separate"/>
            </w:r>
            <w:r w:rsidR="00E24EFB">
              <w:rPr>
                <w:webHidden/>
                <w:sz w:val="20"/>
                <w:szCs w:val="20"/>
              </w:rPr>
              <w:t>83</w:t>
            </w:r>
            <w:r w:rsidRPr="002603F8">
              <w:rPr>
                <w:webHidden/>
                <w:sz w:val="20"/>
                <w:szCs w:val="20"/>
              </w:rPr>
              <w:fldChar w:fldCharType="end"/>
            </w:r>
          </w:hyperlink>
        </w:p>
        <w:p w14:paraId="3672DFB2" w14:textId="0430B5B4"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54" w:history="1">
            <w:r w:rsidRPr="002603F8">
              <w:rPr>
                <w:rStyle w:val="Hiperhivatkozs"/>
                <w:rFonts w:ascii="Georgia" w:hAnsi="Georgia" w:cstheme="minorHAnsi"/>
                <w:i/>
                <w:iCs/>
                <w:noProof/>
                <w:sz w:val="20"/>
                <w:szCs w:val="20"/>
                <w:lang w:val="en-GB"/>
              </w:rPr>
              <w:t>5.1.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Analysed climate adaptation policy documents of the European countries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83</w:t>
            </w:r>
            <w:r w:rsidRPr="002603F8">
              <w:rPr>
                <w:rFonts w:ascii="Georgia" w:hAnsi="Georgia"/>
                <w:noProof/>
                <w:webHidden/>
                <w:sz w:val="20"/>
                <w:szCs w:val="20"/>
              </w:rPr>
              <w:fldChar w:fldCharType="end"/>
            </w:r>
          </w:hyperlink>
        </w:p>
        <w:p w14:paraId="6FFC714C" w14:textId="21D01C50"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55" w:history="1">
            <w:r w:rsidRPr="002603F8">
              <w:rPr>
                <w:rStyle w:val="Hiperhivatkozs"/>
                <w:rFonts w:ascii="Georgia" w:hAnsi="Georgia" w:cstheme="minorHAnsi"/>
                <w:i/>
                <w:iCs/>
                <w:noProof/>
                <w:sz w:val="20"/>
                <w:szCs w:val="20"/>
                <w:lang w:val="en-GB"/>
              </w:rPr>
              <w:t>5.2.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Comparing the spatial sensitivity of national adaptation policies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83</w:t>
            </w:r>
            <w:r w:rsidRPr="002603F8">
              <w:rPr>
                <w:rFonts w:ascii="Georgia" w:hAnsi="Georgia"/>
                <w:noProof/>
                <w:webHidden/>
                <w:sz w:val="20"/>
                <w:szCs w:val="20"/>
              </w:rPr>
              <w:fldChar w:fldCharType="end"/>
            </w:r>
          </w:hyperlink>
        </w:p>
        <w:p w14:paraId="4293754F" w14:textId="0D27E33D"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6" w:history="1">
            <w:r w:rsidRPr="002603F8">
              <w:rPr>
                <w:rStyle w:val="Hiperhivatkozs"/>
                <w:rFonts w:ascii="Georgia" w:hAnsi="Georgia"/>
                <w:noProof/>
                <w:sz w:val="20"/>
                <w:szCs w:val="20"/>
                <w:lang w:val="en-GB"/>
              </w:rPr>
              <w:t>5.2.1.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General spatial aspects of adaptation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_Toc225578856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83</w:t>
            </w:r>
            <w:r w:rsidRPr="002603F8">
              <w:rPr>
                <w:rFonts w:ascii="Georgia" w:hAnsi="Georgia"/>
                <w:noProof/>
                <w:webHidden/>
                <w:sz w:val="20"/>
                <w:szCs w:val="20"/>
              </w:rPr>
              <w:fldChar w:fldCharType="end"/>
            </w:r>
          </w:hyperlink>
        </w:p>
        <w:p w14:paraId="2E08258D" w14:textId="387AF045"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7" w:history="1">
            <w:r w:rsidRPr="002603F8">
              <w:rPr>
                <w:rStyle w:val="Hiperhivatkozs"/>
                <w:rFonts w:ascii="Georgia" w:hAnsi="Georgia"/>
                <w:noProof/>
                <w:sz w:val="20"/>
                <w:szCs w:val="20"/>
                <w:lang w:val="en-GB"/>
              </w:rPr>
              <w:t>5.2.2.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NAS situation analyses’ spatial awareness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87</w:t>
            </w:r>
            <w:r w:rsidRPr="002603F8">
              <w:rPr>
                <w:rFonts w:ascii="Georgia" w:hAnsi="Georgia"/>
                <w:noProof/>
                <w:webHidden/>
                <w:sz w:val="20"/>
                <w:szCs w:val="20"/>
              </w:rPr>
              <w:fldChar w:fldCharType="end"/>
            </w:r>
          </w:hyperlink>
        </w:p>
        <w:p w14:paraId="09956180" w14:textId="651B2351"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8" w:history="1">
            <w:r w:rsidRPr="002603F8">
              <w:rPr>
                <w:rStyle w:val="Hiperhivatkozs"/>
                <w:rFonts w:ascii="Georgia" w:hAnsi="Georgia"/>
                <w:noProof/>
                <w:sz w:val="20"/>
                <w:szCs w:val="20"/>
                <w:lang w:val="en-GB"/>
              </w:rPr>
              <w:t>5.2.3.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Spatiality in the NAS objective systems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90</w:t>
            </w:r>
            <w:r w:rsidRPr="002603F8">
              <w:rPr>
                <w:rFonts w:ascii="Georgia" w:hAnsi="Georgia"/>
                <w:noProof/>
                <w:webHidden/>
                <w:sz w:val="20"/>
                <w:szCs w:val="20"/>
              </w:rPr>
              <w:fldChar w:fldCharType="end"/>
            </w:r>
          </w:hyperlink>
        </w:p>
        <w:p w14:paraId="42CA25B8" w14:textId="78A86CDD"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59" w:history="1">
            <w:r w:rsidRPr="002603F8">
              <w:rPr>
                <w:rStyle w:val="Hiperhivatkozs"/>
                <w:rFonts w:ascii="Georgia" w:hAnsi="Georgia"/>
                <w:noProof/>
                <w:sz w:val="20"/>
                <w:szCs w:val="20"/>
                <w:lang w:val="en-GB"/>
              </w:rPr>
              <w:t>5.2.4.</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Spatial aspects in adaptation actions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_Toc225578859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95</w:t>
            </w:r>
            <w:r w:rsidRPr="002603F8">
              <w:rPr>
                <w:rFonts w:ascii="Georgia" w:hAnsi="Georgia"/>
                <w:noProof/>
                <w:webHidden/>
                <w:sz w:val="20"/>
                <w:szCs w:val="20"/>
              </w:rPr>
              <w:fldChar w:fldCharType="end"/>
            </w:r>
          </w:hyperlink>
        </w:p>
        <w:p w14:paraId="6015E2DA" w14:textId="17C0D306"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0" w:history="1">
            <w:r w:rsidRPr="002603F8">
              <w:rPr>
                <w:rStyle w:val="Hiperhivatkozs"/>
                <w:rFonts w:ascii="Georgia" w:hAnsi="Georgia"/>
                <w:noProof/>
                <w:sz w:val="20"/>
                <w:szCs w:val="20"/>
                <w:lang w:val="en-GB"/>
              </w:rPr>
              <w:t>5.2.5.</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Inter- and transnational spatial dimensions and content of NAS documents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97</w:t>
            </w:r>
            <w:r w:rsidRPr="002603F8">
              <w:rPr>
                <w:rFonts w:ascii="Georgia" w:hAnsi="Georgia"/>
                <w:noProof/>
                <w:webHidden/>
                <w:sz w:val="20"/>
                <w:szCs w:val="20"/>
              </w:rPr>
              <w:fldChar w:fldCharType="end"/>
            </w:r>
          </w:hyperlink>
        </w:p>
        <w:p w14:paraId="42ACAB53" w14:textId="01CDA0EF"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1" w:history="1">
            <w:r w:rsidRPr="002603F8">
              <w:rPr>
                <w:rStyle w:val="Hiperhivatkozs"/>
                <w:rFonts w:ascii="Georgia" w:hAnsi="Georgia"/>
                <w:noProof/>
                <w:sz w:val="20"/>
                <w:szCs w:val="20"/>
                <w:lang w:val="en-GB"/>
              </w:rPr>
              <w:t>5.2.6.</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National adaptation MRE activities’ spatiality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101</w:t>
            </w:r>
            <w:r w:rsidRPr="002603F8">
              <w:rPr>
                <w:rFonts w:ascii="Georgia" w:hAnsi="Georgia"/>
                <w:noProof/>
                <w:webHidden/>
                <w:sz w:val="20"/>
                <w:szCs w:val="20"/>
              </w:rPr>
              <w:fldChar w:fldCharType="end"/>
            </w:r>
          </w:hyperlink>
        </w:p>
        <w:p w14:paraId="753558BB" w14:textId="19AAE9A5"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2" w:history="1">
            <w:r w:rsidRPr="002603F8">
              <w:rPr>
                <w:rStyle w:val="Hiperhivatkozs"/>
                <w:rFonts w:ascii="Georgia" w:hAnsi="Georgia"/>
                <w:noProof/>
                <w:sz w:val="20"/>
                <w:szCs w:val="20"/>
                <w:lang w:val="en-GB"/>
              </w:rPr>
              <w:t>5.2.7.</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Emergence of European and national spatial policy considerations in the NASs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104</w:t>
            </w:r>
            <w:r w:rsidRPr="002603F8">
              <w:rPr>
                <w:rFonts w:ascii="Georgia" w:hAnsi="Georgia"/>
                <w:noProof/>
                <w:webHidden/>
                <w:sz w:val="20"/>
                <w:szCs w:val="20"/>
              </w:rPr>
              <w:fldChar w:fldCharType="end"/>
            </w:r>
          </w:hyperlink>
        </w:p>
        <w:p w14:paraId="1A99E603" w14:textId="7B5BE525"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3" w:history="1">
            <w:r w:rsidRPr="002603F8">
              <w:rPr>
                <w:rStyle w:val="Hiperhivatkozs"/>
                <w:rFonts w:ascii="Georgia" w:hAnsi="Georgia"/>
                <w:noProof/>
                <w:sz w:val="20"/>
                <w:szCs w:val="20"/>
                <w:lang w:val="en-GB"/>
              </w:rPr>
              <w:t>5.2.8.</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Aggregated spatial sensitivity of the analysed countries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_Toc225578863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106</w:t>
            </w:r>
            <w:r w:rsidRPr="002603F8">
              <w:rPr>
                <w:rFonts w:ascii="Georgia" w:hAnsi="Georgia"/>
                <w:noProof/>
                <w:webHidden/>
                <w:sz w:val="20"/>
                <w:szCs w:val="20"/>
              </w:rPr>
              <w:fldChar w:fldCharType="end"/>
            </w:r>
          </w:hyperlink>
        </w:p>
        <w:p w14:paraId="1D19C01B" w14:textId="0271FF14"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64" w:history="1">
            <w:r w:rsidRPr="002603F8">
              <w:rPr>
                <w:rStyle w:val="Hiperhivatkozs"/>
                <w:rFonts w:ascii="Georgia" w:hAnsi="Georgia" w:cstheme="minorHAnsi"/>
                <w:i/>
                <w:iCs/>
                <w:noProof/>
                <w:sz w:val="20"/>
                <w:szCs w:val="20"/>
                <w:lang w:val="en-GB"/>
              </w:rPr>
              <w:t>5.3.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Influential factors of spatial sensitivity in climate adaptation policy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108</w:t>
            </w:r>
            <w:r w:rsidRPr="002603F8">
              <w:rPr>
                <w:rFonts w:ascii="Georgia" w:hAnsi="Georgia"/>
                <w:noProof/>
                <w:webHidden/>
                <w:sz w:val="20"/>
                <w:szCs w:val="20"/>
              </w:rPr>
              <w:fldChar w:fldCharType="end"/>
            </w:r>
          </w:hyperlink>
        </w:p>
        <w:p w14:paraId="7FEB9C6E" w14:textId="21FA71C5"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65" w:history="1">
            <w:r w:rsidRPr="002603F8">
              <w:rPr>
                <w:rStyle w:val="Hiperhivatkozs"/>
                <w:rFonts w:ascii="Georgia" w:hAnsi="Georgia" w:cstheme="minorHAnsi"/>
                <w:i/>
                <w:iCs/>
                <w:noProof/>
                <w:sz w:val="20"/>
                <w:szCs w:val="20"/>
                <w:lang w:val="en-GB"/>
              </w:rPr>
              <w:t>5.4.</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Macro regional characteristics in the adaptation practice</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113</w:t>
            </w:r>
            <w:r w:rsidRPr="002603F8">
              <w:rPr>
                <w:rFonts w:ascii="Georgia" w:hAnsi="Georgia"/>
                <w:noProof/>
                <w:webHidden/>
                <w:sz w:val="20"/>
                <w:szCs w:val="20"/>
              </w:rPr>
              <w:fldChar w:fldCharType="end"/>
            </w:r>
          </w:hyperlink>
        </w:p>
        <w:p w14:paraId="0CDD12E3" w14:textId="2EB90B09"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66" w:history="1">
            <w:r w:rsidRPr="002603F8">
              <w:rPr>
                <w:rStyle w:val="Hiperhivatkozs"/>
                <w:sz w:val="20"/>
                <w:szCs w:val="20"/>
              </w:rPr>
              <w:t>6.</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Conclusions and discussion</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_Toc225578866 \h </w:instrText>
            </w:r>
            <w:r w:rsidRPr="002603F8">
              <w:rPr>
                <w:webHidden/>
                <w:sz w:val="20"/>
                <w:szCs w:val="20"/>
              </w:rPr>
            </w:r>
            <w:r w:rsidRPr="002603F8">
              <w:rPr>
                <w:webHidden/>
                <w:sz w:val="20"/>
                <w:szCs w:val="20"/>
              </w:rPr>
              <w:fldChar w:fldCharType="separate"/>
            </w:r>
            <w:r w:rsidR="00E24EFB">
              <w:rPr>
                <w:webHidden/>
                <w:sz w:val="20"/>
                <w:szCs w:val="20"/>
              </w:rPr>
              <w:t>114</w:t>
            </w:r>
            <w:r w:rsidRPr="002603F8">
              <w:rPr>
                <w:webHidden/>
                <w:sz w:val="20"/>
                <w:szCs w:val="20"/>
              </w:rPr>
              <w:fldChar w:fldCharType="end"/>
            </w:r>
          </w:hyperlink>
        </w:p>
        <w:p w14:paraId="182A49BC" w14:textId="5E4B8779"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67" w:history="1">
            <w:r w:rsidRPr="002603F8">
              <w:rPr>
                <w:rStyle w:val="Hiperhivatkozs"/>
                <w:rFonts w:ascii="Georgia" w:hAnsi="Georgia" w:cstheme="minorHAnsi"/>
                <w:i/>
                <w:iCs/>
                <w:noProof/>
                <w:sz w:val="20"/>
                <w:szCs w:val="20"/>
                <w:lang w:val="en-GB"/>
              </w:rPr>
              <w:t>6.1.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Answers to the research questions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114</w:t>
            </w:r>
            <w:r w:rsidRPr="002603F8">
              <w:rPr>
                <w:rFonts w:ascii="Georgia" w:hAnsi="Georgia"/>
                <w:noProof/>
                <w:webHidden/>
                <w:sz w:val="20"/>
                <w:szCs w:val="20"/>
              </w:rPr>
              <w:fldChar w:fldCharType="end"/>
            </w:r>
          </w:hyperlink>
        </w:p>
        <w:p w14:paraId="295B7EC6" w14:textId="10C5D78B"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8" w:history="1">
            <w:r w:rsidRPr="002603F8">
              <w:rPr>
                <w:rStyle w:val="Hiperhivatkozs"/>
                <w:rFonts w:ascii="Georgia" w:hAnsi="Georgia"/>
                <w:noProof/>
                <w:sz w:val="20"/>
                <w:szCs w:val="20"/>
                <w:lang w:val="en-GB"/>
              </w:rPr>
              <w:t>RSQ1: Defining the concept of spatial sensitivity in adaptation policies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114</w:t>
            </w:r>
            <w:r w:rsidRPr="002603F8">
              <w:rPr>
                <w:rFonts w:ascii="Georgia" w:hAnsi="Georgia"/>
                <w:noProof/>
                <w:webHidden/>
                <w:sz w:val="20"/>
                <w:szCs w:val="20"/>
              </w:rPr>
              <w:fldChar w:fldCharType="end"/>
            </w:r>
          </w:hyperlink>
        </w:p>
        <w:p w14:paraId="361B44BA" w14:textId="336D264C"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69" w:history="1">
            <w:r w:rsidRPr="002603F8">
              <w:rPr>
                <w:rStyle w:val="Hiperhivatkozs"/>
                <w:rFonts w:ascii="Georgia" w:hAnsi="Georgia"/>
                <w:noProof/>
                <w:sz w:val="20"/>
                <w:szCs w:val="20"/>
                <w:lang w:val="en-GB"/>
              </w:rPr>
              <w:t>RSQ2 Assessing spatial sensitivity in climate adaptation policies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_Toc225578869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116</w:t>
            </w:r>
            <w:r w:rsidRPr="002603F8">
              <w:rPr>
                <w:rFonts w:ascii="Georgia" w:hAnsi="Georgia"/>
                <w:noProof/>
                <w:webHidden/>
                <w:sz w:val="20"/>
                <w:szCs w:val="20"/>
              </w:rPr>
              <w:fldChar w:fldCharType="end"/>
            </w:r>
          </w:hyperlink>
        </w:p>
        <w:p w14:paraId="4F286265" w14:textId="6B539B2F"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0" w:history="1">
            <w:r w:rsidRPr="002603F8">
              <w:rPr>
                <w:rStyle w:val="Hiperhivatkozs"/>
                <w:rFonts w:ascii="Georgia" w:hAnsi="Georgia"/>
                <w:noProof/>
                <w:sz w:val="20"/>
                <w:szCs w:val="20"/>
                <w:lang w:val="en-GB"/>
              </w:rPr>
              <w:t>RSQ3: The extent of spatiality emerging in European national adaptation policy instruments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117</w:t>
            </w:r>
            <w:r w:rsidRPr="002603F8">
              <w:rPr>
                <w:rFonts w:ascii="Georgia" w:hAnsi="Georgia"/>
                <w:noProof/>
                <w:webHidden/>
                <w:sz w:val="20"/>
                <w:szCs w:val="20"/>
              </w:rPr>
              <w:fldChar w:fldCharType="end"/>
            </w:r>
          </w:hyperlink>
        </w:p>
        <w:p w14:paraId="5B5399D3" w14:textId="73943881"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1" w:history="1">
            <w:r w:rsidRPr="002603F8">
              <w:rPr>
                <w:rStyle w:val="Hiperhivatkozs"/>
                <w:rFonts w:ascii="Georgia" w:hAnsi="Georgia"/>
                <w:noProof/>
                <w:sz w:val="20"/>
                <w:szCs w:val="20"/>
                <w:lang w:val="en-GB"/>
              </w:rPr>
              <w:t>RSQ4: The main influential factors of national adaptation policies’ spatial sensitivity</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117</w:t>
            </w:r>
            <w:r w:rsidRPr="002603F8">
              <w:rPr>
                <w:rFonts w:ascii="Georgia" w:hAnsi="Georgia"/>
                <w:noProof/>
                <w:webHidden/>
                <w:sz w:val="20"/>
                <w:szCs w:val="20"/>
              </w:rPr>
              <w:fldChar w:fldCharType="end"/>
            </w:r>
          </w:hyperlink>
        </w:p>
        <w:p w14:paraId="31412B64" w14:textId="21956402"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2" w:history="1">
            <w:r w:rsidRPr="002603F8">
              <w:rPr>
                <w:rStyle w:val="Hiperhivatkozs"/>
                <w:rFonts w:ascii="Georgia" w:hAnsi="Georgia"/>
                <w:noProof/>
                <w:sz w:val="20"/>
                <w:szCs w:val="20"/>
                <w:lang w:val="en-GB"/>
              </w:rPr>
              <w:t>RSQ5: Macro-regional characteristics in spatial sensitivity performances of states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118</w:t>
            </w:r>
            <w:r w:rsidRPr="002603F8">
              <w:rPr>
                <w:rFonts w:ascii="Georgia" w:hAnsi="Georgia"/>
                <w:noProof/>
                <w:webHidden/>
                <w:sz w:val="20"/>
                <w:szCs w:val="20"/>
              </w:rPr>
              <w:fldChar w:fldCharType="end"/>
            </w:r>
          </w:hyperlink>
        </w:p>
        <w:p w14:paraId="2C2A58D9" w14:textId="18807672"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3" w:history="1">
            <w:r w:rsidRPr="002603F8">
              <w:rPr>
                <w:rStyle w:val="Hiperhivatkozs"/>
                <w:rFonts w:ascii="Georgia" w:hAnsi="Georgia"/>
                <w:bCs/>
                <w:noProof/>
                <w:sz w:val="20"/>
                <w:szCs w:val="20"/>
                <w:lang w:val="en-GB"/>
              </w:rPr>
              <w:t>Main RQ: The extent of spatial sensitivity in national climate adaptation policies of European countries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_Toc225578873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119</w:t>
            </w:r>
            <w:r w:rsidRPr="002603F8">
              <w:rPr>
                <w:rFonts w:ascii="Georgia" w:hAnsi="Georgia"/>
                <w:noProof/>
                <w:webHidden/>
                <w:sz w:val="20"/>
                <w:szCs w:val="20"/>
              </w:rPr>
              <w:fldChar w:fldCharType="end"/>
            </w:r>
          </w:hyperlink>
        </w:p>
        <w:p w14:paraId="6F9F352D" w14:textId="62EB6F1F"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74" w:history="1">
            <w:r w:rsidRPr="002603F8">
              <w:rPr>
                <w:rStyle w:val="Hiperhivatkozs"/>
                <w:rFonts w:ascii="Georgia" w:hAnsi="Georgia" w:cstheme="minorHAnsi"/>
                <w:i/>
                <w:iCs/>
                <w:noProof/>
                <w:sz w:val="20"/>
                <w:szCs w:val="20"/>
                <w:lang w:val="en-GB"/>
              </w:rPr>
              <w:t>6.2.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Recommendations for the climate adaptation policy practice</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120</w:t>
            </w:r>
            <w:r w:rsidRPr="002603F8">
              <w:rPr>
                <w:rFonts w:ascii="Georgia" w:hAnsi="Georgia"/>
                <w:noProof/>
                <w:webHidden/>
                <w:sz w:val="20"/>
                <w:szCs w:val="20"/>
              </w:rPr>
              <w:fldChar w:fldCharType="end"/>
            </w:r>
          </w:hyperlink>
        </w:p>
        <w:p w14:paraId="49C7EFF7" w14:textId="60D5F50A"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5" w:history="1">
            <w:r w:rsidRPr="002603F8">
              <w:rPr>
                <w:rStyle w:val="Hiperhivatkozs"/>
                <w:rFonts w:ascii="Georgia" w:hAnsi="Georgia"/>
                <w:noProof/>
                <w:sz w:val="20"/>
                <w:szCs w:val="20"/>
                <w:lang w:val="en-GB"/>
              </w:rPr>
              <w:t>6.2.1.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Evidence-based work phases of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120</w:t>
            </w:r>
            <w:r w:rsidRPr="002603F8">
              <w:rPr>
                <w:rFonts w:ascii="Georgia" w:hAnsi="Georgia"/>
                <w:noProof/>
                <w:webHidden/>
                <w:sz w:val="20"/>
                <w:szCs w:val="20"/>
              </w:rPr>
              <w:fldChar w:fldCharType="end"/>
            </w:r>
          </w:hyperlink>
        </w:p>
        <w:p w14:paraId="164DB0DF" w14:textId="1AC2C588"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6" w:history="1">
            <w:r w:rsidRPr="002603F8">
              <w:rPr>
                <w:rStyle w:val="Hiperhivatkozs"/>
                <w:rFonts w:ascii="Georgia" w:hAnsi="Georgia"/>
                <w:noProof/>
                <w:sz w:val="20"/>
                <w:szCs w:val="20"/>
                <w:lang w:val="en-GB"/>
              </w:rPr>
              <w:t>6.2.2.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Vision and objective system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_Toc225578876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121</w:t>
            </w:r>
            <w:r w:rsidRPr="002603F8">
              <w:rPr>
                <w:rFonts w:ascii="Georgia" w:hAnsi="Georgia"/>
                <w:noProof/>
                <w:webHidden/>
                <w:sz w:val="20"/>
                <w:szCs w:val="20"/>
              </w:rPr>
              <w:fldChar w:fldCharType="end"/>
            </w:r>
          </w:hyperlink>
        </w:p>
        <w:p w14:paraId="3D872232" w14:textId="32C4D541"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7" w:history="1">
            <w:r w:rsidRPr="002603F8">
              <w:rPr>
                <w:rStyle w:val="Hiperhivatkozs"/>
                <w:rFonts w:ascii="Georgia" w:hAnsi="Georgia"/>
                <w:noProof/>
                <w:sz w:val="20"/>
                <w:szCs w:val="20"/>
                <w:lang w:val="en-GB"/>
              </w:rPr>
              <w:t>6.2.3.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Action planning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121</w:t>
            </w:r>
            <w:r w:rsidRPr="002603F8">
              <w:rPr>
                <w:rFonts w:ascii="Georgia" w:hAnsi="Georgia"/>
                <w:noProof/>
                <w:webHidden/>
                <w:sz w:val="20"/>
                <w:szCs w:val="20"/>
              </w:rPr>
              <w:fldChar w:fldCharType="end"/>
            </w:r>
          </w:hyperlink>
        </w:p>
        <w:p w14:paraId="0437A113" w14:textId="52D48208"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8" w:history="1">
            <w:r w:rsidRPr="002603F8">
              <w:rPr>
                <w:rStyle w:val="Hiperhivatkozs"/>
                <w:rFonts w:ascii="Georgia" w:hAnsi="Georgia"/>
                <w:noProof/>
                <w:sz w:val="20"/>
                <w:szCs w:val="20"/>
                <w:lang w:val="en-GB"/>
              </w:rPr>
              <w:t>6.2.4.</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Monitoring</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122</w:t>
            </w:r>
            <w:r w:rsidRPr="002603F8">
              <w:rPr>
                <w:rFonts w:ascii="Georgia" w:hAnsi="Georgia"/>
                <w:noProof/>
                <w:webHidden/>
                <w:sz w:val="20"/>
                <w:szCs w:val="20"/>
              </w:rPr>
              <w:fldChar w:fldCharType="end"/>
            </w:r>
          </w:hyperlink>
        </w:p>
        <w:p w14:paraId="652AFF43" w14:textId="7FB5E261"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79" w:history="1">
            <w:r w:rsidRPr="002603F8">
              <w:rPr>
                <w:rStyle w:val="Hiperhivatkozs"/>
                <w:rFonts w:ascii="Georgia" w:hAnsi="Georgia"/>
                <w:noProof/>
                <w:sz w:val="20"/>
                <w:szCs w:val="20"/>
                <w:lang w:val="en-GB"/>
              </w:rPr>
              <w:t>6.2.5.</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Evaluation</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_Toc225578879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122</w:t>
            </w:r>
            <w:r w:rsidRPr="002603F8">
              <w:rPr>
                <w:rFonts w:ascii="Georgia" w:hAnsi="Georgia"/>
                <w:noProof/>
                <w:webHidden/>
                <w:sz w:val="20"/>
                <w:szCs w:val="20"/>
              </w:rPr>
              <w:fldChar w:fldCharType="end"/>
            </w:r>
          </w:hyperlink>
        </w:p>
        <w:p w14:paraId="3D8F915F" w14:textId="406ADE64"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80" w:history="1">
            <w:r w:rsidRPr="002603F8">
              <w:rPr>
                <w:rStyle w:val="Hiperhivatkozs"/>
                <w:rFonts w:ascii="Georgia" w:hAnsi="Georgia" w:cstheme="minorHAnsi"/>
                <w:i/>
                <w:iCs/>
                <w:noProof/>
                <w:sz w:val="20"/>
                <w:szCs w:val="20"/>
                <w:lang w:val="en-GB"/>
              </w:rPr>
              <w:t>6.3.</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cstheme="minorHAnsi"/>
                <w:i/>
                <w:iCs/>
                <w:noProof/>
                <w:sz w:val="20"/>
                <w:szCs w:val="20"/>
                <w:lang w:val="en-GB"/>
              </w:rPr>
              <w:t>Conclusions of the dissertation</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123</w:t>
            </w:r>
            <w:r w:rsidRPr="002603F8">
              <w:rPr>
                <w:rFonts w:ascii="Georgia" w:hAnsi="Georgia"/>
                <w:noProof/>
                <w:webHidden/>
                <w:sz w:val="20"/>
                <w:szCs w:val="20"/>
              </w:rPr>
              <w:fldChar w:fldCharType="end"/>
            </w:r>
          </w:hyperlink>
        </w:p>
        <w:p w14:paraId="47C8AFCB" w14:textId="6FAFC6F7"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81" w:history="1">
            <w:r w:rsidRPr="002603F8">
              <w:rPr>
                <w:rStyle w:val="Hiperhivatkozs"/>
                <w:rFonts w:ascii="Georgia" w:hAnsi="Georgia"/>
                <w:noProof/>
                <w:sz w:val="20"/>
                <w:szCs w:val="20"/>
                <w:lang w:val="en-GB"/>
              </w:rPr>
              <w:t>6.3.1.</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New scientific results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127</w:t>
            </w:r>
            <w:r w:rsidRPr="002603F8">
              <w:rPr>
                <w:rFonts w:ascii="Georgia" w:hAnsi="Georgia"/>
                <w:noProof/>
                <w:webHidden/>
                <w:sz w:val="20"/>
                <w:szCs w:val="20"/>
              </w:rPr>
              <w:fldChar w:fldCharType="end"/>
            </w:r>
          </w:hyperlink>
        </w:p>
        <w:p w14:paraId="790CE71E" w14:textId="233E6337" w:rsidR="002603F8" w:rsidRPr="002603F8" w:rsidRDefault="002603F8" w:rsidP="002603F8">
          <w:pPr>
            <w:pStyle w:val="TJ3"/>
            <w:tabs>
              <w:tab w:val="left" w:pos="1440"/>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82" w:history="1">
            <w:r w:rsidRPr="002603F8">
              <w:rPr>
                <w:rStyle w:val="Hiperhivatkozs"/>
                <w:rFonts w:ascii="Georgia" w:hAnsi="Georgia"/>
                <w:noProof/>
                <w:sz w:val="20"/>
                <w:szCs w:val="20"/>
                <w:lang w:val="en-GB"/>
              </w:rPr>
              <w:t>6.3.2.</w:t>
            </w:r>
            <w:r w:rsidRPr="002603F8">
              <w:rPr>
                <w:rFonts w:ascii="Georgia" w:eastAsiaTheme="minorEastAsia" w:hAnsi="Georgia"/>
                <w:noProof/>
                <w:kern w:val="2"/>
                <w:sz w:val="20"/>
                <w:szCs w:val="20"/>
                <w:lang w:eastAsia="hu-HU"/>
                <w14:ligatures w14:val="standardContextual"/>
              </w:rPr>
              <w:tab/>
            </w:r>
            <w:r w:rsidRPr="002603F8">
              <w:rPr>
                <w:rStyle w:val="Hiperhivatkozs"/>
                <w:rFonts w:ascii="Georgia" w:hAnsi="Georgia"/>
                <w:noProof/>
                <w:sz w:val="20"/>
                <w:szCs w:val="20"/>
                <w:lang w:val="en-GB"/>
              </w:rPr>
              <w:t>Limits of the research and potential further directions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129</w:t>
            </w:r>
            <w:r w:rsidRPr="002603F8">
              <w:rPr>
                <w:rFonts w:ascii="Georgia" w:hAnsi="Georgia"/>
                <w:noProof/>
                <w:webHidden/>
                <w:sz w:val="20"/>
                <w:szCs w:val="20"/>
              </w:rPr>
              <w:fldChar w:fldCharType="end"/>
            </w:r>
          </w:hyperlink>
        </w:p>
        <w:p w14:paraId="7F0B6B12" w14:textId="3D17E100"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83" w:history="1">
            <w:r w:rsidRPr="002603F8">
              <w:rPr>
                <w:rStyle w:val="Hiperhivatkozs"/>
                <w:sz w:val="20"/>
                <w:szCs w:val="20"/>
              </w:rPr>
              <w:t>7.</w:t>
            </w:r>
            <w:r w:rsidRPr="002603F8">
              <w:rPr>
                <w:rFonts w:eastAsiaTheme="minorEastAsia" w:cstheme="minorBidi"/>
                <w:b w:val="0"/>
                <w:bCs w:val="0"/>
                <w:kern w:val="2"/>
                <w:sz w:val="20"/>
                <w:szCs w:val="20"/>
                <w:lang w:val="hu-HU" w:eastAsia="hu-HU"/>
                <w14:ligatures w14:val="standardContextual"/>
              </w:rPr>
              <w:tab/>
            </w:r>
            <w:r w:rsidRPr="002603F8">
              <w:rPr>
                <w:rStyle w:val="Hiperhivatkozs"/>
                <w:sz w:val="20"/>
                <w:szCs w:val="20"/>
              </w:rPr>
              <w:t>List of used references</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_Toc225578883 \h </w:instrText>
            </w:r>
            <w:r w:rsidRPr="002603F8">
              <w:rPr>
                <w:webHidden/>
                <w:sz w:val="20"/>
                <w:szCs w:val="20"/>
              </w:rPr>
            </w:r>
            <w:r w:rsidRPr="002603F8">
              <w:rPr>
                <w:webHidden/>
                <w:sz w:val="20"/>
                <w:szCs w:val="20"/>
              </w:rPr>
              <w:fldChar w:fldCharType="separate"/>
            </w:r>
            <w:r w:rsidR="00E24EFB">
              <w:rPr>
                <w:webHidden/>
                <w:sz w:val="20"/>
                <w:szCs w:val="20"/>
              </w:rPr>
              <w:t>131</w:t>
            </w:r>
            <w:r w:rsidRPr="002603F8">
              <w:rPr>
                <w:webHidden/>
                <w:sz w:val="20"/>
                <w:szCs w:val="20"/>
              </w:rPr>
              <w:fldChar w:fldCharType="end"/>
            </w:r>
          </w:hyperlink>
        </w:p>
        <w:p w14:paraId="7417976F" w14:textId="46B3EF8D" w:rsidR="002603F8" w:rsidRPr="002603F8" w:rsidRDefault="002603F8" w:rsidP="002603F8">
          <w:pPr>
            <w:pStyle w:val="TJ1"/>
            <w:rPr>
              <w:rFonts w:eastAsiaTheme="minorEastAsia" w:cstheme="minorBidi"/>
              <w:b w:val="0"/>
              <w:bCs w:val="0"/>
              <w:kern w:val="2"/>
              <w:sz w:val="20"/>
              <w:szCs w:val="20"/>
              <w:lang w:val="hu-HU" w:eastAsia="hu-HU"/>
              <w14:ligatures w14:val="standardContextual"/>
            </w:rPr>
          </w:pPr>
          <w:hyperlink w:anchor="_Toc225578884" w:history="1">
            <w:r w:rsidRPr="002603F8">
              <w:rPr>
                <w:rStyle w:val="Hiperhivatkozs"/>
                <w:sz w:val="20"/>
                <w:szCs w:val="20"/>
              </w:rPr>
              <w:t>Annexes</w:t>
            </w:r>
            <w:r w:rsidRPr="002603F8">
              <w:rPr>
                <w:webHidden/>
                <w:sz w:val="20"/>
                <w:szCs w:val="20"/>
              </w:rPr>
              <w:tab/>
            </w:r>
            <w:r w:rsidRPr="002603F8">
              <w:rPr>
                <w:webHidden/>
                <w:sz w:val="20"/>
                <w:szCs w:val="20"/>
              </w:rPr>
              <w:fldChar w:fldCharType="begin"/>
            </w:r>
            <w:r w:rsidRPr="002603F8">
              <w:rPr>
                <w:webHidden/>
                <w:sz w:val="20"/>
                <w:szCs w:val="20"/>
              </w:rPr>
              <w:instrText xml:space="preserve"> PAGEREF _Toc225578884 \h </w:instrText>
            </w:r>
            <w:r w:rsidRPr="002603F8">
              <w:rPr>
                <w:webHidden/>
                <w:sz w:val="20"/>
                <w:szCs w:val="20"/>
              </w:rPr>
            </w:r>
            <w:r w:rsidRPr="002603F8">
              <w:rPr>
                <w:webHidden/>
                <w:sz w:val="20"/>
                <w:szCs w:val="20"/>
              </w:rPr>
              <w:fldChar w:fldCharType="separate"/>
            </w:r>
            <w:r w:rsidR="00E24EFB">
              <w:rPr>
                <w:webHidden/>
                <w:sz w:val="20"/>
                <w:szCs w:val="20"/>
              </w:rPr>
              <w:t>140</w:t>
            </w:r>
            <w:r w:rsidRPr="002603F8">
              <w:rPr>
                <w:webHidden/>
                <w:sz w:val="20"/>
                <w:szCs w:val="20"/>
              </w:rPr>
              <w:fldChar w:fldCharType="end"/>
            </w:r>
          </w:hyperlink>
        </w:p>
        <w:p w14:paraId="48196DF1" w14:textId="6B5D8F25"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85" w:history="1">
            <w:r w:rsidRPr="002603F8">
              <w:rPr>
                <w:rStyle w:val="Hiperhivatkozs"/>
                <w:rFonts w:ascii="Georgia" w:hAnsi="Georgia"/>
                <w:noProof/>
                <w:sz w:val="20"/>
                <w:szCs w:val="20"/>
                <w:lang w:val="en-GB"/>
              </w:rPr>
              <w:t>Annex 1 – overviewed and reviewed literature</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140</w:t>
            </w:r>
            <w:r w:rsidRPr="002603F8">
              <w:rPr>
                <w:rFonts w:ascii="Georgia" w:hAnsi="Georgia"/>
                <w:noProof/>
                <w:webHidden/>
                <w:sz w:val="20"/>
                <w:szCs w:val="20"/>
              </w:rPr>
              <w:fldChar w:fldCharType="end"/>
            </w:r>
          </w:hyperlink>
        </w:p>
        <w:p w14:paraId="129B90B1" w14:textId="6EE8C962"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86" w:history="1">
            <w:r w:rsidRPr="002603F8">
              <w:rPr>
                <w:rStyle w:val="Hiperhivatkozs"/>
                <w:rFonts w:ascii="Georgia" w:hAnsi="Georgia"/>
                <w:noProof/>
                <w:sz w:val="20"/>
                <w:szCs w:val="20"/>
                <w:lang w:val="en-GB"/>
              </w:rPr>
              <w:t>Annex 2 – Concepts and interpretations of space in different disciplines and practical fields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_Toc225578886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173</w:t>
            </w:r>
            <w:r w:rsidRPr="002603F8">
              <w:rPr>
                <w:rFonts w:ascii="Georgia" w:hAnsi="Georgia"/>
                <w:noProof/>
                <w:webHidden/>
                <w:sz w:val="20"/>
                <w:szCs w:val="20"/>
              </w:rPr>
              <w:fldChar w:fldCharType="end"/>
            </w:r>
          </w:hyperlink>
        </w:p>
        <w:p w14:paraId="750A9D7B" w14:textId="317F83EA"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87" w:history="1">
            <w:r w:rsidRPr="002603F8">
              <w:rPr>
                <w:rStyle w:val="Hiperhivatkozs"/>
                <w:rFonts w:ascii="Georgia" w:hAnsi="Georgia"/>
                <w:noProof/>
                <w:sz w:val="20"/>
                <w:szCs w:val="20"/>
                <w:lang w:val="en-GB"/>
              </w:rPr>
              <w:t>Annex 2a) Concepts of space, region, territory and place</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173</w:t>
            </w:r>
            <w:r w:rsidRPr="002603F8">
              <w:rPr>
                <w:rFonts w:ascii="Georgia" w:hAnsi="Georgia"/>
                <w:noProof/>
                <w:webHidden/>
                <w:sz w:val="20"/>
                <w:szCs w:val="20"/>
              </w:rPr>
              <w:fldChar w:fldCharType="end"/>
            </w:r>
          </w:hyperlink>
        </w:p>
        <w:p w14:paraId="334866F4" w14:textId="66D9526C"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88" w:history="1">
            <w:r w:rsidRPr="002603F8">
              <w:rPr>
                <w:rStyle w:val="Hiperhivatkozs"/>
                <w:rFonts w:ascii="Georgia" w:hAnsi="Georgia"/>
                <w:noProof/>
                <w:sz w:val="20"/>
                <w:szCs w:val="20"/>
                <w:lang w:val="en-GB"/>
              </w:rPr>
              <w:t>Annex 2b) Space interpretations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174</w:t>
            </w:r>
            <w:r w:rsidRPr="002603F8">
              <w:rPr>
                <w:rFonts w:ascii="Georgia" w:hAnsi="Georgia"/>
                <w:noProof/>
                <w:webHidden/>
                <w:sz w:val="20"/>
                <w:szCs w:val="20"/>
              </w:rPr>
              <w:fldChar w:fldCharType="end"/>
            </w:r>
          </w:hyperlink>
        </w:p>
        <w:p w14:paraId="7BA26E70" w14:textId="366434A2"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89" w:history="1">
            <w:r w:rsidRPr="002603F8">
              <w:rPr>
                <w:rStyle w:val="Hiperhivatkozs"/>
                <w:rFonts w:ascii="Georgia" w:hAnsi="Georgia"/>
                <w:noProof/>
                <w:sz w:val="20"/>
                <w:szCs w:val="20"/>
                <w:lang w:val="en-GB"/>
              </w:rPr>
              <w:t>Annex 3 – Processed and analysed documents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_Toc225578889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183</w:t>
            </w:r>
            <w:r w:rsidRPr="002603F8">
              <w:rPr>
                <w:rFonts w:ascii="Georgia" w:hAnsi="Georgia"/>
                <w:noProof/>
                <w:webHidden/>
                <w:sz w:val="20"/>
                <w:szCs w:val="20"/>
              </w:rPr>
              <w:fldChar w:fldCharType="end"/>
            </w:r>
          </w:hyperlink>
        </w:p>
        <w:p w14:paraId="2173A9B0" w14:textId="57A57C46"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0" w:history="1">
            <w:r w:rsidRPr="002603F8">
              <w:rPr>
                <w:rStyle w:val="Hiperhivatkozs"/>
                <w:rFonts w:ascii="Georgia" w:hAnsi="Georgia"/>
                <w:noProof/>
                <w:sz w:val="20"/>
                <w:szCs w:val="20"/>
                <w:lang w:val="en-GB"/>
              </w:rPr>
              <w:t>Annex 3a) List of the analysed national planning and situation analysis documents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_Toc225578890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183</w:t>
            </w:r>
            <w:r w:rsidRPr="002603F8">
              <w:rPr>
                <w:rFonts w:ascii="Georgia" w:hAnsi="Georgia"/>
                <w:noProof/>
                <w:webHidden/>
                <w:sz w:val="20"/>
                <w:szCs w:val="20"/>
              </w:rPr>
              <w:fldChar w:fldCharType="end"/>
            </w:r>
          </w:hyperlink>
        </w:p>
        <w:p w14:paraId="6D418719" w14:textId="311CB736"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1" w:history="1">
            <w:r w:rsidRPr="002603F8">
              <w:rPr>
                <w:rStyle w:val="Hiperhivatkozs"/>
                <w:rFonts w:ascii="Georgia" w:hAnsi="Georgia"/>
                <w:noProof/>
                <w:sz w:val="20"/>
                <w:szCs w:val="20"/>
                <w:lang w:val="en-GB"/>
              </w:rPr>
              <w:t>Annex 3b) List of the analysed national MRE documents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_Toc225578891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192</w:t>
            </w:r>
            <w:r w:rsidRPr="002603F8">
              <w:rPr>
                <w:rFonts w:ascii="Georgia" w:hAnsi="Georgia"/>
                <w:noProof/>
                <w:webHidden/>
                <w:sz w:val="20"/>
                <w:szCs w:val="20"/>
              </w:rPr>
              <w:fldChar w:fldCharType="end"/>
            </w:r>
          </w:hyperlink>
        </w:p>
        <w:p w14:paraId="05E8B2D6" w14:textId="0D019F08"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92" w:history="1">
            <w:r w:rsidRPr="002603F8">
              <w:rPr>
                <w:rStyle w:val="Hiperhivatkozs"/>
                <w:rFonts w:ascii="Georgia" w:hAnsi="Georgia"/>
                <w:noProof/>
                <w:sz w:val="20"/>
                <w:szCs w:val="20"/>
                <w:lang w:val="en-GB"/>
              </w:rPr>
              <w:t>Annex 4 – Best practices of adaptation planning and MRE’s spatial performances by European macro regions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_Toc225578892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199</w:t>
            </w:r>
            <w:r w:rsidRPr="002603F8">
              <w:rPr>
                <w:rFonts w:ascii="Georgia" w:hAnsi="Georgia"/>
                <w:noProof/>
                <w:webHidden/>
                <w:sz w:val="20"/>
                <w:szCs w:val="20"/>
              </w:rPr>
              <w:fldChar w:fldCharType="end"/>
            </w:r>
          </w:hyperlink>
        </w:p>
        <w:p w14:paraId="4B216CD2" w14:textId="78705C27"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3" w:history="1">
            <w:r w:rsidRPr="002603F8">
              <w:rPr>
                <w:rStyle w:val="Hiperhivatkozs"/>
                <w:rFonts w:ascii="Georgia" w:hAnsi="Georgia"/>
                <w:noProof/>
                <w:sz w:val="20"/>
                <w:szCs w:val="20"/>
                <w:lang w:val="en-GB"/>
              </w:rPr>
              <w:t>Annex 4a) Western Europe – excellent results in MRE; spatial development objective-coherence and international spatial dimension</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_Toc225578893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199</w:t>
            </w:r>
            <w:r w:rsidRPr="002603F8">
              <w:rPr>
                <w:rFonts w:ascii="Georgia" w:hAnsi="Georgia"/>
                <w:noProof/>
                <w:webHidden/>
                <w:sz w:val="20"/>
                <w:szCs w:val="20"/>
              </w:rPr>
              <w:fldChar w:fldCharType="end"/>
            </w:r>
          </w:hyperlink>
        </w:p>
        <w:p w14:paraId="5C588D27" w14:textId="7139E889"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4" w:history="1">
            <w:r w:rsidRPr="002603F8">
              <w:rPr>
                <w:rStyle w:val="Hiperhivatkozs"/>
                <w:rFonts w:ascii="Georgia" w:hAnsi="Georgia"/>
                <w:noProof/>
                <w:sz w:val="20"/>
                <w:szCs w:val="20"/>
                <w:lang w:val="en-GB"/>
              </w:rPr>
              <w:t>Annex 4b) Northern Europe - special attention on international and geopolitical perspectives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_Toc225578894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213</w:t>
            </w:r>
            <w:r w:rsidRPr="002603F8">
              <w:rPr>
                <w:rFonts w:ascii="Georgia" w:hAnsi="Georgia"/>
                <w:noProof/>
                <w:webHidden/>
                <w:sz w:val="20"/>
                <w:szCs w:val="20"/>
              </w:rPr>
              <w:fldChar w:fldCharType="end"/>
            </w:r>
          </w:hyperlink>
        </w:p>
        <w:p w14:paraId="4C2BFB57" w14:textId="361F576D"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5" w:history="1">
            <w:r w:rsidRPr="002603F8">
              <w:rPr>
                <w:rStyle w:val="Hiperhivatkozs"/>
                <w:rFonts w:ascii="Georgia" w:hAnsi="Georgia"/>
                <w:noProof/>
                <w:sz w:val="20"/>
                <w:szCs w:val="20"/>
                <w:lang w:val="en-GB"/>
              </w:rPr>
              <w:t>Annex 4c) Southerners: strong spatial descriptive and objective system-related content</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_Toc225578895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220</w:t>
            </w:r>
            <w:r w:rsidRPr="002603F8">
              <w:rPr>
                <w:rFonts w:ascii="Georgia" w:hAnsi="Georgia"/>
                <w:noProof/>
                <w:webHidden/>
                <w:sz w:val="20"/>
                <w:szCs w:val="20"/>
              </w:rPr>
              <w:fldChar w:fldCharType="end"/>
            </w:r>
          </w:hyperlink>
        </w:p>
        <w:p w14:paraId="4E562134" w14:textId="0F5DA58B"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6" w:history="1">
            <w:r w:rsidRPr="002603F8">
              <w:rPr>
                <w:rStyle w:val="Hiperhivatkozs"/>
                <w:rFonts w:ascii="Georgia" w:hAnsi="Georgia"/>
                <w:noProof/>
                <w:sz w:val="20"/>
                <w:szCs w:val="20"/>
                <w:lang w:val="en-GB"/>
              </w:rPr>
              <w:t>Annex 4d) Eastern Europe – Space orientation remains within the situation analyses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_Toc225578896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225</w:t>
            </w:r>
            <w:r w:rsidRPr="002603F8">
              <w:rPr>
                <w:rFonts w:ascii="Georgia" w:hAnsi="Georgia"/>
                <w:noProof/>
                <w:webHidden/>
                <w:sz w:val="20"/>
                <w:szCs w:val="20"/>
              </w:rPr>
              <w:fldChar w:fldCharType="end"/>
            </w:r>
          </w:hyperlink>
        </w:p>
        <w:p w14:paraId="5944B79C" w14:textId="46DBD2AD" w:rsidR="002603F8" w:rsidRPr="002603F8" w:rsidRDefault="002603F8" w:rsidP="002603F8">
          <w:pPr>
            <w:pStyle w:val="TJ2"/>
            <w:spacing w:after="0" w:line="240" w:lineRule="auto"/>
            <w:rPr>
              <w:rFonts w:ascii="Georgia" w:eastAsiaTheme="minorEastAsia" w:hAnsi="Georgia"/>
              <w:noProof/>
              <w:kern w:val="2"/>
              <w:sz w:val="20"/>
              <w:szCs w:val="20"/>
              <w:lang w:eastAsia="hu-HU"/>
              <w14:ligatures w14:val="standardContextual"/>
            </w:rPr>
          </w:pPr>
          <w:hyperlink w:anchor="_Toc225578897" w:history="1">
            <w:r w:rsidRPr="002603F8">
              <w:rPr>
                <w:rStyle w:val="Hiperhivatkozs"/>
                <w:rFonts w:ascii="Georgia" w:hAnsi="Georgia"/>
                <w:noProof/>
                <w:sz w:val="20"/>
                <w:szCs w:val="20"/>
                <w:lang w:val="en-GB"/>
              </w:rPr>
              <w:t>Annex 5 – Country interviews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_Toc225578897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233</w:t>
            </w:r>
            <w:r w:rsidRPr="002603F8">
              <w:rPr>
                <w:rFonts w:ascii="Georgia" w:hAnsi="Georgia"/>
                <w:noProof/>
                <w:webHidden/>
                <w:sz w:val="20"/>
                <w:szCs w:val="20"/>
              </w:rPr>
              <w:fldChar w:fldCharType="end"/>
            </w:r>
          </w:hyperlink>
        </w:p>
        <w:p w14:paraId="3C44AED8" w14:textId="641EC1CD"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8" w:history="1">
            <w:r w:rsidRPr="002603F8">
              <w:rPr>
                <w:rStyle w:val="Hiperhivatkozs"/>
                <w:rFonts w:ascii="Georgia" w:hAnsi="Georgia"/>
                <w:noProof/>
                <w:sz w:val="20"/>
                <w:szCs w:val="20"/>
                <w:lang w:val="en-GB"/>
              </w:rPr>
              <w:t>Annex 5a) Interview/questionnaire transcripts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_Toc225578898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233</w:t>
            </w:r>
            <w:r w:rsidRPr="002603F8">
              <w:rPr>
                <w:rFonts w:ascii="Georgia" w:hAnsi="Georgia"/>
                <w:noProof/>
                <w:webHidden/>
                <w:sz w:val="20"/>
                <w:szCs w:val="20"/>
              </w:rPr>
              <w:fldChar w:fldCharType="end"/>
            </w:r>
          </w:hyperlink>
        </w:p>
        <w:p w14:paraId="31F45FC6" w14:textId="6BBF2693" w:rsidR="002603F8" w:rsidRPr="002603F8" w:rsidRDefault="002603F8" w:rsidP="002603F8">
          <w:pPr>
            <w:pStyle w:val="TJ3"/>
            <w:tabs>
              <w:tab w:val="right" w:leader="dot" w:pos="9062"/>
            </w:tabs>
            <w:spacing w:after="0" w:line="240" w:lineRule="auto"/>
            <w:rPr>
              <w:rFonts w:ascii="Georgia" w:eastAsiaTheme="minorEastAsia" w:hAnsi="Georgia"/>
              <w:noProof/>
              <w:kern w:val="2"/>
              <w:sz w:val="20"/>
              <w:szCs w:val="20"/>
              <w:lang w:eastAsia="hu-HU"/>
              <w14:ligatures w14:val="standardContextual"/>
            </w:rPr>
          </w:pPr>
          <w:hyperlink w:anchor="_Toc225578899" w:history="1">
            <w:r w:rsidRPr="002603F8">
              <w:rPr>
                <w:rStyle w:val="Hiperhivatkozs"/>
                <w:rFonts w:ascii="Georgia" w:hAnsi="Georgia"/>
                <w:noProof/>
                <w:sz w:val="20"/>
                <w:szCs w:val="20"/>
                <w:lang w:val="en-GB"/>
              </w:rPr>
              <w:t>Annex 5b) Former interviews from other research projects</w:t>
            </w:r>
            <w:r w:rsidRPr="002603F8">
              <w:rPr>
                <w:rFonts w:ascii="Georgia" w:hAnsi="Georgia"/>
                <w:noProof/>
                <w:webHidden/>
                <w:sz w:val="20"/>
                <w:szCs w:val="20"/>
              </w:rPr>
              <w:tab/>
            </w:r>
            <w:r w:rsidRPr="002603F8">
              <w:rPr>
                <w:rFonts w:ascii="Georgia" w:hAnsi="Georgia"/>
                <w:noProof/>
                <w:webHidden/>
                <w:sz w:val="20"/>
                <w:szCs w:val="20"/>
              </w:rPr>
              <w:fldChar w:fldCharType="begin"/>
            </w:r>
            <w:r w:rsidRPr="002603F8">
              <w:rPr>
                <w:rFonts w:ascii="Georgia" w:hAnsi="Georgia"/>
                <w:noProof/>
                <w:webHidden/>
                <w:sz w:val="20"/>
                <w:szCs w:val="20"/>
              </w:rPr>
              <w:instrText xml:space="preserve"> PAGEREF _Toc225578899 \h </w:instrText>
            </w:r>
            <w:r w:rsidRPr="002603F8">
              <w:rPr>
                <w:rFonts w:ascii="Georgia" w:hAnsi="Georgia"/>
                <w:noProof/>
                <w:webHidden/>
                <w:sz w:val="20"/>
                <w:szCs w:val="20"/>
              </w:rPr>
            </w:r>
            <w:r w:rsidRPr="002603F8">
              <w:rPr>
                <w:rFonts w:ascii="Georgia" w:hAnsi="Georgia"/>
                <w:noProof/>
                <w:webHidden/>
                <w:sz w:val="20"/>
                <w:szCs w:val="20"/>
              </w:rPr>
              <w:fldChar w:fldCharType="separate"/>
            </w:r>
            <w:r w:rsidR="00E24EFB">
              <w:rPr>
                <w:rFonts w:ascii="Georgia" w:hAnsi="Georgia"/>
                <w:noProof/>
                <w:webHidden/>
                <w:sz w:val="20"/>
                <w:szCs w:val="20"/>
              </w:rPr>
              <w:t>275</w:t>
            </w:r>
            <w:r w:rsidRPr="002603F8">
              <w:rPr>
                <w:rFonts w:ascii="Georgia" w:hAnsi="Georgia"/>
                <w:noProof/>
                <w:webHidden/>
                <w:sz w:val="20"/>
                <w:szCs w:val="20"/>
              </w:rPr>
              <w:fldChar w:fldCharType="end"/>
            </w:r>
          </w:hyperlink>
        </w:p>
        <w:p w14:paraId="3FA8A733" w14:textId="070AF777" w:rsidR="00540247" w:rsidRPr="00E13A87" w:rsidRDefault="00540247" w:rsidP="002603F8">
          <w:pPr>
            <w:spacing w:after="0" w:line="240" w:lineRule="auto"/>
            <w:rPr>
              <w:rFonts w:ascii="Georgia" w:hAnsi="Georgia"/>
              <w:sz w:val="20"/>
              <w:szCs w:val="20"/>
              <w:lang w:val="en-GB"/>
            </w:rPr>
          </w:pPr>
          <w:r w:rsidRPr="002603F8">
            <w:rPr>
              <w:rFonts w:ascii="Georgia" w:hAnsi="Georgia"/>
              <w:b/>
              <w:bCs/>
              <w:sz w:val="20"/>
              <w:szCs w:val="20"/>
              <w:lang w:val="en-GB"/>
            </w:rPr>
            <w:fldChar w:fldCharType="end"/>
          </w:r>
        </w:p>
      </w:sdtContent>
    </w:sdt>
    <w:p w14:paraId="6626F6C0" w14:textId="1EB1C6EA" w:rsidR="008730AD" w:rsidRPr="0002056A" w:rsidRDefault="008730AD">
      <w:pPr>
        <w:spacing w:after="160" w:line="259" w:lineRule="auto"/>
        <w:rPr>
          <w:lang w:val="en-GB"/>
        </w:rPr>
      </w:pPr>
      <w:r w:rsidRPr="0002056A">
        <w:rPr>
          <w:lang w:val="en-GB"/>
        </w:rPr>
        <w:br w:type="page"/>
      </w:r>
    </w:p>
    <w:p w14:paraId="35022B55" w14:textId="358D4D07" w:rsidR="004E4982" w:rsidRPr="0002056A" w:rsidRDefault="004E4982" w:rsidP="00214BD9">
      <w:pPr>
        <w:pStyle w:val="Cmsor1"/>
        <w:numPr>
          <w:ilvl w:val="0"/>
          <w:numId w:val="4"/>
        </w:numPr>
        <w:rPr>
          <w:rFonts w:asciiTheme="minorHAnsi" w:hAnsiTheme="minorHAnsi" w:cstheme="minorHAnsi"/>
          <w:lang w:val="en-GB"/>
        </w:rPr>
      </w:pPr>
      <w:bookmarkStart w:id="4" w:name="_Toc225578829"/>
      <w:r w:rsidRPr="0002056A">
        <w:rPr>
          <w:rFonts w:asciiTheme="minorHAnsi" w:hAnsiTheme="minorHAnsi" w:cstheme="minorHAnsi"/>
          <w:lang w:val="en-GB"/>
        </w:rPr>
        <w:lastRenderedPageBreak/>
        <w:t>Introduction</w:t>
      </w:r>
      <w:bookmarkEnd w:id="4"/>
    </w:p>
    <w:p w14:paraId="10EF2A05" w14:textId="51BC9AE1" w:rsidR="00E07D9A" w:rsidRPr="0002056A" w:rsidRDefault="002E2268" w:rsidP="008B33ED">
      <w:pPr>
        <w:spacing w:before="120" w:after="120"/>
        <w:jc w:val="both"/>
        <w:rPr>
          <w:rFonts w:ascii="Georgia" w:hAnsi="Georgia"/>
          <w:lang w:val="en-GB"/>
        </w:rPr>
      </w:pPr>
      <w:r w:rsidRPr="0002056A">
        <w:rPr>
          <w:rFonts w:ascii="Georgia" w:hAnsi="Georgia"/>
          <w:lang w:val="en-GB"/>
        </w:rPr>
        <w:t>Th</w:t>
      </w:r>
      <w:r w:rsidR="008E08A1" w:rsidRPr="0002056A">
        <w:rPr>
          <w:rFonts w:ascii="Georgia" w:hAnsi="Georgia"/>
          <w:lang w:val="en-GB"/>
        </w:rPr>
        <w:t>e</w:t>
      </w:r>
      <w:r w:rsidRPr="0002056A">
        <w:rPr>
          <w:rFonts w:ascii="Georgia" w:hAnsi="Georgia"/>
          <w:lang w:val="en-GB"/>
        </w:rPr>
        <w:t xml:space="preserve"> idea of </w:t>
      </w:r>
      <w:r w:rsidR="005225B6" w:rsidRPr="0002056A">
        <w:rPr>
          <w:rFonts w:ascii="Georgia" w:hAnsi="Georgia"/>
          <w:lang w:val="en-GB"/>
        </w:rPr>
        <w:t>my</w:t>
      </w:r>
      <w:r w:rsidRPr="0002056A">
        <w:rPr>
          <w:rFonts w:ascii="Georgia" w:hAnsi="Georgia"/>
          <w:lang w:val="en-GB"/>
        </w:rPr>
        <w:t xml:space="preserve"> </w:t>
      </w:r>
      <w:r w:rsidR="005225B6" w:rsidRPr="0002056A">
        <w:rPr>
          <w:rFonts w:ascii="Georgia" w:hAnsi="Georgia"/>
          <w:lang w:val="en-GB"/>
        </w:rPr>
        <w:t>PhD research</w:t>
      </w:r>
      <w:r w:rsidRPr="0002056A">
        <w:rPr>
          <w:rFonts w:ascii="Georgia" w:hAnsi="Georgia"/>
          <w:lang w:val="en-GB"/>
        </w:rPr>
        <w:t xml:space="preserve"> and the </w:t>
      </w:r>
      <w:r w:rsidR="00AC208B" w:rsidRPr="0002056A">
        <w:rPr>
          <w:rFonts w:ascii="Georgia" w:hAnsi="Georgia"/>
          <w:lang w:val="en-GB"/>
        </w:rPr>
        <w:t>topic</w:t>
      </w:r>
      <w:r w:rsidRPr="0002056A">
        <w:rPr>
          <w:rFonts w:ascii="Georgia" w:hAnsi="Georgia"/>
          <w:lang w:val="en-GB"/>
        </w:rPr>
        <w:t xml:space="preserve"> </w:t>
      </w:r>
      <w:r w:rsidR="005225B6" w:rsidRPr="0002056A">
        <w:rPr>
          <w:rFonts w:ascii="Georgia" w:hAnsi="Georgia"/>
          <w:lang w:val="en-GB"/>
        </w:rPr>
        <w:t xml:space="preserve">of the dissertation </w:t>
      </w:r>
      <w:r w:rsidRPr="0002056A">
        <w:rPr>
          <w:rFonts w:ascii="Georgia" w:hAnsi="Georgia"/>
          <w:lang w:val="en-GB"/>
        </w:rPr>
        <w:t xml:space="preserve">itself </w:t>
      </w:r>
      <w:r w:rsidR="00562C2B" w:rsidRPr="0002056A">
        <w:rPr>
          <w:rFonts w:ascii="Georgia" w:hAnsi="Georgia"/>
          <w:lang w:val="en-GB"/>
        </w:rPr>
        <w:t xml:space="preserve">came from two </w:t>
      </w:r>
      <w:r w:rsidR="0002056A" w:rsidRPr="0002056A">
        <w:rPr>
          <w:rFonts w:ascii="Georgia" w:hAnsi="Georgia"/>
          <w:lang w:val="en-GB"/>
        </w:rPr>
        <w:t>parallel</w:t>
      </w:r>
      <w:r w:rsidR="00562C2B" w:rsidRPr="0002056A">
        <w:rPr>
          <w:rFonts w:ascii="Georgia" w:hAnsi="Georgia"/>
          <w:lang w:val="en-GB"/>
        </w:rPr>
        <w:t xml:space="preserve"> </w:t>
      </w:r>
      <w:r w:rsidR="00DC4451" w:rsidRPr="0002056A">
        <w:rPr>
          <w:rFonts w:ascii="Georgia" w:hAnsi="Georgia"/>
          <w:lang w:val="en-GB"/>
        </w:rPr>
        <w:t>considerations</w:t>
      </w:r>
      <w:r w:rsidR="00562C2B" w:rsidRPr="0002056A">
        <w:rPr>
          <w:rFonts w:ascii="Georgia" w:hAnsi="Georgia"/>
          <w:lang w:val="en-GB"/>
        </w:rPr>
        <w:t>. On the one hand</w:t>
      </w:r>
      <w:r w:rsidR="00A524F7">
        <w:rPr>
          <w:rFonts w:ascii="Georgia" w:hAnsi="Georgia"/>
          <w:lang w:val="en-GB"/>
        </w:rPr>
        <w:t>,</w:t>
      </w:r>
      <w:r w:rsidR="00562C2B" w:rsidRPr="0002056A">
        <w:rPr>
          <w:rFonts w:ascii="Georgia" w:hAnsi="Georgia"/>
          <w:lang w:val="en-GB"/>
        </w:rPr>
        <w:t xml:space="preserve"> from an objective necessity</w:t>
      </w:r>
      <w:r w:rsidR="00311F3C" w:rsidRPr="0002056A">
        <w:rPr>
          <w:rFonts w:ascii="Georgia" w:hAnsi="Georgia"/>
          <w:lang w:val="en-GB"/>
        </w:rPr>
        <w:t xml:space="preserve">: its main </w:t>
      </w:r>
      <w:r w:rsidR="00AC208B" w:rsidRPr="0002056A">
        <w:rPr>
          <w:rFonts w:ascii="Georgia" w:hAnsi="Georgia"/>
          <w:lang w:val="en-GB"/>
        </w:rPr>
        <w:t>scope</w:t>
      </w:r>
      <w:r w:rsidR="00311F3C" w:rsidRPr="0002056A">
        <w:rPr>
          <w:rFonts w:ascii="Georgia" w:hAnsi="Georgia"/>
          <w:lang w:val="en-GB"/>
        </w:rPr>
        <w:t>, climate adaptation policy is dealing with th</w:t>
      </w:r>
      <w:r w:rsidR="00003DC0">
        <w:rPr>
          <w:rFonts w:ascii="Georgia" w:hAnsi="Georgia"/>
          <w:lang w:val="en-GB"/>
        </w:rPr>
        <w:t>e</w:t>
      </w:r>
      <w:r w:rsidR="00311F3C" w:rsidRPr="0002056A">
        <w:rPr>
          <w:rFonts w:ascii="Georgia" w:hAnsi="Georgia"/>
          <w:lang w:val="en-GB"/>
        </w:rPr>
        <w:t xml:space="preserve"> challenge framework that climate change presents to our world</w:t>
      </w:r>
      <w:r w:rsidR="00297A85" w:rsidRPr="0002056A">
        <w:rPr>
          <w:rFonts w:ascii="Georgia" w:hAnsi="Georgia"/>
          <w:lang w:val="en-GB"/>
        </w:rPr>
        <w:t xml:space="preserve">, and a research project that points </w:t>
      </w:r>
      <w:r w:rsidR="001B0E08" w:rsidRPr="0002056A">
        <w:rPr>
          <w:rFonts w:ascii="Georgia" w:hAnsi="Georgia"/>
          <w:lang w:val="en-GB"/>
        </w:rPr>
        <w:t>t</w:t>
      </w:r>
      <w:r w:rsidR="00297A85" w:rsidRPr="0002056A">
        <w:rPr>
          <w:rFonts w:ascii="Georgia" w:hAnsi="Georgia"/>
          <w:lang w:val="en-GB"/>
        </w:rPr>
        <w:t xml:space="preserve">o the direction of improving the effectiveness of these policy activities </w:t>
      </w:r>
      <w:r w:rsidR="00A427E4" w:rsidRPr="0002056A">
        <w:rPr>
          <w:rFonts w:ascii="Georgia" w:hAnsi="Georgia"/>
          <w:lang w:val="en-GB"/>
        </w:rPr>
        <w:t xml:space="preserve">can be a useful contribution to the necessary responses to this problem </w:t>
      </w:r>
      <w:r w:rsidR="001B0E08" w:rsidRPr="0002056A">
        <w:rPr>
          <w:rFonts w:ascii="Georgia" w:hAnsi="Georgia"/>
          <w:lang w:val="en-GB"/>
        </w:rPr>
        <w:t>package</w:t>
      </w:r>
      <w:r w:rsidR="00A427E4" w:rsidRPr="0002056A">
        <w:rPr>
          <w:rFonts w:ascii="Georgia" w:hAnsi="Georgia"/>
          <w:lang w:val="en-GB"/>
        </w:rPr>
        <w:t xml:space="preserve">. On the other hand, </w:t>
      </w:r>
      <w:r w:rsidR="009D509A" w:rsidRPr="0002056A">
        <w:rPr>
          <w:rFonts w:ascii="Georgia" w:hAnsi="Georgia"/>
          <w:lang w:val="en-GB"/>
        </w:rPr>
        <w:t>my professional intere</w:t>
      </w:r>
      <w:r w:rsidR="00AC208B" w:rsidRPr="0002056A">
        <w:rPr>
          <w:rFonts w:ascii="Georgia" w:hAnsi="Georgia"/>
          <w:lang w:val="en-GB"/>
        </w:rPr>
        <w:t>s</w:t>
      </w:r>
      <w:r w:rsidR="009D509A" w:rsidRPr="0002056A">
        <w:rPr>
          <w:rFonts w:ascii="Georgia" w:hAnsi="Georgia"/>
          <w:lang w:val="en-GB"/>
        </w:rPr>
        <w:t xml:space="preserve">t and </w:t>
      </w:r>
      <w:r w:rsidR="000E380E">
        <w:rPr>
          <w:rFonts w:ascii="Georgia" w:hAnsi="Georgia"/>
          <w:lang w:val="en-GB"/>
        </w:rPr>
        <w:t xml:space="preserve">20 years of experience in strategic policy planning </w:t>
      </w:r>
      <w:r w:rsidR="00A524F7">
        <w:rPr>
          <w:rFonts w:ascii="Georgia" w:hAnsi="Georgia"/>
          <w:lang w:val="en-GB"/>
        </w:rPr>
        <w:t>provide a good starting point for examining the features of climate adaptation policy instruments from a specific perspective</w:t>
      </w:r>
      <w:r w:rsidR="00E07D9A" w:rsidRPr="0002056A">
        <w:rPr>
          <w:rFonts w:ascii="Georgia" w:hAnsi="Georgia"/>
          <w:lang w:val="en-GB"/>
        </w:rPr>
        <w:t xml:space="preserve">. </w:t>
      </w:r>
    </w:p>
    <w:p w14:paraId="3A2B772F" w14:textId="4B8E9BDB" w:rsidR="004F026A" w:rsidRPr="0002056A" w:rsidRDefault="00E22766" w:rsidP="008B33ED">
      <w:pPr>
        <w:spacing w:before="120" w:after="120"/>
        <w:jc w:val="both"/>
        <w:rPr>
          <w:rFonts w:ascii="Georgia" w:hAnsi="Georgia"/>
          <w:lang w:val="en-GB"/>
        </w:rPr>
      </w:pPr>
      <w:r w:rsidRPr="0002056A">
        <w:rPr>
          <w:rFonts w:ascii="Georgia" w:hAnsi="Georgia"/>
          <w:lang w:val="en-GB"/>
        </w:rPr>
        <w:t>Th</w:t>
      </w:r>
      <w:r w:rsidR="0081354E" w:rsidRPr="0002056A">
        <w:rPr>
          <w:rFonts w:ascii="Georgia" w:hAnsi="Georgia"/>
          <w:lang w:val="en-GB"/>
        </w:rPr>
        <w:t>e</w:t>
      </w:r>
      <w:r w:rsidRPr="0002056A">
        <w:rPr>
          <w:rFonts w:ascii="Georgia" w:hAnsi="Georgia"/>
          <w:lang w:val="en-GB"/>
        </w:rPr>
        <w:t>re is no question that the complex process called summar</w:t>
      </w:r>
      <w:r w:rsidR="001E220D" w:rsidRPr="0002056A">
        <w:rPr>
          <w:rFonts w:ascii="Georgia" w:hAnsi="Georgia"/>
          <w:lang w:val="en-GB"/>
        </w:rPr>
        <w:t>ily</w:t>
      </w:r>
      <w:r w:rsidRPr="0002056A">
        <w:rPr>
          <w:rFonts w:ascii="Georgia" w:hAnsi="Georgia"/>
          <w:lang w:val="en-GB"/>
        </w:rPr>
        <w:t xml:space="preserve"> c</w:t>
      </w:r>
      <w:r w:rsidR="004F026A" w:rsidRPr="0002056A">
        <w:rPr>
          <w:rFonts w:ascii="Georgia" w:hAnsi="Georgia"/>
          <w:lang w:val="en-GB"/>
        </w:rPr>
        <w:t xml:space="preserve">limate change is one </w:t>
      </w:r>
      <w:r w:rsidR="00003DC0">
        <w:rPr>
          <w:rFonts w:ascii="Georgia" w:hAnsi="Georgia"/>
          <w:lang w:val="en-GB"/>
        </w:rPr>
        <w:t xml:space="preserve">of </w:t>
      </w:r>
      <w:r w:rsidR="004F026A" w:rsidRPr="0002056A">
        <w:rPr>
          <w:rFonts w:ascii="Georgia" w:hAnsi="Georgia"/>
          <w:lang w:val="en-GB"/>
        </w:rPr>
        <w:t xml:space="preserve">the most crucial global challenges of our time. Several sectors of the economy, </w:t>
      </w:r>
      <w:r w:rsidR="001E220D" w:rsidRPr="0002056A">
        <w:rPr>
          <w:rFonts w:ascii="Georgia" w:hAnsi="Georgia"/>
          <w:lang w:val="en-GB"/>
        </w:rPr>
        <w:t>numerous</w:t>
      </w:r>
      <w:r w:rsidRPr="0002056A">
        <w:rPr>
          <w:rFonts w:ascii="Georgia" w:hAnsi="Georgia"/>
          <w:lang w:val="en-GB"/>
        </w:rPr>
        <w:t xml:space="preserve"> </w:t>
      </w:r>
      <w:r w:rsidR="004F026A" w:rsidRPr="0002056A">
        <w:rPr>
          <w:rFonts w:ascii="Georgia" w:hAnsi="Georgia"/>
          <w:lang w:val="en-GB"/>
        </w:rPr>
        <w:t xml:space="preserve">groups of society, </w:t>
      </w:r>
      <w:r w:rsidRPr="0002056A">
        <w:rPr>
          <w:rFonts w:ascii="Georgia" w:hAnsi="Georgia"/>
          <w:lang w:val="en-GB"/>
        </w:rPr>
        <w:t xml:space="preserve">different </w:t>
      </w:r>
      <w:r w:rsidR="004F026A" w:rsidRPr="0002056A">
        <w:rPr>
          <w:rFonts w:ascii="Georgia" w:hAnsi="Georgia"/>
          <w:lang w:val="en-GB"/>
        </w:rPr>
        <w:t>regions and municipalities</w:t>
      </w:r>
      <w:r w:rsidRPr="0002056A">
        <w:rPr>
          <w:rFonts w:ascii="Georgia" w:hAnsi="Georgia"/>
          <w:lang w:val="en-GB"/>
        </w:rPr>
        <w:t xml:space="preserve"> (</w:t>
      </w:r>
      <w:r w:rsidR="002456F8" w:rsidRPr="0002056A">
        <w:rPr>
          <w:rFonts w:ascii="Georgia" w:hAnsi="Georgia"/>
          <w:lang w:val="en-GB"/>
        </w:rPr>
        <w:t>let’s say it</w:t>
      </w:r>
      <w:r w:rsidR="001E220D" w:rsidRPr="0002056A">
        <w:rPr>
          <w:rFonts w:ascii="Georgia" w:hAnsi="Georgia"/>
          <w:lang w:val="en-GB"/>
        </w:rPr>
        <w:t>:</w:t>
      </w:r>
      <w:r w:rsidR="002456F8" w:rsidRPr="0002056A">
        <w:rPr>
          <w:rFonts w:ascii="Georgia" w:hAnsi="Georgia"/>
          <w:lang w:val="en-GB"/>
        </w:rPr>
        <w:t xml:space="preserve"> all kind</w:t>
      </w:r>
      <w:r w:rsidR="00003DC0">
        <w:rPr>
          <w:rFonts w:ascii="Georgia" w:hAnsi="Georgia"/>
          <w:lang w:val="en-GB"/>
        </w:rPr>
        <w:t>s</w:t>
      </w:r>
      <w:r w:rsidR="002456F8" w:rsidRPr="0002056A">
        <w:rPr>
          <w:rFonts w:ascii="Georgia" w:hAnsi="Georgia"/>
          <w:lang w:val="en-GB"/>
        </w:rPr>
        <w:t xml:space="preserve"> of regions and settlements</w:t>
      </w:r>
      <w:r w:rsidR="001E220D" w:rsidRPr="0002056A">
        <w:rPr>
          <w:rFonts w:ascii="Georgia" w:hAnsi="Georgia"/>
          <w:lang w:val="en-GB"/>
        </w:rPr>
        <w:t>)</w:t>
      </w:r>
      <w:r w:rsidR="004F026A" w:rsidRPr="0002056A">
        <w:rPr>
          <w:rFonts w:ascii="Georgia" w:hAnsi="Georgia"/>
          <w:lang w:val="en-GB"/>
        </w:rPr>
        <w:t xml:space="preserve"> are </w:t>
      </w:r>
      <w:r w:rsidR="002456F8" w:rsidRPr="0002056A">
        <w:rPr>
          <w:rFonts w:ascii="Georgia" w:hAnsi="Georgia"/>
          <w:lang w:val="en-GB"/>
        </w:rPr>
        <w:t>exposed</w:t>
      </w:r>
      <w:r w:rsidR="004F026A" w:rsidRPr="0002056A">
        <w:rPr>
          <w:rFonts w:ascii="Georgia" w:hAnsi="Georgia"/>
          <w:lang w:val="en-GB"/>
        </w:rPr>
        <w:t xml:space="preserve"> to </w:t>
      </w:r>
      <w:r w:rsidR="0089171C" w:rsidRPr="0002056A">
        <w:rPr>
          <w:rFonts w:ascii="Georgia" w:hAnsi="Georgia"/>
          <w:lang w:val="en-GB"/>
        </w:rPr>
        <w:t xml:space="preserve">global warming, the growing extremity and intensity of weather events, their secondary </w:t>
      </w:r>
      <w:r w:rsidR="004F026A" w:rsidRPr="0002056A">
        <w:rPr>
          <w:rFonts w:ascii="Georgia" w:hAnsi="Georgia"/>
          <w:lang w:val="en-GB"/>
        </w:rPr>
        <w:t xml:space="preserve">impacts and </w:t>
      </w:r>
      <w:r w:rsidR="00A524F7">
        <w:rPr>
          <w:rFonts w:ascii="Georgia" w:hAnsi="Georgia"/>
          <w:lang w:val="en-GB"/>
        </w:rPr>
        <w:t>socio-economic</w:t>
      </w:r>
      <w:r w:rsidR="0089171C" w:rsidRPr="0002056A">
        <w:rPr>
          <w:rFonts w:ascii="Georgia" w:hAnsi="Georgia"/>
          <w:lang w:val="en-GB"/>
        </w:rPr>
        <w:t xml:space="preserve"> </w:t>
      </w:r>
      <w:r w:rsidR="004F026A" w:rsidRPr="0002056A">
        <w:rPr>
          <w:rFonts w:ascii="Georgia" w:hAnsi="Georgia"/>
          <w:lang w:val="en-GB"/>
        </w:rPr>
        <w:t xml:space="preserve">consequences. </w:t>
      </w:r>
      <w:r w:rsidR="00693955" w:rsidRPr="0002056A">
        <w:rPr>
          <w:rFonts w:ascii="Georgia" w:hAnsi="Georgia"/>
          <w:lang w:val="en-GB"/>
        </w:rPr>
        <w:t>It is no</w:t>
      </w:r>
      <w:r w:rsidR="006C2AEC">
        <w:rPr>
          <w:rFonts w:ascii="Georgia" w:hAnsi="Georgia"/>
          <w:lang w:val="en-GB"/>
        </w:rPr>
        <w:t xml:space="preserve"> longer </w:t>
      </w:r>
      <w:r w:rsidR="00693955" w:rsidRPr="0002056A">
        <w:rPr>
          <w:rFonts w:ascii="Georgia" w:hAnsi="Georgia"/>
          <w:lang w:val="en-GB"/>
        </w:rPr>
        <w:t xml:space="preserve">enough to strive </w:t>
      </w:r>
      <w:r w:rsidR="006C2AEC">
        <w:rPr>
          <w:rFonts w:ascii="Georgia" w:hAnsi="Georgia"/>
          <w:lang w:val="en-GB"/>
        </w:rPr>
        <w:t>to</w:t>
      </w:r>
      <w:r w:rsidR="00693955" w:rsidRPr="0002056A">
        <w:rPr>
          <w:rFonts w:ascii="Georgia" w:hAnsi="Georgia"/>
          <w:lang w:val="en-GB"/>
        </w:rPr>
        <w:t xml:space="preserve"> mitigat</w:t>
      </w:r>
      <w:r w:rsidR="006C2AEC">
        <w:rPr>
          <w:rFonts w:ascii="Georgia" w:hAnsi="Georgia"/>
          <w:lang w:val="en-GB"/>
        </w:rPr>
        <w:t>e</w:t>
      </w:r>
      <w:r w:rsidR="00693955" w:rsidRPr="0002056A">
        <w:rPr>
          <w:rFonts w:ascii="Georgia" w:hAnsi="Georgia"/>
          <w:lang w:val="en-GB"/>
        </w:rPr>
        <w:t xml:space="preserve"> the drivers (namely GHG emissions)</w:t>
      </w:r>
      <w:r w:rsidR="002B5D0C" w:rsidRPr="0002056A">
        <w:rPr>
          <w:rFonts w:ascii="Georgia" w:hAnsi="Georgia"/>
          <w:lang w:val="en-GB"/>
        </w:rPr>
        <w:t>;</w:t>
      </w:r>
      <w:r w:rsidR="00693955" w:rsidRPr="0002056A">
        <w:rPr>
          <w:rFonts w:ascii="Georgia" w:hAnsi="Georgia"/>
          <w:lang w:val="en-GB"/>
        </w:rPr>
        <w:t xml:space="preserve"> humanity must adapt to and prepare for the impacts and consequences of </w:t>
      </w:r>
      <w:r w:rsidR="002B5D0C" w:rsidRPr="0002056A">
        <w:rPr>
          <w:rFonts w:ascii="Georgia" w:hAnsi="Georgia"/>
          <w:lang w:val="en-GB"/>
        </w:rPr>
        <w:t>climate change</w:t>
      </w:r>
      <w:r w:rsidR="0081354E" w:rsidRPr="0002056A">
        <w:rPr>
          <w:rFonts w:ascii="Georgia" w:hAnsi="Georgia"/>
          <w:lang w:val="en-GB"/>
        </w:rPr>
        <w:t xml:space="preserve"> </w:t>
      </w:r>
      <w:r w:rsidR="002B5D0C" w:rsidRPr="0002056A">
        <w:rPr>
          <w:rFonts w:ascii="Georgia" w:hAnsi="Georgia"/>
          <w:lang w:val="en-GB"/>
        </w:rPr>
        <w:t>with</w:t>
      </w:r>
      <w:r w:rsidR="0081354E" w:rsidRPr="0002056A">
        <w:rPr>
          <w:rFonts w:ascii="Georgia" w:hAnsi="Georgia"/>
          <w:lang w:val="en-GB"/>
        </w:rPr>
        <w:t xml:space="preserve"> a</w:t>
      </w:r>
      <w:r w:rsidR="004F026A" w:rsidRPr="0002056A">
        <w:rPr>
          <w:rFonts w:ascii="Georgia" w:hAnsi="Georgia"/>
          <w:lang w:val="en-GB"/>
        </w:rPr>
        <w:t>dequate</w:t>
      </w:r>
      <w:r w:rsidR="001E011C" w:rsidRPr="0002056A">
        <w:rPr>
          <w:rFonts w:ascii="Georgia" w:hAnsi="Georgia"/>
          <w:lang w:val="en-GB"/>
        </w:rPr>
        <w:t>,</w:t>
      </w:r>
      <w:r w:rsidR="0081354E" w:rsidRPr="0002056A">
        <w:rPr>
          <w:rFonts w:ascii="Georgia" w:hAnsi="Georgia"/>
          <w:lang w:val="en-GB"/>
        </w:rPr>
        <w:t xml:space="preserve"> </w:t>
      </w:r>
      <w:r w:rsidR="004F026A" w:rsidRPr="0002056A">
        <w:rPr>
          <w:rFonts w:ascii="Georgia" w:hAnsi="Georgia"/>
          <w:lang w:val="en-GB"/>
        </w:rPr>
        <w:t xml:space="preserve">well-planned </w:t>
      </w:r>
      <w:r w:rsidR="001E011C" w:rsidRPr="0002056A">
        <w:rPr>
          <w:rFonts w:ascii="Georgia" w:hAnsi="Georgia"/>
          <w:lang w:val="en-GB"/>
        </w:rPr>
        <w:t xml:space="preserve">and well-placed </w:t>
      </w:r>
      <w:r w:rsidR="004F026A" w:rsidRPr="0002056A">
        <w:rPr>
          <w:rFonts w:ascii="Georgia" w:hAnsi="Georgia"/>
          <w:lang w:val="en-GB"/>
        </w:rPr>
        <w:t>responses.</w:t>
      </w:r>
    </w:p>
    <w:p w14:paraId="744E8D69" w14:textId="5600C4D2" w:rsidR="006C1538" w:rsidRPr="0002056A" w:rsidRDefault="00CC140C" w:rsidP="00CD5BF3">
      <w:pPr>
        <w:spacing w:before="120" w:after="120"/>
        <w:jc w:val="both"/>
        <w:rPr>
          <w:rFonts w:ascii="Georgia" w:hAnsi="Georgia"/>
          <w:lang w:val="en-GB"/>
        </w:rPr>
      </w:pPr>
      <w:r w:rsidRPr="0002056A">
        <w:rPr>
          <w:rFonts w:ascii="Georgia" w:hAnsi="Georgia"/>
          <w:lang w:val="en-GB"/>
        </w:rPr>
        <w:t xml:space="preserve">During my professional career so far, I have </w:t>
      </w:r>
      <w:r w:rsidR="002B5D0C" w:rsidRPr="0002056A">
        <w:rPr>
          <w:rFonts w:ascii="Georgia" w:hAnsi="Georgia"/>
          <w:lang w:val="en-GB"/>
        </w:rPr>
        <w:t xml:space="preserve">mostly </w:t>
      </w:r>
      <w:r w:rsidRPr="0002056A">
        <w:rPr>
          <w:rFonts w:ascii="Georgia" w:hAnsi="Georgia"/>
          <w:lang w:val="en-GB"/>
        </w:rPr>
        <w:t xml:space="preserve">dealt with strategic planning, evaluation and monitoring </w:t>
      </w:r>
      <w:r w:rsidR="00FB4A4C" w:rsidRPr="0002056A">
        <w:rPr>
          <w:rFonts w:ascii="Georgia" w:hAnsi="Georgia"/>
          <w:lang w:val="en-GB"/>
        </w:rPr>
        <w:t>tasks</w:t>
      </w:r>
      <w:r w:rsidRPr="0002056A">
        <w:rPr>
          <w:rFonts w:ascii="Georgia" w:hAnsi="Georgia"/>
          <w:lang w:val="en-GB"/>
        </w:rPr>
        <w:t xml:space="preserve">, in connection with various </w:t>
      </w:r>
      <w:r w:rsidR="00FB4A4C" w:rsidRPr="0002056A">
        <w:rPr>
          <w:rFonts w:ascii="Georgia" w:hAnsi="Georgia"/>
          <w:lang w:val="en-GB"/>
        </w:rPr>
        <w:t>fields of profession</w:t>
      </w:r>
      <w:r w:rsidR="00F66DAD">
        <w:rPr>
          <w:rFonts w:ascii="Georgia" w:hAnsi="Georgia"/>
          <w:lang w:val="en-GB"/>
        </w:rPr>
        <w:t>al practice</w:t>
      </w:r>
      <w:r w:rsidRPr="0002056A">
        <w:rPr>
          <w:rFonts w:ascii="Georgia" w:hAnsi="Georgia"/>
          <w:lang w:val="en-GB"/>
        </w:rPr>
        <w:t xml:space="preserve"> (</w:t>
      </w:r>
      <w:r w:rsidR="00ED3D63">
        <w:rPr>
          <w:rFonts w:ascii="Georgia" w:hAnsi="Georgia"/>
          <w:lang w:val="en-GB"/>
        </w:rPr>
        <w:t>urban</w:t>
      </w:r>
      <w:r w:rsidR="00F66DAD">
        <w:rPr>
          <w:rFonts w:ascii="Georgia" w:hAnsi="Georgia"/>
          <w:lang w:val="en-GB"/>
        </w:rPr>
        <w:t xml:space="preserve"> and </w:t>
      </w:r>
      <w:r w:rsidRPr="0002056A">
        <w:rPr>
          <w:rFonts w:ascii="Georgia" w:hAnsi="Georgia"/>
          <w:lang w:val="en-GB"/>
        </w:rPr>
        <w:t xml:space="preserve">settlement network development, regional development, tourism policy, national strategy building, EU support-related development policies, climate policy, etc.). Within my interest, consequently, planning, monitoring and evaluation of </w:t>
      </w:r>
      <w:r w:rsidR="00804E43" w:rsidRPr="0002056A">
        <w:rPr>
          <w:rFonts w:ascii="Georgia" w:hAnsi="Georgia"/>
          <w:lang w:val="en-GB"/>
        </w:rPr>
        <w:t xml:space="preserve">strategic </w:t>
      </w:r>
      <w:r w:rsidRPr="0002056A">
        <w:rPr>
          <w:rFonts w:ascii="Georgia" w:hAnsi="Georgia"/>
          <w:lang w:val="en-GB"/>
        </w:rPr>
        <w:t xml:space="preserve">development processes have always </w:t>
      </w:r>
      <w:r w:rsidR="00ED3D63">
        <w:rPr>
          <w:rFonts w:ascii="Georgia" w:hAnsi="Georgia"/>
          <w:lang w:val="en-GB"/>
        </w:rPr>
        <w:t>played</w:t>
      </w:r>
      <w:r w:rsidRPr="0002056A">
        <w:rPr>
          <w:rFonts w:ascii="Georgia" w:hAnsi="Georgia"/>
          <w:lang w:val="en-GB"/>
        </w:rPr>
        <w:t xml:space="preserve"> a prominent role</w:t>
      </w:r>
      <w:r w:rsidR="00CA3051" w:rsidRPr="0002056A">
        <w:rPr>
          <w:rFonts w:ascii="Georgia" w:hAnsi="Georgia"/>
          <w:lang w:val="en-GB"/>
        </w:rPr>
        <w:t xml:space="preserve"> – it </w:t>
      </w:r>
      <w:r w:rsidR="000A3BDD" w:rsidRPr="0002056A">
        <w:rPr>
          <w:rFonts w:ascii="Georgia" w:hAnsi="Georgia"/>
          <w:lang w:val="en-GB"/>
        </w:rPr>
        <w:t>is a self-evident</w:t>
      </w:r>
      <w:r w:rsidR="009E6499" w:rsidRPr="0002056A">
        <w:rPr>
          <w:rFonts w:ascii="Georgia" w:hAnsi="Georgia"/>
          <w:lang w:val="en-GB"/>
        </w:rPr>
        <w:t xml:space="preserve"> choice </w:t>
      </w:r>
      <w:r w:rsidR="00CA3051" w:rsidRPr="0002056A">
        <w:rPr>
          <w:rFonts w:ascii="Georgia" w:hAnsi="Georgia"/>
          <w:lang w:val="en-GB"/>
        </w:rPr>
        <w:t>that my dissertation also focuses on these topics</w:t>
      </w:r>
      <w:r w:rsidRPr="0002056A">
        <w:rPr>
          <w:rFonts w:ascii="Georgia" w:hAnsi="Georgia"/>
          <w:lang w:val="en-GB"/>
        </w:rPr>
        <w:t xml:space="preserve">. </w:t>
      </w:r>
      <w:r w:rsidR="00804E43" w:rsidRPr="0002056A">
        <w:rPr>
          <w:rFonts w:ascii="Georgia" w:hAnsi="Georgia"/>
          <w:lang w:val="en-GB"/>
        </w:rPr>
        <w:t>The</w:t>
      </w:r>
      <w:r w:rsidR="00BF1616" w:rsidRPr="0002056A">
        <w:rPr>
          <w:rFonts w:ascii="Georgia" w:hAnsi="Georgia"/>
          <w:lang w:val="en-GB"/>
        </w:rPr>
        <w:t xml:space="preserve"> </w:t>
      </w:r>
      <w:r w:rsidRPr="0002056A">
        <w:rPr>
          <w:rFonts w:ascii="Georgia" w:hAnsi="Georgia"/>
          <w:lang w:val="en-GB"/>
        </w:rPr>
        <w:t>enlisted activities are equally important in climate policy and within it, climate adaptation</w:t>
      </w:r>
      <w:r w:rsidR="00B03651" w:rsidRPr="0002056A">
        <w:rPr>
          <w:rFonts w:ascii="Georgia" w:hAnsi="Georgia"/>
          <w:lang w:val="en-GB"/>
        </w:rPr>
        <w:t xml:space="preserve"> policy</w:t>
      </w:r>
      <w:r w:rsidRPr="0002056A">
        <w:rPr>
          <w:rFonts w:ascii="Georgia" w:hAnsi="Georgia"/>
          <w:lang w:val="en-GB"/>
        </w:rPr>
        <w:t xml:space="preserve">: </w:t>
      </w:r>
      <w:r w:rsidR="000A3BDD" w:rsidRPr="0002056A">
        <w:rPr>
          <w:rFonts w:ascii="Georgia" w:hAnsi="Georgia"/>
          <w:lang w:val="en-GB"/>
        </w:rPr>
        <w:t>based on</w:t>
      </w:r>
      <w:r w:rsidRPr="0002056A">
        <w:rPr>
          <w:rFonts w:ascii="Georgia" w:hAnsi="Georgia"/>
          <w:lang w:val="en-GB"/>
        </w:rPr>
        <w:t xml:space="preserve"> the measured/experienced climatic and societal/economic evidence and analysed exposure / sensitivity / adaptive capacity conditions</w:t>
      </w:r>
      <w:r w:rsidR="000E380E">
        <w:rPr>
          <w:rFonts w:ascii="Georgia" w:hAnsi="Georgia"/>
          <w:lang w:val="en-GB"/>
        </w:rPr>
        <w:t>,</w:t>
      </w:r>
      <w:r w:rsidRPr="0002056A">
        <w:rPr>
          <w:rFonts w:ascii="Georgia" w:hAnsi="Georgia"/>
          <w:lang w:val="en-GB"/>
        </w:rPr>
        <w:t xml:space="preserve"> proper climate adaptation interventions can be </w:t>
      </w:r>
      <w:r w:rsidR="00E103EB" w:rsidRPr="0002056A">
        <w:rPr>
          <w:rFonts w:ascii="Georgia" w:hAnsi="Georgia"/>
          <w:lang w:val="en-GB"/>
        </w:rPr>
        <w:t xml:space="preserve">planned and </w:t>
      </w:r>
      <w:r w:rsidRPr="0002056A">
        <w:rPr>
          <w:rFonts w:ascii="Georgia" w:hAnsi="Georgia"/>
          <w:lang w:val="en-GB"/>
        </w:rPr>
        <w:t>implemented</w:t>
      </w:r>
      <w:r w:rsidR="00E103EB" w:rsidRPr="0002056A">
        <w:rPr>
          <w:rFonts w:ascii="Georgia" w:hAnsi="Georgia"/>
          <w:lang w:val="en-GB"/>
        </w:rPr>
        <w:t xml:space="preserve">, in coherence with </w:t>
      </w:r>
      <w:r w:rsidRPr="0002056A">
        <w:rPr>
          <w:rFonts w:ascii="Georgia" w:hAnsi="Georgia"/>
          <w:lang w:val="en-GB"/>
        </w:rPr>
        <w:t>the desired state and those long</w:t>
      </w:r>
      <w:r w:rsidR="009D4DAF" w:rsidRPr="0002056A">
        <w:rPr>
          <w:rFonts w:ascii="Georgia" w:hAnsi="Georgia"/>
          <w:lang w:val="en-GB"/>
        </w:rPr>
        <w:t>-</w:t>
      </w:r>
      <w:r w:rsidRPr="0002056A">
        <w:rPr>
          <w:rFonts w:ascii="Georgia" w:hAnsi="Georgia"/>
          <w:lang w:val="en-GB"/>
        </w:rPr>
        <w:t xml:space="preserve"> and medium</w:t>
      </w:r>
      <w:r w:rsidR="009D4DAF" w:rsidRPr="0002056A">
        <w:rPr>
          <w:rFonts w:ascii="Georgia" w:hAnsi="Georgia"/>
          <w:lang w:val="en-GB"/>
        </w:rPr>
        <w:t>-</w:t>
      </w:r>
      <w:r w:rsidRPr="0002056A">
        <w:rPr>
          <w:rFonts w:ascii="Georgia" w:hAnsi="Georgia"/>
          <w:lang w:val="en-GB"/>
        </w:rPr>
        <w:t xml:space="preserve">term objectives </w:t>
      </w:r>
      <w:r w:rsidR="004D3798" w:rsidRPr="0002056A">
        <w:rPr>
          <w:rFonts w:ascii="Georgia" w:hAnsi="Georgia"/>
          <w:lang w:val="en-GB"/>
        </w:rPr>
        <w:t>of the related strategic planning activities</w:t>
      </w:r>
      <w:r w:rsidRPr="0002056A">
        <w:rPr>
          <w:rFonts w:ascii="Georgia" w:hAnsi="Georgia"/>
          <w:lang w:val="en-GB"/>
        </w:rPr>
        <w:t xml:space="preserve">. To refine </w:t>
      </w:r>
      <w:r w:rsidR="000E380E">
        <w:rPr>
          <w:rFonts w:ascii="Georgia" w:hAnsi="Georgia"/>
          <w:lang w:val="en-GB"/>
        </w:rPr>
        <w:t>these adaptation strategies further and to determine whether the planned objectives have been achieved, we also need to track changes, evaluate implementation, and ensure feedback is channelled</w:t>
      </w:r>
      <w:r w:rsidR="00AA36E7" w:rsidRPr="0002056A">
        <w:rPr>
          <w:rFonts w:ascii="Georgia" w:hAnsi="Georgia"/>
          <w:lang w:val="en-GB"/>
        </w:rPr>
        <w:t xml:space="preserve"> into the next planning cycle</w:t>
      </w:r>
      <w:r w:rsidRPr="0002056A">
        <w:rPr>
          <w:rFonts w:ascii="Georgia" w:hAnsi="Georgia"/>
          <w:lang w:val="en-GB"/>
        </w:rPr>
        <w:t xml:space="preserve">. </w:t>
      </w:r>
    </w:p>
    <w:p w14:paraId="5812E4E0" w14:textId="63829C31" w:rsidR="00773F32" w:rsidRPr="0002056A" w:rsidRDefault="00773F32" w:rsidP="00CD5BF3">
      <w:pPr>
        <w:spacing w:before="120" w:after="120"/>
        <w:jc w:val="both"/>
        <w:rPr>
          <w:rFonts w:ascii="Georgia" w:hAnsi="Georgia"/>
          <w:lang w:val="en-GB"/>
        </w:rPr>
      </w:pPr>
      <w:r w:rsidRPr="0002056A">
        <w:rPr>
          <w:rFonts w:ascii="Georgia" w:hAnsi="Georgia"/>
          <w:lang w:val="en-GB"/>
        </w:rPr>
        <w:t xml:space="preserve">These two </w:t>
      </w:r>
      <w:r w:rsidR="005F1480" w:rsidRPr="0002056A">
        <w:rPr>
          <w:rFonts w:ascii="Georgia" w:hAnsi="Georgia"/>
          <w:lang w:val="en-GB"/>
        </w:rPr>
        <w:t>starting points</w:t>
      </w:r>
      <w:r w:rsidRPr="0002056A">
        <w:rPr>
          <w:rFonts w:ascii="Georgia" w:hAnsi="Georgia"/>
          <w:lang w:val="en-GB"/>
        </w:rPr>
        <w:t xml:space="preserve">, namely the crucial </w:t>
      </w:r>
      <w:r w:rsidR="005F1480" w:rsidRPr="0002056A">
        <w:rPr>
          <w:rFonts w:ascii="Georgia" w:hAnsi="Georgia"/>
          <w:lang w:val="en-GB"/>
        </w:rPr>
        <w:t xml:space="preserve">global </w:t>
      </w:r>
      <w:r w:rsidRPr="0002056A">
        <w:rPr>
          <w:rFonts w:ascii="Georgia" w:hAnsi="Georgia"/>
          <w:lang w:val="en-GB"/>
        </w:rPr>
        <w:t xml:space="preserve">challenge </w:t>
      </w:r>
      <w:r w:rsidR="005F1480" w:rsidRPr="0002056A">
        <w:rPr>
          <w:rFonts w:ascii="Georgia" w:hAnsi="Georgia"/>
          <w:lang w:val="en-GB"/>
        </w:rPr>
        <w:t>and its spatially tailored perspectives</w:t>
      </w:r>
      <w:r w:rsidR="000E380E">
        <w:rPr>
          <w:rFonts w:ascii="Georgia" w:hAnsi="Georgia"/>
          <w:lang w:val="en-GB"/>
        </w:rPr>
        <w:t>,</w:t>
      </w:r>
      <w:r w:rsidR="000E380E" w:rsidRPr="0002056A">
        <w:rPr>
          <w:rFonts w:ascii="Georgia" w:hAnsi="Georgia"/>
          <w:lang w:val="en-GB"/>
        </w:rPr>
        <w:t xml:space="preserve"> </w:t>
      </w:r>
      <w:r w:rsidRPr="0002056A">
        <w:rPr>
          <w:rFonts w:ascii="Georgia" w:hAnsi="Georgia"/>
          <w:lang w:val="en-GB"/>
        </w:rPr>
        <w:t>and the response activities</w:t>
      </w:r>
      <w:r w:rsidR="000E380E">
        <w:rPr>
          <w:rFonts w:ascii="Georgia" w:hAnsi="Georgia"/>
          <w:lang w:val="en-GB"/>
        </w:rPr>
        <w:t>,</w:t>
      </w:r>
      <w:r w:rsidRPr="0002056A">
        <w:rPr>
          <w:rFonts w:ascii="Georgia" w:hAnsi="Georgia"/>
          <w:lang w:val="en-GB"/>
        </w:rPr>
        <w:t xml:space="preserve"> </w:t>
      </w:r>
      <w:r w:rsidR="005F1480" w:rsidRPr="0002056A">
        <w:rPr>
          <w:rFonts w:ascii="Georgia" w:hAnsi="Georgia"/>
          <w:lang w:val="en-GB"/>
        </w:rPr>
        <w:t>can be interpreted</w:t>
      </w:r>
      <w:r w:rsidR="00823DC7" w:rsidRPr="0002056A">
        <w:rPr>
          <w:rFonts w:ascii="Georgia" w:hAnsi="Georgia"/>
          <w:lang w:val="en-GB"/>
        </w:rPr>
        <w:t xml:space="preserve"> and</w:t>
      </w:r>
      <w:r w:rsidR="008A2F0D" w:rsidRPr="0002056A">
        <w:rPr>
          <w:rFonts w:ascii="Georgia" w:hAnsi="Georgia"/>
          <w:lang w:val="en-GB"/>
        </w:rPr>
        <w:t xml:space="preserve"> considered as </w:t>
      </w:r>
      <w:r w:rsidR="005F1480" w:rsidRPr="0002056A">
        <w:rPr>
          <w:rFonts w:ascii="Georgia" w:hAnsi="Georgia"/>
          <w:lang w:val="en-GB"/>
        </w:rPr>
        <w:t xml:space="preserve">the </w:t>
      </w:r>
      <w:r w:rsidRPr="0002056A">
        <w:rPr>
          <w:rFonts w:ascii="Georgia" w:hAnsi="Georgia"/>
          <w:lang w:val="en-GB"/>
        </w:rPr>
        <w:t>basic pillars of the research project</w:t>
      </w:r>
      <w:r w:rsidR="008A2F0D" w:rsidRPr="0002056A">
        <w:rPr>
          <w:rFonts w:ascii="Georgia" w:hAnsi="Georgia"/>
          <w:lang w:val="en-GB"/>
        </w:rPr>
        <w:t xml:space="preserve">. </w:t>
      </w:r>
      <w:r w:rsidR="008046DA" w:rsidRPr="0002056A">
        <w:rPr>
          <w:rFonts w:ascii="Georgia" w:hAnsi="Georgia"/>
          <w:lang w:val="en-GB"/>
        </w:rPr>
        <w:t>T</w:t>
      </w:r>
      <w:r w:rsidR="005F1480" w:rsidRPr="0002056A">
        <w:rPr>
          <w:rFonts w:ascii="Georgia" w:hAnsi="Georgia"/>
          <w:lang w:val="en-GB"/>
        </w:rPr>
        <w:t xml:space="preserve">he </w:t>
      </w:r>
      <w:r w:rsidR="008046DA" w:rsidRPr="0002056A">
        <w:rPr>
          <w:rFonts w:ascii="Georgia" w:hAnsi="Georgia"/>
          <w:lang w:val="en-GB"/>
        </w:rPr>
        <w:t>ornamentation on these pillars</w:t>
      </w:r>
      <w:r w:rsidR="00C70E41" w:rsidRPr="0002056A">
        <w:rPr>
          <w:rFonts w:ascii="Georgia" w:hAnsi="Georgia"/>
          <w:lang w:val="en-GB"/>
        </w:rPr>
        <w:t xml:space="preserve">, that means the essence of the research project, is a quite unique topic within climate adaptation, as we will </w:t>
      </w:r>
      <w:r w:rsidR="00FC083C" w:rsidRPr="0002056A">
        <w:rPr>
          <w:rFonts w:ascii="Georgia" w:hAnsi="Georgia"/>
          <w:lang w:val="en-GB"/>
        </w:rPr>
        <w:t>see</w:t>
      </w:r>
      <w:r w:rsidR="00C70E41" w:rsidRPr="0002056A">
        <w:rPr>
          <w:rFonts w:ascii="Georgia" w:hAnsi="Georgia"/>
          <w:lang w:val="en-GB"/>
        </w:rPr>
        <w:t xml:space="preserve"> in </w:t>
      </w:r>
      <w:r w:rsidR="00FD7EAC" w:rsidRPr="0002056A">
        <w:rPr>
          <w:rFonts w:ascii="Georgia" w:hAnsi="Georgia"/>
          <w:lang w:val="en-GB"/>
        </w:rPr>
        <w:t>the dissertation’s</w:t>
      </w:r>
      <w:r w:rsidR="005F1480" w:rsidRPr="0002056A">
        <w:rPr>
          <w:rFonts w:ascii="Georgia" w:hAnsi="Georgia"/>
          <w:lang w:val="en-GB"/>
        </w:rPr>
        <w:t xml:space="preserve"> chapters</w:t>
      </w:r>
      <w:r w:rsidR="00647E36" w:rsidRPr="0002056A">
        <w:rPr>
          <w:rFonts w:ascii="Georgia" w:hAnsi="Georgia"/>
          <w:lang w:val="en-GB"/>
        </w:rPr>
        <w:t>: the spatial dimension</w:t>
      </w:r>
      <w:r w:rsidR="00CD20D4">
        <w:rPr>
          <w:rFonts w:ascii="Georgia" w:hAnsi="Georgia"/>
          <w:lang w:val="en-GB"/>
        </w:rPr>
        <w:t>s and</w:t>
      </w:r>
      <w:r w:rsidR="00647E36" w:rsidRPr="0002056A">
        <w:rPr>
          <w:rFonts w:ascii="Georgia" w:hAnsi="Georgia"/>
          <w:lang w:val="en-GB"/>
        </w:rPr>
        <w:t xml:space="preserve"> approaches within given instruments of climate adaptation policy</w:t>
      </w:r>
      <w:r w:rsidR="00823DC7" w:rsidRPr="0002056A">
        <w:rPr>
          <w:rFonts w:ascii="Georgia" w:hAnsi="Georgia"/>
          <w:lang w:val="en-GB"/>
        </w:rPr>
        <w:t xml:space="preserve"> planning</w:t>
      </w:r>
      <w:r w:rsidR="00FE17A3" w:rsidRPr="0002056A">
        <w:rPr>
          <w:rFonts w:ascii="Georgia" w:hAnsi="Georgia"/>
          <w:lang w:val="en-GB"/>
        </w:rPr>
        <w:t>; concentrating first and foremost on the geographical scale of space</w:t>
      </w:r>
      <w:r w:rsidR="00456796" w:rsidRPr="0002056A">
        <w:rPr>
          <w:rFonts w:ascii="Georgia" w:hAnsi="Georgia"/>
          <w:lang w:val="en-GB"/>
        </w:rPr>
        <w:t xml:space="preserve">. </w:t>
      </w:r>
      <w:r w:rsidR="00B54D5A" w:rsidRPr="0002056A">
        <w:rPr>
          <w:rFonts w:ascii="Georgia" w:hAnsi="Georgia"/>
          <w:lang w:val="en-GB"/>
        </w:rPr>
        <w:t>Regardin</w:t>
      </w:r>
      <w:r w:rsidR="00456796" w:rsidRPr="0002056A">
        <w:rPr>
          <w:rFonts w:ascii="Georgia" w:hAnsi="Georgia"/>
          <w:lang w:val="en-GB"/>
        </w:rPr>
        <w:t>g the relative n</w:t>
      </w:r>
      <w:r w:rsidR="00B54D5A" w:rsidRPr="0002056A">
        <w:rPr>
          <w:rFonts w:ascii="Georgia" w:hAnsi="Georgia"/>
          <w:lang w:val="en-GB"/>
        </w:rPr>
        <w:t xml:space="preserve">ovelty of the topic, the dissertation’s undertaking </w:t>
      </w:r>
      <w:r w:rsidR="004F52B0" w:rsidRPr="0002056A">
        <w:rPr>
          <w:rFonts w:ascii="Georgia" w:hAnsi="Georgia"/>
          <w:lang w:val="en-GB"/>
        </w:rPr>
        <w:t xml:space="preserve">might be considered a courageous decision. </w:t>
      </w:r>
      <w:r w:rsidR="00FD7EAC" w:rsidRPr="0002056A">
        <w:rPr>
          <w:rFonts w:ascii="Georgia" w:hAnsi="Georgia"/>
          <w:lang w:val="en-GB"/>
        </w:rPr>
        <w:t>O</w:t>
      </w:r>
      <w:r w:rsidR="004F52B0" w:rsidRPr="0002056A">
        <w:rPr>
          <w:rFonts w:ascii="Georgia" w:hAnsi="Georgia"/>
          <w:lang w:val="en-GB"/>
        </w:rPr>
        <w:t xml:space="preserve">r </w:t>
      </w:r>
      <w:r w:rsidR="00FD7EAC" w:rsidRPr="0002056A">
        <w:rPr>
          <w:rFonts w:ascii="Georgia" w:hAnsi="Georgia"/>
          <w:lang w:val="en-GB"/>
        </w:rPr>
        <w:t xml:space="preserve">an </w:t>
      </w:r>
      <w:r w:rsidR="004F52B0" w:rsidRPr="0002056A">
        <w:rPr>
          <w:rFonts w:ascii="Georgia" w:hAnsi="Georgia"/>
          <w:lang w:val="en-GB"/>
        </w:rPr>
        <w:t>imprudent</w:t>
      </w:r>
      <w:r w:rsidR="008046DA" w:rsidRPr="0002056A">
        <w:rPr>
          <w:rFonts w:ascii="Georgia" w:hAnsi="Georgia"/>
          <w:lang w:val="en-GB"/>
        </w:rPr>
        <w:t xml:space="preserve"> </w:t>
      </w:r>
      <w:r w:rsidR="00FD7EAC" w:rsidRPr="0002056A">
        <w:rPr>
          <w:rFonts w:ascii="Georgia" w:hAnsi="Georgia"/>
          <w:lang w:val="en-GB"/>
        </w:rPr>
        <w:t>one? We will see in the following couple of dozen pages</w:t>
      </w:r>
      <w:r w:rsidR="005F1480" w:rsidRPr="0002056A">
        <w:rPr>
          <w:rFonts w:ascii="Georgia" w:hAnsi="Georgia"/>
          <w:lang w:val="en-GB"/>
        </w:rPr>
        <w:t>.</w:t>
      </w:r>
    </w:p>
    <w:p w14:paraId="5DC1C453" w14:textId="3E74392C" w:rsidR="004E4982" w:rsidRPr="0002056A" w:rsidRDefault="004E4982" w:rsidP="00214BD9">
      <w:pPr>
        <w:pStyle w:val="Cmsor2"/>
        <w:numPr>
          <w:ilvl w:val="1"/>
          <w:numId w:val="4"/>
        </w:numPr>
        <w:rPr>
          <w:rFonts w:asciiTheme="minorHAnsi" w:hAnsiTheme="minorHAnsi" w:cstheme="minorHAnsi"/>
          <w:b w:val="0"/>
          <w:bCs w:val="0"/>
          <w:i/>
          <w:iCs/>
          <w:lang w:val="en-GB"/>
        </w:rPr>
      </w:pPr>
      <w:bookmarkStart w:id="5" w:name="_Toc225578830"/>
      <w:r w:rsidRPr="0002056A">
        <w:rPr>
          <w:rFonts w:asciiTheme="minorHAnsi" w:hAnsiTheme="minorHAnsi" w:cstheme="minorHAnsi"/>
          <w:b w:val="0"/>
          <w:bCs w:val="0"/>
          <w:i/>
          <w:iCs/>
          <w:lang w:val="en-GB"/>
        </w:rPr>
        <w:t>Significance and importance of the topic</w:t>
      </w:r>
      <w:bookmarkEnd w:id="5"/>
    </w:p>
    <w:p w14:paraId="4A0DD3D8" w14:textId="7F0246E6" w:rsidR="0081022F" w:rsidRPr="0002056A" w:rsidRDefault="00750ECB" w:rsidP="00CD5BF3">
      <w:pPr>
        <w:spacing w:before="120" w:after="120"/>
        <w:jc w:val="both"/>
        <w:rPr>
          <w:rFonts w:ascii="Georgia" w:hAnsi="Georgia"/>
          <w:lang w:val="en-GB"/>
        </w:rPr>
      </w:pPr>
      <w:r>
        <w:rPr>
          <w:rFonts w:ascii="Georgia" w:hAnsi="Georgia"/>
          <w:b/>
          <w:lang w:val="en-GB"/>
        </w:rPr>
        <w:t>T</w:t>
      </w:r>
      <w:r w:rsidR="0081022F" w:rsidRPr="0002056A">
        <w:rPr>
          <w:rFonts w:ascii="Georgia" w:hAnsi="Georgia"/>
          <w:b/>
          <w:lang w:val="en-GB"/>
        </w:rPr>
        <w:t xml:space="preserve">he challenges caused by the impacts and consequences of climate change are key </w:t>
      </w:r>
      <w:r w:rsidR="0002056A" w:rsidRPr="0002056A">
        <w:rPr>
          <w:rFonts w:ascii="Georgia" w:hAnsi="Georgia"/>
          <w:b/>
          <w:lang w:val="en-GB"/>
        </w:rPr>
        <w:t>issues</w:t>
      </w:r>
      <w:r w:rsidR="0081022F" w:rsidRPr="0002056A">
        <w:rPr>
          <w:rFonts w:ascii="Georgia" w:hAnsi="Georgia"/>
          <w:b/>
          <w:lang w:val="en-GB"/>
        </w:rPr>
        <w:t xml:space="preserve"> both globally and in Europe</w:t>
      </w:r>
      <w:r w:rsidR="0081022F" w:rsidRPr="0002056A">
        <w:rPr>
          <w:rFonts w:ascii="Georgia" w:hAnsi="Georgia"/>
          <w:lang w:val="en-GB"/>
        </w:rPr>
        <w:t xml:space="preserve">. </w:t>
      </w:r>
      <w:r w:rsidR="00657835" w:rsidRPr="0002056A">
        <w:rPr>
          <w:rFonts w:ascii="Georgia" w:hAnsi="Georgia"/>
          <w:lang w:val="en-GB"/>
        </w:rPr>
        <w:t xml:space="preserve">Climate change </w:t>
      </w:r>
      <w:r w:rsidR="0081022F" w:rsidRPr="0002056A">
        <w:rPr>
          <w:rFonts w:ascii="Georgia" w:hAnsi="Georgia"/>
          <w:lang w:val="en-GB"/>
        </w:rPr>
        <w:t xml:space="preserve">is perhaps one of the most important phenomena that </w:t>
      </w:r>
      <w:r w:rsidR="000E380E">
        <w:rPr>
          <w:rFonts w:ascii="Georgia" w:hAnsi="Georgia"/>
          <w:lang w:val="en-GB"/>
        </w:rPr>
        <w:t>has</w:t>
      </w:r>
      <w:r w:rsidR="000E380E" w:rsidRPr="0002056A">
        <w:rPr>
          <w:rFonts w:ascii="Georgia" w:hAnsi="Georgia"/>
          <w:lang w:val="en-GB"/>
        </w:rPr>
        <w:t xml:space="preserve"> </w:t>
      </w:r>
      <w:r w:rsidR="0081022F" w:rsidRPr="0002056A">
        <w:rPr>
          <w:rFonts w:ascii="Georgia" w:hAnsi="Georgia"/>
          <w:lang w:val="en-GB"/>
        </w:rPr>
        <w:t>dominated the discourse of sustainable development recently (</w:t>
      </w:r>
      <w:r w:rsidR="0081022F" w:rsidRPr="0002056A">
        <w:rPr>
          <w:rFonts w:ascii="Georgia" w:hAnsi="Georgia" w:cstheme="minorHAnsi"/>
          <w:smallCaps/>
          <w:lang w:val="en-GB"/>
        </w:rPr>
        <w:t>Qureshi, 2019</w:t>
      </w:r>
      <w:r w:rsidR="0081022F" w:rsidRPr="0002056A">
        <w:rPr>
          <w:rFonts w:ascii="Georgia" w:hAnsi="Georgia"/>
          <w:lang w:val="en-GB"/>
        </w:rPr>
        <w:t xml:space="preserve">). Beyond the changes in climatic factors (temperature, precipitation, humidity, wind </w:t>
      </w:r>
      <w:r w:rsidR="0081022F" w:rsidRPr="0002056A">
        <w:rPr>
          <w:rFonts w:ascii="Georgia" w:hAnsi="Georgia"/>
          <w:lang w:val="en-GB"/>
        </w:rPr>
        <w:lastRenderedPageBreak/>
        <w:t>conditions, etc.)</w:t>
      </w:r>
      <w:r w:rsidR="00A524F7">
        <w:rPr>
          <w:rFonts w:ascii="Georgia" w:hAnsi="Georgia"/>
          <w:lang w:val="en-GB"/>
        </w:rPr>
        <w:t xml:space="preserve">, the growing intensity and frequency of weather extremities can also be experienced in </w:t>
      </w:r>
      <w:r w:rsidR="00DD17C7" w:rsidRPr="0002056A">
        <w:rPr>
          <w:rFonts w:ascii="Georgia" w:hAnsi="Georgia"/>
          <w:lang w:val="en-GB"/>
        </w:rPr>
        <w:t xml:space="preserve">recent decades </w:t>
      </w:r>
      <w:r w:rsidR="0081022F" w:rsidRPr="0002056A">
        <w:rPr>
          <w:rFonts w:ascii="Georgia" w:hAnsi="Georgia"/>
          <w:lang w:val="en-GB"/>
        </w:rPr>
        <w:t>(</w:t>
      </w:r>
      <w:r w:rsidR="0081022F" w:rsidRPr="0002056A">
        <w:rPr>
          <w:rFonts w:ascii="Georgia" w:hAnsi="Georgia" w:cstheme="minorHAnsi"/>
          <w:smallCaps/>
          <w:lang w:val="en-GB"/>
        </w:rPr>
        <w:t>Birchall &amp; Bonnet</w:t>
      </w:r>
      <w:r w:rsidR="0081022F" w:rsidRPr="0002056A">
        <w:rPr>
          <w:rFonts w:ascii="Georgia" w:hAnsi="Georgia"/>
          <w:lang w:val="en-GB"/>
        </w:rPr>
        <w:t>, 202</w:t>
      </w:r>
      <w:r w:rsidR="00F95268" w:rsidRPr="0002056A">
        <w:rPr>
          <w:rFonts w:ascii="Georgia" w:hAnsi="Georgia"/>
          <w:lang w:val="en-GB"/>
        </w:rPr>
        <w:t>1</w:t>
      </w:r>
      <w:r w:rsidR="0081022F" w:rsidRPr="0002056A">
        <w:rPr>
          <w:rFonts w:ascii="Georgia" w:hAnsi="Georgia"/>
          <w:lang w:val="en-GB"/>
        </w:rPr>
        <w:t xml:space="preserve">). These </w:t>
      </w:r>
      <w:r w:rsidR="0081608F" w:rsidRPr="0002056A">
        <w:rPr>
          <w:rFonts w:ascii="Georgia" w:hAnsi="Georgia"/>
          <w:lang w:val="en-GB"/>
        </w:rPr>
        <w:t xml:space="preserve">changes </w:t>
      </w:r>
      <w:r w:rsidR="0081022F" w:rsidRPr="0002056A">
        <w:rPr>
          <w:rFonts w:ascii="Georgia" w:hAnsi="Georgia"/>
          <w:lang w:val="en-GB"/>
        </w:rPr>
        <w:t xml:space="preserve">can have serious environmental, social and economic consequences, causing growing vulnerability of the exposed </w:t>
      </w:r>
      <w:r w:rsidR="000E380E">
        <w:rPr>
          <w:rFonts w:ascii="Georgia" w:hAnsi="Georgia"/>
          <w:lang w:val="en-GB"/>
        </w:rPr>
        <w:t>sectors/communities</w:t>
      </w:r>
      <w:r w:rsidR="0081608F" w:rsidRPr="0002056A">
        <w:rPr>
          <w:rFonts w:ascii="Georgia" w:hAnsi="Georgia"/>
          <w:lang w:val="en-GB"/>
        </w:rPr>
        <w:t xml:space="preserve"> / habitats</w:t>
      </w:r>
      <w:r w:rsidR="0081022F" w:rsidRPr="0002056A">
        <w:rPr>
          <w:rFonts w:ascii="Georgia" w:hAnsi="Georgia"/>
          <w:lang w:val="en-GB"/>
        </w:rPr>
        <w:t xml:space="preserve">. Additionally (or rather: principally), </w:t>
      </w:r>
      <w:r w:rsidR="00FB2719" w:rsidRPr="0002056A">
        <w:rPr>
          <w:rFonts w:ascii="Georgia" w:hAnsi="Georgia"/>
          <w:lang w:val="en-GB"/>
        </w:rPr>
        <w:t xml:space="preserve">the changes </w:t>
      </w:r>
      <w:r w:rsidR="0081022F" w:rsidRPr="0002056A">
        <w:rPr>
          <w:rFonts w:ascii="Georgia" w:hAnsi="Georgia"/>
          <w:lang w:val="en-GB"/>
        </w:rPr>
        <w:t xml:space="preserve">occur in the geographical space. </w:t>
      </w:r>
      <w:r w:rsidR="004D157E" w:rsidRPr="0002056A">
        <w:rPr>
          <w:rFonts w:ascii="Georgia" w:hAnsi="Georgia"/>
          <w:lang w:val="en-GB"/>
        </w:rPr>
        <w:t>Their</w:t>
      </w:r>
      <w:r w:rsidR="0081022F" w:rsidRPr="0002056A">
        <w:rPr>
          <w:rFonts w:ascii="Georgia" w:hAnsi="Georgia"/>
          <w:lang w:val="en-GB"/>
        </w:rPr>
        <w:t xml:space="preserve"> spatial impacts deepen </w:t>
      </w:r>
      <w:r w:rsidR="000E380E">
        <w:rPr>
          <w:rFonts w:ascii="Georgia" w:hAnsi="Georgia"/>
          <w:lang w:val="en-GB"/>
        </w:rPr>
        <w:t>existing regional and settlement network-related differences and economic/social inequalities (Pálvölgyi et al., 2010; Sütő et al.</w:t>
      </w:r>
      <w:r w:rsidR="003114D1" w:rsidRPr="0002056A">
        <w:rPr>
          <w:rFonts w:ascii="Georgia" w:hAnsi="Georgia" w:cstheme="minorHAnsi"/>
          <w:smallCaps/>
          <w:lang w:val="en-GB"/>
        </w:rPr>
        <w:t>, 2023</w:t>
      </w:r>
      <w:r w:rsidR="00657835" w:rsidRPr="0002056A">
        <w:rPr>
          <w:rFonts w:ascii="Georgia" w:hAnsi="Georgia"/>
          <w:lang w:val="en-GB"/>
        </w:rPr>
        <w:t>)</w:t>
      </w:r>
      <w:r w:rsidR="0081022F" w:rsidRPr="0002056A">
        <w:rPr>
          <w:rFonts w:ascii="Georgia" w:hAnsi="Georgia"/>
          <w:lang w:val="en-GB"/>
        </w:rPr>
        <w:t xml:space="preserve">. </w:t>
      </w:r>
    </w:p>
    <w:p w14:paraId="0F84E4B5" w14:textId="0643FD6E" w:rsidR="0081022F" w:rsidRPr="0002056A" w:rsidRDefault="0081022F" w:rsidP="00CD5BF3">
      <w:pPr>
        <w:autoSpaceDE w:val="0"/>
        <w:autoSpaceDN w:val="0"/>
        <w:adjustRightInd w:val="0"/>
        <w:spacing w:before="120" w:after="120"/>
        <w:jc w:val="both"/>
        <w:rPr>
          <w:rFonts w:ascii="Georgia" w:hAnsi="Georgia"/>
          <w:lang w:val="en-GB"/>
        </w:rPr>
      </w:pPr>
      <w:r w:rsidRPr="0002056A">
        <w:rPr>
          <w:rFonts w:ascii="Georgia" w:hAnsi="Georgia"/>
          <w:b/>
          <w:lang w:val="en-GB"/>
        </w:rPr>
        <w:t>Europe, especially the EU</w:t>
      </w:r>
      <w:r w:rsidR="000E380E">
        <w:rPr>
          <w:rFonts w:ascii="Georgia" w:hAnsi="Georgia"/>
          <w:b/>
          <w:lang w:val="en-GB"/>
        </w:rPr>
        <w:t xml:space="preserve">, plays a leading role in fighting against climate change at the </w:t>
      </w:r>
      <w:r w:rsidRPr="0002056A">
        <w:rPr>
          <w:rFonts w:ascii="Georgia" w:hAnsi="Georgia"/>
          <w:bCs/>
          <w:lang w:val="en-GB"/>
        </w:rPr>
        <w:t xml:space="preserve">policy level. </w:t>
      </w:r>
      <w:r w:rsidR="005A08DA" w:rsidRPr="0002056A">
        <w:rPr>
          <w:rFonts w:ascii="Georgia" w:hAnsi="Georgia"/>
          <w:bCs/>
          <w:lang w:val="en-GB"/>
        </w:rPr>
        <w:t>Since the second half of the 1980</w:t>
      </w:r>
      <w:r w:rsidR="005A08DA" w:rsidRPr="0002056A">
        <w:rPr>
          <w:rFonts w:ascii="Georgia" w:hAnsi="Georgia"/>
          <w:lang w:val="en-GB"/>
        </w:rPr>
        <w:t xml:space="preserve">s, the EU has established itself as an international leader </w:t>
      </w:r>
      <w:r w:rsidR="009F307B" w:rsidRPr="0002056A">
        <w:rPr>
          <w:rFonts w:ascii="Georgia" w:hAnsi="Georgia"/>
          <w:lang w:val="en-GB"/>
        </w:rPr>
        <w:t>i</w:t>
      </w:r>
      <w:r w:rsidR="005A08DA" w:rsidRPr="0002056A">
        <w:rPr>
          <w:rFonts w:ascii="Georgia" w:hAnsi="Georgia"/>
          <w:lang w:val="en-GB"/>
        </w:rPr>
        <w:t>n climate</w:t>
      </w:r>
      <w:r w:rsidR="004D157E" w:rsidRPr="0002056A">
        <w:rPr>
          <w:rFonts w:ascii="Georgia" w:hAnsi="Georgia"/>
          <w:lang w:val="en-GB"/>
        </w:rPr>
        <w:t xml:space="preserve"> policy</w:t>
      </w:r>
      <w:r w:rsidR="0078259A" w:rsidRPr="0002056A">
        <w:rPr>
          <w:rFonts w:ascii="Georgia" w:hAnsi="Georgia"/>
          <w:lang w:val="en-GB"/>
        </w:rPr>
        <w:t>,</w:t>
      </w:r>
      <w:r w:rsidR="005A08DA" w:rsidRPr="0002056A">
        <w:rPr>
          <w:rFonts w:ascii="Georgia" w:hAnsi="Georgia"/>
          <w:lang w:val="en-GB"/>
        </w:rPr>
        <w:t xml:space="preserve"> </w:t>
      </w:r>
      <w:r w:rsidR="00B54833">
        <w:rPr>
          <w:rFonts w:ascii="Georgia" w:hAnsi="Georgia"/>
          <w:lang w:val="en-GB"/>
        </w:rPr>
        <w:t xml:space="preserve">having </w:t>
      </w:r>
      <w:r w:rsidR="00F825D9" w:rsidRPr="0002056A">
        <w:rPr>
          <w:rFonts w:ascii="Georgia" w:hAnsi="Georgia"/>
          <w:lang w:val="en-GB"/>
        </w:rPr>
        <w:t>si</w:t>
      </w:r>
      <w:r w:rsidR="005A08DA" w:rsidRPr="0002056A">
        <w:rPr>
          <w:rFonts w:ascii="Georgia" w:hAnsi="Georgia"/>
          <w:lang w:val="en-GB"/>
        </w:rPr>
        <w:t>gnificantly enhanc</w:t>
      </w:r>
      <w:r w:rsidR="00F825D9" w:rsidRPr="0002056A">
        <w:rPr>
          <w:rFonts w:ascii="Georgia" w:hAnsi="Georgia"/>
          <w:lang w:val="en-GB"/>
        </w:rPr>
        <w:t>ed</w:t>
      </w:r>
      <w:r w:rsidR="005A08DA" w:rsidRPr="0002056A">
        <w:rPr>
          <w:rFonts w:ascii="Georgia" w:hAnsi="Georgia"/>
          <w:lang w:val="en-GB"/>
        </w:rPr>
        <w:t xml:space="preserve"> both its external representation and </w:t>
      </w:r>
      <w:r w:rsidR="000E380E">
        <w:rPr>
          <w:rFonts w:ascii="Georgia" w:hAnsi="Georgia"/>
          <w:lang w:val="en-GB"/>
        </w:rPr>
        <w:t>its internal climate policies (</w:t>
      </w:r>
      <w:r w:rsidR="000E380E" w:rsidRPr="00254C0A">
        <w:rPr>
          <w:rFonts w:ascii="Georgia" w:hAnsi="Georgia" w:cstheme="minorHAnsi"/>
          <w:smallCaps/>
          <w:lang w:val="en-GB"/>
        </w:rPr>
        <w:t>Oberthür &amp; Roche Kelly, 2008; Schmidt-Thomé &amp; Klein</w:t>
      </w:r>
      <w:r w:rsidR="009F307B" w:rsidRPr="0002056A">
        <w:rPr>
          <w:rFonts w:ascii="Georgia" w:hAnsi="Georgia"/>
          <w:lang w:val="en-GB"/>
        </w:rPr>
        <w:t>, 2011)</w:t>
      </w:r>
      <w:r w:rsidR="002C69FA" w:rsidRPr="0002056A">
        <w:rPr>
          <w:rFonts w:ascii="Georgia" w:hAnsi="Georgia"/>
          <w:lang w:val="en-GB"/>
        </w:rPr>
        <w:t>. A</w:t>
      </w:r>
      <w:r w:rsidR="00A840E0">
        <w:rPr>
          <w:rFonts w:ascii="Georgia" w:hAnsi="Georgia"/>
          <w:lang w:val="en-GB"/>
        </w:rPr>
        <w:t>s expected,</w:t>
      </w:r>
      <w:r w:rsidR="005A08DA" w:rsidRPr="0002056A">
        <w:rPr>
          <w:rFonts w:ascii="Georgia" w:hAnsi="Georgia"/>
          <w:lang w:val="en-GB"/>
        </w:rPr>
        <w:t xml:space="preserve"> </w:t>
      </w:r>
      <w:r w:rsidR="002C69FA" w:rsidRPr="0002056A">
        <w:rPr>
          <w:rFonts w:ascii="Georgia" w:hAnsi="Georgia"/>
          <w:lang w:val="en-GB"/>
        </w:rPr>
        <w:t xml:space="preserve">the Union </w:t>
      </w:r>
      <w:r w:rsidR="005A08DA" w:rsidRPr="0002056A">
        <w:rPr>
          <w:rFonts w:ascii="Georgia" w:hAnsi="Georgia"/>
          <w:lang w:val="en-GB"/>
        </w:rPr>
        <w:t>will remain a progressive force in international climate policy for some time</w:t>
      </w:r>
      <w:r w:rsidR="0078259A" w:rsidRPr="0002056A">
        <w:rPr>
          <w:rFonts w:ascii="Georgia" w:hAnsi="Georgia"/>
          <w:lang w:val="en-GB"/>
        </w:rPr>
        <w:t>. The EU</w:t>
      </w:r>
      <w:r w:rsidR="009F307B" w:rsidRPr="0002056A">
        <w:rPr>
          <w:rFonts w:ascii="Georgia" w:hAnsi="Georgia"/>
          <w:lang w:val="en-GB"/>
        </w:rPr>
        <w:t xml:space="preserve"> states’</w:t>
      </w:r>
      <w:r w:rsidR="0078259A" w:rsidRPr="0002056A">
        <w:rPr>
          <w:rFonts w:ascii="Georgia" w:hAnsi="Georgia"/>
          <w:lang w:val="en-GB"/>
        </w:rPr>
        <w:t xml:space="preserve"> heads and government</w:t>
      </w:r>
      <w:r w:rsidR="004714CB" w:rsidRPr="0002056A">
        <w:rPr>
          <w:rFonts w:ascii="Georgia" w:hAnsi="Georgia"/>
          <w:lang w:val="en-GB"/>
        </w:rPr>
        <w:t>s</w:t>
      </w:r>
      <w:r w:rsidR="00680AB4" w:rsidRPr="0002056A">
        <w:rPr>
          <w:rFonts w:ascii="Georgia" w:hAnsi="Georgia"/>
          <w:lang w:val="en-GB"/>
        </w:rPr>
        <w:t xml:space="preserve"> </w:t>
      </w:r>
      <w:r w:rsidR="005A08DA" w:rsidRPr="0002056A">
        <w:rPr>
          <w:rFonts w:ascii="Georgia" w:hAnsi="Georgia"/>
          <w:lang w:val="en-GB"/>
        </w:rPr>
        <w:t>regularly discuss</w:t>
      </w:r>
      <w:r w:rsidR="00680AB4" w:rsidRPr="0002056A">
        <w:rPr>
          <w:rFonts w:ascii="Georgia" w:hAnsi="Georgia"/>
          <w:lang w:val="en-GB"/>
        </w:rPr>
        <w:t xml:space="preserve"> the topic</w:t>
      </w:r>
      <w:r w:rsidR="005A08DA" w:rsidRPr="0002056A">
        <w:rPr>
          <w:rFonts w:ascii="Georgia" w:hAnsi="Georgia"/>
          <w:lang w:val="en-GB"/>
        </w:rPr>
        <w:t xml:space="preserve">. </w:t>
      </w:r>
      <w:r w:rsidR="005A7AB3" w:rsidRPr="0002056A">
        <w:rPr>
          <w:rFonts w:ascii="Georgia" w:hAnsi="Georgia"/>
          <w:lang w:val="en-GB"/>
        </w:rPr>
        <w:t xml:space="preserve">On top of the </w:t>
      </w:r>
      <w:r w:rsidR="000854FC" w:rsidRPr="0002056A">
        <w:rPr>
          <w:rFonts w:ascii="Georgia" w:hAnsi="Georgia"/>
          <w:lang w:val="en-GB"/>
        </w:rPr>
        <w:t>European Green Deal and Fit for 55! packages</w:t>
      </w:r>
      <w:r w:rsidR="000E380E">
        <w:rPr>
          <w:rFonts w:ascii="Georgia" w:hAnsi="Georgia"/>
          <w:lang w:val="en-GB"/>
        </w:rPr>
        <w:t>,</w:t>
      </w:r>
      <w:r w:rsidR="000854FC" w:rsidRPr="0002056A">
        <w:rPr>
          <w:rFonts w:ascii="Georgia" w:hAnsi="Georgia"/>
          <w:lang w:val="en-GB"/>
        </w:rPr>
        <w:t xml:space="preserve"> </w:t>
      </w:r>
      <w:r w:rsidR="005A7AB3" w:rsidRPr="0002056A">
        <w:rPr>
          <w:rFonts w:ascii="Georgia" w:hAnsi="Georgia"/>
          <w:lang w:val="en-GB"/>
        </w:rPr>
        <w:t>even t</w:t>
      </w:r>
      <w:r w:rsidRPr="0002056A">
        <w:rPr>
          <w:rFonts w:ascii="Georgia" w:hAnsi="Georgia"/>
          <w:lang w:val="en-GB"/>
        </w:rPr>
        <w:t xml:space="preserve">he adoption of the </w:t>
      </w:r>
      <w:r w:rsidR="000854FC" w:rsidRPr="0002056A">
        <w:rPr>
          <w:rFonts w:ascii="Georgia" w:hAnsi="Georgia"/>
          <w:lang w:val="en-GB"/>
        </w:rPr>
        <w:t xml:space="preserve">new EU Adaptation Strategy </w:t>
      </w:r>
      <w:r w:rsidR="002C69FA" w:rsidRPr="0002056A">
        <w:rPr>
          <w:rFonts w:ascii="Georgia" w:hAnsi="Georgia"/>
          <w:lang w:val="en-GB"/>
        </w:rPr>
        <w:t>as well as</w:t>
      </w:r>
      <w:r w:rsidR="002815AA" w:rsidRPr="0002056A">
        <w:rPr>
          <w:rFonts w:ascii="Georgia" w:hAnsi="Georgia"/>
          <w:lang w:val="en-GB"/>
        </w:rPr>
        <w:t xml:space="preserve"> the </w:t>
      </w:r>
      <w:r w:rsidR="00003FA1" w:rsidRPr="0002056A">
        <w:rPr>
          <w:rFonts w:ascii="Georgia" w:hAnsi="Georgia"/>
          <w:lang w:val="en-GB"/>
        </w:rPr>
        <w:t xml:space="preserve">European Integrated Framework for Climate Resilience (practically a new </w:t>
      </w:r>
      <w:r w:rsidR="002815AA" w:rsidRPr="0002056A">
        <w:rPr>
          <w:rFonts w:ascii="Georgia" w:hAnsi="Georgia"/>
          <w:lang w:val="en-GB"/>
        </w:rPr>
        <w:t xml:space="preserve">European Climate Adaptation Action Plan) being </w:t>
      </w:r>
      <w:r w:rsidR="0002056A" w:rsidRPr="0002056A">
        <w:rPr>
          <w:rFonts w:ascii="Georgia" w:hAnsi="Georgia"/>
          <w:lang w:val="en-GB"/>
        </w:rPr>
        <w:t>prepared</w:t>
      </w:r>
      <w:r w:rsidR="002815AA" w:rsidRPr="0002056A">
        <w:rPr>
          <w:rFonts w:ascii="Georgia" w:hAnsi="Georgia"/>
          <w:lang w:val="en-GB"/>
        </w:rPr>
        <w:t xml:space="preserve"> currently, </w:t>
      </w:r>
      <w:r w:rsidR="002C69FA" w:rsidRPr="0002056A">
        <w:rPr>
          <w:rFonts w:ascii="Georgia" w:hAnsi="Georgia"/>
          <w:lang w:val="en-GB"/>
        </w:rPr>
        <w:t>significantly</w:t>
      </w:r>
      <w:r w:rsidRPr="0002056A">
        <w:rPr>
          <w:rFonts w:ascii="Georgia" w:hAnsi="Georgia"/>
          <w:lang w:val="en-GB"/>
        </w:rPr>
        <w:t xml:space="preserve"> strengthen adaptation’s momentum, </w:t>
      </w:r>
      <w:r w:rsidR="004F2594" w:rsidRPr="0002056A">
        <w:rPr>
          <w:rFonts w:ascii="Georgia" w:hAnsi="Georgia"/>
          <w:lang w:val="en-GB"/>
        </w:rPr>
        <w:t xml:space="preserve">and </w:t>
      </w:r>
      <w:r w:rsidR="00471514" w:rsidRPr="0002056A">
        <w:rPr>
          <w:rFonts w:ascii="Georgia" w:hAnsi="Georgia"/>
          <w:lang w:val="en-GB"/>
        </w:rPr>
        <w:t>demand the</w:t>
      </w:r>
      <w:r w:rsidRPr="0002056A">
        <w:rPr>
          <w:rFonts w:ascii="Georgia" w:hAnsi="Georgia"/>
          <w:lang w:val="en-GB"/>
        </w:rPr>
        <w:t xml:space="preserve"> massive i</w:t>
      </w:r>
      <w:r w:rsidR="00471514" w:rsidRPr="0002056A">
        <w:rPr>
          <w:rFonts w:ascii="Georgia" w:hAnsi="Georgia"/>
          <w:lang w:val="en-GB"/>
        </w:rPr>
        <w:t>mprovement</w:t>
      </w:r>
      <w:r w:rsidRPr="0002056A">
        <w:rPr>
          <w:rFonts w:ascii="Georgia" w:hAnsi="Georgia"/>
          <w:lang w:val="en-GB"/>
        </w:rPr>
        <w:t xml:space="preserve"> of community resilience (EEA, 2020</w:t>
      </w:r>
      <w:r w:rsidR="000E380E">
        <w:rPr>
          <w:rFonts w:ascii="Georgia" w:hAnsi="Georgia"/>
          <w:lang w:val="en-GB"/>
        </w:rPr>
        <w:t>;</w:t>
      </w:r>
      <w:r w:rsidR="000E380E" w:rsidRPr="0002056A">
        <w:rPr>
          <w:rFonts w:ascii="Georgia" w:hAnsi="Georgia"/>
          <w:lang w:val="en-GB"/>
        </w:rPr>
        <w:t xml:space="preserve"> </w:t>
      </w:r>
      <w:r w:rsidRPr="0002056A">
        <w:rPr>
          <w:rFonts w:ascii="Georgia" w:eastAsia="Times New Roman" w:hAnsi="Georgia" w:cs="Times New Roman"/>
          <w:smallCaps/>
          <w:color w:val="000000"/>
          <w:lang w:val="en-GB" w:eastAsia="hu-HU"/>
        </w:rPr>
        <w:t>Ottaviani Aalmo et al.</w:t>
      </w:r>
      <w:r w:rsidRPr="0002056A">
        <w:rPr>
          <w:rFonts w:ascii="Georgia" w:eastAsia="Times New Roman" w:hAnsi="Georgia" w:cs="Times New Roman"/>
          <w:color w:val="000000"/>
          <w:lang w:val="en-GB" w:eastAsia="hu-HU"/>
        </w:rPr>
        <w:t>, 2022</w:t>
      </w:r>
      <w:r w:rsidRPr="0002056A">
        <w:rPr>
          <w:rFonts w:ascii="Georgia" w:hAnsi="Georgia"/>
          <w:lang w:val="en-GB"/>
        </w:rPr>
        <w:t xml:space="preserve">). The EU’s development policy environment exactly reflects this </w:t>
      </w:r>
      <w:r w:rsidR="004F2594" w:rsidRPr="0002056A">
        <w:rPr>
          <w:rFonts w:ascii="Georgia" w:hAnsi="Georgia"/>
          <w:lang w:val="en-GB"/>
        </w:rPr>
        <w:t>focus</w:t>
      </w:r>
      <w:r w:rsidRPr="0002056A">
        <w:rPr>
          <w:rFonts w:ascii="Georgia" w:hAnsi="Georgia"/>
          <w:lang w:val="en-GB"/>
        </w:rPr>
        <w:t xml:space="preserve">: </w:t>
      </w:r>
      <w:r w:rsidR="00471514" w:rsidRPr="0002056A">
        <w:rPr>
          <w:rFonts w:ascii="Georgia" w:hAnsi="Georgia"/>
          <w:lang w:val="en-GB"/>
        </w:rPr>
        <w:t>c</w:t>
      </w:r>
      <w:r w:rsidR="005A7AB3" w:rsidRPr="0002056A">
        <w:rPr>
          <w:rFonts w:ascii="Georgia" w:hAnsi="Georgia"/>
          <w:lang w:val="en-GB"/>
        </w:rPr>
        <w:t>limate</w:t>
      </w:r>
      <w:r w:rsidR="004714CB" w:rsidRPr="0002056A">
        <w:rPr>
          <w:rFonts w:ascii="Georgia" w:hAnsi="Georgia"/>
          <w:lang w:val="en-GB"/>
        </w:rPr>
        <w:t xml:space="preserve"> policy interventions</w:t>
      </w:r>
      <w:r w:rsidR="005A7AB3" w:rsidRPr="0002056A">
        <w:rPr>
          <w:rFonts w:ascii="Georgia" w:hAnsi="Georgia"/>
          <w:lang w:val="en-GB"/>
        </w:rPr>
        <w:t xml:space="preserve"> </w:t>
      </w:r>
      <w:r w:rsidR="00964909" w:rsidRPr="0002056A">
        <w:rPr>
          <w:rFonts w:ascii="Georgia" w:hAnsi="Georgia"/>
          <w:lang w:val="en-GB"/>
        </w:rPr>
        <w:t>were, have been and will be</w:t>
      </w:r>
      <w:r w:rsidRPr="0002056A">
        <w:rPr>
          <w:rFonts w:ascii="Georgia" w:hAnsi="Georgia"/>
          <w:lang w:val="en-GB"/>
        </w:rPr>
        <w:t xml:space="preserve"> among the main policy priorities of both the community’s 2014-20 and 2021-27</w:t>
      </w:r>
      <w:r w:rsidR="00430CD2" w:rsidRPr="0002056A">
        <w:rPr>
          <w:rFonts w:ascii="Georgia" w:hAnsi="Georgia"/>
          <w:lang w:val="en-GB"/>
        </w:rPr>
        <w:t xml:space="preserve"> (a</w:t>
      </w:r>
      <w:r w:rsidR="00F770AE" w:rsidRPr="0002056A">
        <w:rPr>
          <w:rFonts w:ascii="Georgia" w:hAnsi="Georgia"/>
          <w:lang w:val="en-GB"/>
        </w:rPr>
        <w:t xml:space="preserve">nd as we see </w:t>
      </w:r>
      <w:r w:rsidR="00430CD2" w:rsidRPr="0002056A">
        <w:rPr>
          <w:rFonts w:ascii="Georgia" w:hAnsi="Georgia"/>
          <w:lang w:val="en-GB"/>
        </w:rPr>
        <w:t xml:space="preserve">from </w:t>
      </w:r>
      <w:r w:rsidR="00F770AE" w:rsidRPr="0002056A">
        <w:rPr>
          <w:rFonts w:ascii="Georgia" w:hAnsi="Georgia"/>
          <w:lang w:val="en-GB"/>
        </w:rPr>
        <w:t xml:space="preserve">the preliminary materials, </w:t>
      </w:r>
      <w:r w:rsidR="008567AA" w:rsidRPr="0002056A">
        <w:rPr>
          <w:rFonts w:ascii="Georgia" w:hAnsi="Georgia"/>
          <w:lang w:val="en-GB"/>
        </w:rPr>
        <w:t>the</w:t>
      </w:r>
      <w:r w:rsidR="00430CD2" w:rsidRPr="0002056A">
        <w:rPr>
          <w:rFonts w:ascii="Georgia" w:hAnsi="Georgia"/>
          <w:lang w:val="en-GB"/>
        </w:rPr>
        <w:t xml:space="preserve"> future </w:t>
      </w:r>
      <w:r w:rsidR="008567AA" w:rsidRPr="0002056A">
        <w:rPr>
          <w:rFonts w:ascii="Georgia" w:hAnsi="Georgia"/>
          <w:lang w:val="en-GB"/>
        </w:rPr>
        <w:t>2028-34)</w:t>
      </w:r>
      <w:r w:rsidR="00475A9F" w:rsidRPr="0002056A">
        <w:rPr>
          <w:rFonts w:ascii="Georgia" w:hAnsi="Georgia"/>
          <w:lang w:val="en-GB"/>
        </w:rPr>
        <w:t xml:space="preserve"> </w:t>
      </w:r>
      <w:r w:rsidR="00430CD2" w:rsidRPr="0002056A">
        <w:rPr>
          <w:rFonts w:ascii="Georgia" w:hAnsi="Georgia"/>
          <w:lang w:val="en-GB"/>
        </w:rPr>
        <w:t>programming period</w:t>
      </w:r>
      <w:r w:rsidR="005B7FCA">
        <w:rPr>
          <w:rFonts w:ascii="Georgia" w:hAnsi="Georgia"/>
          <w:lang w:val="en-GB"/>
        </w:rPr>
        <w:t>s</w:t>
      </w:r>
      <w:r w:rsidRPr="0002056A">
        <w:rPr>
          <w:rFonts w:ascii="Georgia" w:hAnsi="Georgia"/>
          <w:lang w:val="en-GB"/>
        </w:rPr>
        <w:t xml:space="preserve">. Significant sums have been / will be allocated </w:t>
      </w:r>
      <w:r w:rsidR="000E380E">
        <w:rPr>
          <w:rFonts w:ascii="Georgia" w:hAnsi="Georgia"/>
          <w:lang w:val="en-GB"/>
        </w:rPr>
        <w:t>to climate mitigation and adaptation from EU funds, which, together with the fact that several medium- and long-term economic development objectives of states also focus</w:t>
      </w:r>
      <w:r w:rsidRPr="0002056A">
        <w:rPr>
          <w:rFonts w:ascii="Georgia" w:hAnsi="Georgia"/>
          <w:lang w:val="en-GB"/>
        </w:rPr>
        <w:t xml:space="preserve"> on these fields, underline the </w:t>
      </w:r>
      <w:r w:rsidR="00694FEA" w:rsidRPr="0002056A">
        <w:rPr>
          <w:rFonts w:ascii="Georgia" w:hAnsi="Georgia"/>
          <w:lang w:val="en-GB"/>
        </w:rPr>
        <w:t>importance</w:t>
      </w:r>
      <w:r w:rsidRPr="0002056A">
        <w:rPr>
          <w:rFonts w:ascii="Georgia" w:hAnsi="Georgia"/>
          <w:lang w:val="en-GB"/>
        </w:rPr>
        <w:t xml:space="preserve"> of the issue. The above-mentioned leading role can be especially seen in mitigation, indicated by the ambitious European </w:t>
      </w:r>
      <w:r w:rsidR="00E47046" w:rsidRPr="0002056A">
        <w:rPr>
          <w:rFonts w:ascii="Georgia" w:hAnsi="Georgia"/>
          <w:lang w:val="en-GB"/>
        </w:rPr>
        <w:t xml:space="preserve">energy </w:t>
      </w:r>
      <w:r w:rsidRPr="0002056A">
        <w:rPr>
          <w:rFonts w:ascii="Georgia" w:hAnsi="Georgia"/>
          <w:lang w:val="en-GB"/>
        </w:rPr>
        <w:t>policies and internationally binding emission reduction targets (</w:t>
      </w:r>
      <w:r w:rsidRPr="0002056A">
        <w:rPr>
          <w:rFonts w:ascii="Georgia" w:hAnsi="Georgia" w:cstheme="minorHAnsi"/>
          <w:smallCaps/>
          <w:lang w:val="en-GB"/>
        </w:rPr>
        <w:t>Heidrich et al</w:t>
      </w:r>
      <w:r w:rsidRPr="0002056A">
        <w:rPr>
          <w:rFonts w:ascii="Georgia" w:hAnsi="Georgia"/>
          <w:lang w:val="en-GB"/>
        </w:rPr>
        <w:t xml:space="preserve">., 2016); however, </w:t>
      </w:r>
      <w:r w:rsidR="000E380E">
        <w:rPr>
          <w:rFonts w:ascii="Georgia" w:hAnsi="Georgia"/>
          <w:lang w:val="en-GB"/>
        </w:rPr>
        <w:t>adaptation’s</w:t>
      </w:r>
      <w:r w:rsidR="000E380E" w:rsidRPr="0002056A">
        <w:rPr>
          <w:rFonts w:ascii="Georgia" w:hAnsi="Georgia"/>
          <w:lang w:val="en-GB"/>
        </w:rPr>
        <w:t xml:space="preserve"> </w:t>
      </w:r>
      <w:r w:rsidR="00764E3C" w:rsidRPr="0002056A">
        <w:rPr>
          <w:rFonts w:ascii="Georgia" w:hAnsi="Georgia"/>
          <w:lang w:val="en-GB"/>
        </w:rPr>
        <w:t>weight</w:t>
      </w:r>
      <w:r w:rsidRPr="0002056A">
        <w:rPr>
          <w:rFonts w:ascii="Georgia" w:hAnsi="Georgia"/>
          <w:lang w:val="en-GB"/>
        </w:rPr>
        <w:t xml:space="preserve"> </w:t>
      </w:r>
      <w:r w:rsidR="00812D7F" w:rsidRPr="0002056A">
        <w:rPr>
          <w:rFonts w:ascii="Georgia" w:hAnsi="Georgia"/>
          <w:lang w:val="en-GB"/>
        </w:rPr>
        <w:t xml:space="preserve">within climate policy has </w:t>
      </w:r>
      <w:r w:rsidRPr="0002056A">
        <w:rPr>
          <w:rFonts w:ascii="Georgia" w:hAnsi="Georgia"/>
          <w:lang w:val="en-GB"/>
        </w:rPr>
        <w:t>slow</w:t>
      </w:r>
      <w:r w:rsidR="00812D7F" w:rsidRPr="0002056A">
        <w:rPr>
          <w:rFonts w:ascii="Georgia" w:hAnsi="Georgia"/>
          <w:lang w:val="en-GB"/>
        </w:rPr>
        <w:t>ly</w:t>
      </w:r>
      <w:r w:rsidRPr="0002056A">
        <w:rPr>
          <w:rFonts w:ascii="Georgia" w:hAnsi="Georgia"/>
          <w:lang w:val="en-GB"/>
        </w:rPr>
        <w:t xml:space="preserve"> increase</w:t>
      </w:r>
      <w:r w:rsidR="00812D7F" w:rsidRPr="0002056A">
        <w:rPr>
          <w:rFonts w:ascii="Georgia" w:hAnsi="Georgia"/>
          <w:lang w:val="en-GB"/>
        </w:rPr>
        <w:t>d during the recent decade</w:t>
      </w:r>
      <w:r w:rsidR="00FC687B">
        <w:rPr>
          <w:rFonts w:ascii="Georgia" w:hAnsi="Georgia"/>
          <w:lang w:val="en-GB"/>
        </w:rPr>
        <w:t xml:space="preserve"> (</w:t>
      </w:r>
      <w:r w:rsidR="008B653C">
        <w:rPr>
          <w:rFonts w:ascii="Georgia" w:hAnsi="Georgia" w:cstheme="minorHAnsi"/>
          <w:smallCaps/>
        </w:rPr>
        <w:t>EEA,</w:t>
      </w:r>
      <w:r w:rsidR="002574F6">
        <w:rPr>
          <w:rFonts w:ascii="Georgia" w:hAnsi="Georgia" w:cstheme="minorHAnsi"/>
          <w:smallCaps/>
        </w:rPr>
        <w:t xml:space="preserve"> </w:t>
      </w:r>
      <w:r w:rsidR="008B653C">
        <w:rPr>
          <w:rFonts w:ascii="Georgia" w:hAnsi="Georgia" w:cstheme="minorHAnsi"/>
          <w:smallCaps/>
        </w:rPr>
        <w:t xml:space="preserve">2016 </w:t>
      </w:r>
      <w:r w:rsidR="008B653C" w:rsidRPr="008B653C">
        <w:rPr>
          <w:rFonts w:ascii="Georgia" w:hAnsi="Georgia" w:cstheme="minorHAnsi"/>
        </w:rPr>
        <w:t>and</w:t>
      </w:r>
      <w:r w:rsidR="008B653C">
        <w:rPr>
          <w:rFonts w:ascii="Georgia" w:hAnsi="Georgia" w:cstheme="minorHAnsi"/>
          <w:smallCaps/>
        </w:rPr>
        <w:t xml:space="preserve"> 2020; Pringle et al., 2017;</w:t>
      </w:r>
      <w:r w:rsidR="002574F6">
        <w:rPr>
          <w:rFonts w:ascii="Georgia" w:hAnsi="Georgia" w:cstheme="minorHAnsi"/>
          <w:smallCaps/>
        </w:rPr>
        <w:t xml:space="preserve"> Sütő, 2023; Sütő et al., 2023</w:t>
      </w:r>
      <w:r w:rsidR="00FC687B">
        <w:rPr>
          <w:rFonts w:ascii="Georgia" w:hAnsi="Georgia"/>
          <w:lang w:val="en-GB"/>
        </w:rPr>
        <w:t>)</w:t>
      </w:r>
      <w:r w:rsidRPr="0002056A">
        <w:rPr>
          <w:rFonts w:ascii="Georgia" w:hAnsi="Georgia"/>
          <w:lang w:val="en-GB"/>
        </w:rPr>
        <w:t>.</w:t>
      </w:r>
    </w:p>
    <w:p w14:paraId="7846A20E" w14:textId="58C47ADB" w:rsidR="0081022F" w:rsidRPr="0002056A" w:rsidRDefault="0081022F" w:rsidP="00CD5BF3">
      <w:pPr>
        <w:spacing w:before="120" w:after="120"/>
        <w:jc w:val="both"/>
        <w:rPr>
          <w:rFonts w:ascii="Georgia" w:hAnsi="Georgia"/>
          <w:lang w:val="en-GB"/>
        </w:rPr>
      </w:pPr>
      <w:r w:rsidRPr="0002056A">
        <w:rPr>
          <w:rFonts w:ascii="Georgia" w:hAnsi="Georgia"/>
          <w:lang w:val="en-GB"/>
        </w:rPr>
        <w:t>As a consequence of the processes mentioned above, within development policy</w:t>
      </w:r>
      <w:r w:rsidR="004B7545" w:rsidRPr="0002056A">
        <w:rPr>
          <w:rFonts w:ascii="Georgia" w:hAnsi="Georgia"/>
          <w:lang w:val="en-GB"/>
        </w:rPr>
        <w:t xml:space="preserve"> </w:t>
      </w:r>
      <w:r w:rsidR="004A7B40" w:rsidRPr="0002056A">
        <w:rPr>
          <w:rFonts w:ascii="Georgia" w:hAnsi="Georgia"/>
          <w:lang w:val="en-GB"/>
        </w:rPr>
        <w:t xml:space="preserve">the </w:t>
      </w:r>
      <w:r w:rsidRPr="0002056A">
        <w:rPr>
          <w:rFonts w:ascii="Georgia" w:hAnsi="Georgia"/>
          <w:lang w:val="en-GB"/>
        </w:rPr>
        <w:t>climate policy</w:t>
      </w:r>
      <w:r w:rsidR="00F70777" w:rsidRPr="0002056A">
        <w:rPr>
          <w:rFonts w:ascii="Georgia" w:hAnsi="Georgia"/>
          <w:lang w:val="en-GB"/>
        </w:rPr>
        <w:t>;</w:t>
      </w:r>
      <w:r w:rsidRPr="0002056A">
        <w:rPr>
          <w:rFonts w:ascii="Georgia" w:hAnsi="Georgia"/>
          <w:lang w:val="en-GB"/>
        </w:rPr>
        <w:t xml:space="preserve"> and within </w:t>
      </w:r>
      <w:r w:rsidR="00F70777" w:rsidRPr="0002056A">
        <w:rPr>
          <w:rFonts w:ascii="Georgia" w:hAnsi="Georgia"/>
          <w:lang w:val="en-GB"/>
        </w:rPr>
        <w:t>climate policy</w:t>
      </w:r>
      <w:r w:rsidRPr="0002056A">
        <w:rPr>
          <w:rFonts w:ascii="Georgia" w:hAnsi="Georgia"/>
          <w:lang w:val="en-GB"/>
        </w:rPr>
        <w:t xml:space="preserve">, </w:t>
      </w:r>
      <w:r w:rsidR="00EE1F38">
        <w:rPr>
          <w:rFonts w:ascii="Georgia" w:hAnsi="Georgia"/>
          <w:lang w:val="en-GB"/>
        </w:rPr>
        <w:t>i</w:t>
      </w:r>
      <w:r w:rsidR="00F453B1" w:rsidRPr="0002056A">
        <w:rPr>
          <w:rFonts w:ascii="Georgia" w:hAnsi="Georgia"/>
          <w:lang w:val="en-GB"/>
        </w:rPr>
        <w:t>t</w:t>
      </w:r>
      <w:r w:rsidR="00EE1F38">
        <w:rPr>
          <w:rFonts w:ascii="Georgia" w:hAnsi="Georgia"/>
          <w:lang w:val="en-GB"/>
        </w:rPr>
        <w:t>s</w:t>
      </w:r>
      <w:r w:rsidR="00F453B1" w:rsidRPr="0002056A">
        <w:rPr>
          <w:rFonts w:ascii="Georgia" w:hAnsi="Georgia"/>
          <w:lang w:val="en-GB"/>
        </w:rPr>
        <w:t xml:space="preserve"> </w:t>
      </w:r>
      <w:r w:rsidRPr="0002056A">
        <w:rPr>
          <w:rFonts w:ascii="Georgia" w:hAnsi="Georgia"/>
          <w:lang w:val="en-GB"/>
        </w:rPr>
        <w:t xml:space="preserve">adaptation </w:t>
      </w:r>
      <w:r w:rsidR="00E47046" w:rsidRPr="0002056A">
        <w:rPr>
          <w:rFonts w:ascii="Georgia" w:hAnsi="Georgia"/>
          <w:lang w:val="en-GB"/>
        </w:rPr>
        <w:t xml:space="preserve">pillar started to </w:t>
      </w:r>
      <w:r w:rsidR="00CA0C46" w:rsidRPr="0002056A">
        <w:rPr>
          <w:rFonts w:ascii="Georgia" w:hAnsi="Georgia"/>
          <w:lang w:val="en-GB"/>
        </w:rPr>
        <w:t>demand</w:t>
      </w:r>
      <w:r w:rsidRPr="0002056A">
        <w:rPr>
          <w:rFonts w:ascii="Georgia" w:hAnsi="Georgia"/>
          <w:lang w:val="en-GB"/>
        </w:rPr>
        <w:t xml:space="preserve"> attention worldwide</w:t>
      </w:r>
      <w:r w:rsidRPr="0002056A">
        <w:rPr>
          <w:rFonts w:ascii="Georgia" w:hAnsi="Georgia"/>
          <w:b/>
          <w:lang w:val="en-GB"/>
        </w:rPr>
        <w:t xml:space="preserve"> </w:t>
      </w:r>
      <w:r w:rsidRPr="0002056A">
        <w:rPr>
          <w:rFonts w:ascii="Georgia" w:hAnsi="Georgia"/>
          <w:bCs/>
          <w:lang w:val="en-GB"/>
        </w:rPr>
        <w:t>(</w:t>
      </w:r>
      <w:r w:rsidRPr="0002056A">
        <w:rPr>
          <w:rFonts w:ascii="Georgia" w:hAnsi="Georgia" w:cstheme="minorHAnsi"/>
          <w:bCs/>
          <w:smallCaps/>
          <w:lang w:val="en-GB"/>
        </w:rPr>
        <w:t>Schmidt, 2009</w:t>
      </w:r>
      <w:r w:rsidRPr="0002056A">
        <w:rPr>
          <w:rFonts w:ascii="Georgia" w:hAnsi="Georgia"/>
          <w:bCs/>
          <w:lang w:val="en-GB"/>
        </w:rPr>
        <w:t>).</w:t>
      </w:r>
      <w:r w:rsidRPr="0002056A">
        <w:rPr>
          <w:rFonts w:ascii="Georgia" w:hAnsi="Georgia"/>
          <w:lang w:val="en-GB"/>
        </w:rPr>
        <w:t xml:space="preserve"> Nevertheless, </w:t>
      </w:r>
      <w:r w:rsidRPr="0002056A">
        <w:rPr>
          <w:rFonts w:ascii="Georgia" w:hAnsi="Georgia"/>
          <w:b/>
          <w:bCs/>
          <w:lang w:val="en-GB"/>
        </w:rPr>
        <w:t>there is a significant difference between the two climate policy pillars.</w:t>
      </w:r>
      <w:r w:rsidRPr="0002056A">
        <w:rPr>
          <w:rFonts w:ascii="Georgia" w:hAnsi="Georgia"/>
          <w:lang w:val="en-GB"/>
        </w:rPr>
        <w:t xml:space="preserve"> While Greenhouse Gas (GHG) emission</w:t>
      </w:r>
      <w:r w:rsidR="00B46900" w:rsidRPr="0002056A">
        <w:rPr>
          <w:rFonts w:ascii="Georgia" w:hAnsi="Georgia"/>
          <w:lang w:val="en-GB"/>
        </w:rPr>
        <w:t>s</w:t>
      </w:r>
      <w:r w:rsidRPr="0002056A">
        <w:rPr>
          <w:rFonts w:ascii="Georgia" w:hAnsi="Georgia"/>
          <w:lang w:val="en-GB"/>
        </w:rPr>
        <w:t xml:space="preserve"> cause </w:t>
      </w:r>
      <w:r w:rsidR="000E380E">
        <w:rPr>
          <w:rFonts w:ascii="Georgia" w:hAnsi="Georgia"/>
          <w:lang w:val="en-GB"/>
        </w:rPr>
        <w:t xml:space="preserve">global problems and their management requires </w:t>
      </w:r>
      <w:r w:rsidR="00751C9C">
        <w:rPr>
          <w:rFonts w:ascii="Georgia" w:hAnsi="Georgia"/>
          <w:lang w:val="en-GB"/>
        </w:rPr>
        <w:t>transnational</w:t>
      </w:r>
      <w:r w:rsidR="000E380E">
        <w:rPr>
          <w:rFonts w:ascii="Georgia" w:hAnsi="Georgia"/>
          <w:lang w:val="en-GB"/>
        </w:rPr>
        <w:t xml:space="preserve"> cooperation and negotiations, adaptation must provide spatially tailored solutions for specific</w:t>
      </w:r>
      <w:r w:rsidRPr="0002056A">
        <w:rPr>
          <w:rFonts w:ascii="Georgia" w:hAnsi="Georgia"/>
          <w:lang w:val="en-GB"/>
        </w:rPr>
        <w:t xml:space="preserve"> </w:t>
      </w:r>
      <w:r w:rsidR="00DD5446" w:rsidRPr="0002056A">
        <w:rPr>
          <w:rFonts w:ascii="Georgia" w:hAnsi="Georgia"/>
          <w:lang w:val="en-GB"/>
        </w:rPr>
        <w:t>regional/</w:t>
      </w:r>
      <w:r w:rsidRPr="0002056A">
        <w:rPr>
          <w:rFonts w:ascii="Georgia" w:hAnsi="Georgia"/>
          <w:lang w:val="en-GB"/>
        </w:rPr>
        <w:t>local climate impacts</w:t>
      </w:r>
      <w:r w:rsidRPr="0002056A">
        <w:rPr>
          <w:rFonts w:ascii="Georgia" w:hAnsi="Georgia"/>
          <w:b/>
          <w:lang w:val="en-GB"/>
        </w:rPr>
        <w:t xml:space="preserve"> </w:t>
      </w:r>
      <w:r w:rsidRPr="0002056A">
        <w:rPr>
          <w:rFonts w:ascii="Georgia" w:hAnsi="Georgia" w:cstheme="minorHAnsi"/>
          <w:smallCaps/>
          <w:lang w:val="en-GB"/>
        </w:rPr>
        <w:t>(Heidrich et al., 2016; Birchall &amp; Bonnet</w:t>
      </w:r>
      <w:r w:rsidRPr="0002056A">
        <w:rPr>
          <w:rFonts w:ascii="Georgia" w:hAnsi="Georgia"/>
          <w:lang w:val="en-GB"/>
        </w:rPr>
        <w:t>, 202</w:t>
      </w:r>
      <w:r w:rsidR="00A84768" w:rsidRPr="0002056A">
        <w:rPr>
          <w:rFonts w:ascii="Georgia" w:hAnsi="Georgia"/>
          <w:lang w:val="en-GB"/>
        </w:rPr>
        <w:t>1</w:t>
      </w:r>
      <w:r w:rsidRPr="0002056A">
        <w:rPr>
          <w:rFonts w:ascii="Georgia" w:hAnsi="Georgia"/>
          <w:lang w:val="en-GB"/>
        </w:rPr>
        <w:t xml:space="preserve">; </w:t>
      </w:r>
      <w:r w:rsidRPr="0002056A">
        <w:rPr>
          <w:rFonts w:ascii="Georgia" w:hAnsi="Georgia" w:cstheme="minorHAnsi"/>
          <w:smallCaps/>
          <w:lang w:val="en-GB"/>
        </w:rPr>
        <w:t>Birchall et al.</w:t>
      </w:r>
      <w:r w:rsidRPr="0002056A">
        <w:rPr>
          <w:rFonts w:ascii="Georgia" w:hAnsi="Georgia"/>
          <w:lang w:val="en-GB"/>
        </w:rPr>
        <w:t>, 2022</w:t>
      </w:r>
      <w:r w:rsidR="00EE1F38">
        <w:rPr>
          <w:rFonts w:ascii="Georgia" w:hAnsi="Georgia"/>
          <w:lang w:val="en-GB"/>
        </w:rPr>
        <w:t>;</w:t>
      </w:r>
      <w:r w:rsidR="007B34F0" w:rsidRPr="0002056A">
        <w:rPr>
          <w:rFonts w:ascii="Georgia" w:hAnsi="Georgia"/>
          <w:lang w:val="en-GB"/>
        </w:rPr>
        <w:t xml:space="preserve"> </w:t>
      </w:r>
      <w:r w:rsidR="007B34F0" w:rsidRPr="0002056A">
        <w:rPr>
          <w:rFonts w:ascii="Georgia" w:hAnsi="Georgia" w:cstheme="minorHAnsi"/>
          <w:smallCaps/>
          <w:lang w:val="en-GB"/>
        </w:rPr>
        <w:t>Sütő</w:t>
      </w:r>
      <w:r w:rsidR="007B34F0" w:rsidRPr="0002056A">
        <w:rPr>
          <w:rFonts w:ascii="Georgia" w:hAnsi="Georgia"/>
          <w:lang w:val="en-GB"/>
        </w:rPr>
        <w:t>, 2023</w:t>
      </w:r>
      <w:r w:rsidRPr="0002056A">
        <w:rPr>
          <w:rFonts w:ascii="Georgia" w:hAnsi="Georgia" w:cstheme="minorHAnsi"/>
          <w:smallCaps/>
          <w:lang w:val="en-GB"/>
        </w:rPr>
        <w:t>).</w:t>
      </w:r>
      <w:r w:rsidRPr="0002056A">
        <w:rPr>
          <w:rFonts w:ascii="Georgia" w:hAnsi="Georgia"/>
          <w:lang w:val="en-GB"/>
        </w:rPr>
        <w:t xml:space="preserve"> Local communities elaborate these responses through local planning and implement</w:t>
      </w:r>
      <w:r w:rsidR="00EE1F38">
        <w:rPr>
          <w:rFonts w:ascii="Georgia" w:hAnsi="Georgia"/>
          <w:lang w:val="en-GB"/>
        </w:rPr>
        <w:t xml:space="preserve"> the actions</w:t>
      </w:r>
      <w:r w:rsidR="00DD5446" w:rsidRPr="0002056A">
        <w:rPr>
          <w:rFonts w:ascii="Georgia" w:hAnsi="Georgia"/>
          <w:lang w:val="en-GB"/>
        </w:rPr>
        <w:t>. A</w:t>
      </w:r>
      <w:r w:rsidRPr="0002056A">
        <w:rPr>
          <w:rFonts w:ascii="Georgia" w:hAnsi="Georgia"/>
          <w:lang w:val="en-GB"/>
        </w:rPr>
        <w:t xml:space="preserve">daptation is definitely more </w:t>
      </w:r>
      <w:r w:rsidR="000E380E">
        <w:rPr>
          <w:rFonts w:ascii="Georgia" w:hAnsi="Georgia"/>
          <w:lang w:val="en-GB"/>
        </w:rPr>
        <w:t>of a local/regional issue than mitigation,</w:t>
      </w:r>
      <w:r w:rsidRPr="0002056A">
        <w:rPr>
          <w:rFonts w:ascii="Georgia" w:hAnsi="Georgia"/>
          <w:lang w:val="en-GB"/>
        </w:rPr>
        <w:t xml:space="preserve"> and it operates more effectively </w:t>
      </w:r>
      <w:r w:rsidR="000E380E">
        <w:rPr>
          <w:rFonts w:ascii="Georgia" w:hAnsi="Georgia"/>
          <w:lang w:val="en-GB"/>
        </w:rPr>
        <w:t>at lower spatial (at national or even lower</w:t>
      </w:r>
      <w:r w:rsidR="006240C6">
        <w:rPr>
          <w:rFonts w:ascii="Georgia" w:hAnsi="Georgia"/>
          <w:lang w:val="en-GB"/>
        </w:rPr>
        <w:t>)</w:t>
      </w:r>
      <w:r w:rsidR="000E380E">
        <w:rPr>
          <w:rFonts w:ascii="Georgia" w:hAnsi="Georgia"/>
          <w:lang w:val="en-GB"/>
        </w:rPr>
        <w:t xml:space="preserve"> levels</w:t>
      </w:r>
      <w:r w:rsidR="006240C6">
        <w:rPr>
          <w:rFonts w:ascii="Georgia" w:hAnsi="Georgia"/>
          <w:lang w:val="en-GB"/>
        </w:rPr>
        <w:t xml:space="preserve"> </w:t>
      </w:r>
      <w:r w:rsidR="000E380E">
        <w:rPr>
          <w:rFonts w:ascii="Georgia" w:hAnsi="Georgia"/>
          <w:lang w:val="en-GB"/>
        </w:rPr>
        <w:t xml:space="preserve">than at trans-/macroregional or continental </w:t>
      </w:r>
      <w:r w:rsidR="006240C6">
        <w:rPr>
          <w:rFonts w:ascii="Georgia" w:hAnsi="Georgia"/>
          <w:lang w:val="en-GB"/>
        </w:rPr>
        <w:t>ones</w:t>
      </w:r>
      <w:r w:rsidRPr="0002056A">
        <w:rPr>
          <w:rFonts w:ascii="Georgia" w:hAnsi="Georgia"/>
          <w:lang w:val="en-GB"/>
        </w:rPr>
        <w:t xml:space="preserve">. </w:t>
      </w:r>
      <w:r w:rsidR="003578A4" w:rsidRPr="0002056A">
        <w:rPr>
          <w:rFonts w:ascii="Georgia" w:hAnsi="Georgia"/>
          <w:lang w:val="en-GB"/>
        </w:rPr>
        <w:t>Adaptation</w:t>
      </w:r>
      <w:r w:rsidRPr="0002056A">
        <w:rPr>
          <w:rFonts w:ascii="Georgia" w:hAnsi="Georgia"/>
          <w:lang w:val="en-GB"/>
        </w:rPr>
        <w:t xml:space="preserve"> responses can be more effective</w:t>
      </w:r>
      <w:r w:rsidR="004B7545" w:rsidRPr="0002056A">
        <w:rPr>
          <w:rFonts w:ascii="Georgia" w:hAnsi="Georgia"/>
          <w:lang w:val="en-GB"/>
        </w:rPr>
        <w:t xml:space="preserve"> </w:t>
      </w:r>
      <w:r w:rsidRPr="0002056A">
        <w:rPr>
          <w:rFonts w:ascii="Georgia" w:hAnsi="Georgia"/>
          <w:lang w:val="en-GB"/>
        </w:rPr>
        <w:t>at the local</w:t>
      </w:r>
      <w:r w:rsidR="00BA15F5" w:rsidRPr="0002056A">
        <w:rPr>
          <w:rFonts w:ascii="Georgia" w:hAnsi="Georgia"/>
          <w:lang w:val="en-GB"/>
        </w:rPr>
        <w:t>/regional</w:t>
      </w:r>
      <w:r w:rsidRPr="0002056A">
        <w:rPr>
          <w:rFonts w:ascii="Georgia" w:hAnsi="Georgia"/>
          <w:lang w:val="en-GB"/>
        </w:rPr>
        <w:t xml:space="preserve"> level </w:t>
      </w:r>
      <w:r w:rsidR="00154158" w:rsidRPr="0002056A">
        <w:rPr>
          <w:rFonts w:ascii="Georgia" w:hAnsi="Georgia"/>
          <w:lang w:val="en-GB"/>
        </w:rPr>
        <w:t xml:space="preserve">(implemented </w:t>
      </w:r>
      <w:r w:rsidRPr="0002056A">
        <w:rPr>
          <w:rFonts w:ascii="Georgia" w:hAnsi="Georgia"/>
          <w:lang w:val="en-GB"/>
        </w:rPr>
        <w:t>by municipalities</w:t>
      </w:r>
      <w:r w:rsidR="00BA15F5" w:rsidRPr="0002056A">
        <w:rPr>
          <w:rFonts w:ascii="Georgia" w:hAnsi="Georgia"/>
          <w:lang w:val="en-GB"/>
        </w:rPr>
        <w:t>,</w:t>
      </w:r>
      <w:r w:rsidRPr="0002056A">
        <w:rPr>
          <w:rFonts w:ascii="Georgia" w:hAnsi="Georgia"/>
          <w:lang w:val="en-GB"/>
        </w:rPr>
        <w:t xml:space="preserve"> </w:t>
      </w:r>
      <w:r w:rsidR="000E380E">
        <w:rPr>
          <w:rFonts w:ascii="Georgia" w:hAnsi="Georgia"/>
          <w:lang w:val="en-GB"/>
        </w:rPr>
        <w:t>microregions, or subnational regions), where local problems are known to locals</w:t>
      </w:r>
      <w:r w:rsidR="00A31824">
        <w:rPr>
          <w:rFonts w:ascii="Georgia" w:hAnsi="Georgia"/>
          <w:lang w:val="en-GB"/>
        </w:rPr>
        <w:t>,</w:t>
      </w:r>
      <w:r w:rsidR="000E380E">
        <w:rPr>
          <w:rFonts w:ascii="Georgia" w:hAnsi="Georgia"/>
          <w:lang w:val="en-GB"/>
        </w:rPr>
        <w:t xml:space="preserve"> and potential responses can be identified relatively</w:t>
      </w:r>
      <w:r w:rsidR="000E380E" w:rsidRPr="0002056A">
        <w:rPr>
          <w:rFonts w:ascii="Georgia" w:hAnsi="Georgia"/>
          <w:lang w:val="en-GB"/>
        </w:rPr>
        <w:t xml:space="preserve"> </w:t>
      </w:r>
      <w:r w:rsidRPr="0002056A">
        <w:rPr>
          <w:rFonts w:ascii="Georgia" w:hAnsi="Georgia"/>
          <w:lang w:val="en-GB"/>
        </w:rPr>
        <w:t xml:space="preserve">easily. </w:t>
      </w:r>
      <w:r w:rsidR="0038504C">
        <w:rPr>
          <w:rFonts w:ascii="Georgia" w:hAnsi="Georgia"/>
          <w:lang w:val="en-GB"/>
        </w:rPr>
        <w:t>A definite</w:t>
      </w:r>
      <w:r w:rsidR="00EC0637" w:rsidRPr="0002056A">
        <w:rPr>
          <w:rFonts w:ascii="Georgia" w:hAnsi="Georgia"/>
          <w:lang w:val="en-GB"/>
        </w:rPr>
        <w:t xml:space="preserve"> place-based</w:t>
      </w:r>
      <w:r w:rsidRPr="0002056A">
        <w:rPr>
          <w:rFonts w:ascii="Georgia" w:hAnsi="Georgia"/>
          <w:lang w:val="en-GB"/>
        </w:rPr>
        <w:t xml:space="preserve"> </w:t>
      </w:r>
      <w:r w:rsidR="002666D7" w:rsidRPr="0002056A">
        <w:rPr>
          <w:rFonts w:ascii="Georgia" w:hAnsi="Georgia"/>
          <w:lang w:val="en-GB"/>
        </w:rPr>
        <w:t>logic</w:t>
      </w:r>
      <w:r w:rsidRPr="0002056A">
        <w:rPr>
          <w:rFonts w:ascii="Georgia" w:hAnsi="Georgia"/>
          <w:lang w:val="en-GB"/>
        </w:rPr>
        <w:t xml:space="preserve"> can be detected</w:t>
      </w:r>
      <w:r w:rsidR="0038504C">
        <w:rPr>
          <w:rFonts w:ascii="Georgia" w:hAnsi="Georgia"/>
          <w:lang w:val="en-GB"/>
        </w:rPr>
        <w:t xml:space="preserve"> here</w:t>
      </w:r>
      <w:r w:rsidRPr="0002056A">
        <w:rPr>
          <w:rFonts w:ascii="Georgia" w:hAnsi="Georgia"/>
          <w:lang w:val="en-GB"/>
        </w:rPr>
        <w:t>.</w:t>
      </w:r>
    </w:p>
    <w:p w14:paraId="6262C2FD" w14:textId="00CDF8AD" w:rsidR="00A83ADF" w:rsidRPr="0002056A" w:rsidRDefault="00603C2D" w:rsidP="00CD5BF3">
      <w:pPr>
        <w:spacing w:before="120" w:after="120"/>
        <w:jc w:val="both"/>
        <w:rPr>
          <w:rFonts w:ascii="Georgia" w:hAnsi="Georgia"/>
          <w:bCs/>
          <w:lang w:val="en-GB"/>
        </w:rPr>
      </w:pPr>
      <w:r w:rsidRPr="0002056A">
        <w:rPr>
          <w:rFonts w:ascii="Georgia" w:hAnsi="Georgia"/>
          <w:bCs/>
          <w:lang w:val="en-GB"/>
        </w:rPr>
        <w:t xml:space="preserve">Climate policy </w:t>
      </w:r>
      <w:r w:rsidR="00A31824">
        <w:rPr>
          <w:rFonts w:ascii="Georgia" w:hAnsi="Georgia"/>
          <w:bCs/>
          <w:lang w:val="en-GB"/>
        </w:rPr>
        <w:t>in the previous decades was originally dominated by the mitigation pillar: the majority of the goals and allocated support focused on decarbonising</w:t>
      </w:r>
      <w:r w:rsidR="00060C00" w:rsidRPr="0002056A">
        <w:rPr>
          <w:rFonts w:ascii="Georgia" w:hAnsi="Georgia"/>
          <w:bCs/>
          <w:lang w:val="en-GB"/>
        </w:rPr>
        <w:t xml:space="preserve"> different sectors</w:t>
      </w:r>
      <w:r w:rsidR="00C31AB7">
        <w:rPr>
          <w:rFonts w:ascii="Georgia" w:hAnsi="Georgia"/>
          <w:bCs/>
          <w:lang w:val="en-GB"/>
        </w:rPr>
        <w:t xml:space="preserve"> (</w:t>
      </w:r>
      <w:r w:rsidR="00C31AB7">
        <w:rPr>
          <w:rFonts w:ascii="Georgia" w:hAnsi="Georgia" w:cstheme="minorHAnsi"/>
          <w:smallCaps/>
        </w:rPr>
        <w:t>EEA, 201</w:t>
      </w:r>
      <w:r w:rsidR="004D49FD">
        <w:rPr>
          <w:rFonts w:ascii="Georgia" w:hAnsi="Georgia" w:cstheme="minorHAnsi"/>
          <w:smallCaps/>
        </w:rPr>
        <w:t>5</w:t>
      </w:r>
      <w:r w:rsidR="00C31AB7">
        <w:rPr>
          <w:rFonts w:ascii="Georgia" w:hAnsi="Georgia" w:cstheme="minorHAnsi"/>
          <w:smallCaps/>
        </w:rPr>
        <w:t xml:space="preserve"> </w:t>
      </w:r>
      <w:r w:rsidR="00C31AB7" w:rsidRPr="008B653C">
        <w:rPr>
          <w:rFonts w:ascii="Georgia" w:hAnsi="Georgia" w:cstheme="minorHAnsi"/>
        </w:rPr>
        <w:t>and</w:t>
      </w:r>
      <w:r w:rsidR="00C31AB7">
        <w:rPr>
          <w:rFonts w:ascii="Georgia" w:hAnsi="Georgia" w:cstheme="minorHAnsi"/>
          <w:smallCaps/>
        </w:rPr>
        <w:t xml:space="preserve"> 2020; Pringle et al., 2017</w:t>
      </w:r>
      <w:r w:rsidR="00AB2827">
        <w:rPr>
          <w:rFonts w:ascii="Georgia" w:hAnsi="Georgia" w:cstheme="minorHAnsi"/>
          <w:smallCaps/>
        </w:rPr>
        <w:t>; Leiter, 2021</w:t>
      </w:r>
      <w:r w:rsidR="00C31AB7">
        <w:rPr>
          <w:rFonts w:ascii="Georgia" w:hAnsi="Georgia"/>
          <w:bCs/>
          <w:lang w:val="en-GB"/>
        </w:rPr>
        <w:t>)</w:t>
      </w:r>
      <w:r w:rsidR="00060C00" w:rsidRPr="0002056A">
        <w:rPr>
          <w:rFonts w:ascii="Georgia" w:hAnsi="Georgia"/>
          <w:bCs/>
          <w:lang w:val="en-GB"/>
        </w:rPr>
        <w:t xml:space="preserve">. </w:t>
      </w:r>
      <w:r w:rsidR="00A80B53" w:rsidRPr="0002056A">
        <w:rPr>
          <w:rFonts w:ascii="Georgia" w:hAnsi="Georgia"/>
          <w:bCs/>
          <w:lang w:val="en-GB"/>
        </w:rPr>
        <w:t xml:space="preserve">However, it seems that </w:t>
      </w:r>
      <w:r w:rsidR="008F1D31" w:rsidRPr="0002056A">
        <w:rPr>
          <w:rFonts w:ascii="Georgia" w:hAnsi="Georgia"/>
          <w:bCs/>
          <w:lang w:val="en-GB"/>
        </w:rPr>
        <w:t>miti</w:t>
      </w:r>
      <w:r w:rsidR="00A80B53" w:rsidRPr="0002056A">
        <w:rPr>
          <w:rFonts w:ascii="Georgia" w:hAnsi="Georgia"/>
          <w:bCs/>
          <w:lang w:val="en-GB"/>
        </w:rPr>
        <w:t>gation</w:t>
      </w:r>
      <w:r w:rsidR="008F1D31" w:rsidRPr="0002056A">
        <w:rPr>
          <w:rFonts w:ascii="Georgia" w:hAnsi="Georgia"/>
          <w:bCs/>
          <w:lang w:val="en-GB"/>
        </w:rPr>
        <w:t xml:space="preserve"> </w:t>
      </w:r>
      <w:r w:rsidR="00E35E47" w:rsidRPr="0002056A">
        <w:rPr>
          <w:rFonts w:ascii="Georgia" w:hAnsi="Georgia"/>
          <w:bCs/>
          <w:lang w:val="en-GB"/>
        </w:rPr>
        <w:t>h</w:t>
      </w:r>
      <w:r w:rsidR="00C544F0">
        <w:rPr>
          <w:rFonts w:ascii="Georgia" w:hAnsi="Georgia"/>
          <w:bCs/>
          <w:lang w:val="en-GB"/>
        </w:rPr>
        <w:t>as</w:t>
      </w:r>
      <w:r w:rsidR="00E35E47" w:rsidRPr="0002056A">
        <w:rPr>
          <w:rFonts w:ascii="Georgia" w:hAnsi="Georgia"/>
          <w:bCs/>
          <w:lang w:val="en-GB"/>
        </w:rPr>
        <w:t xml:space="preserve"> not </w:t>
      </w:r>
      <w:r w:rsidR="000E380E">
        <w:rPr>
          <w:rFonts w:ascii="Georgia" w:hAnsi="Georgia"/>
          <w:bCs/>
          <w:lang w:val="en-GB"/>
        </w:rPr>
        <w:t>fulfilled its intended function: the international and national GHG emission goals set for 2100 are not ambitious enough and will not be achieved</w:t>
      </w:r>
      <w:r w:rsidR="001025C5" w:rsidRPr="0002056A">
        <w:rPr>
          <w:rFonts w:ascii="Georgia" w:hAnsi="Georgia"/>
          <w:bCs/>
          <w:lang w:val="en-GB"/>
        </w:rPr>
        <w:t xml:space="preserve">, </w:t>
      </w:r>
      <w:r w:rsidR="008F1D31" w:rsidRPr="0002056A">
        <w:rPr>
          <w:rFonts w:ascii="Georgia" w:hAnsi="Georgia"/>
          <w:bCs/>
          <w:lang w:val="en-GB"/>
        </w:rPr>
        <w:t>as things stand</w:t>
      </w:r>
      <w:r w:rsidR="00DF012E">
        <w:rPr>
          <w:rFonts w:ascii="Georgia" w:hAnsi="Georgia"/>
          <w:bCs/>
          <w:lang w:val="en-GB"/>
        </w:rPr>
        <w:t xml:space="preserve"> (</w:t>
      </w:r>
      <w:r w:rsidR="00DF012E" w:rsidRPr="00D96AB1">
        <w:rPr>
          <w:rFonts w:ascii="Georgia" w:hAnsi="Georgia" w:cstheme="minorHAnsi"/>
          <w:bCs/>
          <w:smallCaps/>
          <w:lang w:val="en-GB"/>
        </w:rPr>
        <w:t xml:space="preserve">Faragó T., </w:t>
      </w:r>
      <w:r w:rsidR="00DF012E">
        <w:rPr>
          <w:rFonts w:ascii="Georgia" w:hAnsi="Georgia"/>
          <w:bCs/>
          <w:lang w:val="en-GB"/>
        </w:rPr>
        <w:t xml:space="preserve">2015; </w:t>
      </w:r>
      <w:r w:rsidR="00D96AB1" w:rsidRPr="00D96AB1">
        <w:rPr>
          <w:rFonts w:ascii="Georgia" w:hAnsi="Georgia" w:cstheme="minorHAnsi"/>
          <w:bCs/>
          <w:smallCaps/>
          <w:lang w:val="en-GB"/>
        </w:rPr>
        <w:t>UNFCCC</w:t>
      </w:r>
      <w:r w:rsidR="00D96AB1">
        <w:rPr>
          <w:rFonts w:ascii="Georgia" w:hAnsi="Georgia"/>
          <w:bCs/>
          <w:lang w:val="en-GB"/>
        </w:rPr>
        <w:t xml:space="preserve"> </w:t>
      </w:r>
      <w:r w:rsidR="00D96AB1">
        <w:rPr>
          <w:rFonts w:ascii="Georgia" w:hAnsi="Georgia"/>
          <w:bCs/>
          <w:lang w:val="en-GB"/>
        </w:rPr>
        <w:lastRenderedPageBreak/>
        <w:t>2021 and 2023)</w:t>
      </w:r>
      <w:r w:rsidR="008F1D31" w:rsidRPr="0002056A">
        <w:rPr>
          <w:rFonts w:ascii="Georgia" w:hAnsi="Georgia"/>
          <w:bCs/>
          <w:lang w:val="en-GB"/>
        </w:rPr>
        <w:t xml:space="preserve">. </w:t>
      </w:r>
      <w:r w:rsidR="00A80B53" w:rsidRPr="0002056A">
        <w:rPr>
          <w:rFonts w:ascii="Georgia" w:hAnsi="Georgia"/>
          <w:bCs/>
          <w:lang w:val="en-GB"/>
        </w:rPr>
        <w:t>M</w:t>
      </w:r>
      <w:r w:rsidR="008F1D31" w:rsidRPr="0002056A">
        <w:rPr>
          <w:rFonts w:ascii="Georgia" w:hAnsi="Georgia"/>
          <w:bCs/>
          <w:lang w:val="en-GB"/>
        </w:rPr>
        <w:t>eanwhile, the impacts and consequences of c</w:t>
      </w:r>
      <w:r w:rsidR="00A80B53" w:rsidRPr="0002056A">
        <w:rPr>
          <w:rFonts w:ascii="Georgia" w:hAnsi="Georgia"/>
          <w:bCs/>
          <w:lang w:val="en-GB"/>
        </w:rPr>
        <w:t xml:space="preserve">limate </w:t>
      </w:r>
      <w:r w:rsidR="008F1D31" w:rsidRPr="0002056A">
        <w:rPr>
          <w:rFonts w:ascii="Georgia" w:hAnsi="Georgia"/>
          <w:bCs/>
          <w:lang w:val="en-GB"/>
        </w:rPr>
        <w:t>c</w:t>
      </w:r>
      <w:r w:rsidR="00A80B53" w:rsidRPr="0002056A">
        <w:rPr>
          <w:rFonts w:ascii="Georgia" w:hAnsi="Georgia"/>
          <w:bCs/>
          <w:lang w:val="en-GB"/>
        </w:rPr>
        <w:t>hange</w:t>
      </w:r>
      <w:r w:rsidR="008F1D31" w:rsidRPr="0002056A">
        <w:rPr>
          <w:rFonts w:ascii="Georgia" w:hAnsi="Georgia"/>
          <w:bCs/>
          <w:lang w:val="en-GB"/>
        </w:rPr>
        <w:t xml:space="preserve"> already exist and are expected to </w:t>
      </w:r>
      <w:r w:rsidR="00A31824">
        <w:rPr>
          <w:rFonts w:ascii="Georgia" w:hAnsi="Georgia"/>
          <w:bCs/>
          <w:lang w:val="en-GB"/>
        </w:rPr>
        <w:t>persist for decades, if not centuries, indicating a growing need to prepare for them</w:t>
      </w:r>
      <w:r w:rsidR="003C6AC4" w:rsidRPr="0002056A">
        <w:rPr>
          <w:rFonts w:ascii="Georgia" w:hAnsi="Georgia"/>
          <w:bCs/>
          <w:lang w:val="en-GB"/>
        </w:rPr>
        <w:t xml:space="preserve">. </w:t>
      </w:r>
      <w:r w:rsidR="00645A26">
        <w:rPr>
          <w:rFonts w:ascii="Georgia" w:hAnsi="Georgia"/>
          <w:bCs/>
          <w:lang w:val="en-GB"/>
        </w:rPr>
        <w:t>The necessity to implement more efficient adaptation measures is increasing</w:t>
      </w:r>
      <w:r w:rsidR="00684123" w:rsidRPr="0002056A">
        <w:rPr>
          <w:rFonts w:ascii="Georgia" w:hAnsi="Georgia"/>
          <w:bCs/>
          <w:lang w:val="en-GB"/>
        </w:rPr>
        <w:t>,</w:t>
      </w:r>
      <w:r w:rsidR="001632B7" w:rsidRPr="0002056A">
        <w:rPr>
          <w:rFonts w:ascii="Georgia" w:hAnsi="Georgia"/>
          <w:bCs/>
          <w:lang w:val="en-GB"/>
        </w:rPr>
        <w:t xml:space="preserve"> turn</w:t>
      </w:r>
      <w:r w:rsidR="00684123" w:rsidRPr="0002056A">
        <w:rPr>
          <w:rFonts w:ascii="Georgia" w:hAnsi="Georgia"/>
          <w:bCs/>
          <w:lang w:val="en-GB"/>
        </w:rPr>
        <w:t>ing</w:t>
      </w:r>
      <w:r w:rsidR="001632B7" w:rsidRPr="0002056A">
        <w:rPr>
          <w:rFonts w:ascii="Georgia" w:hAnsi="Georgia"/>
          <w:bCs/>
          <w:lang w:val="en-GB"/>
        </w:rPr>
        <w:t xml:space="preserve"> </w:t>
      </w:r>
      <w:r w:rsidR="00A86E51">
        <w:rPr>
          <w:rFonts w:ascii="Georgia" w:hAnsi="Georgia"/>
          <w:bCs/>
          <w:lang w:val="en-GB"/>
        </w:rPr>
        <w:t>the</w:t>
      </w:r>
      <w:r w:rsidR="001632B7" w:rsidRPr="0002056A">
        <w:rPr>
          <w:rFonts w:ascii="Georgia" w:hAnsi="Georgia"/>
          <w:bCs/>
          <w:lang w:val="en-GB"/>
        </w:rPr>
        <w:t xml:space="preserve"> attention to this pillar of climate policy in a growing extent, putting an </w:t>
      </w:r>
      <w:r w:rsidR="00A83ADF" w:rsidRPr="0002056A">
        <w:rPr>
          <w:rFonts w:ascii="Georgia" w:hAnsi="Georgia"/>
          <w:bCs/>
          <w:lang w:val="en-GB"/>
        </w:rPr>
        <w:t>ever-growing</w:t>
      </w:r>
      <w:r w:rsidR="001632B7" w:rsidRPr="0002056A">
        <w:rPr>
          <w:rFonts w:ascii="Georgia" w:hAnsi="Georgia"/>
          <w:bCs/>
          <w:lang w:val="en-GB"/>
        </w:rPr>
        <w:t xml:space="preserve"> weight on adaptation policy activities and their </w:t>
      </w:r>
      <w:r w:rsidR="00ED4D7E" w:rsidRPr="0002056A">
        <w:rPr>
          <w:rFonts w:ascii="Georgia" w:hAnsi="Georgia"/>
          <w:bCs/>
          <w:lang w:val="en-GB"/>
        </w:rPr>
        <w:t>spatially</w:t>
      </w:r>
      <w:r w:rsidR="001632B7" w:rsidRPr="0002056A">
        <w:rPr>
          <w:rFonts w:ascii="Georgia" w:hAnsi="Georgia"/>
          <w:bCs/>
          <w:lang w:val="en-GB"/>
        </w:rPr>
        <w:t xml:space="preserve"> tailored res</w:t>
      </w:r>
      <w:r w:rsidR="00060C00" w:rsidRPr="0002056A">
        <w:rPr>
          <w:rFonts w:ascii="Georgia" w:hAnsi="Georgia"/>
          <w:bCs/>
          <w:lang w:val="en-GB"/>
        </w:rPr>
        <w:t>p</w:t>
      </w:r>
      <w:r w:rsidR="001632B7" w:rsidRPr="0002056A">
        <w:rPr>
          <w:rFonts w:ascii="Georgia" w:hAnsi="Georgia"/>
          <w:bCs/>
          <w:lang w:val="en-GB"/>
        </w:rPr>
        <w:t>onses</w:t>
      </w:r>
      <w:r w:rsidR="00060C00" w:rsidRPr="0002056A">
        <w:rPr>
          <w:rFonts w:ascii="Georgia" w:hAnsi="Georgia"/>
          <w:bCs/>
          <w:lang w:val="en-GB"/>
        </w:rPr>
        <w:t>.</w:t>
      </w:r>
      <w:r w:rsidR="008F1D31" w:rsidRPr="0002056A">
        <w:rPr>
          <w:rFonts w:ascii="Georgia" w:hAnsi="Georgia"/>
          <w:bCs/>
          <w:lang w:val="en-GB"/>
        </w:rPr>
        <w:t xml:space="preserve"> </w:t>
      </w:r>
    </w:p>
    <w:p w14:paraId="5768FBAB" w14:textId="597768D4" w:rsidR="00957ACB" w:rsidRDefault="00E5737F" w:rsidP="002F5719">
      <w:pPr>
        <w:spacing w:before="120" w:after="120"/>
        <w:jc w:val="both"/>
        <w:rPr>
          <w:rFonts w:ascii="Georgia" w:hAnsi="Georgia"/>
          <w:lang w:val="en-GB"/>
        </w:rPr>
      </w:pPr>
      <w:r w:rsidRPr="00274C48">
        <w:rPr>
          <w:rFonts w:ascii="Georgia" w:hAnsi="Georgia"/>
          <w:lang w:val="en-GB"/>
        </w:rPr>
        <w:t>Consequently,</w:t>
      </w:r>
      <w:r w:rsidRPr="00E5737F">
        <w:rPr>
          <w:rFonts w:ascii="Georgia" w:hAnsi="Georgia"/>
          <w:b/>
          <w:bCs/>
          <w:lang w:val="en-GB"/>
        </w:rPr>
        <w:t xml:space="preserve"> adaptation faces geographically (spatially) specific challenges</w:t>
      </w:r>
      <w:r w:rsidR="006B03E8">
        <w:rPr>
          <w:rFonts w:ascii="Georgia" w:hAnsi="Georgia"/>
          <w:b/>
          <w:bCs/>
          <w:lang w:val="en-GB"/>
        </w:rPr>
        <w:t>.</w:t>
      </w:r>
      <w:r w:rsidRPr="00E5737F">
        <w:rPr>
          <w:rFonts w:ascii="Georgia" w:hAnsi="Georgia"/>
          <w:b/>
          <w:bCs/>
          <w:lang w:val="en-GB"/>
        </w:rPr>
        <w:t xml:space="preserve"> </w:t>
      </w:r>
      <w:r w:rsidR="006B03E8">
        <w:rPr>
          <w:rFonts w:ascii="Georgia" w:hAnsi="Georgia"/>
          <w:lang w:val="en-GB"/>
        </w:rPr>
        <w:t>T</w:t>
      </w:r>
      <w:r w:rsidRPr="00274C48">
        <w:rPr>
          <w:rFonts w:ascii="Georgia" w:hAnsi="Georgia"/>
          <w:lang w:val="en-GB"/>
        </w:rPr>
        <w:t xml:space="preserve">herefore, </w:t>
      </w:r>
      <w:r w:rsidRPr="00082A54">
        <w:rPr>
          <w:rFonts w:ascii="Georgia" w:hAnsi="Georgia"/>
          <w:b/>
          <w:bCs/>
          <w:lang w:val="en-GB"/>
        </w:rPr>
        <w:t>it can only be effective if it is able to take into account spatial differences</w:t>
      </w:r>
      <w:r w:rsidRPr="00274C48">
        <w:rPr>
          <w:rFonts w:ascii="Georgia" w:hAnsi="Georgia"/>
          <w:lang w:val="en-GB"/>
        </w:rPr>
        <w:t>.</w:t>
      </w:r>
      <w:r w:rsidR="00DD018E" w:rsidRPr="0002056A">
        <w:rPr>
          <w:rFonts w:ascii="Georgia" w:hAnsi="Georgia"/>
          <w:lang w:val="en-GB"/>
        </w:rPr>
        <w:t xml:space="preserve"> </w:t>
      </w:r>
      <w:r w:rsidR="00274C48">
        <w:rPr>
          <w:rFonts w:ascii="Georgia" w:hAnsi="Georgia"/>
          <w:lang w:val="en-GB"/>
        </w:rPr>
        <w:t>S</w:t>
      </w:r>
      <w:r w:rsidR="003E60C4" w:rsidRPr="0002056A">
        <w:rPr>
          <w:rFonts w:ascii="Georgia" w:hAnsi="Georgia"/>
          <w:lang w:val="en-GB"/>
        </w:rPr>
        <w:t>pecial cli</w:t>
      </w:r>
      <w:r w:rsidR="00DD018E" w:rsidRPr="0002056A">
        <w:rPr>
          <w:rFonts w:ascii="Georgia" w:hAnsi="Georgia"/>
          <w:lang w:val="en-GB"/>
        </w:rPr>
        <w:t xml:space="preserve">matic </w:t>
      </w:r>
      <w:r w:rsidR="00F83328" w:rsidRPr="0002056A">
        <w:rPr>
          <w:rFonts w:ascii="Georgia" w:hAnsi="Georgia"/>
          <w:lang w:val="en-GB"/>
        </w:rPr>
        <w:t xml:space="preserve">(and other geographical) </w:t>
      </w:r>
      <w:r w:rsidR="00DD018E" w:rsidRPr="0002056A">
        <w:rPr>
          <w:rFonts w:ascii="Georgia" w:hAnsi="Georgia"/>
          <w:lang w:val="en-GB"/>
        </w:rPr>
        <w:t xml:space="preserve">factors </w:t>
      </w:r>
      <w:r w:rsidR="003E60C4" w:rsidRPr="0002056A">
        <w:rPr>
          <w:rFonts w:ascii="Georgia" w:hAnsi="Georgia"/>
          <w:lang w:val="en-GB"/>
        </w:rPr>
        <w:t xml:space="preserve">of places </w:t>
      </w:r>
      <w:r w:rsidR="00DD018E" w:rsidRPr="0002056A">
        <w:rPr>
          <w:rFonts w:ascii="Georgia" w:hAnsi="Georgia"/>
          <w:lang w:val="en-GB"/>
        </w:rPr>
        <w:t xml:space="preserve">determine the </w:t>
      </w:r>
      <w:r w:rsidR="003E60C4" w:rsidRPr="0002056A">
        <w:rPr>
          <w:rFonts w:ascii="Georgia" w:hAnsi="Georgia"/>
          <w:lang w:val="en-GB"/>
        </w:rPr>
        <w:t>geographically/</w:t>
      </w:r>
      <w:r w:rsidR="00DD018E" w:rsidRPr="0002056A">
        <w:rPr>
          <w:rFonts w:ascii="Georgia" w:hAnsi="Georgia"/>
          <w:lang w:val="en-GB"/>
        </w:rPr>
        <w:t xml:space="preserve">regionally different effects and consequences of climate change, which are among the most important elements of geographical features. </w:t>
      </w:r>
      <w:r w:rsidR="00ED0C72" w:rsidRPr="0002056A">
        <w:rPr>
          <w:rFonts w:ascii="Georgia" w:hAnsi="Georgia"/>
          <w:lang w:val="en-GB"/>
        </w:rPr>
        <w:t>S</w:t>
      </w:r>
      <w:r w:rsidR="00DD018E" w:rsidRPr="0002056A">
        <w:rPr>
          <w:rFonts w:ascii="Georgia" w:hAnsi="Georgia"/>
          <w:lang w:val="en-GB"/>
        </w:rPr>
        <w:t xml:space="preserve">ectoral/thematic vulnerability </w:t>
      </w:r>
      <w:r w:rsidR="00ED0C72" w:rsidRPr="0002056A">
        <w:rPr>
          <w:rFonts w:ascii="Georgia" w:hAnsi="Georgia"/>
          <w:lang w:val="en-GB"/>
        </w:rPr>
        <w:t>can be experienced</w:t>
      </w:r>
      <w:r w:rsidR="00DD018E" w:rsidRPr="0002056A">
        <w:rPr>
          <w:rFonts w:ascii="Georgia" w:hAnsi="Georgia"/>
          <w:lang w:val="en-GB"/>
        </w:rPr>
        <w:t xml:space="preserve"> locally (in </w:t>
      </w:r>
      <w:r w:rsidR="00082A54">
        <w:rPr>
          <w:rFonts w:ascii="Georgia" w:hAnsi="Georgia"/>
          <w:lang w:val="en-GB"/>
        </w:rPr>
        <w:t>settlements</w:t>
      </w:r>
      <w:r w:rsidR="00DD018E" w:rsidRPr="0002056A">
        <w:rPr>
          <w:rFonts w:ascii="Georgia" w:hAnsi="Georgia"/>
          <w:lang w:val="en-GB"/>
        </w:rPr>
        <w:t xml:space="preserve"> and regions), </w:t>
      </w:r>
      <w:r w:rsidR="00640ACF" w:rsidRPr="0002056A">
        <w:rPr>
          <w:rFonts w:ascii="Georgia" w:hAnsi="Georgia"/>
          <w:lang w:val="en-GB"/>
        </w:rPr>
        <w:t>and</w:t>
      </w:r>
      <w:r w:rsidR="00850CC2" w:rsidRPr="0002056A">
        <w:rPr>
          <w:rFonts w:ascii="Georgia" w:hAnsi="Georgia"/>
          <w:lang w:val="en-GB"/>
        </w:rPr>
        <w:t xml:space="preserve">, as we already </w:t>
      </w:r>
      <w:r w:rsidR="00A31824">
        <w:rPr>
          <w:rFonts w:ascii="Georgia" w:hAnsi="Georgia"/>
          <w:lang w:val="en-GB"/>
        </w:rPr>
        <w:t>mentioned, geographically distinct</w:t>
      </w:r>
      <w:r w:rsidR="00DD018E" w:rsidRPr="0002056A">
        <w:rPr>
          <w:rFonts w:ascii="Georgia" w:hAnsi="Georgia"/>
          <w:lang w:val="en-GB"/>
        </w:rPr>
        <w:t xml:space="preserve"> effects require </w:t>
      </w:r>
      <w:r w:rsidR="001F511B" w:rsidRPr="0002056A">
        <w:rPr>
          <w:rFonts w:ascii="Georgia" w:hAnsi="Georgia"/>
          <w:lang w:val="en-GB"/>
        </w:rPr>
        <w:t>spatial</w:t>
      </w:r>
      <w:r w:rsidR="00850CC2" w:rsidRPr="0002056A">
        <w:rPr>
          <w:rFonts w:ascii="Georgia" w:hAnsi="Georgia"/>
          <w:lang w:val="en-GB"/>
        </w:rPr>
        <w:t>l</w:t>
      </w:r>
      <w:r w:rsidR="001F511B" w:rsidRPr="0002056A">
        <w:rPr>
          <w:rFonts w:ascii="Georgia" w:hAnsi="Georgia"/>
          <w:lang w:val="en-GB"/>
        </w:rPr>
        <w:t>y tailored</w:t>
      </w:r>
      <w:r w:rsidR="00DD018E" w:rsidRPr="0002056A">
        <w:rPr>
          <w:rFonts w:ascii="Georgia" w:hAnsi="Georgia"/>
          <w:lang w:val="en-GB"/>
        </w:rPr>
        <w:t xml:space="preserve"> adaptation responses. </w:t>
      </w:r>
      <w:r w:rsidR="003E60C4" w:rsidRPr="0002056A">
        <w:rPr>
          <w:rFonts w:ascii="Georgia" w:hAnsi="Georgia"/>
          <w:lang w:val="en-GB"/>
        </w:rPr>
        <w:t xml:space="preserve">These responses also occur in the geographical space. </w:t>
      </w:r>
      <w:r w:rsidR="00EC5B7B" w:rsidRPr="0002056A">
        <w:rPr>
          <w:rFonts w:ascii="Georgia" w:hAnsi="Georgia"/>
          <w:lang w:val="en-GB"/>
        </w:rPr>
        <w:t xml:space="preserve">Planning and </w:t>
      </w:r>
      <w:r w:rsidR="00A31824">
        <w:rPr>
          <w:rFonts w:ascii="Georgia" w:hAnsi="Georgia"/>
          <w:lang w:val="en-GB"/>
        </w:rPr>
        <w:t>implementing these measures require an adequate knowledge base to support</w:t>
      </w:r>
      <w:r w:rsidR="00EC5B7B" w:rsidRPr="0002056A">
        <w:rPr>
          <w:rFonts w:ascii="Georgia" w:hAnsi="Georgia"/>
          <w:lang w:val="en-GB"/>
        </w:rPr>
        <w:t xml:space="preserve"> the</w:t>
      </w:r>
      <w:r w:rsidR="006B03E8">
        <w:rPr>
          <w:rFonts w:ascii="Georgia" w:hAnsi="Georgia"/>
          <w:lang w:val="en-GB"/>
        </w:rPr>
        <w:t>se</w:t>
      </w:r>
      <w:r w:rsidR="00882741">
        <w:rPr>
          <w:rFonts w:ascii="Georgia" w:hAnsi="Georgia"/>
          <w:lang w:val="en-GB"/>
        </w:rPr>
        <w:t xml:space="preserve"> </w:t>
      </w:r>
      <w:r w:rsidR="00EC5B7B" w:rsidRPr="0002056A">
        <w:rPr>
          <w:rFonts w:ascii="Georgia" w:hAnsi="Georgia"/>
          <w:lang w:val="en-GB"/>
        </w:rPr>
        <w:t>activities. Th</w:t>
      </w:r>
      <w:r w:rsidR="001F511B" w:rsidRPr="0002056A">
        <w:rPr>
          <w:rFonts w:ascii="Georgia" w:hAnsi="Georgia"/>
          <w:lang w:val="en-GB"/>
        </w:rPr>
        <w:t>is</w:t>
      </w:r>
      <w:r w:rsidR="00EC5B7B" w:rsidRPr="0002056A">
        <w:rPr>
          <w:rFonts w:ascii="Georgia" w:hAnsi="Georgia"/>
          <w:lang w:val="en-GB"/>
        </w:rPr>
        <w:t xml:space="preserve"> support </w:t>
      </w:r>
      <w:r w:rsidR="00A31824">
        <w:rPr>
          <w:rFonts w:ascii="Georgia" w:hAnsi="Georgia"/>
          <w:lang w:val="en-GB"/>
        </w:rPr>
        <w:t>usually c</w:t>
      </w:r>
      <w:r w:rsidR="00254C0A">
        <w:rPr>
          <w:rFonts w:ascii="Georgia" w:hAnsi="Georgia"/>
          <w:lang w:val="en-GB"/>
        </w:rPr>
        <w:t>omes</w:t>
      </w:r>
      <w:r w:rsidR="00A31824">
        <w:rPr>
          <w:rFonts w:ascii="Georgia" w:hAnsi="Georgia"/>
          <w:lang w:val="en-GB"/>
        </w:rPr>
        <w:t xml:space="preserve"> from climate vulnerability studies and climate risk assessments, which are essentially spatially focused examinations that</w:t>
      </w:r>
      <w:r w:rsidR="00DD018E" w:rsidRPr="0002056A">
        <w:rPr>
          <w:rFonts w:ascii="Georgia" w:hAnsi="Georgia"/>
          <w:lang w:val="en-GB"/>
        </w:rPr>
        <w:t xml:space="preserve"> monitor relative spatial/territorial differences. All of th</w:t>
      </w:r>
      <w:r w:rsidR="00FF7475" w:rsidRPr="0002056A">
        <w:rPr>
          <w:rFonts w:ascii="Georgia" w:hAnsi="Georgia"/>
          <w:lang w:val="en-GB"/>
        </w:rPr>
        <w:t>ese</w:t>
      </w:r>
      <w:r w:rsidR="00DD018E" w:rsidRPr="0002056A">
        <w:rPr>
          <w:rFonts w:ascii="Georgia" w:hAnsi="Georgia"/>
          <w:lang w:val="en-GB"/>
        </w:rPr>
        <w:t xml:space="preserve"> presuppose that the spatial approach and the emphasis on geographical features, </w:t>
      </w:r>
      <w:r w:rsidR="00882741">
        <w:rPr>
          <w:rFonts w:ascii="Georgia" w:hAnsi="Georgia"/>
          <w:lang w:val="en-GB"/>
        </w:rPr>
        <w:t>places</w:t>
      </w:r>
      <w:r w:rsidR="00DD018E" w:rsidRPr="0002056A">
        <w:rPr>
          <w:rFonts w:ascii="Georgia" w:hAnsi="Georgia"/>
          <w:lang w:val="en-GB"/>
        </w:rPr>
        <w:t xml:space="preserve"> and settlements</w:t>
      </w:r>
      <w:r w:rsidR="00FF7475" w:rsidRPr="0002056A">
        <w:rPr>
          <w:rFonts w:ascii="Georgia" w:hAnsi="Georgia"/>
          <w:lang w:val="en-GB"/>
        </w:rPr>
        <w:t xml:space="preserve">, spatial differences and structures of the different elements of space </w:t>
      </w:r>
      <w:r w:rsidR="00DD018E" w:rsidRPr="0002056A">
        <w:rPr>
          <w:rFonts w:ascii="Georgia" w:hAnsi="Georgia"/>
          <w:lang w:val="en-GB"/>
        </w:rPr>
        <w:t>would be key in climate adaptation policy.</w:t>
      </w:r>
      <w:r w:rsidR="00640ACF" w:rsidRPr="0002056A">
        <w:rPr>
          <w:rFonts w:ascii="Georgia" w:hAnsi="Georgia"/>
          <w:lang w:val="en-GB"/>
        </w:rPr>
        <w:t xml:space="preserve"> </w:t>
      </w:r>
      <w:r w:rsidR="00957ACB" w:rsidRPr="0002056A">
        <w:rPr>
          <w:rFonts w:ascii="Georgia" w:hAnsi="Georgia"/>
          <w:lang w:val="en-GB"/>
        </w:rPr>
        <w:t>With some exaggeration</w:t>
      </w:r>
      <w:r w:rsidR="00A31824">
        <w:rPr>
          <w:rFonts w:ascii="Georgia" w:hAnsi="Georgia"/>
          <w:lang w:val="en-GB"/>
        </w:rPr>
        <w:t>,</w:t>
      </w:r>
      <w:r w:rsidR="00957ACB" w:rsidRPr="0002056A">
        <w:rPr>
          <w:rFonts w:ascii="Georgia" w:hAnsi="Georgia"/>
          <w:lang w:val="en-GB"/>
        </w:rPr>
        <w:t xml:space="preserve"> we can say that one key question arises: </w:t>
      </w:r>
      <w:r w:rsidR="00957ACB" w:rsidRPr="0002056A">
        <w:rPr>
          <w:rFonts w:ascii="Georgia" w:hAnsi="Georgia"/>
          <w:b/>
          <w:bCs/>
          <w:lang w:val="en-GB"/>
        </w:rPr>
        <w:t>whether climate adaptation policy</w:t>
      </w:r>
      <w:r w:rsidR="00957ACB" w:rsidRPr="0002056A">
        <w:rPr>
          <w:rFonts w:ascii="Georgia" w:hAnsi="Georgia"/>
          <w:lang w:val="en-GB"/>
        </w:rPr>
        <w:t xml:space="preserve">, and among them the planning, monitoring, evaluation and reporting activities, </w:t>
      </w:r>
      <w:r w:rsidR="00957ACB" w:rsidRPr="0002056A">
        <w:rPr>
          <w:rFonts w:ascii="Georgia" w:hAnsi="Georgia"/>
          <w:b/>
          <w:bCs/>
          <w:lang w:val="en-GB"/>
        </w:rPr>
        <w:t>take these spatial aspects into account properly or not</w:t>
      </w:r>
      <w:r w:rsidR="00957ACB" w:rsidRPr="0002056A">
        <w:rPr>
          <w:rFonts w:ascii="Georgia" w:hAnsi="Georgia"/>
          <w:lang w:val="en-GB"/>
        </w:rPr>
        <w:t xml:space="preserve">? The dissertation </w:t>
      </w:r>
      <w:r w:rsidR="00A31824">
        <w:rPr>
          <w:rFonts w:ascii="Georgia" w:hAnsi="Georgia"/>
          <w:lang w:val="en-GB"/>
        </w:rPr>
        <w:t xml:space="preserve">seeks to answer </w:t>
      </w:r>
      <w:r w:rsidR="00957ACB" w:rsidRPr="0002056A">
        <w:rPr>
          <w:rFonts w:ascii="Georgia" w:hAnsi="Georgia"/>
          <w:lang w:val="en-GB"/>
        </w:rPr>
        <w:t>this basic question.</w:t>
      </w:r>
    </w:p>
    <w:p w14:paraId="4FB2C803" w14:textId="5ADB46CA" w:rsidR="00F0190F" w:rsidRPr="0002056A" w:rsidRDefault="001840AC" w:rsidP="00214BD9">
      <w:pPr>
        <w:pStyle w:val="Cmsor1"/>
        <w:numPr>
          <w:ilvl w:val="0"/>
          <w:numId w:val="4"/>
        </w:numPr>
        <w:rPr>
          <w:rFonts w:asciiTheme="minorHAnsi" w:hAnsiTheme="minorHAnsi" w:cstheme="minorHAnsi"/>
          <w:lang w:val="en-GB"/>
        </w:rPr>
      </w:pPr>
      <w:bookmarkStart w:id="6" w:name="_Toc225578831"/>
      <w:r w:rsidRPr="0002056A">
        <w:rPr>
          <w:rFonts w:asciiTheme="minorHAnsi" w:hAnsiTheme="minorHAnsi" w:cstheme="minorHAnsi"/>
          <w:lang w:val="en-GB"/>
        </w:rPr>
        <w:t>The fra</w:t>
      </w:r>
      <w:r w:rsidR="00BC77BE" w:rsidRPr="0002056A">
        <w:rPr>
          <w:rFonts w:asciiTheme="minorHAnsi" w:hAnsiTheme="minorHAnsi" w:cstheme="minorHAnsi"/>
          <w:lang w:val="en-GB"/>
        </w:rPr>
        <w:t>m</w:t>
      </w:r>
      <w:r w:rsidRPr="0002056A">
        <w:rPr>
          <w:rFonts w:asciiTheme="minorHAnsi" w:hAnsiTheme="minorHAnsi" w:cstheme="minorHAnsi"/>
          <w:lang w:val="en-GB"/>
        </w:rPr>
        <w:t>eworks of the r</w:t>
      </w:r>
      <w:r w:rsidR="00F0190F" w:rsidRPr="0002056A">
        <w:rPr>
          <w:rFonts w:asciiTheme="minorHAnsi" w:hAnsiTheme="minorHAnsi" w:cstheme="minorHAnsi"/>
          <w:lang w:val="en-GB"/>
        </w:rPr>
        <w:t>esearch</w:t>
      </w:r>
      <w:bookmarkEnd w:id="6"/>
    </w:p>
    <w:p w14:paraId="5D012486" w14:textId="7ECE6A3B" w:rsidR="00F0190F" w:rsidRPr="0002056A" w:rsidRDefault="00F0190F" w:rsidP="00214BD9">
      <w:pPr>
        <w:pStyle w:val="Cmsor2"/>
        <w:numPr>
          <w:ilvl w:val="1"/>
          <w:numId w:val="4"/>
        </w:numPr>
        <w:rPr>
          <w:b w:val="0"/>
          <w:bCs w:val="0"/>
          <w:i/>
          <w:iCs/>
          <w:lang w:val="en-GB"/>
        </w:rPr>
      </w:pPr>
      <w:bookmarkStart w:id="7" w:name="_Toc225578832"/>
      <w:r w:rsidRPr="0002056A">
        <w:rPr>
          <w:b w:val="0"/>
          <w:bCs w:val="0"/>
          <w:i/>
          <w:iCs/>
          <w:lang w:val="en-GB"/>
        </w:rPr>
        <w:t xml:space="preserve">Research </w:t>
      </w:r>
      <w:r w:rsidR="00FA7E10" w:rsidRPr="0002056A">
        <w:rPr>
          <w:b w:val="0"/>
          <w:bCs w:val="0"/>
          <w:i/>
          <w:iCs/>
          <w:lang w:val="en-GB"/>
        </w:rPr>
        <w:t>objectives</w:t>
      </w:r>
      <w:r w:rsidR="00954A52">
        <w:rPr>
          <w:b w:val="0"/>
          <w:bCs w:val="0"/>
          <w:i/>
          <w:iCs/>
          <w:lang w:val="en-GB"/>
        </w:rPr>
        <w:t xml:space="preserve"> and hypotheses</w:t>
      </w:r>
      <w:bookmarkEnd w:id="7"/>
    </w:p>
    <w:p w14:paraId="3E7B2A14" w14:textId="1784957F" w:rsidR="00045329" w:rsidRDefault="00045329" w:rsidP="004929A7">
      <w:pPr>
        <w:spacing w:before="120" w:after="120"/>
        <w:jc w:val="both"/>
        <w:rPr>
          <w:rFonts w:ascii="Georgia" w:hAnsi="Georgia"/>
          <w:lang w:val="en-GB"/>
        </w:rPr>
      </w:pPr>
      <w:r>
        <w:rPr>
          <w:rFonts w:ascii="Georgia" w:hAnsi="Georgia" w:cs="Times New Roman"/>
          <w:lang w:val="en-GB"/>
        </w:rPr>
        <w:t>The</w:t>
      </w:r>
      <w:r w:rsidRPr="0002056A">
        <w:rPr>
          <w:rFonts w:ascii="Georgia" w:hAnsi="Georgia" w:cs="Times New Roman"/>
          <w:lang w:val="en-GB"/>
        </w:rPr>
        <w:t xml:space="preserve"> </w:t>
      </w:r>
      <w:r w:rsidR="00882741">
        <w:rPr>
          <w:rFonts w:ascii="Georgia" w:hAnsi="Georgia" w:cs="Times New Roman"/>
          <w:lang w:val="en-GB"/>
        </w:rPr>
        <w:t>rarity</w:t>
      </w:r>
      <w:r w:rsidRPr="0002056A">
        <w:rPr>
          <w:rFonts w:ascii="Georgia" w:hAnsi="Georgia" w:cs="Times New Roman"/>
          <w:lang w:val="en-GB"/>
        </w:rPr>
        <w:t xml:space="preserve"> of qualitative/quantitative examinations of adaptation’s spatiality and the relatively low number of comprehensive analyses of related national policy activities</w:t>
      </w:r>
      <w:r>
        <w:rPr>
          <w:rFonts w:ascii="Georgia" w:hAnsi="Georgia" w:cs="Times New Roman"/>
          <w:lang w:val="en-GB"/>
        </w:rPr>
        <w:t xml:space="preserve"> were </w:t>
      </w:r>
      <w:r w:rsidRPr="0002056A">
        <w:rPr>
          <w:rFonts w:ascii="Georgia" w:hAnsi="Georgia" w:cs="Times New Roman"/>
          <w:lang w:val="en-GB"/>
        </w:rPr>
        <w:t>identified</w:t>
      </w:r>
      <w:r>
        <w:rPr>
          <w:rFonts w:ascii="Georgia" w:hAnsi="Georgia" w:cs="Times New Roman"/>
          <w:lang w:val="en-GB"/>
        </w:rPr>
        <w:t xml:space="preserve"> as a significant </w:t>
      </w:r>
      <w:r w:rsidRPr="0002056A">
        <w:rPr>
          <w:rFonts w:ascii="Georgia" w:hAnsi="Georgia" w:cs="Times New Roman"/>
          <w:lang w:val="en-GB"/>
        </w:rPr>
        <w:t>research gap by the literature review</w:t>
      </w:r>
      <w:r>
        <w:rPr>
          <w:rFonts w:ascii="Georgia" w:hAnsi="Georgia" w:cs="Times New Roman"/>
          <w:lang w:val="en-GB"/>
        </w:rPr>
        <w:t>. Th</w:t>
      </w:r>
      <w:r w:rsidR="00432EBD">
        <w:rPr>
          <w:rFonts w:ascii="Georgia" w:hAnsi="Georgia" w:cs="Times New Roman"/>
          <w:lang w:val="en-GB"/>
        </w:rPr>
        <w:t>i</w:t>
      </w:r>
      <w:r>
        <w:rPr>
          <w:rFonts w:ascii="Georgia" w:hAnsi="Georgia" w:cs="Times New Roman"/>
          <w:lang w:val="en-GB"/>
        </w:rPr>
        <w:t>s, together with</w:t>
      </w:r>
      <w:r w:rsidRPr="0002056A">
        <w:rPr>
          <w:rFonts w:ascii="Georgia" w:hAnsi="Georgia" w:cs="Times New Roman"/>
          <w:lang w:val="en-GB"/>
        </w:rPr>
        <w:t xml:space="preserve"> the general importance of the geographical space in climate adaptation</w:t>
      </w:r>
      <w:r w:rsidR="00A31824">
        <w:rPr>
          <w:rFonts w:ascii="Georgia" w:hAnsi="Georgia"/>
          <w:lang w:val="en-GB"/>
        </w:rPr>
        <w:t>, is the starting point</w:t>
      </w:r>
      <w:r>
        <w:rPr>
          <w:rFonts w:ascii="Georgia" w:hAnsi="Georgia"/>
          <w:lang w:val="en-GB"/>
        </w:rPr>
        <w:t xml:space="preserve"> of the research.</w:t>
      </w:r>
    </w:p>
    <w:p w14:paraId="2749C68C" w14:textId="17E0ED28" w:rsidR="004929A7" w:rsidRPr="004929A7" w:rsidRDefault="00D92F51" w:rsidP="004929A7">
      <w:pPr>
        <w:spacing w:before="120" w:after="120"/>
        <w:jc w:val="both"/>
        <w:rPr>
          <w:rFonts w:ascii="Georgia" w:hAnsi="Georgia"/>
          <w:lang w:val="en-GB"/>
        </w:rPr>
      </w:pPr>
      <w:r>
        <w:rPr>
          <w:rFonts w:ascii="Georgia" w:hAnsi="Georgia"/>
          <w:lang w:val="en-GB"/>
        </w:rPr>
        <w:t>W</w:t>
      </w:r>
      <w:r w:rsidR="004929A7" w:rsidRPr="004929A7">
        <w:rPr>
          <w:rFonts w:ascii="Georgia" w:hAnsi="Georgia"/>
          <w:lang w:val="en-GB"/>
        </w:rPr>
        <w:t xml:space="preserve">e can assume that adaptation policies that are more sensitive to spatiality may be more effective. For this reason, my work examines the extent to which spatial dimension is reflected in the practice of adaptation policies. To capture this, the dissertation introduces </w:t>
      </w:r>
      <w:r w:rsidR="00A31824">
        <w:rPr>
          <w:rFonts w:ascii="Georgia" w:hAnsi="Georgia"/>
          <w:lang w:val="en-GB"/>
        </w:rPr>
        <w:t>the spatial sensitivity of policies as a key concept and examines it</w:t>
      </w:r>
      <w:r w:rsidR="004929A7" w:rsidRPr="004929A7">
        <w:rPr>
          <w:rFonts w:ascii="Georgia" w:hAnsi="Georgia"/>
          <w:lang w:val="en-GB"/>
        </w:rPr>
        <w:t xml:space="preserve"> through an analysis of three key </w:t>
      </w:r>
      <w:r w:rsidR="00432EBD">
        <w:rPr>
          <w:rFonts w:ascii="Georgia" w:hAnsi="Georgia"/>
          <w:lang w:val="en-GB"/>
        </w:rPr>
        <w:t>ins</w:t>
      </w:r>
      <w:r w:rsidR="004929A7" w:rsidRPr="004929A7">
        <w:rPr>
          <w:rFonts w:ascii="Georgia" w:hAnsi="Georgia"/>
          <w:lang w:val="en-GB"/>
        </w:rPr>
        <w:t>t</w:t>
      </w:r>
      <w:r w:rsidR="00432EBD">
        <w:rPr>
          <w:rFonts w:ascii="Georgia" w:hAnsi="Georgia"/>
          <w:lang w:val="en-GB"/>
        </w:rPr>
        <w:t>rument</w:t>
      </w:r>
      <w:r w:rsidR="004929A7" w:rsidRPr="004929A7">
        <w:rPr>
          <w:rFonts w:ascii="Georgia" w:hAnsi="Georgia"/>
          <w:lang w:val="en-GB"/>
        </w:rPr>
        <w:t xml:space="preserve">s of adaptation policy: planning, monitoring, and evaluation. </w:t>
      </w:r>
    </w:p>
    <w:p w14:paraId="4A352B27" w14:textId="6CFE5D86" w:rsidR="002603F8" w:rsidRDefault="0045606D" w:rsidP="00CD5BF3">
      <w:pPr>
        <w:spacing w:before="120" w:after="120"/>
        <w:jc w:val="both"/>
        <w:rPr>
          <w:rFonts w:ascii="Georgia" w:hAnsi="Georgia" w:cs="Times New Roman"/>
          <w:lang w:val="en-GB"/>
        </w:rPr>
      </w:pPr>
      <w:r w:rsidRPr="0002056A">
        <w:rPr>
          <w:rFonts w:ascii="Georgia" w:hAnsi="Georgia" w:cs="Times New Roman"/>
          <w:lang w:val="en-GB"/>
        </w:rPr>
        <w:t xml:space="preserve">As for </w:t>
      </w:r>
      <w:r w:rsidRPr="00350E24">
        <w:rPr>
          <w:rFonts w:ascii="Georgia" w:hAnsi="Georgia" w:cs="Times New Roman"/>
          <w:b/>
          <w:bCs/>
          <w:lang w:val="en-GB"/>
        </w:rPr>
        <w:t>the basic logic of the research</w:t>
      </w:r>
      <w:r w:rsidRPr="0002056A">
        <w:rPr>
          <w:rFonts w:ascii="Georgia" w:hAnsi="Georgia" w:cs="Times New Roman"/>
          <w:lang w:val="en-GB"/>
        </w:rPr>
        <w:t xml:space="preserve">, </w:t>
      </w:r>
      <w:r w:rsidR="00570516" w:rsidRPr="0002056A">
        <w:rPr>
          <w:rFonts w:ascii="Georgia" w:hAnsi="Georgia" w:cs="Times New Roman"/>
          <w:lang w:val="en-GB"/>
        </w:rPr>
        <w:t xml:space="preserve">already </w:t>
      </w:r>
      <w:r w:rsidR="00570516">
        <w:rPr>
          <w:rFonts w:ascii="Georgia" w:hAnsi="Georgia" w:cs="Times New Roman"/>
          <w:lang w:val="en-GB"/>
        </w:rPr>
        <w:t xml:space="preserve">in </w:t>
      </w:r>
      <w:r w:rsidR="00B76257" w:rsidRPr="0002056A">
        <w:rPr>
          <w:rFonts w:ascii="Georgia" w:hAnsi="Georgia" w:cs="Times New Roman"/>
          <w:lang w:val="en-GB"/>
        </w:rPr>
        <w:t xml:space="preserve">the Introduction chapter </w:t>
      </w:r>
      <w:r w:rsidR="00570516">
        <w:rPr>
          <w:rFonts w:ascii="Georgia" w:hAnsi="Georgia" w:cs="Times New Roman"/>
          <w:lang w:val="en-GB"/>
        </w:rPr>
        <w:t xml:space="preserve">it </w:t>
      </w:r>
      <w:r w:rsidR="00432EBD">
        <w:rPr>
          <w:rFonts w:ascii="Georgia" w:hAnsi="Georgia" w:cs="Times New Roman"/>
          <w:lang w:val="en-GB"/>
        </w:rPr>
        <w:t>wa</w:t>
      </w:r>
      <w:r w:rsidR="00570516">
        <w:rPr>
          <w:rFonts w:ascii="Georgia" w:hAnsi="Georgia" w:cs="Times New Roman"/>
          <w:lang w:val="en-GB"/>
        </w:rPr>
        <w:t xml:space="preserve">s </w:t>
      </w:r>
      <w:r w:rsidR="00A31824">
        <w:rPr>
          <w:rFonts w:ascii="Georgia" w:hAnsi="Georgia" w:cs="Times New Roman"/>
          <w:lang w:val="en-GB"/>
        </w:rPr>
        <w:t>noted that long-, medium-, and short-term changes in climatic factors occur in spatial reality and exhibit significant diversity across different geographical locations, resulting in spatially distinct</w:t>
      </w:r>
      <w:r w:rsidR="008F25A5" w:rsidRPr="0002056A">
        <w:rPr>
          <w:rFonts w:ascii="Georgia" w:hAnsi="Georgia" w:cs="Times New Roman"/>
          <w:lang w:val="en-GB"/>
        </w:rPr>
        <w:t xml:space="preserve"> climate change impacts and consequences</w:t>
      </w:r>
      <w:r w:rsidR="0046350F" w:rsidRPr="0002056A">
        <w:rPr>
          <w:rFonts w:ascii="Georgia" w:hAnsi="Georgia" w:cs="Times New Roman"/>
          <w:lang w:val="en-GB"/>
        </w:rPr>
        <w:t>.</w:t>
      </w:r>
      <w:r w:rsidR="008F25A5" w:rsidRPr="0002056A">
        <w:rPr>
          <w:rFonts w:ascii="Georgia" w:hAnsi="Georgia" w:cs="Times New Roman"/>
          <w:lang w:val="en-GB"/>
        </w:rPr>
        <w:t xml:space="preserve"> Policy responses to these challenges could be appropriate and effective </w:t>
      </w:r>
      <w:r w:rsidR="00394B4D" w:rsidRPr="0002056A">
        <w:rPr>
          <w:rFonts w:ascii="Georgia" w:hAnsi="Georgia" w:cs="Times New Roman"/>
          <w:lang w:val="en-GB"/>
        </w:rPr>
        <w:t xml:space="preserve">only </w:t>
      </w:r>
      <w:r w:rsidR="008F25A5" w:rsidRPr="0002056A">
        <w:rPr>
          <w:rFonts w:ascii="Georgia" w:hAnsi="Georgia" w:cs="Times New Roman"/>
          <w:lang w:val="en-GB"/>
        </w:rPr>
        <w:t xml:space="preserve">if </w:t>
      </w:r>
      <w:r w:rsidR="00A31824">
        <w:rPr>
          <w:rFonts w:ascii="Georgia" w:hAnsi="Georgia" w:cs="Times New Roman"/>
          <w:lang w:val="en-GB"/>
        </w:rPr>
        <w:t>the spatial aspects/differences are properly considered</w:t>
      </w:r>
      <w:r w:rsidR="008F25A5" w:rsidRPr="0002056A">
        <w:rPr>
          <w:rFonts w:ascii="Georgia" w:hAnsi="Georgia" w:cs="Times New Roman"/>
          <w:lang w:val="en-GB"/>
        </w:rPr>
        <w:t>. T</w:t>
      </w:r>
      <w:r w:rsidR="00B76257" w:rsidRPr="0002056A">
        <w:rPr>
          <w:rFonts w:ascii="Georgia" w:hAnsi="Georgia" w:cs="Times New Roman"/>
          <w:lang w:val="en-GB"/>
        </w:rPr>
        <w:t xml:space="preserve">he dissertation </w:t>
      </w:r>
      <w:r w:rsidR="00A31824">
        <w:rPr>
          <w:rFonts w:ascii="Georgia" w:hAnsi="Georgia" w:cs="Times New Roman"/>
          <w:lang w:val="en-GB"/>
        </w:rPr>
        <w:t xml:space="preserve">aims to further strengthen the potential of climate adaptation policies to address the geographical </w:t>
      </w:r>
      <w:r w:rsidR="00FE4F35">
        <w:rPr>
          <w:rFonts w:ascii="Georgia" w:hAnsi="Georgia" w:cs="Times New Roman"/>
          <w:lang w:val="en-GB"/>
        </w:rPr>
        <w:t xml:space="preserve">manifestation and spatial dimensions </w:t>
      </w:r>
      <w:r w:rsidR="00A31824">
        <w:rPr>
          <w:rFonts w:ascii="Georgia" w:hAnsi="Georgia" w:cs="Times New Roman"/>
          <w:lang w:val="en-GB"/>
        </w:rPr>
        <w:t xml:space="preserve">of the </w:t>
      </w:r>
      <w:r w:rsidR="00B92849" w:rsidRPr="0002056A">
        <w:rPr>
          <w:rFonts w:ascii="Georgia" w:hAnsi="Georgia" w:cs="Times New Roman"/>
          <w:lang w:val="en-GB"/>
        </w:rPr>
        <w:t>present</w:t>
      </w:r>
      <w:r w:rsidR="00B76257" w:rsidRPr="0002056A">
        <w:rPr>
          <w:rFonts w:ascii="Georgia" w:hAnsi="Georgia" w:cs="Times New Roman"/>
          <w:lang w:val="en-GB"/>
        </w:rPr>
        <w:t xml:space="preserve"> and future consequences of climate change. </w:t>
      </w:r>
    </w:p>
    <w:p w14:paraId="7556BD36" w14:textId="77777777" w:rsidR="002603F8" w:rsidRDefault="002603F8">
      <w:pPr>
        <w:spacing w:after="160" w:line="259" w:lineRule="auto"/>
        <w:rPr>
          <w:rFonts w:ascii="Georgia" w:hAnsi="Georgia" w:cs="Times New Roman"/>
          <w:lang w:val="en-GB"/>
        </w:rPr>
      </w:pPr>
      <w:r>
        <w:rPr>
          <w:rFonts w:ascii="Georgia" w:hAnsi="Georgia" w:cs="Times New Roman"/>
          <w:lang w:val="en-GB"/>
        </w:rPr>
        <w:br w:type="page"/>
      </w:r>
    </w:p>
    <w:p w14:paraId="4DEF362E" w14:textId="77777777" w:rsidR="00C75F81" w:rsidRDefault="00C75F81" w:rsidP="00CD5BF3">
      <w:pPr>
        <w:spacing w:before="120" w:after="120"/>
        <w:jc w:val="both"/>
        <w:rPr>
          <w:rFonts w:ascii="Georgia" w:hAnsi="Georgia" w:cs="Times New Roman"/>
          <w:lang w:val="en-GB"/>
        </w:rPr>
      </w:pPr>
    </w:p>
    <w:p w14:paraId="46DF0AC7" w14:textId="26B49AC7" w:rsidR="00C75F81" w:rsidRDefault="006E286E" w:rsidP="00CD5BF3">
      <w:pPr>
        <w:spacing w:before="120" w:after="120"/>
        <w:jc w:val="both"/>
        <w:rPr>
          <w:rFonts w:ascii="Georgia" w:hAnsi="Georgia" w:cs="Times New Roman"/>
          <w:b/>
          <w:bCs/>
          <w:lang w:val="en-GB"/>
        </w:rPr>
      </w:pPr>
      <w:r w:rsidRPr="0002056A">
        <w:rPr>
          <w:rFonts w:ascii="Georgia" w:hAnsi="Georgia" w:cs="Times New Roman"/>
          <w:b/>
          <w:bCs/>
          <w:lang w:val="en-GB"/>
        </w:rPr>
        <w:t>The dissertation’</w:t>
      </w:r>
      <w:r w:rsidR="00B76257" w:rsidRPr="0002056A">
        <w:rPr>
          <w:rFonts w:ascii="Georgia" w:hAnsi="Georgia" w:cs="Times New Roman"/>
          <w:b/>
          <w:bCs/>
          <w:lang w:val="en-GB"/>
        </w:rPr>
        <w:t xml:space="preserve">s </w:t>
      </w:r>
      <w:r w:rsidRPr="0002056A">
        <w:rPr>
          <w:rFonts w:ascii="Georgia" w:hAnsi="Georgia" w:cs="Times New Roman"/>
          <w:b/>
          <w:bCs/>
          <w:lang w:val="en-GB"/>
        </w:rPr>
        <w:t xml:space="preserve">main </w:t>
      </w:r>
      <w:r w:rsidR="00B76257" w:rsidRPr="0002056A">
        <w:rPr>
          <w:rFonts w:ascii="Georgia" w:hAnsi="Georgia" w:cs="Times New Roman"/>
          <w:b/>
          <w:bCs/>
          <w:lang w:val="en-GB"/>
        </w:rPr>
        <w:t xml:space="preserve">aim is to reveal </w:t>
      </w:r>
      <w:r w:rsidR="00B9443D" w:rsidRPr="0002056A">
        <w:rPr>
          <w:rFonts w:ascii="Georgia" w:hAnsi="Georgia" w:cs="Times New Roman"/>
          <w:b/>
          <w:bCs/>
          <w:lang w:val="en-GB"/>
        </w:rPr>
        <w:t>the</w:t>
      </w:r>
      <w:r w:rsidR="00B76257" w:rsidRPr="0002056A">
        <w:rPr>
          <w:rFonts w:ascii="Georgia" w:hAnsi="Georgia" w:cs="Times New Roman"/>
          <w:b/>
          <w:bCs/>
          <w:lang w:val="en-GB"/>
        </w:rPr>
        <w:t xml:space="preserve"> </w:t>
      </w:r>
      <w:r w:rsidR="00971466">
        <w:rPr>
          <w:rFonts w:ascii="Georgia" w:hAnsi="Georgia" w:cs="Times New Roman"/>
          <w:b/>
          <w:bCs/>
          <w:lang w:val="en-GB"/>
        </w:rPr>
        <w:t xml:space="preserve">spatial </w:t>
      </w:r>
      <w:r w:rsidR="00B76257" w:rsidRPr="0002056A">
        <w:rPr>
          <w:rFonts w:ascii="Georgia" w:hAnsi="Georgia" w:cs="Times New Roman"/>
          <w:b/>
          <w:bCs/>
          <w:lang w:val="en-GB"/>
        </w:rPr>
        <w:t xml:space="preserve">sensitivity of </w:t>
      </w:r>
      <w:r w:rsidR="00A31824">
        <w:rPr>
          <w:rFonts w:ascii="Georgia" w:hAnsi="Georgia" w:cs="Times New Roman"/>
          <w:b/>
          <w:bCs/>
          <w:lang w:val="en-GB"/>
        </w:rPr>
        <w:t xml:space="preserve">current </w:t>
      </w:r>
      <w:r w:rsidR="00B9443D" w:rsidRPr="0002056A">
        <w:rPr>
          <w:rFonts w:ascii="Georgia" w:hAnsi="Georgia" w:cs="Times New Roman"/>
          <w:b/>
          <w:bCs/>
          <w:lang w:val="en-GB"/>
        </w:rPr>
        <w:t xml:space="preserve">European national </w:t>
      </w:r>
      <w:r w:rsidR="00B76257" w:rsidRPr="0002056A">
        <w:rPr>
          <w:rFonts w:ascii="Georgia" w:hAnsi="Georgia" w:cs="Times New Roman"/>
          <w:b/>
          <w:bCs/>
          <w:lang w:val="en-GB"/>
        </w:rPr>
        <w:t>climate adaptation policies</w:t>
      </w:r>
      <w:r w:rsidR="00504EAC">
        <w:rPr>
          <w:rFonts w:ascii="Georgia" w:hAnsi="Georgia" w:cs="Times New Roman"/>
          <w:b/>
          <w:bCs/>
          <w:lang w:val="en-GB"/>
        </w:rPr>
        <w:t>.</w:t>
      </w:r>
      <w:r w:rsidR="00C75F81">
        <w:rPr>
          <w:rFonts w:ascii="Georgia" w:hAnsi="Georgia" w:cs="Times New Roman"/>
          <w:b/>
          <w:bCs/>
          <w:lang w:val="en-GB"/>
        </w:rPr>
        <w:t xml:space="preserve"> </w:t>
      </w:r>
    </w:p>
    <w:p w14:paraId="56CDB23F" w14:textId="3612BE4F" w:rsidR="00C309D5" w:rsidRDefault="00504EAC" w:rsidP="00CD5BF3">
      <w:pPr>
        <w:spacing w:before="120" w:after="120"/>
        <w:jc w:val="both"/>
        <w:rPr>
          <w:rFonts w:ascii="Georgia" w:hAnsi="Georgia" w:cs="Times New Roman"/>
          <w:lang w:val="en-GB"/>
        </w:rPr>
      </w:pPr>
      <w:r>
        <w:rPr>
          <w:rFonts w:ascii="Georgia" w:hAnsi="Georgia" w:cs="Times New Roman"/>
          <w:lang w:val="en-GB"/>
        </w:rPr>
        <w:t xml:space="preserve">For this aim </w:t>
      </w:r>
      <w:r w:rsidRPr="00E72687">
        <w:rPr>
          <w:rFonts w:ascii="Georgia" w:hAnsi="Georgia" w:cs="Times New Roman"/>
          <w:b/>
          <w:bCs/>
          <w:lang w:val="en-GB"/>
        </w:rPr>
        <w:t>(1)</w:t>
      </w:r>
      <w:r w:rsidR="00A31824">
        <w:rPr>
          <w:rFonts w:ascii="Georgia" w:hAnsi="Georgia" w:cs="Times New Roman"/>
          <w:b/>
          <w:bCs/>
          <w:lang w:val="en-GB"/>
        </w:rPr>
        <w:t>,</w:t>
      </w:r>
      <w:r>
        <w:rPr>
          <w:rFonts w:ascii="Georgia" w:hAnsi="Georgia" w:cs="Times New Roman"/>
          <w:lang w:val="en-GB"/>
        </w:rPr>
        <w:t xml:space="preserve"> it creates the scientific concept of </w:t>
      </w:r>
      <w:r w:rsidRPr="0002056A">
        <w:rPr>
          <w:rFonts w:ascii="Georgia" w:hAnsi="Georgia" w:cs="Times New Roman"/>
          <w:lang w:val="en-GB"/>
        </w:rPr>
        <w:t xml:space="preserve">(geographical) </w:t>
      </w:r>
      <w:r w:rsidR="00B76257" w:rsidRPr="0002056A">
        <w:rPr>
          <w:rFonts w:ascii="Georgia" w:hAnsi="Georgia" w:cs="Times New Roman"/>
          <w:lang w:val="en-GB"/>
        </w:rPr>
        <w:t>spatial sensitivity of climate adaptation policies</w:t>
      </w:r>
      <w:r w:rsidR="00874478" w:rsidRPr="0002056A">
        <w:rPr>
          <w:rFonts w:ascii="Georgia" w:hAnsi="Georgia" w:cs="Times New Roman"/>
          <w:lang w:val="en-GB"/>
        </w:rPr>
        <w:t xml:space="preserve"> </w:t>
      </w:r>
      <w:r w:rsidR="00C309D5">
        <w:rPr>
          <w:rFonts w:ascii="Georgia" w:hAnsi="Georgia" w:cs="Times New Roman"/>
          <w:lang w:val="en-GB"/>
        </w:rPr>
        <w:t>(conceptualisation);</w:t>
      </w:r>
    </w:p>
    <w:p w14:paraId="598640EB" w14:textId="52666B22" w:rsidR="00783444" w:rsidRDefault="00C309D5" w:rsidP="00CD5BF3">
      <w:pPr>
        <w:spacing w:before="120" w:after="120"/>
        <w:jc w:val="both"/>
        <w:rPr>
          <w:rFonts w:ascii="Georgia" w:hAnsi="Georgia" w:cs="Times New Roman"/>
          <w:lang w:val="en-GB"/>
        </w:rPr>
      </w:pPr>
      <w:r w:rsidRPr="00E72687">
        <w:rPr>
          <w:rFonts w:ascii="Georgia" w:hAnsi="Georgia" w:cs="Times New Roman"/>
          <w:b/>
          <w:bCs/>
          <w:lang w:val="en-GB"/>
        </w:rPr>
        <w:t>(2)</w:t>
      </w:r>
      <w:r>
        <w:rPr>
          <w:rFonts w:ascii="Georgia" w:hAnsi="Georgia" w:cs="Times New Roman"/>
          <w:lang w:val="en-GB"/>
        </w:rPr>
        <w:t xml:space="preserve"> develop</w:t>
      </w:r>
      <w:r w:rsidR="006B633A">
        <w:rPr>
          <w:rFonts w:ascii="Georgia" w:hAnsi="Georgia" w:cs="Times New Roman"/>
          <w:lang w:val="en-GB"/>
        </w:rPr>
        <w:t>s</w:t>
      </w:r>
      <w:r>
        <w:rPr>
          <w:rFonts w:ascii="Georgia" w:hAnsi="Georgia" w:cs="Times New Roman"/>
          <w:lang w:val="en-GB"/>
        </w:rPr>
        <w:t xml:space="preserve"> </w:t>
      </w:r>
      <w:r w:rsidR="00C75F81">
        <w:rPr>
          <w:rFonts w:ascii="Georgia" w:hAnsi="Georgia" w:cs="Times New Roman"/>
          <w:lang w:val="en-GB"/>
        </w:rPr>
        <w:t xml:space="preserve">a system of </w:t>
      </w:r>
      <w:r>
        <w:rPr>
          <w:rFonts w:ascii="Georgia" w:hAnsi="Georgia" w:cs="Times New Roman"/>
          <w:lang w:val="en-GB"/>
        </w:rPr>
        <w:t xml:space="preserve">analytical aspects </w:t>
      </w:r>
      <w:r w:rsidR="001A61BD" w:rsidRPr="0002056A">
        <w:rPr>
          <w:rFonts w:ascii="Georgia" w:hAnsi="Georgia" w:cs="Times New Roman"/>
          <w:lang w:val="en-GB"/>
        </w:rPr>
        <w:t xml:space="preserve">capable of measuring </w:t>
      </w:r>
      <w:r w:rsidR="00B76257" w:rsidRPr="0002056A">
        <w:rPr>
          <w:rFonts w:ascii="Georgia" w:hAnsi="Georgia" w:cs="Times New Roman"/>
          <w:lang w:val="en-GB"/>
        </w:rPr>
        <w:t>this spatial sensitivity</w:t>
      </w:r>
      <w:r>
        <w:rPr>
          <w:rFonts w:ascii="Georgia" w:hAnsi="Georgia" w:cs="Times New Roman"/>
          <w:lang w:val="en-GB"/>
        </w:rPr>
        <w:t xml:space="preserve"> (as operationalisation)</w:t>
      </w:r>
      <w:r w:rsidR="00783444">
        <w:rPr>
          <w:rFonts w:ascii="Georgia" w:hAnsi="Georgia" w:cs="Times New Roman"/>
          <w:lang w:val="en-GB"/>
        </w:rPr>
        <w:t>;</w:t>
      </w:r>
    </w:p>
    <w:p w14:paraId="2C159D64" w14:textId="3E28E9B1" w:rsidR="00B76257" w:rsidRDefault="00783444" w:rsidP="00CD5BF3">
      <w:pPr>
        <w:spacing w:before="120" w:after="120"/>
        <w:jc w:val="both"/>
        <w:rPr>
          <w:rFonts w:ascii="Georgia" w:hAnsi="Georgia" w:cs="Times New Roman"/>
          <w:lang w:val="en-GB"/>
        </w:rPr>
      </w:pPr>
      <w:r w:rsidRPr="00E72687">
        <w:rPr>
          <w:rFonts w:ascii="Georgia" w:hAnsi="Georgia" w:cs="Times New Roman"/>
          <w:b/>
          <w:bCs/>
          <w:lang w:val="en-GB"/>
        </w:rPr>
        <w:t>(3)</w:t>
      </w:r>
      <w:r>
        <w:rPr>
          <w:rFonts w:ascii="Georgia" w:hAnsi="Georgia" w:cs="Times New Roman"/>
          <w:lang w:val="en-GB"/>
        </w:rPr>
        <w:t xml:space="preserve"> empirically </w:t>
      </w:r>
      <w:r w:rsidR="001A61BD" w:rsidRPr="0002056A">
        <w:rPr>
          <w:rFonts w:ascii="Georgia" w:hAnsi="Georgia" w:cs="Times New Roman"/>
          <w:lang w:val="en-GB"/>
        </w:rPr>
        <w:t>a</w:t>
      </w:r>
      <w:r w:rsidR="00B76257" w:rsidRPr="0002056A">
        <w:rPr>
          <w:rFonts w:ascii="Georgia" w:hAnsi="Georgia" w:cs="Times New Roman"/>
          <w:lang w:val="en-GB"/>
        </w:rPr>
        <w:t>ssess</w:t>
      </w:r>
      <w:r w:rsidR="001A61BD" w:rsidRPr="0002056A">
        <w:rPr>
          <w:rFonts w:ascii="Georgia" w:hAnsi="Georgia" w:cs="Times New Roman"/>
          <w:lang w:val="en-GB"/>
        </w:rPr>
        <w:t>es</w:t>
      </w:r>
      <w:r w:rsidR="00B76257" w:rsidRPr="0002056A">
        <w:rPr>
          <w:rFonts w:ascii="Georgia" w:hAnsi="Georgia" w:cs="Times New Roman"/>
          <w:lang w:val="en-GB"/>
        </w:rPr>
        <w:t xml:space="preserve"> the spatial sensitivity </w:t>
      </w:r>
      <w:r w:rsidRPr="0002056A">
        <w:rPr>
          <w:rFonts w:ascii="Georgia" w:hAnsi="Georgia" w:cs="Times New Roman"/>
          <w:lang w:val="en-GB"/>
        </w:rPr>
        <w:t>of national climate adaptation polic</w:t>
      </w:r>
      <w:r>
        <w:rPr>
          <w:rFonts w:ascii="Georgia" w:hAnsi="Georgia" w:cs="Times New Roman"/>
          <w:lang w:val="en-GB"/>
        </w:rPr>
        <w:t>ies by</w:t>
      </w:r>
      <w:r w:rsidR="001A61BD" w:rsidRPr="0002056A">
        <w:rPr>
          <w:rFonts w:ascii="Georgia" w:hAnsi="Georgia" w:cs="Times New Roman"/>
          <w:lang w:val="en-GB"/>
        </w:rPr>
        <w:t xml:space="preserve"> </w:t>
      </w:r>
      <w:r>
        <w:rPr>
          <w:rFonts w:ascii="Georgia" w:hAnsi="Georgia" w:cs="Times New Roman"/>
          <w:lang w:val="en-GB"/>
        </w:rPr>
        <w:t>analysi</w:t>
      </w:r>
      <w:r w:rsidR="00E67D58">
        <w:rPr>
          <w:rFonts w:ascii="Georgia" w:hAnsi="Georgia" w:cs="Times New Roman"/>
          <w:lang w:val="en-GB"/>
        </w:rPr>
        <w:t>n</w:t>
      </w:r>
      <w:r w:rsidR="001A61BD" w:rsidRPr="0002056A">
        <w:rPr>
          <w:rFonts w:ascii="Georgia" w:hAnsi="Georgia" w:cs="Times New Roman"/>
          <w:lang w:val="en-GB"/>
        </w:rPr>
        <w:t xml:space="preserve">g </w:t>
      </w:r>
      <w:r w:rsidR="00E67D58">
        <w:rPr>
          <w:rFonts w:ascii="Georgia" w:hAnsi="Georgia" w:cs="Times New Roman"/>
          <w:lang w:val="en-GB"/>
        </w:rPr>
        <w:t>four main</w:t>
      </w:r>
      <w:r w:rsidR="001A61BD" w:rsidRPr="0002056A">
        <w:rPr>
          <w:rFonts w:ascii="Georgia" w:hAnsi="Georgia" w:cs="Times New Roman"/>
          <w:lang w:val="en-GB"/>
        </w:rPr>
        <w:t xml:space="preserve"> tools </w:t>
      </w:r>
      <w:r w:rsidR="00E67D58">
        <w:rPr>
          <w:rFonts w:ascii="Georgia" w:hAnsi="Georgia" w:cs="Times New Roman"/>
          <w:lang w:val="en-GB"/>
        </w:rPr>
        <w:t xml:space="preserve">of climate adaptation policy </w:t>
      </w:r>
      <w:r w:rsidR="001A61BD" w:rsidRPr="0002056A">
        <w:rPr>
          <w:rFonts w:ascii="Georgia" w:hAnsi="Georgia" w:cs="Times New Roman"/>
          <w:lang w:val="en-GB"/>
        </w:rPr>
        <w:t>planning (strategies, programmes</w:t>
      </w:r>
      <w:r w:rsidR="00E67D58">
        <w:rPr>
          <w:rFonts w:ascii="Georgia" w:hAnsi="Georgia" w:cs="Times New Roman"/>
          <w:lang w:val="en-GB"/>
        </w:rPr>
        <w:t>/</w:t>
      </w:r>
      <w:r w:rsidR="001A61BD" w:rsidRPr="0002056A">
        <w:rPr>
          <w:rFonts w:ascii="Georgia" w:hAnsi="Georgia" w:cs="Times New Roman"/>
          <w:lang w:val="en-GB"/>
        </w:rPr>
        <w:t>action plans, evaluation reports and monitoring materials)</w:t>
      </w:r>
      <w:r w:rsidR="00E67D58">
        <w:rPr>
          <w:rFonts w:ascii="Georgia" w:hAnsi="Georgia" w:cs="Times New Roman"/>
          <w:lang w:val="en-GB"/>
        </w:rPr>
        <w:t>;</w:t>
      </w:r>
    </w:p>
    <w:p w14:paraId="43ACC9A9" w14:textId="48EEE2B3" w:rsidR="00DC1654" w:rsidRDefault="00DC1654" w:rsidP="00CD5BF3">
      <w:pPr>
        <w:spacing w:before="120" w:after="120"/>
        <w:jc w:val="both"/>
        <w:rPr>
          <w:rFonts w:ascii="Georgia" w:hAnsi="Georgia" w:cs="Times New Roman"/>
          <w:lang w:val="en-GB"/>
        </w:rPr>
      </w:pPr>
      <w:r w:rsidRPr="00DC1654">
        <w:rPr>
          <w:rFonts w:ascii="Georgia" w:hAnsi="Georgia" w:cs="Times New Roman"/>
          <w:b/>
          <w:bCs/>
          <w:lang w:val="en-GB"/>
        </w:rPr>
        <w:t>(4)</w:t>
      </w:r>
      <w:r>
        <w:rPr>
          <w:rFonts w:ascii="Georgia" w:hAnsi="Georgia" w:cs="Times New Roman"/>
          <w:lang w:val="en-GB"/>
        </w:rPr>
        <w:t xml:space="preserve"> analyses the connection between spatial sensitivity and different influential factors;</w:t>
      </w:r>
    </w:p>
    <w:p w14:paraId="5E62F1F5" w14:textId="5F0277A7" w:rsidR="006B633A" w:rsidRPr="0002056A" w:rsidRDefault="006B633A" w:rsidP="00CD5BF3">
      <w:pPr>
        <w:spacing w:before="120" w:after="120"/>
        <w:jc w:val="both"/>
        <w:rPr>
          <w:rFonts w:ascii="Georgia" w:hAnsi="Georgia" w:cs="Times New Roman"/>
          <w:lang w:val="en-GB"/>
        </w:rPr>
      </w:pPr>
      <w:r>
        <w:rPr>
          <w:rFonts w:ascii="Georgia" w:hAnsi="Georgia" w:cs="Times New Roman"/>
          <w:lang w:val="en-GB"/>
        </w:rPr>
        <w:t xml:space="preserve">and </w:t>
      </w:r>
      <w:r w:rsidRPr="00E72687">
        <w:rPr>
          <w:rFonts w:ascii="Georgia" w:hAnsi="Georgia" w:cs="Times New Roman"/>
          <w:b/>
          <w:bCs/>
          <w:lang w:val="en-GB"/>
        </w:rPr>
        <w:t>(</w:t>
      </w:r>
      <w:r w:rsidR="00DC1654">
        <w:rPr>
          <w:rFonts w:ascii="Georgia" w:hAnsi="Georgia" w:cs="Times New Roman"/>
          <w:b/>
          <w:bCs/>
          <w:lang w:val="en-GB"/>
        </w:rPr>
        <w:t>5</w:t>
      </w:r>
      <w:r w:rsidRPr="00E72687">
        <w:rPr>
          <w:rFonts w:ascii="Georgia" w:hAnsi="Georgia" w:cs="Times New Roman"/>
          <w:b/>
          <w:bCs/>
          <w:lang w:val="en-GB"/>
        </w:rPr>
        <w:t>)</w:t>
      </w:r>
      <w:r>
        <w:rPr>
          <w:rFonts w:ascii="Georgia" w:hAnsi="Georgia" w:cs="Times New Roman"/>
          <w:lang w:val="en-GB"/>
        </w:rPr>
        <w:t xml:space="preserve"> formulates recommendations for </w:t>
      </w:r>
      <w:r w:rsidR="00C75F81">
        <w:rPr>
          <w:rFonts w:ascii="Georgia" w:hAnsi="Georgia" w:cs="Times New Roman"/>
          <w:lang w:val="en-GB"/>
        </w:rPr>
        <w:t>making</w:t>
      </w:r>
      <w:r>
        <w:rPr>
          <w:rFonts w:ascii="Georgia" w:hAnsi="Georgia" w:cs="Times New Roman"/>
          <w:lang w:val="en-GB"/>
        </w:rPr>
        <w:t xml:space="preserve"> policy practices</w:t>
      </w:r>
      <w:r w:rsidR="000256BC">
        <w:rPr>
          <w:rFonts w:ascii="Georgia" w:hAnsi="Georgia" w:cs="Times New Roman"/>
          <w:lang w:val="en-GB"/>
        </w:rPr>
        <w:t xml:space="preserve"> more spatially sensitive</w:t>
      </w:r>
      <w:r w:rsidR="007E7416">
        <w:rPr>
          <w:rFonts w:ascii="Georgia" w:hAnsi="Georgia" w:cs="Times New Roman"/>
          <w:lang w:val="en-GB"/>
        </w:rPr>
        <w:t>.</w:t>
      </w:r>
    </w:p>
    <w:p w14:paraId="6567F1CC" w14:textId="4CA69041" w:rsidR="00B0218D" w:rsidRPr="0002056A" w:rsidRDefault="00B0218D" w:rsidP="00CD5BF3">
      <w:pPr>
        <w:spacing w:before="120" w:after="120"/>
        <w:jc w:val="both"/>
        <w:rPr>
          <w:rFonts w:ascii="Georgia" w:hAnsi="Georgia" w:cs="Times New Roman"/>
          <w:lang w:val="en-GB"/>
        </w:rPr>
      </w:pPr>
      <w:r w:rsidRPr="0002056A">
        <w:rPr>
          <w:rFonts w:ascii="Georgia" w:hAnsi="Georgia" w:cs="Times New Roman"/>
          <w:lang w:val="en-GB"/>
        </w:rPr>
        <w:t xml:space="preserve">The research </w:t>
      </w:r>
      <w:r w:rsidR="00B92849" w:rsidRPr="0002056A">
        <w:rPr>
          <w:rFonts w:ascii="Georgia" w:hAnsi="Georgia" w:cs="Times New Roman"/>
          <w:lang w:val="en-GB"/>
        </w:rPr>
        <w:t xml:space="preserve">aims </w:t>
      </w:r>
      <w:r w:rsidR="00A31824">
        <w:rPr>
          <w:rFonts w:ascii="Georgia" w:hAnsi="Georgia" w:cs="Times New Roman"/>
          <w:lang w:val="en-GB"/>
        </w:rPr>
        <w:t xml:space="preserve">primarily to examine the current presence of spatial emphases in adaptation </w:t>
      </w:r>
      <w:r w:rsidR="00744330">
        <w:rPr>
          <w:rFonts w:ascii="Georgia" w:hAnsi="Georgia" w:cs="Times New Roman"/>
          <w:lang w:val="en-GB"/>
        </w:rPr>
        <w:t>policymaking</w:t>
      </w:r>
      <w:r w:rsidR="00A31824">
        <w:rPr>
          <w:rFonts w:ascii="Georgia" w:hAnsi="Georgia" w:cs="Times New Roman"/>
          <w:lang w:val="en-GB"/>
        </w:rPr>
        <w:t>, specifically</w:t>
      </w:r>
      <w:r w:rsidRPr="0002056A">
        <w:rPr>
          <w:rFonts w:ascii="Georgia" w:hAnsi="Georgia" w:cs="Times New Roman"/>
          <w:lang w:val="en-GB"/>
        </w:rPr>
        <w:t xml:space="preserve"> in planning and </w:t>
      </w:r>
      <w:r w:rsidR="00970388" w:rsidRPr="0002056A">
        <w:rPr>
          <w:rFonts w:ascii="Georgia" w:hAnsi="Georgia" w:cs="Times New Roman"/>
          <w:lang w:val="en-GB"/>
        </w:rPr>
        <w:t>monitoring/reporting/evaluation (</w:t>
      </w:r>
      <w:r w:rsidRPr="0002056A">
        <w:rPr>
          <w:rFonts w:ascii="Georgia" w:hAnsi="Georgia" w:cs="Times New Roman"/>
          <w:lang w:val="en-GB"/>
        </w:rPr>
        <w:t>MRE</w:t>
      </w:r>
      <w:r w:rsidR="00970388" w:rsidRPr="0002056A">
        <w:rPr>
          <w:rFonts w:ascii="Georgia" w:hAnsi="Georgia" w:cs="Times New Roman"/>
          <w:lang w:val="en-GB"/>
        </w:rPr>
        <w:t>)</w:t>
      </w:r>
      <w:r w:rsidRPr="0002056A">
        <w:rPr>
          <w:rFonts w:ascii="Georgia" w:hAnsi="Georgia" w:cs="Times New Roman"/>
          <w:lang w:val="en-GB"/>
        </w:rPr>
        <w:t xml:space="preserve"> activities. To conduct this research, as a first step, we must </w:t>
      </w:r>
      <w:r w:rsidRPr="0002056A">
        <w:rPr>
          <w:rFonts w:ascii="Georgia" w:hAnsi="Georgia" w:cs="Times New Roman"/>
          <w:b/>
          <w:bCs/>
          <w:lang w:val="en-GB"/>
        </w:rPr>
        <w:t>define the essence of this spatial content</w:t>
      </w:r>
      <w:r w:rsidRPr="0002056A">
        <w:rPr>
          <w:rFonts w:ascii="Georgia" w:hAnsi="Georgia" w:cs="Times New Roman"/>
          <w:lang w:val="en-GB"/>
        </w:rPr>
        <w:t>: what we understand under spatial</w:t>
      </w:r>
      <w:r w:rsidR="000256BC">
        <w:rPr>
          <w:rFonts w:ascii="Georgia" w:hAnsi="Georgia" w:cs="Times New Roman"/>
          <w:lang w:val="en-GB"/>
        </w:rPr>
        <w:t>ity</w:t>
      </w:r>
      <w:r w:rsidR="00646024" w:rsidRPr="0002056A">
        <w:rPr>
          <w:rFonts w:ascii="Georgia" w:hAnsi="Georgia" w:cs="Times New Roman"/>
          <w:lang w:val="en-GB"/>
        </w:rPr>
        <w:t xml:space="preserve">? </w:t>
      </w:r>
      <w:r w:rsidR="00FC083C" w:rsidRPr="0002056A">
        <w:rPr>
          <w:rFonts w:ascii="Georgia" w:hAnsi="Georgia" w:cs="Times New Roman"/>
          <w:lang w:val="en-GB"/>
        </w:rPr>
        <w:t>Moreover,</w:t>
      </w:r>
      <w:r w:rsidR="00646024" w:rsidRPr="0002056A">
        <w:rPr>
          <w:rFonts w:ascii="Georgia" w:hAnsi="Georgia" w:cs="Times New Roman"/>
          <w:lang w:val="en-GB"/>
        </w:rPr>
        <w:t xml:space="preserve"> we must</w:t>
      </w:r>
      <w:r w:rsidRPr="0002056A">
        <w:rPr>
          <w:rFonts w:ascii="Georgia" w:hAnsi="Georgia" w:cs="Times New Roman"/>
          <w:b/>
          <w:bCs/>
          <w:lang w:val="en-GB"/>
        </w:rPr>
        <w:t xml:space="preserve"> </w:t>
      </w:r>
      <w:r w:rsidRPr="0002056A">
        <w:rPr>
          <w:rFonts w:ascii="Georgia" w:hAnsi="Georgia" w:cs="Times New Roman"/>
          <w:lang w:val="en-GB"/>
        </w:rPr>
        <w:t xml:space="preserve">find a way to measure </w:t>
      </w:r>
      <w:r w:rsidR="00A31824">
        <w:rPr>
          <w:rFonts w:ascii="Georgia" w:hAnsi="Georgia" w:cs="Times New Roman"/>
          <w:lang w:val="en-GB"/>
        </w:rPr>
        <w:t>the degree to which climate adaptation policy instruments are sensitive to these spatial dimensions and</w:t>
      </w:r>
      <w:r w:rsidRPr="0002056A">
        <w:rPr>
          <w:rFonts w:ascii="Georgia" w:hAnsi="Georgia" w:cs="Times New Roman"/>
          <w:b/>
          <w:bCs/>
          <w:lang w:val="en-GB"/>
        </w:rPr>
        <w:t xml:space="preserve"> </w:t>
      </w:r>
      <w:r w:rsidRPr="0002056A">
        <w:rPr>
          <w:rFonts w:ascii="Georgia" w:hAnsi="Georgia" w:cs="Times New Roman"/>
          <w:lang w:val="en-GB"/>
        </w:rPr>
        <w:t>how they contain them.</w:t>
      </w:r>
      <w:r w:rsidRPr="0002056A">
        <w:rPr>
          <w:lang w:val="en-GB"/>
        </w:rPr>
        <w:t xml:space="preserve"> </w:t>
      </w:r>
      <w:r w:rsidRPr="0002056A">
        <w:rPr>
          <w:rFonts w:ascii="Georgia" w:hAnsi="Georgia" w:cs="Times New Roman"/>
          <w:lang w:val="en-GB"/>
        </w:rPr>
        <w:t xml:space="preserve">The concept of space can, of course, be interpreted in different reference systems that are much smaller (e.g., in architecture) or much larger (e.g., in space exploration) than the geographical scale. We </w:t>
      </w:r>
      <w:r w:rsidR="00A31824">
        <w:rPr>
          <w:rFonts w:ascii="Georgia" w:hAnsi="Georgia" w:cs="Times New Roman"/>
          <w:lang w:val="en-GB"/>
        </w:rPr>
        <w:t xml:space="preserve">emphasise that the </w:t>
      </w:r>
      <w:r w:rsidR="00A31824" w:rsidRPr="0000288B">
        <w:rPr>
          <w:rFonts w:ascii="Georgia" w:hAnsi="Georgia" w:cs="Times New Roman"/>
          <w:b/>
          <w:bCs/>
          <w:lang w:val="en-GB"/>
        </w:rPr>
        <w:t>research specifically examines</w:t>
      </w:r>
      <w:r w:rsidR="00A31824">
        <w:rPr>
          <w:rFonts w:ascii="Georgia" w:hAnsi="Georgia" w:cs="Times New Roman"/>
          <w:lang w:val="en-GB"/>
        </w:rPr>
        <w:t xml:space="preserve"> the </w:t>
      </w:r>
      <w:r w:rsidRPr="0002056A">
        <w:rPr>
          <w:rFonts w:ascii="Georgia" w:hAnsi="Georgia" w:cs="Times New Roman"/>
          <w:b/>
          <w:bCs/>
          <w:lang w:val="en-GB"/>
        </w:rPr>
        <w:t>spatiality of climate adaptation at the geographical scale</w:t>
      </w:r>
      <w:r w:rsidRPr="0002056A">
        <w:rPr>
          <w:rFonts w:ascii="Georgia" w:hAnsi="Georgia" w:cs="Times New Roman"/>
          <w:lang w:val="en-GB"/>
        </w:rPr>
        <w:t xml:space="preserve">. </w:t>
      </w:r>
      <w:r w:rsidR="00DC099C" w:rsidRPr="008866CE">
        <w:rPr>
          <w:rFonts w:ascii="Georgia" w:hAnsi="Georgia" w:cs="Times New Roman"/>
          <w:lang w:val="en-GB"/>
        </w:rPr>
        <w:t>Among the space-related concepts</w:t>
      </w:r>
      <w:r w:rsidR="00DC099C" w:rsidRPr="0002056A">
        <w:rPr>
          <w:rFonts w:ascii="Georgia" w:hAnsi="Georgia" w:cs="Times New Roman"/>
          <w:b/>
          <w:bCs/>
          <w:lang w:val="en-GB"/>
        </w:rPr>
        <w:t xml:space="preserve"> the dissertation definitely focuses on space itself</w:t>
      </w:r>
      <w:r w:rsidR="00DC099C" w:rsidRPr="0002056A">
        <w:rPr>
          <w:rFonts w:ascii="Georgia" w:hAnsi="Georgia" w:cs="Times New Roman"/>
          <w:lang w:val="en-GB"/>
        </w:rPr>
        <w:t xml:space="preserve"> as a limitless</w:t>
      </w:r>
      <w:r w:rsidR="008C0D58" w:rsidRPr="0002056A">
        <w:rPr>
          <w:rFonts w:ascii="Georgia" w:hAnsi="Georgia" w:cs="Times New Roman"/>
          <w:lang w:val="en-GB"/>
        </w:rPr>
        <w:t xml:space="preserve">, general, abstract </w:t>
      </w:r>
      <w:r w:rsidR="00DC099C" w:rsidRPr="0002056A">
        <w:rPr>
          <w:rFonts w:ascii="Georgia" w:hAnsi="Georgia" w:cs="Times New Roman"/>
          <w:lang w:val="en-GB"/>
        </w:rPr>
        <w:t>concept</w:t>
      </w:r>
      <w:r w:rsidR="008C0D58" w:rsidRPr="0002056A">
        <w:rPr>
          <w:rFonts w:ascii="Georgia" w:hAnsi="Georgia" w:cs="Times New Roman"/>
          <w:lang w:val="en-GB"/>
        </w:rPr>
        <w:t xml:space="preserve"> as opposed to territory </w:t>
      </w:r>
      <w:r w:rsidR="00775475" w:rsidRPr="0002056A">
        <w:rPr>
          <w:rFonts w:ascii="Georgia" w:hAnsi="Georgia" w:cs="Times New Roman"/>
          <w:lang w:val="en-GB"/>
        </w:rPr>
        <w:t>(</w:t>
      </w:r>
      <w:r w:rsidR="008C0D58" w:rsidRPr="0002056A">
        <w:rPr>
          <w:rFonts w:ascii="Georgia" w:hAnsi="Georgia" w:cs="Times New Roman"/>
          <w:lang w:val="en-GB"/>
        </w:rPr>
        <w:t xml:space="preserve">which refers to delimited units, basically with administrative </w:t>
      </w:r>
      <w:r w:rsidR="00775475" w:rsidRPr="0002056A">
        <w:rPr>
          <w:rFonts w:ascii="Georgia" w:hAnsi="Georgia" w:cs="Times New Roman"/>
          <w:lang w:val="en-GB"/>
        </w:rPr>
        <w:t xml:space="preserve">or functional </w:t>
      </w:r>
      <w:r w:rsidR="008C0D58" w:rsidRPr="0002056A">
        <w:rPr>
          <w:rFonts w:ascii="Georgia" w:hAnsi="Georgia" w:cs="Times New Roman"/>
          <w:lang w:val="en-GB"/>
        </w:rPr>
        <w:t>purposes</w:t>
      </w:r>
      <w:r w:rsidR="00775475" w:rsidRPr="0002056A">
        <w:rPr>
          <w:rFonts w:ascii="Georgia" w:hAnsi="Georgia" w:cs="Times New Roman"/>
          <w:lang w:val="en-GB"/>
        </w:rPr>
        <w:t xml:space="preserve">) or place/region (which concepts </w:t>
      </w:r>
      <w:r w:rsidR="008B4651" w:rsidRPr="0002056A">
        <w:rPr>
          <w:rFonts w:ascii="Georgia" w:hAnsi="Georgia" w:cs="Times New Roman"/>
          <w:lang w:val="en-GB"/>
        </w:rPr>
        <w:t>refer to rather lower-level</w:t>
      </w:r>
      <w:r w:rsidR="00250BBD" w:rsidRPr="0002056A">
        <w:rPr>
          <w:rFonts w:ascii="Georgia" w:hAnsi="Georgia" w:cs="Times New Roman"/>
          <w:lang w:val="en-GB"/>
        </w:rPr>
        <w:t xml:space="preserve"> localities in space with perceptorial and statistical-analytical content).</w:t>
      </w:r>
      <w:r w:rsidR="00775475" w:rsidRPr="0002056A">
        <w:rPr>
          <w:rFonts w:ascii="Georgia" w:hAnsi="Georgia" w:cs="Times New Roman"/>
          <w:lang w:val="en-GB"/>
        </w:rPr>
        <w:t xml:space="preserve"> </w:t>
      </w:r>
    </w:p>
    <w:p w14:paraId="6524C2E0" w14:textId="77777777" w:rsidR="0081043F" w:rsidRPr="0002056A" w:rsidRDefault="0081043F" w:rsidP="0081043F">
      <w:pPr>
        <w:spacing w:before="120" w:after="120"/>
        <w:jc w:val="both"/>
        <w:rPr>
          <w:rFonts w:ascii="Georgia" w:hAnsi="Georgia" w:cs="Times New Roman"/>
          <w:lang w:val="en-GB"/>
        </w:rPr>
      </w:pPr>
      <w:r w:rsidRPr="0002056A">
        <w:rPr>
          <w:rFonts w:ascii="Georgia" w:hAnsi="Georgia" w:cs="Times New Roman"/>
          <w:lang w:val="en-GB"/>
        </w:rPr>
        <w:t>The hypotheses of the dissertation, according to the research questions, are as follows:</w:t>
      </w:r>
    </w:p>
    <w:p w14:paraId="4E54F5EC" w14:textId="2CF8F072" w:rsidR="0081043F" w:rsidRPr="003B2DBF" w:rsidRDefault="0081043F" w:rsidP="0081043F">
      <w:pPr>
        <w:spacing w:before="120" w:after="120"/>
        <w:jc w:val="both"/>
        <w:rPr>
          <w:rFonts w:ascii="Georgia" w:hAnsi="Georgia"/>
          <w:b/>
          <w:i/>
          <w:iCs/>
          <w:color w:val="4472C4" w:themeColor="accent1"/>
          <w:lang w:val="en-GB"/>
        </w:rPr>
      </w:pPr>
      <w:r w:rsidRPr="003B2DBF">
        <w:rPr>
          <w:rFonts w:ascii="Georgia" w:hAnsi="Georgia"/>
          <w:b/>
          <w:i/>
          <w:iCs/>
          <w:color w:val="4472C4" w:themeColor="accent1"/>
          <w:lang w:val="en-GB"/>
        </w:rPr>
        <w:t xml:space="preserve">Main hypothesis: </w:t>
      </w:r>
      <w:bookmarkStart w:id="8" w:name="_Hlk218970968"/>
      <w:r w:rsidRPr="003B2DBF">
        <w:rPr>
          <w:rFonts w:ascii="Georgia" w:hAnsi="Georgia"/>
          <w:b/>
          <w:i/>
          <w:iCs/>
          <w:color w:val="4472C4" w:themeColor="accent1"/>
          <w:lang w:val="en-GB"/>
        </w:rPr>
        <w:t xml:space="preserve">Due to the importance of geographical space and spatial differences/structures in climate adaptation, </w:t>
      </w:r>
      <w:bookmarkEnd w:id="8"/>
      <w:r w:rsidRPr="003B2DBF">
        <w:rPr>
          <w:rFonts w:ascii="Georgia" w:hAnsi="Georgia"/>
          <w:b/>
          <w:i/>
          <w:iCs/>
          <w:color w:val="4472C4" w:themeColor="accent1"/>
          <w:lang w:val="en-GB"/>
        </w:rPr>
        <w:t xml:space="preserve">sensitivity to spatial considerations in national adaptation practice </w:t>
      </w:r>
      <w:r w:rsidR="00A31824">
        <w:rPr>
          <w:rFonts w:ascii="Georgia" w:hAnsi="Georgia"/>
          <w:b/>
          <w:i/>
          <w:iCs/>
          <w:color w:val="4472C4" w:themeColor="accent1"/>
          <w:lang w:val="en-GB"/>
        </w:rPr>
        <w:t>varies</w:t>
      </w:r>
      <w:r w:rsidR="00A31824" w:rsidRPr="003B2DBF">
        <w:rPr>
          <w:rFonts w:ascii="Georgia" w:hAnsi="Georgia"/>
          <w:b/>
          <w:i/>
          <w:iCs/>
          <w:color w:val="4472C4" w:themeColor="accent1"/>
          <w:lang w:val="en-GB"/>
        </w:rPr>
        <w:t xml:space="preserve"> </w:t>
      </w:r>
      <w:r w:rsidRPr="003B2DBF">
        <w:rPr>
          <w:rFonts w:ascii="Georgia" w:hAnsi="Georgia"/>
          <w:b/>
          <w:i/>
          <w:iCs/>
          <w:color w:val="4472C4" w:themeColor="accent1"/>
          <w:lang w:val="en-GB"/>
        </w:rPr>
        <w:t>significantly across Europe.</w:t>
      </w:r>
    </w:p>
    <w:p w14:paraId="2C6B43D0" w14:textId="652D0F4B" w:rsidR="0081043F" w:rsidRPr="003B2DBF" w:rsidRDefault="0081043F" w:rsidP="0081043F">
      <w:pPr>
        <w:pStyle w:val="Listaszerbekezds"/>
        <w:numPr>
          <w:ilvl w:val="0"/>
          <w:numId w:val="5"/>
        </w:numPr>
        <w:spacing w:before="120" w:after="120"/>
        <w:contextualSpacing w:val="0"/>
        <w:jc w:val="both"/>
        <w:rPr>
          <w:rFonts w:ascii="Georgia" w:hAnsi="Georgia"/>
          <w:bCs/>
          <w:i/>
          <w:iCs/>
          <w:color w:val="4472C4" w:themeColor="accent1"/>
          <w:lang w:val="en-GB"/>
        </w:rPr>
      </w:pPr>
      <w:r w:rsidRPr="003B2DBF">
        <w:rPr>
          <w:rFonts w:ascii="Georgia" w:hAnsi="Georgia"/>
          <w:bCs/>
          <w:i/>
          <w:iCs/>
          <w:color w:val="4472C4" w:themeColor="accent1"/>
          <w:lang w:val="en-GB"/>
        </w:rPr>
        <w:t xml:space="preserve">Hypothesis#1 (H1): The ability of climate adaptation policies to </w:t>
      </w:r>
      <w:r w:rsidR="00A31824">
        <w:rPr>
          <w:rFonts w:ascii="Georgia" w:hAnsi="Georgia"/>
          <w:bCs/>
          <w:i/>
          <w:iCs/>
          <w:color w:val="4472C4" w:themeColor="accent1"/>
          <w:lang w:val="en-GB"/>
        </w:rPr>
        <w:t>recognise</w:t>
      </w:r>
      <w:r w:rsidR="00A31824" w:rsidRPr="003B2DBF">
        <w:rPr>
          <w:rFonts w:ascii="Georgia" w:hAnsi="Georgia"/>
          <w:bCs/>
          <w:i/>
          <w:iCs/>
          <w:color w:val="4472C4" w:themeColor="accent1"/>
          <w:lang w:val="en-GB"/>
        </w:rPr>
        <w:t xml:space="preserve"> </w:t>
      </w:r>
      <w:r w:rsidRPr="003B2DBF">
        <w:rPr>
          <w:rFonts w:ascii="Georgia" w:hAnsi="Georgia"/>
          <w:bCs/>
          <w:i/>
          <w:iCs/>
          <w:color w:val="4472C4" w:themeColor="accent1"/>
          <w:lang w:val="en-GB"/>
        </w:rPr>
        <w:t xml:space="preserve">spatially specific (geographical) contexts and to tailor their interventions accordingly can be captured by a common concept. </w:t>
      </w:r>
    </w:p>
    <w:p w14:paraId="2A155DAD" w14:textId="64CD589E" w:rsidR="0081043F" w:rsidRPr="003B2DBF" w:rsidRDefault="0081043F" w:rsidP="0081043F">
      <w:pPr>
        <w:pStyle w:val="Listaszerbekezds"/>
        <w:numPr>
          <w:ilvl w:val="0"/>
          <w:numId w:val="5"/>
        </w:numPr>
        <w:spacing w:before="120" w:after="120"/>
        <w:contextualSpacing w:val="0"/>
        <w:jc w:val="both"/>
        <w:rPr>
          <w:rFonts w:ascii="Georgia" w:hAnsi="Georgia"/>
          <w:bCs/>
          <w:i/>
          <w:iCs/>
          <w:color w:val="4472C4" w:themeColor="accent1"/>
          <w:lang w:val="en-GB"/>
        </w:rPr>
      </w:pPr>
      <w:r w:rsidRPr="003B2DBF">
        <w:rPr>
          <w:rFonts w:ascii="Georgia" w:hAnsi="Georgia"/>
          <w:bCs/>
          <w:i/>
          <w:iCs/>
          <w:color w:val="4472C4" w:themeColor="accent1"/>
          <w:lang w:val="en-GB"/>
        </w:rPr>
        <w:t xml:space="preserve">Hypothesis#2 (H2): Spatial sensitivity of national adaptation policy activities can be examined and measured by the analysis of their instruments. </w:t>
      </w:r>
    </w:p>
    <w:p w14:paraId="10B78AE5" w14:textId="7ABEDBFF" w:rsidR="0081043F" w:rsidRPr="003B2DBF" w:rsidRDefault="0081043F" w:rsidP="0081043F">
      <w:pPr>
        <w:pStyle w:val="Listaszerbekezds"/>
        <w:numPr>
          <w:ilvl w:val="0"/>
          <w:numId w:val="5"/>
        </w:numPr>
        <w:spacing w:before="120" w:after="120"/>
        <w:contextualSpacing w:val="0"/>
        <w:jc w:val="both"/>
        <w:rPr>
          <w:rFonts w:ascii="Georgia" w:hAnsi="Georgia"/>
          <w:bCs/>
          <w:i/>
          <w:iCs/>
          <w:color w:val="4472C4" w:themeColor="accent1"/>
          <w:lang w:val="en-GB"/>
        </w:rPr>
      </w:pPr>
      <w:r w:rsidRPr="003B2DBF">
        <w:rPr>
          <w:rFonts w:ascii="Georgia" w:hAnsi="Georgia"/>
          <w:bCs/>
          <w:i/>
          <w:iCs/>
          <w:color w:val="4472C4" w:themeColor="accent1"/>
          <w:lang w:val="en-GB"/>
        </w:rPr>
        <w:t>Hypothesis#3 (H3): Sensitivity to spatial dimensions emerges in national adaptation polic</w:t>
      </w:r>
      <w:r w:rsidR="005E6E80">
        <w:rPr>
          <w:rFonts w:ascii="Georgia" w:hAnsi="Georgia"/>
          <w:bCs/>
          <w:i/>
          <w:iCs/>
          <w:color w:val="4472C4" w:themeColor="accent1"/>
          <w:lang w:val="en-GB"/>
        </w:rPr>
        <w:t xml:space="preserve">y </w:t>
      </w:r>
      <w:r w:rsidRPr="003B2DBF">
        <w:rPr>
          <w:rFonts w:ascii="Georgia" w:hAnsi="Georgia"/>
          <w:bCs/>
          <w:i/>
          <w:iCs/>
          <w:color w:val="4472C4" w:themeColor="accent1"/>
          <w:lang w:val="en-GB"/>
        </w:rPr>
        <w:t>i</w:t>
      </w:r>
      <w:r w:rsidR="005E6E80">
        <w:rPr>
          <w:rFonts w:ascii="Georgia" w:hAnsi="Georgia"/>
          <w:bCs/>
          <w:i/>
          <w:iCs/>
          <w:color w:val="4472C4" w:themeColor="accent1"/>
          <w:lang w:val="en-GB"/>
        </w:rPr>
        <w:t>n</w:t>
      </w:r>
      <w:r w:rsidRPr="003B2DBF">
        <w:rPr>
          <w:rFonts w:ascii="Georgia" w:hAnsi="Georgia"/>
          <w:bCs/>
          <w:i/>
          <w:iCs/>
          <w:color w:val="4472C4" w:themeColor="accent1"/>
          <w:lang w:val="en-GB"/>
        </w:rPr>
        <w:t>s</w:t>
      </w:r>
      <w:r w:rsidR="005E6E80">
        <w:rPr>
          <w:rFonts w:ascii="Georgia" w:hAnsi="Georgia"/>
          <w:bCs/>
          <w:i/>
          <w:iCs/>
          <w:color w:val="4472C4" w:themeColor="accent1"/>
          <w:lang w:val="en-GB"/>
        </w:rPr>
        <w:t>truments</w:t>
      </w:r>
      <w:r w:rsidRPr="003B2DBF">
        <w:rPr>
          <w:rFonts w:ascii="Georgia" w:hAnsi="Georgia"/>
          <w:bCs/>
          <w:i/>
          <w:iCs/>
          <w:color w:val="4472C4" w:themeColor="accent1"/>
          <w:lang w:val="en-GB"/>
        </w:rPr>
        <w:t>, but to a limited extent.</w:t>
      </w:r>
    </w:p>
    <w:p w14:paraId="6C582CE2" w14:textId="77777777" w:rsidR="0081043F" w:rsidRPr="003B2DBF" w:rsidRDefault="0081043F" w:rsidP="0081043F">
      <w:pPr>
        <w:pStyle w:val="Listaszerbekezds"/>
        <w:numPr>
          <w:ilvl w:val="0"/>
          <w:numId w:val="5"/>
        </w:numPr>
        <w:spacing w:before="120" w:after="120"/>
        <w:contextualSpacing w:val="0"/>
        <w:jc w:val="both"/>
        <w:rPr>
          <w:rFonts w:ascii="Georgia" w:hAnsi="Georgia"/>
          <w:bCs/>
          <w:i/>
          <w:iCs/>
          <w:color w:val="4472C4" w:themeColor="accent1"/>
          <w:lang w:val="en-GB"/>
        </w:rPr>
      </w:pPr>
      <w:r w:rsidRPr="003B2DBF">
        <w:rPr>
          <w:rFonts w:ascii="Georgia" w:hAnsi="Georgia"/>
          <w:bCs/>
          <w:i/>
          <w:iCs/>
          <w:color w:val="4472C4" w:themeColor="accent1"/>
          <w:lang w:val="en-GB"/>
        </w:rPr>
        <w:t>Hypothesis#4 (H4): Geographical characteristics of countries influence basically the spatial sensitivity of national adaptation policies.</w:t>
      </w:r>
    </w:p>
    <w:p w14:paraId="0DBED510" w14:textId="055023D3" w:rsidR="0081043F" w:rsidRPr="003B2DBF" w:rsidRDefault="0081043F" w:rsidP="0081043F">
      <w:pPr>
        <w:pStyle w:val="Listaszerbekezds"/>
        <w:numPr>
          <w:ilvl w:val="0"/>
          <w:numId w:val="5"/>
        </w:numPr>
        <w:spacing w:before="120" w:after="120"/>
        <w:contextualSpacing w:val="0"/>
        <w:jc w:val="both"/>
        <w:rPr>
          <w:rFonts w:ascii="Georgia" w:hAnsi="Georgia"/>
          <w:bCs/>
          <w:i/>
          <w:color w:val="4472C4" w:themeColor="accent1"/>
          <w:lang w:val="en-GB"/>
        </w:rPr>
      </w:pPr>
      <w:r w:rsidRPr="003B2DBF">
        <w:rPr>
          <w:rFonts w:ascii="Georgia" w:hAnsi="Georgia"/>
          <w:bCs/>
          <w:i/>
          <w:iCs/>
          <w:color w:val="4472C4" w:themeColor="accent1"/>
          <w:lang w:val="en-GB"/>
        </w:rPr>
        <w:t xml:space="preserve">Hypothesis#5 (H5): </w:t>
      </w:r>
      <w:bookmarkStart w:id="9" w:name="_Hlk218970933"/>
      <w:r w:rsidRPr="003B2DBF">
        <w:rPr>
          <w:rFonts w:ascii="Georgia" w:hAnsi="Georgia"/>
          <w:bCs/>
          <w:i/>
          <w:iCs/>
          <w:color w:val="4472C4" w:themeColor="accent1"/>
          <w:lang w:val="en-GB"/>
        </w:rPr>
        <w:t>Some macro-regional differences can be identified in the presence of spatial sensitivity in national policy activities due to their differences in policy culture</w:t>
      </w:r>
      <w:r w:rsidR="00A31824">
        <w:rPr>
          <w:rFonts w:ascii="Georgia" w:hAnsi="Georgia"/>
          <w:bCs/>
          <w:i/>
          <w:iCs/>
          <w:color w:val="4472C4" w:themeColor="accent1"/>
          <w:lang w:val="en-GB"/>
        </w:rPr>
        <w:t>,</w:t>
      </w:r>
      <w:r w:rsidRPr="003B2DBF">
        <w:rPr>
          <w:rFonts w:ascii="Georgia" w:hAnsi="Georgia"/>
          <w:bCs/>
          <w:i/>
          <w:iCs/>
          <w:color w:val="4472C4" w:themeColor="accent1"/>
          <w:lang w:val="en-GB"/>
        </w:rPr>
        <w:t xml:space="preserve"> with better performances of Western/Northern European countries</w:t>
      </w:r>
      <w:bookmarkEnd w:id="9"/>
      <w:r w:rsidRPr="003B2DBF">
        <w:rPr>
          <w:rFonts w:ascii="Georgia" w:hAnsi="Georgia"/>
          <w:bCs/>
          <w:i/>
          <w:iCs/>
          <w:color w:val="4472C4" w:themeColor="accent1"/>
          <w:lang w:val="en-GB"/>
        </w:rPr>
        <w:t>.</w:t>
      </w:r>
    </w:p>
    <w:p w14:paraId="01B5A306" w14:textId="7C45BC83" w:rsidR="003738F7" w:rsidRPr="0002056A" w:rsidRDefault="000624F4" w:rsidP="00CD5BF3">
      <w:pPr>
        <w:spacing w:before="120" w:after="120"/>
        <w:jc w:val="both"/>
        <w:rPr>
          <w:rFonts w:ascii="Calibri" w:eastAsiaTheme="majorEastAsia" w:hAnsi="Calibri" w:cs="Calibri"/>
          <w:sz w:val="24"/>
          <w:szCs w:val="24"/>
          <w:lang w:val="en-GB"/>
        </w:rPr>
      </w:pPr>
      <w:r w:rsidRPr="0002056A">
        <w:rPr>
          <w:rFonts w:ascii="Georgia" w:hAnsi="Georgia" w:cs="Times New Roman"/>
          <w:lang w:val="en-GB"/>
        </w:rPr>
        <w:lastRenderedPageBreak/>
        <w:t>Through the expected results</w:t>
      </w:r>
      <w:r w:rsidR="00A31824">
        <w:rPr>
          <w:rFonts w:ascii="Georgia" w:hAnsi="Georgia" w:cs="Times New Roman"/>
          <w:lang w:val="en-GB"/>
        </w:rPr>
        <w:t>,</w:t>
      </w:r>
      <w:r w:rsidRPr="0002056A">
        <w:rPr>
          <w:rFonts w:ascii="Georgia" w:hAnsi="Georgia" w:cs="Times New Roman"/>
          <w:lang w:val="en-GB"/>
        </w:rPr>
        <w:t xml:space="preserve"> the dissertation might </w:t>
      </w:r>
      <w:r w:rsidR="00D9294C" w:rsidRPr="0002056A">
        <w:rPr>
          <w:rFonts w:ascii="Georgia" w:hAnsi="Georgia" w:cs="Times New Roman"/>
          <w:lang w:val="en-GB"/>
        </w:rPr>
        <w:t>support the</w:t>
      </w:r>
      <w:r w:rsidR="00EF1A87" w:rsidRPr="0002056A">
        <w:rPr>
          <w:rFonts w:ascii="Georgia" w:hAnsi="Georgia" w:cs="Times New Roman"/>
          <w:lang w:val="en-GB"/>
        </w:rPr>
        <w:t xml:space="preserve"> improvement</w:t>
      </w:r>
      <w:r w:rsidR="00D9294C" w:rsidRPr="0002056A">
        <w:rPr>
          <w:rFonts w:ascii="Georgia" w:hAnsi="Georgia" w:cs="Times New Roman"/>
          <w:lang w:val="en-GB"/>
        </w:rPr>
        <w:t xml:space="preserve"> of climate </w:t>
      </w:r>
      <w:r w:rsidR="00545A76">
        <w:rPr>
          <w:rFonts w:ascii="Georgia" w:hAnsi="Georgia" w:cs="Times New Roman"/>
          <w:lang w:val="en-GB"/>
        </w:rPr>
        <w:t>adaptation</w:t>
      </w:r>
      <w:r w:rsidR="00D9294C" w:rsidRPr="0002056A">
        <w:rPr>
          <w:rFonts w:ascii="Georgia" w:hAnsi="Georgia" w:cs="Times New Roman"/>
          <w:lang w:val="en-GB"/>
        </w:rPr>
        <w:t xml:space="preserve"> policy activities in Europe, moving them </w:t>
      </w:r>
      <w:r w:rsidR="00A31824">
        <w:rPr>
          <w:rFonts w:ascii="Georgia" w:hAnsi="Georgia" w:cs="Times New Roman"/>
          <w:lang w:val="en-GB"/>
        </w:rPr>
        <w:t>in</w:t>
      </w:r>
      <w:r w:rsidR="00A31824" w:rsidRPr="0002056A">
        <w:rPr>
          <w:rFonts w:ascii="Georgia" w:hAnsi="Georgia" w:cs="Times New Roman"/>
          <w:lang w:val="en-GB"/>
        </w:rPr>
        <w:t xml:space="preserve"> </w:t>
      </w:r>
      <w:r w:rsidR="00D9294C" w:rsidRPr="0002056A">
        <w:rPr>
          <w:rFonts w:ascii="Georgia" w:hAnsi="Georgia" w:cs="Times New Roman"/>
          <w:lang w:val="en-GB"/>
        </w:rPr>
        <w:t xml:space="preserve">a direction that makes them capable of proper and </w:t>
      </w:r>
      <w:r w:rsidR="0045606D" w:rsidRPr="0002056A">
        <w:rPr>
          <w:rFonts w:ascii="Georgia" w:hAnsi="Georgia" w:cs="Times New Roman"/>
          <w:lang w:val="en-GB"/>
        </w:rPr>
        <w:t>spatially/</w:t>
      </w:r>
      <w:r w:rsidR="00D9294C" w:rsidRPr="0002056A">
        <w:rPr>
          <w:rFonts w:ascii="Georgia" w:hAnsi="Georgia" w:cs="Times New Roman"/>
          <w:lang w:val="en-GB"/>
        </w:rPr>
        <w:t>territorially conscious planning, monitoring and regular evaluation of</w:t>
      </w:r>
      <w:r w:rsidR="00C627BA" w:rsidRPr="0002056A">
        <w:rPr>
          <w:rFonts w:ascii="Georgia" w:hAnsi="Georgia" w:cs="Times New Roman"/>
          <w:lang w:val="en-GB"/>
        </w:rPr>
        <w:t xml:space="preserve"> </w:t>
      </w:r>
      <w:r w:rsidR="00D9294C" w:rsidRPr="0002056A">
        <w:rPr>
          <w:rFonts w:ascii="Georgia" w:hAnsi="Georgia" w:cs="Times New Roman"/>
          <w:lang w:val="en-GB"/>
        </w:rPr>
        <w:t>climate impacts, change</w:t>
      </w:r>
      <w:r w:rsidR="005636D0" w:rsidRPr="0002056A">
        <w:rPr>
          <w:rFonts w:ascii="Georgia" w:hAnsi="Georgia" w:cs="Times New Roman"/>
          <w:lang w:val="en-GB"/>
        </w:rPr>
        <w:t>s in</w:t>
      </w:r>
      <w:r w:rsidR="00D9294C" w:rsidRPr="0002056A">
        <w:rPr>
          <w:rFonts w:ascii="Georgia" w:hAnsi="Georgia" w:cs="Times New Roman"/>
          <w:lang w:val="en-GB"/>
        </w:rPr>
        <w:t xml:space="preserve"> vulnerability status, level of adapt</w:t>
      </w:r>
      <w:r w:rsidR="0045606D" w:rsidRPr="0002056A">
        <w:rPr>
          <w:rFonts w:ascii="Georgia" w:hAnsi="Georgia" w:cs="Times New Roman"/>
          <w:lang w:val="en-GB"/>
        </w:rPr>
        <w:t>ive capacity</w:t>
      </w:r>
      <w:r w:rsidR="00D9294C" w:rsidRPr="0002056A">
        <w:rPr>
          <w:rFonts w:ascii="Georgia" w:hAnsi="Georgia" w:cs="Times New Roman"/>
          <w:lang w:val="en-GB"/>
        </w:rPr>
        <w:t xml:space="preserve"> and </w:t>
      </w:r>
      <w:r w:rsidR="00EF1A87" w:rsidRPr="0002056A">
        <w:rPr>
          <w:rFonts w:ascii="Georgia" w:hAnsi="Georgia" w:cs="Times New Roman"/>
          <w:lang w:val="en-GB"/>
        </w:rPr>
        <w:t xml:space="preserve">concrete </w:t>
      </w:r>
      <w:r w:rsidR="00D9294C" w:rsidRPr="0002056A">
        <w:rPr>
          <w:rFonts w:ascii="Georgia" w:hAnsi="Georgia" w:cs="Times New Roman"/>
          <w:lang w:val="en-GB"/>
        </w:rPr>
        <w:t xml:space="preserve">actions’ contribution to adaptation. </w:t>
      </w:r>
    </w:p>
    <w:p w14:paraId="23DC9375" w14:textId="776114C2" w:rsidR="00F0190F" w:rsidRPr="0002056A" w:rsidRDefault="00F0190F" w:rsidP="00214BD9">
      <w:pPr>
        <w:pStyle w:val="Cmsor2"/>
        <w:numPr>
          <w:ilvl w:val="1"/>
          <w:numId w:val="4"/>
        </w:numPr>
        <w:rPr>
          <w:b w:val="0"/>
          <w:bCs w:val="0"/>
          <w:i/>
          <w:iCs/>
          <w:lang w:val="en-GB"/>
        </w:rPr>
      </w:pPr>
      <w:bookmarkStart w:id="10" w:name="_Toc225578833"/>
      <w:r w:rsidRPr="0002056A">
        <w:rPr>
          <w:b w:val="0"/>
          <w:bCs w:val="0"/>
          <w:i/>
          <w:iCs/>
          <w:lang w:val="en-GB"/>
        </w:rPr>
        <w:t xml:space="preserve">Research </w:t>
      </w:r>
      <w:r w:rsidR="00F42B14">
        <w:rPr>
          <w:b w:val="0"/>
          <w:bCs w:val="0"/>
          <w:i/>
          <w:iCs/>
          <w:lang w:val="en-GB"/>
        </w:rPr>
        <w:t>q</w:t>
      </w:r>
      <w:r w:rsidRPr="0002056A">
        <w:rPr>
          <w:b w:val="0"/>
          <w:bCs w:val="0"/>
          <w:i/>
          <w:iCs/>
          <w:lang w:val="en-GB"/>
        </w:rPr>
        <w:t>uestions</w:t>
      </w:r>
      <w:bookmarkEnd w:id="10"/>
    </w:p>
    <w:p w14:paraId="21ED7908" w14:textId="4F483BB7" w:rsidR="00D9294C" w:rsidRPr="0002056A" w:rsidRDefault="00D9294C" w:rsidP="00CD5BF3">
      <w:pPr>
        <w:spacing w:before="120" w:after="120"/>
        <w:jc w:val="both"/>
        <w:rPr>
          <w:rFonts w:ascii="Georgia" w:hAnsi="Georgia" w:cs="Times New Roman"/>
          <w:bCs/>
          <w:lang w:val="en-GB"/>
        </w:rPr>
      </w:pPr>
      <w:r w:rsidRPr="0002056A">
        <w:rPr>
          <w:rFonts w:ascii="Georgia" w:hAnsi="Georgia" w:cs="Times New Roman"/>
          <w:bCs/>
          <w:lang w:val="en-GB"/>
        </w:rPr>
        <w:t>To achieve th</w:t>
      </w:r>
      <w:r w:rsidR="007B10FA" w:rsidRPr="0002056A">
        <w:rPr>
          <w:rFonts w:ascii="Georgia" w:hAnsi="Georgia" w:cs="Times New Roman"/>
          <w:bCs/>
          <w:lang w:val="en-GB"/>
        </w:rPr>
        <w:t>e main object</w:t>
      </w:r>
      <w:r w:rsidRPr="0002056A">
        <w:rPr>
          <w:rFonts w:ascii="Georgia" w:hAnsi="Georgia" w:cs="Times New Roman"/>
          <w:bCs/>
          <w:lang w:val="en-GB"/>
        </w:rPr>
        <w:t>i</w:t>
      </w:r>
      <w:r w:rsidR="007B10FA" w:rsidRPr="0002056A">
        <w:rPr>
          <w:rFonts w:ascii="Georgia" w:hAnsi="Georgia" w:cs="Times New Roman"/>
          <w:bCs/>
          <w:lang w:val="en-GB"/>
        </w:rPr>
        <w:t xml:space="preserve">ve of the research, mentioned </w:t>
      </w:r>
      <w:r w:rsidR="00A31824">
        <w:rPr>
          <w:rFonts w:ascii="Georgia" w:hAnsi="Georgia" w:cs="Times New Roman"/>
          <w:bCs/>
          <w:lang w:val="en-GB"/>
        </w:rPr>
        <w:t>in Chapter 2.1</w:t>
      </w:r>
      <w:r w:rsidR="007B10FA" w:rsidRPr="0002056A">
        <w:rPr>
          <w:rFonts w:ascii="Georgia" w:hAnsi="Georgia" w:cs="Times New Roman"/>
          <w:bCs/>
          <w:lang w:val="en-GB"/>
        </w:rPr>
        <w:t xml:space="preserve">, </w:t>
      </w:r>
      <w:r w:rsidR="00EF1A87" w:rsidRPr="0002056A">
        <w:rPr>
          <w:rFonts w:ascii="Georgia" w:hAnsi="Georgia" w:cs="Times New Roman"/>
          <w:bCs/>
          <w:lang w:val="en-GB"/>
        </w:rPr>
        <w:t>the dissertation</w:t>
      </w:r>
      <w:r w:rsidRPr="0002056A">
        <w:rPr>
          <w:rFonts w:ascii="Georgia" w:hAnsi="Georgia" w:cs="Times New Roman"/>
          <w:bCs/>
          <w:lang w:val="en-GB"/>
        </w:rPr>
        <w:t xml:space="preserve"> concentrate</w:t>
      </w:r>
      <w:r w:rsidR="00EF1A87" w:rsidRPr="0002056A">
        <w:rPr>
          <w:rFonts w:ascii="Georgia" w:hAnsi="Georgia" w:cs="Times New Roman"/>
          <w:bCs/>
          <w:lang w:val="en-GB"/>
        </w:rPr>
        <w:t>s</w:t>
      </w:r>
      <w:r w:rsidRPr="0002056A">
        <w:rPr>
          <w:rFonts w:ascii="Georgia" w:hAnsi="Georgia" w:cs="Times New Roman"/>
          <w:bCs/>
          <w:lang w:val="en-GB"/>
        </w:rPr>
        <w:t xml:space="preserve"> on </w:t>
      </w:r>
      <w:r w:rsidR="00545A76">
        <w:rPr>
          <w:rFonts w:ascii="Georgia" w:hAnsi="Georgia" w:cs="Times New Roman"/>
          <w:bCs/>
          <w:lang w:val="en-GB"/>
        </w:rPr>
        <w:t>one</w:t>
      </w:r>
      <w:r w:rsidRPr="0002056A">
        <w:rPr>
          <w:rFonts w:ascii="Georgia" w:hAnsi="Georgia" w:cs="Times New Roman"/>
          <w:bCs/>
          <w:lang w:val="en-GB"/>
        </w:rPr>
        <w:t xml:space="preserve"> main research question and </w:t>
      </w:r>
      <w:r w:rsidR="00545A76">
        <w:rPr>
          <w:rFonts w:ascii="Georgia" w:hAnsi="Georgia" w:cs="Times New Roman"/>
          <w:bCs/>
          <w:lang w:val="en-GB"/>
        </w:rPr>
        <w:t>five</w:t>
      </w:r>
      <w:r w:rsidR="000E384C" w:rsidRPr="0002056A">
        <w:rPr>
          <w:rFonts w:ascii="Georgia" w:hAnsi="Georgia" w:cs="Times New Roman"/>
          <w:bCs/>
          <w:lang w:val="en-GB"/>
        </w:rPr>
        <w:t xml:space="preserve"> </w:t>
      </w:r>
      <w:r w:rsidRPr="0002056A">
        <w:rPr>
          <w:rFonts w:ascii="Georgia" w:hAnsi="Georgia" w:cs="Times New Roman"/>
          <w:bCs/>
          <w:lang w:val="en-GB"/>
        </w:rPr>
        <w:t xml:space="preserve">sub-questions. </w:t>
      </w:r>
    </w:p>
    <w:p w14:paraId="2E48FE3A" w14:textId="0E09C65D" w:rsidR="00D9294C" w:rsidRPr="0002056A" w:rsidRDefault="00EF1A87" w:rsidP="00F46ED0">
      <w:pPr>
        <w:pStyle w:val="Listaszerbekezds"/>
        <w:numPr>
          <w:ilvl w:val="0"/>
          <w:numId w:val="2"/>
        </w:numPr>
        <w:spacing w:before="120" w:after="120" w:line="240" w:lineRule="auto"/>
        <w:contextualSpacing w:val="0"/>
        <w:jc w:val="both"/>
        <w:rPr>
          <w:rFonts w:ascii="Georgia" w:hAnsi="Georgia" w:cs="Times New Roman"/>
          <w:b/>
          <w:i/>
          <w:color w:val="4472C4" w:themeColor="accent1"/>
          <w:lang w:val="en-GB"/>
        </w:rPr>
      </w:pPr>
      <w:r w:rsidRPr="0002056A">
        <w:rPr>
          <w:rFonts w:ascii="Georgia" w:hAnsi="Georgia" w:cs="Times New Roman"/>
          <w:b/>
          <w:i/>
          <w:color w:val="4472C4" w:themeColor="accent1"/>
          <w:lang w:val="en-GB"/>
        </w:rPr>
        <w:t xml:space="preserve">RQ: </w:t>
      </w:r>
      <w:r w:rsidR="00C41D44">
        <w:rPr>
          <w:rFonts w:ascii="Georgia" w:hAnsi="Georgia" w:cs="Times New Roman"/>
          <w:b/>
          <w:i/>
          <w:color w:val="4472C4" w:themeColor="accent1"/>
          <w:lang w:val="en-GB"/>
        </w:rPr>
        <w:t xml:space="preserve">To what extent are European </w:t>
      </w:r>
      <w:r w:rsidR="000D4D42">
        <w:rPr>
          <w:rFonts w:ascii="Georgia" w:hAnsi="Georgia" w:cs="Times New Roman"/>
          <w:b/>
          <w:i/>
          <w:color w:val="4472C4" w:themeColor="accent1"/>
          <w:lang w:val="en-GB"/>
        </w:rPr>
        <w:t xml:space="preserve">national </w:t>
      </w:r>
      <w:r w:rsidR="00C41D44">
        <w:rPr>
          <w:rFonts w:ascii="Georgia" w:hAnsi="Georgia" w:cs="Times New Roman"/>
          <w:b/>
          <w:i/>
          <w:color w:val="4472C4" w:themeColor="accent1"/>
          <w:lang w:val="en-GB"/>
        </w:rPr>
        <w:t>climate adaptation policies spatially sensitive</w:t>
      </w:r>
      <w:r w:rsidR="00D9294C" w:rsidRPr="0002056A">
        <w:rPr>
          <w:rFonts w:ascii="Georgia" w:hAnsi="Georgia" w:cs="Times New Roman"/>
          <w:b/>
          <w:i/>
          <w:color w:val="4472C4" w:themeColor="accent1"/>
          <w:lang w:val="en-GB"/>
        </w:rPr>
        <w:t xml:space="preserve">? </w:t>
      </w:r>
    </w:p>
    <w:p w14:paraId="0C598DE3" w14:textId="02734129" w:rsidR="00F1741F" w:rsidRPr="0002056A" w:rsidRDefault="00EF1A87" w:rsidP="00F46ED0">
      <w:pPr>
        <w:pStyle w:val="Listaszerbekezds"/>
        <w:numPr>
          <w:ilvl w:val="2"/>
          <w:numId w:val="2"/>
        </w:numPr>
        <w:spacing w:before="120" w:after="120" w:line="240" w:lineRule="auto"/>
        <w:ind w:left="1701" w:hanging="283"/>
        <w:contextualSpacing w:val="0"/>
        <w:jc w:val="both"/>
        <w:rPr>
          <w:rFonts w:ascii="Georgia" w:hAnsi="Georgia" w:cs="Times New Roman"/>
          <w:i/>
          <w:color w:val="4472C4" w:themeColor="accent1"/>
          <w:lang w:val="en-GB"/>
        </w:rPr>
      </w:pPr>
      <w:r w:rsidRPr="0002056A">
        <w:rPr>
          <w:rFonts w:ascii="Georgia" w:hAnsi="Georgia" w:cs="Times New Roman"/>
          <w:i/>
          <w:color w:val="4472C4" w:themeColor="accent1"/>
          <w:lang w:val="en-GB"/>
        </w:rPr>
        <w:t xml:space="preserve">RSQ1: </w:t>
      </w:r>
      <w:r w:rsidR="00C627BA" w:rsidRPr="0002056A">
        <w:rPr>
          <w:rFonts w:ascii="Georgia" w:hAnsi="Georgia" w:cs="Times New Roman"/>
          <w:i/>
          <w:color w:val="4472C4" w:themeColor="accent1"/>
          <w:lang w:val="en-GB"/>
        </w:rPr>
        <w:t xml:space="preserve">What </w:t>
      </w:r>
      <w:r w:rsidR="006E16AA" w:rsidRPr="0002056A">
        <w:rPr>
          <w:rFonts w:ascii="Georgia" w:hAnsi="Georgia" w:cs="Times New Roman"/>
          <w:i/>
          <w:color w:val="4472C4" w:themeColor="accent1"/>
          <w:lang w:val="en-GB"/>
        </w:rPr>
        <w:t>does</w:t>
      </w:r>
      <w:r w:rsidR="00C627BA" w:rsidRPr="0002056A">
        <w:rPr>
          <w:rFonts w:ascii="Georgia" w:hAnsi="Georgia" w:cs="Times New Roman"/>
          <w:i/>
          <w:color w:val="4472C4" w:themeColor="accent1"/>
          <w:lang w:val="en-GB"/>
        </w:rPr>
        <w:t xml:space="preserve"> </w:t>
      </w:r>
      <w:r w:rsidR="007D7C3F" w:rsidRPr="0002056A">
        <w:rPr>
          <w:rFonts w:ascii="Georgia" w:hAnsi="Georgia" w:cs="Times New Roman"/>
          <w:i/>
          <w:color w:val="4472C4" w:themeColor="accent1"/>
          <w:lang w:val="en-GB"/>
        </w:rPr>
        <w:t xml:space="preserve">spatial sensitivity </w:t>
      </w:r>
      <w:r w:rsidR="006E16AA" w:rsidRPr="0002056A">
        <w:rPr>
          <w:rFonts w:ascii="Georgia" w:hAnsi="Georgia" w:cs="Times New Roman"/>
          <w:i/>
          <w:color w:val="4472C4" w:themeColor="accent1"/>
          <w:lang w:val="en-GB"/>
        </w:rPr>
        <w:t>mean</w:t>
      </w:r>
      <w:r w:rsidR="007027DA" w:rsidRPr="0002056A">
        <w:rPr>
          <w:rFonts w:ascii="Georgia" w:hAnsi="Georgia" w:cs="Times New Roman"/>
          <w:i/>
          <w:color w:val="4472C4" w:themeColor="accent1"/>
          <w:lang w:val="en-GB"/>
        </w:rPr>
        <w:t xml:space="preserve"> in</w:t>
      </w:r>
      <w:r w:rsidR="00F1741F" w:rsidRPr="0002056A">
        <w:rPr>
          <w:rFonts w:ascii="Georgia" w:hAnsi="Georgia" w:cs="Times New Roman"/>
          <w:i/>
          <w:color w:val="4472C4" w:themeColor="accent1"/>
          <w:lang w:val="en-GB"/>
        </w:rPr>
        <w:t xml:space="preserve"> </w:t>
      </w:r>
      <w:r w:rsidR="007027DA" w:rsidRPr="0002056A">
        <w:rPr>
          <w:rFonts w:ascii="Georgia" w:hAnsi="Georgia" w:cs="Times New Roman"/>
          <w:i/>
          <w:color w:val="4472C4" w:themeColor="accent1"/>
          <w:lang w:val="en-GB"/>
        </w:rPr>
        <w:t xml:space="preserve">climate </w:t>
      </w:r>
      <w:r w:rsidR="00F1741F" w:rsidRPr="0002056A">
        <w:rPr>
          <w:rFonts w:ascii="Georgia" w:hAnsi="Georgia" w:cs="Times New Roman"/>
          <w:i/>
          <w:color w:val="4472C4" w:themeColor="accent1"/>
          <w:lang w:val="en-GB"/>
        </w:rPr>
        <w:t xml:space="preserve">adaptation policies? </w:t>
      </w:r>
    </w:p>
    <w:p w14:paraId="5D047DFA" w14:textId="2C7AC2E5" w:rsidR="00D9294C" w:rsidRPr="0002056A" w:rsidRDefault="00F1741F" w:rsidP="00F46ED0">
      <w:pPr>
        <w:pStyle w:val="Listaszerbekezds"/>
        <w:numPr>
          <w:ilvl w:val="2"/>
          <w:numId w:val="2"/>
        </w:numPr>
        <w:spacing w:before="120" w:after="120" w:line="240" w:lineRule="auto"/>
        <w:ind w:left="1701" w:hanging="283"/>
        <w:contextualSpacing w:val="0"/>
        <w:jc w:val="both"/>
        <w:rPr>
          <w:rFonts w:ascii="Georgia" w:hAnsi="Georgia" w:cs="Times New Roman"/>
          <w:i/>
          <w:color w:val="4472C4" w:themeColor="accent1"/>
          <w:lang w:val="en-GB"/>
        </w:rPr>
      </w:pPr>
      <w:r w:rsidRPr="0002056A">
        <w:rPr>
          <w:rFonts w:ascii="Georgia" w:hAnsi="Georgia" w:cs="Times New Roman"/>
          <w:i/>
          <w:color w:val="4472C4" w:themeColor="accent1"/>
          <w:lang w:val="en-GB"/>
        </w:rPr>
        <w:t>RSQ2</w:t>
      </w:r>
      <w:r w:rsidR="006E16AA" w:rsidRPr="0002056A">
        <w:rPr>
          <w:rFonts w:ascii="Georgia" w:hAnsi="Georgia" w:cs="Times New Roman"/>
          <w:i/>
          <w:color w:val="4472C4" w:themeColor="accent1"/>
          <w:lang w:val="en-GB"/>
        </w:rPr>
        <w:t>:</w:t>
      </w:r>
      <w:r w:rsidRPr="0002056A">
        <w:rPr>
          <w:rFonts w:ascii="Georgia" w:hAnsi="Georgia" w:cs="Times New Roman"/>
          <w:i/>
          <w:color w:val="4472C4" w:themeColor="accent1"/>
          <w:lang w:val="en-GB"/>
        </w:rPr>
        <w:t xml:space="preserve"> H</w:t>
      </w:r>
      <w:r w:rsidR="00C627BA" w:rsidRPr="0002056A">
        <w:rPr>
          <w:rFonts w:ascii="Georgia" w:hAnsi="Georgia" w:cs="Times New Roman"/>
          <w:i/>
          <w:color w:val="4472C4" w:themeColor="accent1"/>
          <w:lang w:val="en-GB"/>
        </w:rPr>
        <w:t xml:space="preserve">ow </w:t>
      </w:r>
      <w:r w:rsidR="00B30F69" w:rsidRPr="0002056A">
        <w:rPr>
          <w:rFonts w:ascii="Georgia" w:hAnsi="Georgia" w:cs="Times New Roman"/>
          <w:i/>
          <w:color w:val="4472C4" w:themeColor="accent1"/>
          <w:lang w:val="en-GB"/>
        </w:rPr>
        <w:t xml:space="preserve">can </w:t>
      </w:r>
      <w:r w:rsidR="007027DA" w:rsidRPr="0002056A">
        <w:rPr>
          <w:rFonts w:ascii="Georgia" w:hAnsi="Georgia" w:cs="Times New Roman"/>
          <w:i/>
          <w:color w:val="4472C4" w:themeColor="accent1"/>
          <w:lang w:val="en-GB"/>
        </w:rPr>
        <w:t>spatial sensitivity</w:t>
      </w:r>
      <w:r w:rsidR="00C627BA" w:rsidRPr="0002056A">
        <w:rPr>
          <w:rFonts w:ascii="Georgia" w:hAnsi="Georgia" w:cs="Times New Roman"/>
          <w:i/>
          <w:color w:val="4472C4" w:themeColor="accent1"/>
          <w:lang w:val="en-GB"/>
        </w:rPr>
        <w:t xml:space="preserve"> </w:t>
      </w:r>
      <w:r w:rsidR="007D7C3F" w:rsidRPr="0002056A">
        <w:rPr>
          <w:rFonts w:ascii="Georgia" w:hAnsi="Georgia" w:cs="Times New Roman"/>
          <w:i/>
          <w:color w:val="4472C4" w:themeColor="accent1"/>
          <w:lang w:val="en-GB"/>
        </w:rPr>
        <w:t xml:space="preserve">be </w:t>
      </w:r>
      <w:r w:rsidR="00F42B14">
        <w:rPr>
          <w:rFonts w:ascii="Georgia" w:hAnsi="Georgia" w:cs="Times New Roman"/>
          <w:i/>
          <w:color w:val="4472C4" w:themeColor="accent1"/>
          <w:lang w:val="en-GB"/>
        </w:rPr>
        <w:t>assesse</w:t>
      </w:r>
      <w:r w:rsidR="00253E9C">
        <w:rPr>
          <w:rFonts w:ascii="Georgia" w:hAnsi="Georgia" w:cs="Times New Roman"/>
          <w:i/>
          <w:color w:val="4472C4" w:themeColor="accent1"/>
          <w:lang w:val="en-GB"/>
        </w:rPr>
        <w:t>d</w:t>
      </w:r>
      <w:r w:rsidR="007027DA" w:rsidRPr="0002056A">
        <w:rPr>
          <w:rFonts w:ascii="Georgia" w:hAnsi="Georgia" w:cs="Times New Roman"/>
          <w:i/>
          <w:color w:val="4472C4" w:themeColor="accent1"/>
          <w:lang w:val="en-GB"/>
        </w:rPr>
        <w:t xml:space="preserve"> in climate adaptation policies</w:t>
      </w:r>
      <w:r w:rsidR="006E16AA" w:rsidRPr="0002056A">
        <w:rPr>
          <w:rFonts w:ascii="Georgia" w:hAnsi="Georgia" w:cs="Times New Roman"/>
          <w:i/>
          <w:color w:val="4472C4" w:themeColor="accent1"/>
          <w:lang w:val="en-GB"/>
        </w:rPr>
        <w:t>?</w:t>
      </w:r>
      <w:r w:rsidR="00D9294C" w:rsidRPr="0002056A">
        <w:rPr>
          <w:rFonts w:ascii="Georgia" w:hAnsi="Georgia" w:cs="Times New Roman"/>
          <w:i/>
          <w:color w:val="4472C4" w:themeColor="accent1"/>
          <w:lang w:val="en-GB"/>
        </w:rPr>
        <w:t xml:space="preserve"> </w:t>
      </w:r>
    </w:p>
    <w:p w14:paraId="0622C9D0" w14:textId="12DE2F93" w:rsidR="007D7C3F" w:rsidRPr="0002056A" w:rsidRDefault="00EF1A87" w:rsidP="00F46ED0">
      <w:pPr>
        <w:pStyle w:val="Listaszerbekezds"/>
        <w:numPr>
          <w:ilvl w:val="2"/>
          <w:numId w:val="2"/>
        </w:numPr>
        <w:spacing w:before="120" w:after="120" w:line="240" w:lineRule="auto"/>
        <w:ind w:left="1701" w:hanging="283"/>
        <w:contextualSpacing w:val="0"/>
        <w:jc w:val="both"/>
        <w:rPr>
          <w:rFonts w:ascii="Georgia" w:hAnsi="Georgia" w:cs="Times New Roman"/>
          <w:i/>
          <w:color w:val="4472C4" w:themeColor="accent1"/>
          <w:lang w:val="en-GB"/>
        </w:rPr>
      </w:pPr>
      <w:r w:rsidRPr="0002056A">
        <w:rPr>
          <w:rFonts w:ascii="Georgia" w:hAnsi="Georgia" w:cs="Times New Roman"/>
          <w:i/>
          <w:color w:val="4472C4" w:themeColor="accent1"/>
          <w:lang w:val="en-GB"/>
        </w:rPr>
        <w:t>RSQ</w:t>
      </w:r>
      <w:r w:rsidR="00F1741F" w:rsidRPr="0002056A">
        <w:rPr>
          <w:rFonts w:ascii="Georgia" w:hAnsi="Georgia" w:cs="Times New Roman"/>
          <w:i/>
          <w:color w:val="4472C4" w:themeColor="accent1"/>
          <w:lang w:val="en-GB"/>
        </w:rPr>
        <w:t>3</w:t>
      </w:r>
      <w:r w:rsidRPr="0002056A">
        <w:rPr>
          <w:rFonts w:ascii="Georgia" w:hAnsi="Georgia" w:cs="Times New Roman"/>
          <w:i/>
          <w:color w:val="4472C4" w:themeColor="accent1"/>
          <w:lang w:val="en-GB"/>
        </w:rPr>
        <w:t xml:space="preserve">: </w:t>
      </w:r>
      <w:r w:rsidR="00F1741F" w:rsidRPr="0002056A">
        <w:rPr>
          <w:rFonts w:ascii="Georgia" w:hAnsi="Georgia" w:cs="Times New Roman"/>
          <w:i/>
          <w:color w:val="4472C4" w:themeColor="accent1"/>
          <w:lang w:val="en-GB"/>
        </w:rPr>
        <w:t>T</w:t>
      </w:r>
      <w:r w:rsidR="007D7C3F" w:rsidRPr="0002056A">
        <w:rPr>
          <w:rFonts w:ascii="Georgia" w:hAnsi="Georgia" w:cs="Times New Roman"/>
          <w:i/>
          <w:color w:val="4472C4" w:themeColor="accent1"/>
          <w:lang w:val="en-GB"/>
        </w:rPr>
        <w:t xml:space="preserve">o what </w:t>
      </w:r>
      <w:r w:rsidR="00D27622" w:rsidRPr="0002056A">
        <w:rPr>
          <w:rFonts w:ascii="Georgia" w:hAnsi="Georgia" w:cs="Times New Roman"/>
          <w:i/>
          <w:color w:val="4472C4" w:themeColor="accent1"/>
          <w:lang w:val="en-GB"/>
        </w:rPr>
        <w:t xml:space="preserve">extent </w:t>
      </w:r>
      <w:r w:rsidR="000D452F" w:rsidRPr="0002056A">
        <w:rPr>
          <w:rFonts w:ascii="Georgia" w:hAnsi="Georgia" w:cs="Times New Roman"/>
          <w:i/>
          <w:color w:val="4472C4" w:themeColor="accent1"/>
          <w:lang w:val="en-GB"/>
        </w:rPr>
        <w:t xml:space="preserve">is </w:t>
      </w:r>
      <w:r w:rsidR="007D7C3F" w:rsidRPr="0002056A">
        <w:rPr>
          <w:rFonts w:ascii="Georgia" w:hAnsi="Georgia" w:cs="Times New Roman"/>
          <w:i/>
          <w:color w:val="4472C4" w:themeColor="accent1"/>
          <w:lang w:val="en-GB"/>
        </w:rPr>
        <w:t xml:space="preserve">spatiality emerging in </w:t>
      </w:r>
      <w:r w:rsidR="000D452F" w:rsidRPr="0002056A">
        <w:rPr>
          <w:rFonts w:ascii="Georgia" w:hAnsi="Georgia" w:cs="Times New Roman"/>
          <w:i/>
          <w:color w:val="4472C4" w:themeColor="accent1"/>
          <w:lang w:val="en-GB"/>
        </w:rPr>
        <w:t xml:space="preserve">national </w:t>
      </w:r>
      <w:r w:rsidR="007D7C3F" w:rsidRPr="0002056A">
        <w:rPr>
          <w:rFonts w:ascii="Georgia" w:hAnsi="Georgia" w:cs="Times New Roman"/>
          <w:i/>
          <w:color w:val="4472C4" w:themeColor="accent1"/>
          <w:lang w:val="en-GB"/>
        </w:rPr>
        <w:t xml:space="preserve">adaptation policy </w:t>
      </w:r>
      <w:r w:rsidR="000D452F" w:rsidRPr="0002056A">
        <w:rPr>
          <w:rFonts w:ascii="Georgia" w:hAnsi="Georgia" w:cs="Times New Roman"/>
          <w:i/>
          <w:color w:val="4472C4" w:themeColor="accent1"/>
          <w:lang w:val="en-GB"/>
        </w:rPr>
        <w:t xml:space="preserve">planning </w:t>
      </w:r>
      <w:r w:rsidR="007D7C3F" w:rsidRPr="0002056A">
        <w:rPr>
          <w:rFonts w:ascii="Georgia" w:hAnsi="Georgia" w:cs="Times New Roman"/>
          <w:i/>
          <w:color w:val="4472C4" w:themeColor="accent1"/>
          <w:lang w:val="en-GB"/>
        </w:rPr>
        <w:t>instruments</w:t>
      </w:r>
      <w:r w:rsidR="007E30D3" w:rsidRPr="0002056A">
        <w:rPr>
          <w:rFonts w:ascii="Georgia" w:hAnsi="Georgia" w:cs="Times New Roman"/>
          <w:i/>
          <w:color w:val="4472C4" w:themeColor="accent1"/>
          <w:lang w:val="en-GB"/>
        </w:rPr>
        <w:t xml:space="preserve"> </w:t>
      </w:r>
      <w:r w:rsidR="000D452F" w:rsidRPr="0002056A">
        <w:rPr>
          <w:rFonts w:ascii="Georgia" w:hAnsi="Georgia" w:cs="Times New Roman"/>
          <w:i/>
          <w:color w:val="4472C4" w:themeColor="accent1"/>
          <w:lang w:val="en-GB"/>
        </w:rPr>
        <w:t>of</w:t>
      </w:r>
      <w:r w:rsidR="007E30D3" w:rsidRPr="0002056A">
        <w:rPr>
          <w:rFonts w:ascii="Georgia" w:hAnsi="Georgia" w:cs="Times New Roman"/>
          <w:i/>
          <w:color w:val="4472C4" w:themeColor="accent1"/>
          <w:lang w:val="en-GB"/>
        </w:rPr>
        <w:t xml:space="preserve"> the EU countries</w:t>
      </w:r>
      <w:r w:rsidR="007D7C3F" w:rsidRPr="0002056A">
        <w:rPr>
          <w:rFonts w:ascii="Georgia" w:hAnsi="Georgia" w:cs="Times New Roman"/>
          <w:i/>
          <w:color w:val="4472C4" w:themeColor="accent1"/>
          <w:lang w:val="en-GB"/>
        </w:rPr>
        <w:t>?</w:t>
      </w:r>
    </w:p>
    <w:p w14:paraId="117B0A4B" w14:textId="0AACDA36" w:rsidR="00D9294C" w:rsidRPr="0002056A" w:rsidRDefault="00EF1A87" w:rsidP="00F46ED0">
      <w:pPr>
        <w:pStyle w:val="Listaszerbekezds"/>
        <w:numPr>
          <w:ilvl w:val="2"/>
          <w:numId w:val="2"/>
        </w:numPr>
        <w:spacing w:before="120" w:after="120" w:line="240" w:lineRule="auto"/>
        <w:ind w:left="1701" w:hanging="283"/>
        <w:contextualSpacing w:val="0"/>
        <w:jc w:val="both"/>
        <w:rPr>
          <w:rFonts w:ascii="Georgia" w:hAnsi="Georgia" w:cs="Times New Roman"/>
          <w:i/>
          <w:lang w:val="en-GB"/>
        </w:rPr>
      </w:pPr>
      <w:r w:rsidRPr="0002056A">
        <w:rPr>
          <w:rFonts w:ascii="Georgia" w:hAnsi="Georgia" w:cs="Times New Roman"/>
          <w:i/>
          <w:color w:val="4472C4" w:themeColor="accent1"/>
          <w:lang w:val="en-GB"/>
        </w:rPr>
        <w:t>RSQ</w:t>
      </w:r>
      <w:r w:rsidR="00F1741F" w:rsidRPr="0002056A">
        <w:rPr>
          <w:rFonts w:ascii="Georgia" w:hAnsi="Georgia" w:cs="Times New Roman"/>
          <w:i/>
          <w:color w:val="4472C4" w:themeColor="accent1"/>
          <w:lang w:val="en-GB"/>
        </w:rPr>
        <w:t>4</w:t>
      </w:r>
      <w:r w:rsidRPr="0002056A">
        <w:rPr>
          <w:rFonts w:ascii="Georgia" w:hAnsi="Georgia" w:cs="Times New Roman"/>
          <w:i/>
          <w:color w:val="4472C4" w:themeColor="accent1"/>
          <w:lang w:val="en-GB"/>
        </w:rPr>
        <w:t xml:space="preserve">: </w:t>
      </w:r>
      <w:r w:rsidR="00990D05" w:rsidRPr="0002056A">
        <w:rPr>
          <w:rFonts w:ascii="Georgia" w:hAnsi="Georgia" w:cs="Times New Roman"/>
          <w:i/>
          <w:color w:val="4472C4" w:themeColor="accent1"/>
          <w:lang w:val="en-GB"/>
        </w:rPr>
        <w:t>Do the geographical characteristics</w:t>
      </w:r>
      <w:r w:rsidR="007E30D3" w:rsidRPr="0002056A">
        <w:rPr>
          <w:rFonts w:ascii="Georgia" w:hAnsi="Georgia" w:cs="Times New Roman"/>
          <w:i/>
          <w:color w:val="4472C4" w:themeColor="accent1"/>
          <w:lang w:val="en-GB"/>
        </w:rPr>
        <w:t xml:space="preserve"> of the</w:t>
      </w:r>
      <w:r w:rsidR="00990D05" w:rsidRPr="0002056A">
        <w:rPr>
          <w:rFonts w:ascii="Georgia" w:hAnsi="Georgia" w:cs="Times New Roman"/>
          <w:i/>
          <w:color w:val="4472C4" w:themeColor="accent1"/>
          <w:lang w:val="en-GB"/>
        </w:rPr>
        <w:t xml:space="preserve"> </w:t>
      </w:r>
      <w:r w:rsidR="007E30D3" w:rsidRPr="0002056A">
        <w:rPr>
          <w:rFonts w:ascii="Georgia" w:hAnsi="Georgia" w:cs="Times New Roman"/>
          <w:i/>
          <w:color w:val="4472C4" w:themeColor="accent1"/>
          <w:lang w:val="en-GB"/>
        </w:rPr>
        <w:t xml:space="preserve">countries </w:t>
      </w:r>
      <w:r w:rsidR="00990D05" w:rsidRPr="0002056A">
        <w:rPr>
          <w:rFonts w:ascii="Georgia" w:hAnsi="Georgia" w:cs="Times New Roman"/>
          <w:i/>
          <w:color w:val="4472C4" w:themeColor="accent1"/>
          <w:lang w:val="en-GB"/>
        </w:rPr>
        <w:t>influence the spatial sensitivity of national adaptation policies?</w:t>
      </w:r>
      <w:r w:rsidR="00D9294C" w:rsidRPr="0002056A">
        <w:rPr>
          <w:rFonts w:ascii="Georgia" w:hAnsi="Georgia" w:cs="Times New Roman"/>
          <w:i/>
          <w:color w:val="4472C4" w:themeColor="accent1"/>
          <w:lang w:val="en-GB"/>
        </w:rPr>
        <w:t xml:space="preserve"> </w:t>
      </w:r>
      <w:r w:rsidR="00ED2C55" w:rsidRPr="0002056A">
        <w:rPr>
          <w:rFonts w:ascii="Georgia" w:hAnsi="Georgia" w:cs="Times New Roman"/>
          <w:i/>
          <w:lang w:val="en-GB"/>
        </w:rPr>
        <w:t>The question analyses whether th</w:t>
      </w:r>
      <w:r w:rsidR="00241C4C" w:rsidRPr="0002056A">
        <w:rPr>
          <w:rFonts w:ascii="Georgia" w:hAnsi="Georgia" w:cs="Times New Roman"/>
          <w:i/>
          <w:lang w:val="en-GB"/>
        </w:rPr>
        <w:t xml:space="preserve">e </w:t>
      </w:r>
      <w:r w:rsidR="00D9294C" w:rsidRPr="0002056A">
        <w:rPr>
          <w:rFonts w:ascii="Georgia" w:hAnsi="Georgia" w:cs="Times New Roman"/>
          <w:i/>
          <w:lang w:val="en-GB"/>
        </w:rPr>
        <w:t>national adaptation planning and MRE activities’ spatiality reflect</w:t>
      </w:r>
      <w:r w:rsidR="00D27622" w:rsidRPr="0002056A">
        <w:rPr>
          <w:rFonts w:ascii="Georgia" w:hAnsi="Georgia" w:cs="Times New Roman"/>
          <w:i/>
          <w:lang w:val="en-GB"/>
        </w:rPr>
        <w:t>s</w:t>
      </w:r>
      <w:r w:rsidR="00D9294C" w:rsidRPr="0002056A">
        <w:rPr>
          <w:rFonts w:ascii="Georgia" w:hAnsi="Georgia" w:cs="Times New Roman"/>
          <w:i/>
          <w:lang w:val="en-GB"/>
        </w:rPr>
        <w:t xml:space="preserve"> the different geographical natural/social/economic endowments of </w:t>
      </w:r>
      <w:r w:rsidR="000D452F" w:rsidRPr="0002056A">
        <w:rPr>
          <w:rFonts w:ascii="Georgia" w:hAnsi="Georgia" w:cs="Times New Roman"/>
          <w:i/>
          <w:lang w:val="en-GB"/>
        </w:rPr>
        <w:t>states</w:t>
      </w:r>
      <w:r w:rsidR="00D27622" w:rsidRPr="0002056A">
        <w:rPr>
          <w:rFonts w:ascii="Georgia" w:hAnsi="Georgia" w:cs="Times New Roman"/>
          <w:i/>
          <w:lang w:val="en-GB"/>
        </w:rPr>
        <w:t xml:space="preserve"> or not</w:t>
      </w:r>
      <w:r w:rsidR="00A31824">
        <w:rPr>
          <w:rFonts w:ascii="Georgia" w:hAnsi="Georgia" w:cs="Times New Roman"/>
          <w:i/>
          <w:lang w:val="en-GB"/>
        </w:rPr>
        <w:t>.</w:t>
      </w:r>
      <w:r w:rsidR="00A31824" w:rsidRPr="0002056A">
        <w:rPr>
          <w:rFonts w:ascii="Georgia" w:hAnsi="Georgia" w:cs="Times New Roman"/>
          <w:i/>
          <w:lang w:val="en-GB"/>
        </w:rPr>
        <w:t xml:space="preserve"> </w:t>
      </w:r>
    </w:p>
    <w:p w14:paraId="05CB1CA4" w14:textId="41A9029B" w:rsidR="00D9294C" w:rsidRPr="0002056A" w:rsidRDefault="00EF1A87" w:rsidP="00F46ED0">
      <w:pPr>
        <w:pStyle w:val="Listaszerbekezds"/>
        <w:numPr>
          <w:ilvl w:val="2"/>
          <w:numId w:val="2"/>
        </w:numPr>
        <w:spacing w:before="120" w:after="120" w:line="240" w:lineRule="auto"/>
        <w:ind w:left="1701" w:hanging="283"/>
        <w:contextualSpacing w:val="0"/>
        <w:jc w:val="both"/>
        <w:rPr>
          <w:rFonts w:ascii="Georgia" w:hAnsi="Georgia" w:cs="Times New Roman"/>
          <w:i/>
          <w:lang w:val="en-GB"/>
        </w:rPr>
      </w:pPr>
      <w:r w:rsidRPr="0002056A">
        <w:rPr>
          <w:rFonts w:ascii="Georgia" w:hAnsi="Georgia" w:cs="Times New Roman"/>
          <w:i/>
          <w:color w:val="4472C4" w:themeColor="accent1"/>
          <w:lang w:val="en-GB"/>
        </w:rPr>
        <w:t>RSQ</w:t>
      </w:r>
      <w:r w:rsidR="00F1741F" w:rsidRPr="0002056A">
        <w:rPr>
          <w:rFonts w:ascii="Georgia" w:hAnsi="Georgia" w:cs="Times New Roman"/>
          <w:i/>
          <w:color w:val="4472C4" w:themeColor="accent1"/>
          <w:lang w:val="en-GB"/>
        </w:rPr>
        <w:t>5</w:t>
      </w:r>
      <w:r w:rsidRPr="0002056A">
        <w:rPr>
          <w:rFonts w:ascii="Georgia" w:hAnsi="Georgia" w:cs="Times New Roman"/>
          <w:i/>
          <w:color w:val="4472C4" w:themeColor="accent1"/>
          <w:lang w:val="en-GB"/>
        </w:rPr>
        <w:t xml:space="preserve">: </w:t>
      </w:r>
      <w:r w:rsidR="00836EB5" w:rsidRPr="0002056A">
        <w:rPr>
          <w:rFonts w:ascii="Georgia" w:hAnsi="Georgia" w:cs="Times New Roman"/>
          <w:i/>
          <w:color w:val="4472C4" w:themeColor="accent1"/>
          <w:lang w:val="en-GB"/>
        </w:rPr>
        <w:t>Are</w:t>
      </w:r>
      <w:r w:rsidR="00C240C7" w:rsidRPr="0002056A">
        <w:rPr>
          <w:rFonts w:ascii="Georgia" w:hAnsi="Georgia" w:cs="Times New Roman"/>
          <w:i/>
          <w:color w:val="4472C4" w:themeColor="accent1"/>
          <w:lang w:val="en-GB"/>
        </w:rPr>
        <w:t xml:space="preserve"> there any macro-regional characteristics in </w:t>
      </w:r>
      <w:r w:rsidR="006662B9" w:rsidRPr="0002056A">
        <w:rPr>
          <w:rFonts w:ascii="Georgia" w:hAnsi="Georgia" w:cs="Times New Roman"/>
          <w:i/>
          <w:color w:val="4472C4" w:themeColor="accent1"/>
          <w:lang w:val="en-GB"/>
        </w:rPr>
        <w:t xml:space="preserve">national adaptation policies’ </w:t>
      </w:r>
      <w:r w:rsidR="00C240C7" w:rsidRPr="0002056A">
        <w:rPr>
          <w:rFonts w:ascii="Georgia" w:hAnsi="Georgia" w:cs="Times New Roman"/>
          <w:i/>
          <w:color w:val="4472C4" w:themeColor="accent1"/>
          <w:lang w:val="en-GB"/>
        </w:rPr>
        <w:t>spatial sensitivity</w:t>
      </w:r>
      <w:r w:rsidR="00D9294C" w:rsidRPr="0002056A">
        <w:rPr>
          <w:rFonts w:ascii="Georgia" w:hAnsi="Georgia" w:cs="Times New Roman"/>
          <w:i/>
          <w:color w:val="4472C4" w:themeColor="accent1"/>
          <w:lang w:val="en-GB"/>
        </w:rPr>
        <w:t xml:space="preserve">? </w:t>
      </w:r>
      <w:r w:rsidR="00D9294C" w:rsidRPr="0002056A">
        <w:rPr>
          <w:rFonts w:ascii="Georgia" w:hAnsi="Georgia" w:cs="Times New Roman"/>
          <w:i/>
          <w:lang w:val="en-GB"/>
        </w:rPr>
        <w:t>(</w:t>
      </w:r>
      <w:r w:rsidR="000E384C" w:rsidRPr="0002056A">
        <w:rPr>
          <w:rFonts w:ascii="Georgia" w:hAnsi="Georgia" w:cs="Times New Roman"/>
          <w:i/>
          <w:lang w:val="en-GB"/>
        </w:rPr>
        <w:t>If there exist good practices, are they</w:t>
      </w:r>
      <w:r w:rsidR="00D9294C" w:rsidRPr="0002056A">
        <w:rPr>
          <w:rFonts w:ascii="Georgia" w:hAnsi="Georgia" w:cs="Times New Roman"/>
          <w:i/>
          <w:lang w:val="en-GB"/>
        </w:rPr>
        <w:t xml:space="preserve"> from the same </w:t>
      </w:r>
      <w:r w:rsidR="00836EB5" w:rsidRPr="0002056A">
        <w:rPr>
          <w:rFonts w:ascii="Georgia" w:hAnsi="Georgia" w:cs="Times New Roman"/>
          <w:i/>
          <w:lang w:val="en-GB"/>
        </w:rPr>
        <w:t xml:space="preserve">macro regions of Europe, </w:t>
      </w:r>
      <w:r w:rsidR="006F3B8D" w:rsidRPr="0002056A">
        <w:rPr>
          <w:rFonts w:ascii="Georgia" w:hAnsi="Georgia" w:cs="Times New Roman"/>
          <w:i/>
          <w:lang w:val="en-GB"/>
        </w:rPr>
        <w:t xml:space="preserve">e.g. </w:t>
      </w:r>
      <w:r w:rsidR="00D9294C" w:rsidRPr="0002056A">
        <w:rPr>
          <w:rFonts w:ascii="Georgia" w:hAnsi="Georgia" w:cs="Times New Roman"/>
          <w:i/>
          <w:lang w:val="en-GB"/>
        </w:rPr>
        <w:t>where adaptation planning and MRE systems are in a more advanced state</w:t>
      </w:r>
      <w:r w:rsidR="00A31824">
        <w:rPr>
          <w:rFonts w:ascii="Georgia" w:hAnsi="Georgia" w:cs="Times New Roman"/>
          <w:i/>
          <w:lang w:val="en-GB"/>
        </w:rPr>
        <w:t>, or is there</w:t>
      </w:r>
      <w:r w:rsidR="00D9294C" w:rsidRPr="0002056A">
        <w:rPr>
          <w:rFonts w:ascii="Georgia" w:hAnsi="Georgia" w:cs="Times New Roman"/>
          <w:i/>
          <w:lang w:val="en-GB"/>
        </w:rPr>
        <w:t xml:space="preserve"> no connection between </w:t>
      </w:r>
      <w:r w:rsidR="006F3B8D" w:rsidRPr="0002056A">
        <w:rPr>
          <w:rFonts w:ascii="Georgia" w:hAnsi="Georgia" w:cs="Times New Roman"/>
          <w:i/>
          <w:lang w:val="en-GB"/>
        </w:rPr>
        <w:t xml:space="preserve">location </w:t>
      </w:r>
      <w:r w:rsidR="00D9294C" w:rsidRPr="0002056A">
        <w:rPr>
          <w:rFonts w:ascii="Georgia" w:hAnsi="Georgia" w:cs="Times New Roman"/>
          <w:i/>
          <w:lang w:val="en-GB"/>
        </w:rPr>
        <w:t xml:space="preserve">and </w:t>
      </w:r>
      <w:r w:rsidR="006F3B8D" w:rsidRPr="0002056A">
        <w:rPr>
          <w:rFonts w:ascii="Georgia" w:hAnsi="Georgia" w:cs="Times New Roman"/>
          <w:i/>
          <w:lang w:val="en-GB"/>
        </w:rPr>
        <w:t xml:space="preserve">the </w:t>
      </w:r>
      <w:r w:rsidR="00D9294C" w:rsidRPr="0002056A">
        <w:rPr>
          <w:rFonts w:ascii="Georgia" w:hAnsi="Georgia" w:cs="Times New Roman"/>
          <w:i/>
          <w:lang w:val="en-GB"/>
        </w:rPr>
        <w:t xml:space="preserve">level of </w:t>
      </w:r>
      <w:r w:rsidR="006F3B8D" w:rsidRPr="0002056A">
        <w:rPr>
          <w:rFonts w:ascii="Georgia" w:hAnsi="Georgia" w:cs="Times New Roman"/>
          <w:i/>
          <w:lang w:val="en-GB"/>
        </w:rPr>
        <w:t>planning and M</w:t>
      </w:r>
      <w:r w:rsidR="00D9294C" w:rsidRPr="0002056A">
        <w:rPr>
          <w:rFonts w:ascii="Georgia" w:hAnsi="Georgia" w:cs="Times New Roman"/>
          <w:i/>
          <w:lang w:val="en-GB"/>
        </w:rPr>
        <w:t xml:space="preserve">RE </w:t>
      </w:r>
      <w:r w:rsidR="006F3B8D" w:rsidRPr="0002056A">
        <w:rPr>
          <w:rFonts w:ascii="Georgia" w:hAnsi="Georgia" w:cs="Times New Roman"/>
          <w:i/>
          <w:lang w:val="en-GB"/>
        </w:rPr>
        <w:t>activities’</w:t>
      </w:r>
      <w:r w:rsidR="00D9294C" w:rsidRPr="0002056A">
        <w:rPr>
          <w:rFonts w:ascii="Georgia" w:hAnsi="Georgia" w:cs="Times New Roman"/>
          <w:i/>
          <w:lang w:val="en-GB"/>
        </w:rPr>
        <w:t xml:space="preserve"> development?)</w:t>
      </w:r>
    </w:p>
    <w:p w14:paraId="2697A12F" w14:textId="6E02001F" w:rsidR="00F0190F" w:rsidRPr="0002056A" w:rsidRDefault="004B3C15" w:rsidP="00214BD9">
      <w:pPr>
        <w:pStyle w:val="Cmsor2"/>
        <w:numPr>
          <w:ilvl w:val="1"/>
          <w:numId w:val="4"/>
        </w:numPr>
        <w:rPr>
          <w:rFonts w:asciiTheme="minorHAnsi" w:hAnsiTheme="minorHAnsi" w:cstheme="minorHAnsi"/>
          <w:b w:val="0"/>
          <w:bCs w:val="0"/>
          <w:i/>
          <w:iCs/>
          <w:lang w:val="en-GB"/>
        </w:rPr>
      </w:pPr>
      <w:bookmarkStart w:id="11" w:name="_Toc225578834"/>
      <w:r w:rsidRPr="0002056A">
        <w:rPr>
          <w:rFonts w:asciiTheme="minorHAnsi" w:hAnsiTheme="minorHAnsi" w:cstheme="minorHAnsi"/>
          <w:b w:val="0"/>
          <w:bCs w:val="0"/>
          <w:i/>
          <w:iCs/>
          <w:lang w:val="en-GB"/>
        </w:rPr>
        <w:t xml:space="preserve">Research </w:t>
      </w:r>
      <w:r w:rsidR="00312BB6" w:rsidRPr="0002056A">
        <w:rPr>
          <w:rFonts w:asciiTheme="minorHAnsi" w:hAnsiTheme="minorHAnsi" w:cstheme="minorHAnsi"/>
          <w:b w:val="0"/>
          <w:bCs w:val="0"/>
          <w:i/>
          <w:iCs/>
          <w:lang w:val="en-GB"/>
        </w:rPr>
        <w:t>d</w:t>
      </w:r>
      <w:r w:rsidRPr="0002056A">
        <w:rPr>
          <w:rFonts w:asciiTheme="minorHAnsi" w:hAnsiTheme="minorHAnsi" w:cstheme="minorHAnsi"/>
          <w:b w:val="0"/>
          <w:bCs w:val="0"/>
          <w:i/>
          <w:iCs/>
          <w:lang w:val="en-GB"/>
        </w:rPr>
        <w:t>esign</w:t>
      </w:r>
      <w:bookmarkEnd w:id="11"/>
    </w:p>
    <w:p w14:paraId="0E46BD53" w14:textId="3E065C30" w:rsidR="00FD4F9B" w:rsidRPr="0002056A" w:rsidRDefault="00E723CD" w:rsidP="00CD5BF3">
      <w:pPr>
        <w:autoSpaceDE w:val="0"/>
        <w:autoSpaceDN w:val="0"/>
        <w:adjustRightInd w:val="0"/>
        <w:spacing w:before="120" w:after="120"/>
        <w:jc w:val="both"/>
        <w:rPr>
          <w:rFonts w:ascii="Georgia" w:hAnsi="Georgia" w:cs="Times New Roman"/>
          <w:lang w:val="en-GB"/>
        </w:rPr>
      </w:pPr>
      <w:r w:rsidRPr="0002056A">
        <w:rPr>
          <w:rFonts w:ascii="Georgia" w:hAnsi="Georgia" w:cs="Times New Roman"/>
          <w:b/>
          <w:lang w:val="en-GB"/>
        </w:rPr>
        <w:t>During the research</w:t>
      </w:r>
      <w:r w:rsidR="00A31824">
        <w:rPr>
          <w:rFonts w:ascii="Georgia" w:hAnsi="Georgia" w:cs="Times New Roman"/>
          <w:b/>
          <w:lang w:val="en-GB"/>
        </w:rPr>
        <w:t>,</w:t>
      </w:r>
      <w:r w:rsidRPr="0002056A">
        <w:rPr>
          <w:rFonts w:ascii="Georgia" w:hAnsi="Georgia" w:cs="Times New Roman"/>
          <w:lang w:val="en-GB"/>
        </w:rPr>
        <w:t xml:space="preserve"> I analyse</w:t>
      </w:r>
      <w:r w:rsidR="00CD62C9" w:rsidRPr="0002056A">
        <w:rPr>
          <w:rFonts w:ascii="Georgia" w:hAnsi="Georgia" w:cs="Times New Roman"/>
          <w:lang w:val="en-GB"/>
        </w:rPr>
        <w:t>d</w:t>
      </w:r>
      <w:r w:rsidRPr="0002056A">
        <w:rPr>
          <w:rFonts w:ascii="Georgia" w:hAnsi="Georgia" w:cs="Times New Roman"/>
          <w:lang w:val="en-GB"/>
        </w:rPr>
        <w:t xml:space="preserve"> European adaptation policy planning and MRE practices</w:t>
      </w:r>
      <w:r w:rsidR="00CD62C9" w:rsidRPr="0002056A">
        <w:rPr>
          <w:rFonts w:ascii="Georgia" w:hAnsi="Georgia" w:cs="Times New Roman"/>
          <w:lang w:val="en-GB"/>
        </w:rPr>
        <w:t xml:space="preserve"> and</w:t>
      </w:r>
      <w:r w:rsidRPr="0002056A">
        <w:rPr>
          <w:rFonts w:ascii="Georgia" w:hAnsi="Georgia" w:cs="Times New Roman"/>
          <w:lang w:val="en-GB"/>
        </w:rPr>
        <w:t xml:space="preserve"> </w:t>
      </w:r>
      <w:r w:rsidR="00B034CE">
        <w:rPr>
          <w:rFonts w:ascii="Georgia" w:hAnsi="Georgia" w:cs="Times New Roman"/>
          <w:lang w:val="en-GB"/>
        </w:rPr>
        <w:t xml:space="preserve">monitoring and/or evaluation </w:t>
      </w:r>
      <w:r w:rsidRPr="0002056A">
        <w:rPr>
          <w:rFonts w:ascii="Georgia" w:hAnsi="Georgia" w:cs="Times New Roman"/>
          <w:lang w:val="en-GB"/>
        </w:rPr>
        <w:t xml:space="preserve">system </w:t>
      </w:r>
      <w:r w:rsidR="00B034CE">
        <w:rPr>
          <w:rFonts w:ascii="Georgia" w:hAnsi="Georgia" w:cs="Times New Roman"/>
          <w:lang w:val="en-GB"/>
        </w:rPr>
        <w:t>development</w:t>
      </w:r>
      <w:r w:rsidRPr="0002056A">
        <w:rPr>
          <w:rFonts w:ascii="Georgia" w:hAnsi="Georgia" w:cs="Times New Roman"/>
          <w:lang w:val="en-GB"/>
        </w:rPr>
        <w:t xml:space="preserve"> examples (especially the internal logic of the </w:t>
      </w:r>
      <w:r w:rsidR="00CD62C9" w:rsidRPr="0002056A">
        <w:rPr>
          <w:rFonts w:ascii="Georgia" w:hAnsi="Georgia" w:cs="Times New Roman"/>
          <w:lang w:val="en-GB"/>
        </w:rPr>
        <w:t xml:space="preserve">MRE </w:t>
      </w:r>
      <w:r w:rsidRPr="0002056A">
        <w:rPr>
          <w:rFonts w:ascii="Georgia" w:hAnsi="Georgia" w:cs="Times New Roman"/>
          <w:lang w:val="en-GB"/>
        </w:rPr>
        <w:t xml:space="preserve">systems and the applied indicator sets) according to the degree of their spatial orientation. </w:t>
      </w:r>
      <w:r w:rsidR="008E12E2" w:rsidRPr="0002056A">
        <w:rPr>
          <w:rFonts w:ascii="Georgia" w:hAnsi="Georgia" w:cs="Times New Roman"/>
          <w:lang w:val="en-GB"/>
        </w:rPr>
        <w:t>To reveal the level of spatial aspects</w:t>
      </w:r>
      <w:r w:rsidR="00312BB6" w:rsidRPr="0002056A">
        <w:rPr>
          <w:rFonts w:ascii="Georgia" w:hAnsi="Georgia" w:cs="Times New Roman"/>
          <w:lang w:val="en-GB"/>
        </w:rPr>
        <w:t>’ presence</w:t>
      </w:r>
      <w:r w:rsidR="008E12E2" w:rsidRPr="0002056A">
        <w:rPr>
          <w:rFonts w:ascii="Georgia" w:hAnsi="Georgia" w:cs="Times New Roman"/>
          <w:lang w:val="en-GB"/>
        </w:rPr>
        <w:t xml:space="preserve"> in the policy </w:t>
      </w:r>
      <w:r w:rsidR="00CD62C9" w:rsidRPr="0002056A">
        <w:rPr>
          <w:rFonts w:ascii="Georgia" w:hAnsi="Georgia" w:cs="Times New Roman"/>
          <w:lang w:val="en-GB"/>
        </w:rPr>
        <w:t>planning instruments</w:t>
      </w:r>
      <w:r w:rsidR="008E12E2" w:rsidRPr="0002056A">
        <w:rPr>
          <w:rFonts w:ascii="Georgia" w:hAnsi="Georgia" w:cs="Times New Roman"/>
          <w:lang w:val="en-GB"/>
        </w:rPr>
        <w:t xml:space="preserve"> (namely </w:t>
      </w:r>
      <w:r w:rsidR="00545A76">
        <w:rPr>
          <w:rFonts w:ascii="Georgia" w:hAnsi="Georgia" w:cs="Times New Roman"/>
          <w:lang w:val="en-GB"/>
        </w:rPr>
        <w:t xml:space="preserve">strategic </w:t>
      </w:r>
      <w:r w:rsidR="008E12E2" w:rsidRPr="0002056A">
        <w:rPr>
          <w:rFonts w:ascii="Georgia" w:hAnsi="Georgia" w:cs="Times New Roman"/>
          <w:lang w:val="en-GB"/>
        </w:rPr>
        <w:t>planning, monitoring and evaluation</w:t>
      </w:r>
      <w:r w:rsidR="00CD62C9" w:rsidRPr="0002056A">
        <w:rPr>
          <w:rFonts w:ascii="Georgia" w:hAnsi="Georgia" w:cs="Times New Roman"/>
          <w:lang w:val="en-GB"/>
        </w:rPr>
        <w:t xml:space="preserve"> documents</w:t>
      </w:r>
      <w:r w:rsidR="008E12E2" w:rsidRPr="0002056A">
        <w:rPr>
          <w:rFonts w:ascii="Georgia" w:hAnsi="Georgia" w:cs="Times New Roman"/>
          <w:lang w:val="en-GB"/>
        </w:rPr>
        <w:t>)</w:t>
      </w:r>
      <w:r w:rsidR="00A31824">
        <w:rPr>
          <w:rFonts w:ascii="Georgia" w:hAnsi="Georgia" w:cs="Times New Roman"/>
          <w:lang w:val="en-GB"/>
        </w:rPr>
        <w:t>, a new concept, spatial sensitivity,</w:t>
      </w:r>
      <w:r w:rsidR="0097040F" w:rsidRPr="0002056A">
        <w:rPr>
          <w:rFonts w:ascii="Georgia" w:hAnsi="Georgia" w:cs="Times New Roman"/>
          <w:lang w:val="en-GB"/>
        </w:rPr>
        <w:t xml:space="preserve"> has been created</w:t>
      </w:r>
      <w:r w:rsidR="00545A76">
        <w:rPr>
          <w:rFonts w:ascii="Georgia" w:hAnsi="Georgia" w:cs="Times New Roman"/>
          <w:lang w:val="en-GB"/>
        </w:rPr>
        <w:t xml:space="preserve">. </w:t>
      </w:r>
      <w:r w:rsidR="009D6EBC">
        <w:rPr>
          <w:rFonts w:ascii="Georgia" w:hAnsi="Georgia" w:cs="Times New Roman"/>
          <w:lang w:val="en-GB"/>
        </w:rPr>
        <w:t xml:space="preserve">This spatial sensitivity </w:t>
      </w:r>
      <w:r w:rsidR="0097040F" w:rsidRPr="0002056A">
        <w:rPr>
          <w:rFonts w:ascii="Georgia" w:hAnsi="Georgia" w:cs="Times New Roman"/>
          <w:lang w:val="en-GB"/>
        </w:rPr>
        <w:t>depict</w:t>
      </w:r>
      <w:r w:rsidR="009D6EBC">
        <w:rPr>
          <w:rFonts w:ascii="Georgia" w:hAnsi="Georgia" w:cs="Times New Roman"/>
          <w:lang w:val="en-GB"/>
        </w:rPr>
        <w:t>s</w:t>
      </w:r>
      <w:r w:rsidR="0097040F" w:rsidRPr="0002056A">
        <w:rPr>
          <w:rFonts w:ascii="Georgia" w:hAnsi="Georgia" w:cs="Times New Roman"/>
          <w:lang w:val="en-GB"/>
        </w:rPr>
        <w:t xml:space="preserve"> the weight of spatial </w:t>
      </w:r>
      <w:r w:rsidR="00F05E0A">
        <w:rPr>
          <w:rFonts w:ascii="Georgia" w:hAnsi="Georgia" w:cs="Times New Roman"/>
          <w:lang w:val="en-GB"/>
        </w:rPr>
        <w:t xml:space="preserve">aspects, </w:t>
      </w:r>
      <w:r w:rsidR="0097040F" w:rsidRPr="0002056A">
        <w:rPr>
          <w:rFonts w:ascii="Georgia" w:hAnsi="Georgia" w:cs="Times New Roman"/>
          <w:lang w:val="en-GB"/>
        </w:rPr>
        <w:t>content and considerations</w:t>
      </w:r>
      <w:r w:rsidR="00F05E0A">
        <w:rPr>
          <w:rFonts w:ascii="Georgia" w:hAnsi="Georgia" w:cs="Times New Roman"/>
          <w:lang w:val="en-GB"/>
        </w:rPr>
        <w:t xml:space="preserve"> </w:t>
      </w:r>
      <w:r w:rsidR="00CD62C9" w:rsidRPr="0002056A">
        <w:rPr>
          <w:rFonts w:ascii="Georgia" w:hAnsi="Georgia" w:cs="Times New Roman"/>
          <w:lang w:val="en-GB"/>
        </w:rPr>
        <w:t>in the</w:t>
      </w:r>
      <w:r w:rsidR="009D6EBC">
        <w:rPr>
          <w:rFonts w:ascii="Georgia" w:hAnsi="Georgia" w:cs="Times New Roman"/>
          <w:lang w:val="en-GB"/>
        </w:rPr>
        <w:t xml:space="preserve"> in</w:t>
      </w:r>
      <w:r w:rsidR="00CD62C9" w:rsidRPr="0002056A">
        <w:rPr>
          <w:rFonts w:ascii="Georgia" w:hAnsi="Georgia" w:cs="Times New Roman"/>
          <w:lang w:val="en-GB"/>
        </w:rPr>
        <w:t>s</w:t>
      </w:r>
      <w:r w:rsidR="009D6EBC">
        <w:rPr>
          <w:rFonts w:ascii="Georgia" w:hAnsi="Georgia" w:cs="Times New Roman"/>
          <w:lang w:val="en-GB"/>
        </w:rPr>
        <w:t>trum</w:t>
      </w:r>
      <w:r w:rsidR="00CD62C9" w:rsidRPr="0002056A">
        <w:rPr>
          <w:rFonts w:ascii="Georgia" w:hAnsi="Georgia" w:cs="Times New Roman"/>
          <w:lang w:val="en-GB"/>
        </w:rPr>
        <w:t>e</w:t>
      </w:r>
      <w:r w:rsidR="009D6EBC">
        <w:rPr>
          <w:rFonts w:ascii="Georgia" w:hAnsi="Georgia" w:cs="Times New Roman"/>
          <w:lang w:val="en-GB"/>
        </w:rPr>
        <w:t>n</w:t>
      </w:r>
      <w:r w:rsidR="00CD62C9" w:rsidRPr="0002056A">
        <w:rPr>
          <w:rFonts w:ascii="Georgia" w:hAnsi="Georgia" w:cs="Times New Roman"/>
          <w:lang w:val="en-GB"/>
        </w:rPr>
        <w:t>ts</w:t>
      </w:r>
      <w:r w:rsidR="0097040F" w:rsidRPr="0002056A">
        <w:rPr>
          <w:rFonts w:ascii="Georgia" w:hAnsi="Georgia" w:cs="Times New Roman"/>
          <w:lang w:val="en-GB"/>
        </w:rPr>
        <w:t>.</w:t>
      </w:r>
      <w:r w:rsidR="000C49BD" w:rsidRPr="0002056A">
        <w:rPr>
          <w:rFonts w:ascii="Georgia" w:hAnsi="Georgia" w:cs="Times New Roman"/>
          <w:lang w:val="en-GB"/>
        </w:rPr>
        <w:t xml:space="preserve"> </w:t>
      </w:r>
      <w:r w:rsidR="009D6EBC">
        <w:rPr>
          <w:rFonts w:ascii="Georgia" w:hAnsi="Georgia" w:cs="Times New Roman"/>
          <w:lang w:val="en-GB"/>
        </w:rPr>
        <w:t>S</w:t>
      </w:r>
      <w:r w:rsidR="0097040F" w:rsidRPr="0002056A">
        <w:rPr>
          <w:rFonts w:ascii="Georgia" w:hAnsi="Georgia" w:cs="Times New Roman"/>
          <w:lang w:val="en-GB"/>
        </w:rPr>
        <w:t>pace concepts and interpretation</w:t>
      </w:r>
      <w:r w:rsidR="00CD62C9" w:rsidRPr="0002056A">
        <w:rPr>
          <w:rFonts w:ascii="Georgia" w:hAnsi="Georgia" w:cs="Times New Roman"/>
          <w:lang w:val="en-GB"/>
        </w:rPr>
        <w:t>s</w:t>
      </w:r>
      <w:r w:rsidR="0097040F" w:rsidRPr="0002056A">
        <w:rPr>
          <w:rFonts w:ascii="Georgia" w:hAnsi="Georgia" w:cs="Times New Roman"/>
          <w:lang w:val="en-GB"/>
        </w:rPr>
        <w:t xml:space="preserve"> of different disciplines were </w:t>
      </w:r>
      <w:r w:rsidR="003529C1" w:rsidRPr="0002056A">
        <w:rPr>
          <w:rFonts w:ascii="Georgia" w:hAnsi="Georgia" w:cs="Times New Roman"/>
          <w:lang w:val="en-GB"/>
        </w:rPr>
        <w:t>reviewed</w:t>
      </w:r>
      <w:r w:rsidR="0097040F" w:rsidRPr="0002056A">
        <w:rPr>
          <w:rFonts w:ascii="Georgia" w:hAnsi="Georgia" w:cs="Times New Roman"/>
          <w:lang w:val="en-GB"/>
        </w:rPr>
        <w:t xml:space="preserve"> </w:t>
      </w:r>
      <w:r w:rsidR="00F235BD" w:rsidRPr="0002056A">
        <w:rPr>
          <w:rFonts w:ascii="Georgia" w:hAnsi="Georgia" w:cs="Times New Roman"/>
          <w:lang w:val="en-GB"/>
        </w:rPr>
        <w:t xml:space="preserve">to make </w:t>
      </w:r>
      <w:r w:rsidR="00A31824">
        <w:rPr>
          <w:rFonts w:ascii="Georgia" w:hAnsi="Georgia" w:cs="Times New Roman"/>
          <w:lang w:val="en-GB"/>
        </w:rPr>
        <w:t xml:space="preserve">a tailored understanding for the </w:t>
      </w:r>
      <w:r w:rsidR="00F235BD" w:rsidRPr="0002056A">
        <w:rPr>
          <w:rFonts w:ascii="Georgia" w:hAnsi="Georgia" w:cs="Times New Roman"/>
          <w:lang w:val="en-GB"/>
        </w:rPr>
        <w:t xml:space="preserve">spatial sensitivity of the analysed instruments; and, based on this and the different spatial concepts, an analytical </w:t>
      </w:r>
      <w:r w:rsidR="000315AA">
        <w:rPr>
          <w:rFonts w:ascii="Georgia" w:hAnsi="Georgia" w:cs="Times New Roman"/>
          <w:lang w:val="en-GB"/>
        </w:rPr>
        <w:t xml:space="preserve">tool (in the form of an </w:t>
      </w:r>
      <w:r w:rsidR="00F235BD" w:rsidRPr="0002056A">
        <w:rPr>
          <w:rFonts w:ascii="Georgia" w:hAnsi="Georgia" w:cs="Times New Roman"/>
          <w:lang w:val="en-GB"/>
        </w:rPr>
        <w:t>aspect system</w:t>
      </w:r>
      <w:r w:rsidR="000315AA">
        <w:rPr>
          <w:rFonts w:ascii="Georgia" w:hAnsi="Georgia" w:cs="Times New Roman"/>
          <w:lang w:val="en-GB"/>
        </w:rPr>
        <w:t>)</w:t>
      </w:r>
      <w:r w:rsidR="00F235BD" w:rsidRPr="0002056A">
        <w:rPr>
          <w:rFonts w:ascii="Georgia" w:hAnsi="Georgia" w:cs="Times New Roman"/>
          <w:lang w:val="en-GB"/>
        </w:rPr>
        <w:t xml:space="preserve"> has been established for the </w:t>
      </w:r>
      <w:r w:rsidR="00C06A59">
        <w:rPr>
          <w:rFonts w:ascii="Georgia" w:hAnsi="Georgia" w:cs="Times New Roman"/>
          <w:lang w:val="en-GB"/>
        </w:rPr>
        <w:t>empirical</w:t>
      </w:r>
      <w:r w:rsidR="00F235BD" w:rsidRPr="0002056A">
        <w:rPr>
          <w:rFonts w:ascii="Georgia" w:hAnsi="Georgia" w:cs="Times New Roman"/>
          <w:lang w:val="en-GB"/>
        </w:rPr>
        <w:t xml:space="preserve"> analysis </w:t>
      </w:r>
      <w:r w:rsidR="00FD4F9B" w:rsidRPr="0002056A">
        <w:rPr>
          <w:rFonts w:ascii="Georgia" w:hAnsi="Georgia" w:cs="Times New Roman"/>
          <w:lang w:val="en-GB"/>
        </w:rPr>
        <w:t xml:space="preserve">of the </w:t>
      </w:r>
      <w:r w:rsidR="00996610" w:rsidRPr="0002056A">
        <w:rPr>
          <w:rFonts w:ascii="Georgia" w:hAnsi="Georgia" w:cs="Times New Roman"/>
          <w:lang w:val="en-GB"/>
        </w:rPr>
        <w:t>European national</w:t>
      </w:r>
      <w:r w:rsidR="00FD4F9B" w:rsidRPr="0002056A">
        <w:rPr>
          <w:rFonts w:ascii="Georgia" w:hAnsi="Georgia" w:cs="Times New Roman"/>
          <w:lang w:val="en-GB"/>
        </w:rPr>
        <w:t xml:space="preserve"> </w:t>
      </w:r>
      <w:r w:rsidR="00B32A60" w:rsidRPr="0002056A">
        <w:rPr>
          <w:rFonts w:ascii="Georgia" w:hAnsi="Georgia" w:cs="Times New Roman"/>
          <w:lang w:val="en-GB"/>
        </w:rPr>
        <w:t xml:space="preserve">adaptation </w:t>
      </w:r>
      <w:r w:rsidR="00FD4F9B" w:rsidRPr="0002056A">
        <w:rPr>
          <w:rFonts w:ascii="Georgia" w:hAnsi="Georgia" w:cs="Times New Roman"/>
          <w:lang w:val="en-GB"/>
        </w:rPr>
        <w:t>documents / systems.</w:t>
      </w:r>
    </w:p>
    <w:p w14:paraId="2BDFA21D" w14:textId="40DD6FC4" w:rsidR="00E723CD" w:rsidRPr="0002056A" w:rsidRDefault="00B32A60" w:rsidP="00CD5BF3">
      <w:pPr>
        <w:autoSpaceDE w:val="0"/>
        <w:autoSpaceDN w:val="0"/>
        <w:adjustRightInd w:val="0"/>
        <w:spacing w:before="120" w:after="120"/>
        <w:jc w:val="both"/>
        <w:rPr>
          <w:rFonts w:ascii="Georgia" w:hAnsi="Georgia"/>
          <w:lang w:val="en-GB"/>
        </w:rPr>
      </w:pPr>
      <w:r w:rsidRPr="0002056A">
        <w:rPr>
          <w:rFonts w:ascii="Georgia" w:hAnsi="Georgia" w:cs="Times New Roman"/>
          <w:lang w:val="en-GB"/>
        </w:rPr>
        <w:t xml:space="preserve">The </w:t>
      </w:r>
      <w:r w:rsidR="007567D5" w:rsidRPr="0002056A">
        <w:rPr>
          <w:rFonts w:ascii="Georgia" w:hAnsi="Georgia" w:cs="Times New Roman"/>
          <w:lang w:val="en-GB"/>
        </w:rPr>
        <w:t xml:space="preserve">dissertation </w:t>
      </w:r>
      <w:r w:rsidR="00E723CD" w:rsidRPr="0002056A">
        <w:rPr>
          <w:rFonts w:ascii="Georgia" w:hAnsi="Georgia" w:cs="Times New Roman"/>
          <w:b/>
          <w:lang w:val="en-GB"/>
        </w:rPr>
        <w:t>use</w:t>
      </w:r>
      <w:r w:rsidR="00996610" w:rsidRPr="0002056A">
        <w:rPr>
          <w:rFonts w:ascii="Georgia" w:hAnsi="Georgia" w:cs="Times New Roman"/>
          <w:b/>
          <w:lang w:val="en-GB"/>
        </w:rPr>
        <w:t>d</w:t>
      </w:r>
      <w:r w:rsidR="00E723CD" w:rsidRPr="0002056A">
        <w:rPr>
          <w:rFonts w:ascii="Georgia" w:hAnsi="Georgia" w:cs="Times New Roman"/>
          <w:b/>
          <w:lang w:val="en-GB"/>
        </w:rPr>
        <w:t xml:space="preserve"> mostly qualitative methods</w:t>
      </w:r>
      <w:r w:rsidR="00E723CD" w:rsidRPr="0002056A">
        <w:rPr>
          <w:rFonts w:ascii="Georgia" w:hAnsi="Georgia" w:cs="Times New Roman"/>
          <w:lang w:val="en-GB"/>
        </w:rPr>
        <w:t xml:space="preserve">, conducting </w:t>
      </w:r>
      <w:r w:rsidR="000B55AD">
        <w:rPr>
          <w:rFonts w:ascii="Georgia" w:hAnsi="Georgia" w:cs="Times New Roman"/>
          <w:lang w:val="en-GB"/>
        </w:rPr>
        <w:t xml:space="preserve">(1) </w:t>
      </w:r>
      <w:r w:rsidR="00F40C71">
        <w:rPr>
          <w:rFonts w:ascii="Georgia" w:hAnsi="Georgia" w:cs="Times New Roman"/>
          <w:lang w:val="en-GB"/>
        </w:rPr>
        <w:t xml:space="preserve">a </w:t>
      </w:r>
      <w:r w:rsidR="00E723CD" w:rsidRPr="0002056A">
        <w:rPr>
          <w:rFonts w:ascii="Georgia" w:hAnsi="Georgia" w:cs="Times New Roman"/>
          <w:lang w:val="en-GB"/>
        </w:rPr>
        <w:t>comprehensive literature review</w:t>
      </w:r>
      <w:r w:rsidR="00C06A59">
        <w:rPr>
          <w:rFonts w:ascii="Georgia" w:hAnsi="Georgia" w:cs="Times New Roman"/>
          <w:lang w:val="en-GB"/>
        </w:rPr>
        <w:t xml:space="preserve"> of </w:t>
      </w:r>
      <w:r w:rsidR="00F40C71">
        <w:rPr>
          <w:rFonts w:ascii="Georgia" w:hAnsi="Georgia" w:cs="Times New Roman"/>
          <w:lang w:val="en-GB"/>
        </w:rPr>
        <w:t xml:space="preserve">spatiality in </w:t>
      </w:r>
      <w:r w:rsidR="00C06A59">
        <w:rPr>
          <w:rFonts w:ascii="Georgia" w:hAnsi="Georgia" w:cs="Times New Roman"/>
          <w:lang w:val="en-GB"/>
        </w:rPr>
        <w:t>climate adaptation</w:t>
      </w:r>
      <w:r w:rsidR="009D6EBC">
        <w:rPr>
          <w:rFonts w:ascii="Georgia" w:hAnsi="Georgia" w:cs="Times New Roman"/>
          <w:lang w:val="en-GB"/>
        </w:rPr>
        <w:t>;</w:t>
      </w:r>
      <w:r w:rsidR="00C06A59">
        <w:rPr>
          <w:rFonts w:ascii="Georgia" w:hAnsi="Georgia" w:cs="Times New Roman"/>
          <w:lang w:val="en-GB"/>
        </w:rPr>
        <w:t xml:space="preserve"> </w:t>
      </w:r>
      <w:r w:rsidR="00F40C71">
        <w:rPr>
          <w:rFonts w:ascii="Georgia" w:hAnsi="Georgia" w:cs="Times New Roman"/>
          <w:lang w:val="en-GB"/>
        </w:rPr>
        <w:t xml:space="preserve">and different space concepts and interpretations of </w:t>
      </w:r>
      <w:r w:rsidR="000B55AD">
        <w:rPr>
          <w:rFonts w:ascii="Georgia" w:hAnsi="Georgia" w:cs="Times New Roman"/>
          <w:lang w:val="en-GB"/>
        </w:rPr>
        <w:t>space-oriented</w:t>
      </w:r>
      <w:r w:rsidR="00F40C71">
        <w:rPr>
          <w:rFonts w:ascii="Georgia" w:hAnsi="Georgia" w:cs="Times New Roman"/>
          <w:lang w:val="en-GB"/>
        </w:rPr>
        <w:t xml:space="preserve"> disciplines and practical fields; </w:t>
      </w:r>
      <w:r w:rsidR="000B55AD">
        <w:rPr>
          <w:rFonts w:ascii="Georgia" w:hAnsi="Georgia" w:cs="Times New Roman"/>
          <w:lang w:val="en-GB"/>
        </w:rPr>
        <w:t xml:space="preserve">(2) </w:t>
      </w:r>
      <w:r w:rsidR="00E723CD" w:rsidRPr="0002056A">
        <w:rPr>
          <w:rFonts w:ascii="Georgia" w:hAnsi="Georgia" w:cs="Times New Roman"/>
          <w:lang w:val="en-GB"/>
        </w:rPr>
        <w:t xml:space="preserve">widespread desk research and document analyses, </w:t>
      </w:r>
      <w:r w:rsidR="007567D5" w:rsidRPr="0002056A">
        <w:rPr>
          <w:rFonts w:ascii="Georgia" w:hAnsi="Georgia" w:cs="Times New Roman"/>
          <w:lang w:val="en-GB"/>
        </w:rPr>
        <w:t>in cases</w:t>
      </w:r>
      <w:r w:rsidR="00FD4F9B" w:rsidRPr="0002056A">
        <w:rPr>
          <w:rFonts w:ascii="Georgia" w:hAnsi="Georgia" w:cs="Times New Roman"/>
          <w:lang w:val="en-GB"/>
        </w:rPr>
        <w:t xml:space="preserve"> </w:t>
      </w:r>
      <w:r w:rsidR="00E723CD" w:rsidRPr="0002056A">
        <w:rPr>
          <w:rFonts w:ascii="Georgia" w:hAnsi="Georgia" w:cs="Times New Roman"/>
          <w:lang w:val="en-GB"/>
        </w:rPr>
        <w:t xml:space="preserve">completed </w:t>
      </w:r>
      <w:r w:rsidR="008B2182">
        <w:rPr>
          <w:rFonts w:ascii="Georgia" w:hAnsi="Georgia" w:cs="Times New Roman"/>
          <w:lang w:val="en-GB"/>
        </w:rPr>
        <w:t xml:space="preserve">these </w:t>
      </w:r>
      <w:r w:rsidR="00E723CD" w:rsidRPr="0002056A">
        <w:rPr>
          <w:rFonts w:ascii="Georgia" w:hAnsi="Georgia" w:cs="Times New Roman"/>
          <w:lang w:val="en-GB"/>
        </w:rPr>
        <w:t xml:space="preserve">with </w:t>
      </w:r>
      <w:r w:rsidR="000B55AD">
        <w:rPr>
          <w:rFonts w:ascii="Georgia" w:hAnsi="Georgia" w:cs="Times New Roman"/>
          <w:lang w:val="en-GB"/>
        </w:rPr>
        <w:t xml:space="preserve">(3) </w:t>
      </w:r>
      <w:r w:rsidR="007567D5" w:rsidRPr="0002056A">
        <w:rPr>
          <w:rFonts w:ascii="Georgia" w:hAnsi="Georgia" w:cs="Times New Roman"/>
          <w:lang w:val="en-GB"/>
        </w:rPr>
        <w:t>questionnaire</w:t>
      </w:r>
      <w:r w:rsidR="009B5A9C">
        <w:rPr>
          <w:rFonts w:ascii="Georgia" w:hAnsi="Georgia" w:cs="Times New Roman"/>
          <w:lang w:val="en-GB"/>
        </w:rPr>
        <w:t>-based e-mail</w:t>
      </w:r>
      <w:r w:rsidR="00E723CD" w:rsidRPr="0002056A">
        <w:rPr>
          <w:rFonts w:ascii="Georgia" w:hAnsi="Georgia" w:cs="Times New Roman"/>
          <w:lang w:val="en-GB"/>
        </w:rPr>
        <w:t xml:space="preserve"> interviews. </w:t>
      </w:r>
      <w:r w:rsidR="00A31824">
        <w:rPr>
          <w:rFonts w:ascii="Georgia" w:hAnsi="Georgia" w:cs="Times New Roman"/>
          <w:lang w:val="en-GB"/>
        </w:rPr>
        <w:t>Throughout these empirical analyses, special attention has been paid to the practical applicability of the results</w:t>
      </w:r>
      <w:r w:rsidR="00E723CD" w:rsidRPr="0002056A">
        <w:rPr>
          <w:rFonts w:ascii="Georgia" w:hAnsi="Georgia" w:cs="Times New Roman"/>
          <w:lang w:val="en-GB"/>
        </w:rPr>
        <w:t>.</w:t>
      </w:r>
    </w:p>
    <w:p w14:paraId="46D17996" w14:textId="0663ACAB" w:rsidR="006C4452" w:rsidRPr="0002056A" w:rsidRDefault="00E723CD" w:rsidP="00CD5BF3">
      <w:pPr>
        <w:spacing w:before="120" w:after="120"/>
        <w:jc w:val="both"/>
        <w:rPr>
          <w:rFonts w:ascii="Georgia" w:hAnsi="Georgia"/>
          <w:lang w:val="en-GB"/>
        </w:rPr>
      </w:pPr>
      <w:r w:rsidRPr="0002056A">
        <w:rPr>
          <w:rFonts w:ascii="Georgia" w:hAnsi="Georgia" w:cs="Times New Roman"/>
          <w:b/>
          <w:bCs/>
          <w:lang w:val="en-GB"/>
        </w:rPr>
        <w:lastRenderedPageBreak/>
        <w:t xml:space="preserve">The literature review </w:t>
      </w:r>
      <w:r w:rsidR="008B2182">
        <w:rPr>
          <w:rFonts w:ascii="Georgia" w:hAnsi="Georgia" w:cs="Times New Roman"/>
          <w:lang w:val="en-GB"/>
        </w:rPr>
        <w:t>wa</w:t>
      </w:r>
      <w:r w:rsidRPr="0002056A">
        <w:rPr>
          <w:rFonts w:ascii="Georgia" w:hAnsi="Georgia" w:cs="Times New Roman"/>
          <w:lang w:val="en-GB"/>
        </w:rPr>
        <w:t xml:space="preserve">s one of the main bases of the empirical work phase. It </w:t>
      </w:r>
      <w:r w:rsidR="00A31824">
        <w:rPr>
          <w:rFonts w:ascii="Georgia" w:hAnsi="Georgia" w:cs="Times New Roman"/>
          <w:lang w:val="en-GB"/>
        </w:rPr>
        <w:t xml:space="preserve">provided the context for the research (clarifying the concepts of climate adaptation and adaptation policy, planning, monitoring, and evaluation, as well as describing the main spatial levels and challenges of adaptation policy planning </w:t>
      </w:r>
      <w:r w:rsidR="00B32A60" w:rsidRPr="0002056A">
        <w:rPr>
          <w:rFonts w:ascii="Georgia" w:hAnsi="Georgia" w:cs="Times New Roman"/>
          <w:lang w:val="en-GB"/>
        </w:rPr>
        <w:t xml:space="preserve">worldwide and </w:t>
      </w:r>
      <w:r w:rsidR="00784BC5" w:rsidRPr="0002056A">
        <w:rPr>
          <w:rFonts w:ascii="Georgia" w:hAnsi="Georgia" w:cs="Times New Roman"/>
          <w:lang w:val="en-GB"/>
        </w:rPr>
        <w:t>in Europe</w:t>
      </w:r>
      <w:r w:rsidR="00656431" w:rsidRPr="0002056A">
        <w:rPr>
          <w:rFonts w:ascii="Georgia" w:hAnsi="Georgia" w:cs="Times New Roman"/>
          <w:lang w:val="en-GB"/>
        </w:rPr>
        <w:t>)</w:t>
      </w:r>
      <w:r w:rsidR="00784BC5" w:rsidRPr="0002056A">
        <w:rPr>
          <w:rFonts w:ascii="Georgia" w:hAnsi="Georgia" w:cs="Times New Roman"/>
          <w:lang w:val="en-GB"/>
        </w:rPr>
        <w:t xml:space="preserve">. </w:t>
      </w:r>
      <w:r w:rsidR="00BA3F16" w:rsidRPr="0002056A">
        <w:rPr>
          <w:rFonts w:ascii="Georgia" w:hAnsi="Georgia" w:cs="Times New Roman"/>
          <w:lang w:val="en-GB"/>
        </w:rPr>
        <w:t>The review also identifie</w:t>
      </w:r>
      <w:r w:rsidR="002122A4" w:rsidRPr="0002056A">
        <w:rPr>
          <w:rFonts w:ascii="Georgia" w:hAnsi="Georgia" w:cs="Times New Roman"/>
          <w:lang w:val="en-GB"/>
        </w:rPr>
        <w:t>d</w:t>
      </w:r>
      <w:r w:rsidR="00BA3F16" w:rsidRPr="0002056A">
        <w:rPr>
          <w:rFonts w:ascii="Georgia" w:hAnsi="Georgia" w:cs="Times New Roman"/>
          <w:lang w:val="en-GB"/>
        </w:rPr>
        <w:t xml:space="preserve"> the main research gap</w:t>
      </w:r>
      <w:r w:rsidR="00A85D4B" w:rsidRPr="0002056A">
        <w:rPr>
          <w:rFonts w:ascii="Georgia" w:hAnsi="Georgia" w:cs="Times New Roman"/>
          <w:lang w:val="en-GB"/>
        </w:rPr>
        <w:t xml:space="preserve">: </w:t>
      </w:r>
      <w:r w:rsidR="00BA3F16" w:rsidRPr="0002056A">
        <w:rPr>
          <w:rFonts w:ascii="Georgia" w:hAnsi="Georgia" w:cs="Times New Roman"/>
          <w:lang w:val="en-GB"/>
        </w:rPr>
        <w:t xml:space="preserve">the </w:t>
      </w:r>
      <w:r w:rsidR="008B2182">
        <w:rPr>
          <w:rFonts w:ascii="Georgia" w:hAnsi="Georgia" w:cs="Times New Roman"/>
          <w:lang w:val="en-GB"/>
        </w:rPr>
        <w:t>r</w:t>
      </w:r>
      <w:r w:rsidR="00A85D4B" w:rsidRPr="0002056A">
        <w:rPr>
          <w:rFonts w:ascii="Georgia" w:hAnsi="Georgia" w:cs="Times New Roman"/>
          <w:lang w:val="en-GB"/>
        </w:rPr>
        <w:t>a</w:t>
      </w:r>
      <w:r w:rsidR="008B2182">
        <w:rPr>
          <w:rFonts w:ascii="Georgia" w:hAnsi="Georgia" w:cs="Times New Roman"/>
          <w:lang w:val="en-GB"/>
        </w:rPr>
        <w:t xml:space="preserve">rity </w:t>
      </w:r>
      <w:r w:rsidR="009B5A9C">
        <w:rPr>
          <w:rFonts w:ascii="Georgia" w:hAnsi="Georgia" w:cs="Times New Roman"/>
          <w:lang w:val="en-GB"/>
        </w:rPr>
        <w:t xml:space="preserve">of </w:t>
      </w:r>
      <w:r w:rsidR="00A85D4B" w:rsidRPr="0002056A">
        <w:rPr>
          <w:rFonts w:ascii="Georgia" w:hAnsi="Georgia" w:cs="Times New Roman"/>
          <w:lang w:val="en-GB"/>
        </w:rPr>
        <w:t>assessment</w:t>
      </w:r>
      <w:r w:rsidR="00BA3F16" w:rsidRPr="0002056A">
        <w:rPr>
          <w:rFonts w:ascii="Georgia" w:hAnsi="Georgia" w:cs="Times New Roman"/>
          <w:lang w:val="en-GB"/>
        </w:rPr>
        <w:t xml:space="preserve"> of </w:t>
      </w:r>
      <w:r w:rsidR="00A31824">
        <w:rPr>
          <w:rFonts w:ascii="Georgia" w:hAnsi="Georgia" w:cs="Times New Roman"/>
          <w:lang w:val="en-GB"/>
        </w:rPr>
        <w:t xml:space="preserve">the </w:t>
      </w:r>
      <w:r w:rsidR="00BA3F16" w:rsidRPr="0002056A">
        <w:rPr>
          <w:rFonts w:ascii="Georgia" w:hAnsi="Georgia" w:cs="Times New Roman"/>
          <w:lang w:val="en-GB"/>
        </w:rPr>
        <w:t>spatial</w:t>
      </w:r>
      <w:r w:rsidR="009B5A9C">
        <w:rPr>
          <w:rFonts w:ascii="Georgia" w:hAnsi="Georgia" w:cs="Times New Roman"/>
          <w:lang w:val="en-GB"/>
        </w:rPr>
        <w:t xml:space="preserve"> dimension </w:t>
      </w:r>
      <w:r w:rsidR="00BA3F16" w:rsidRPr="0002056A">
        <w:rPr>
          <w:rFonts w:ascii="Georgia" w:hAnsi="Georgia" w:cs="Times New Roman"/>
          <w:lang w:val="en-GB"/>
        </w:rPr>
        <w:t xml:space="preserve">in </w:t>
      </w:r>
      <w:r w:rsidR="009B5A9C">
        <w:rPr>
          <w:rFonts w:ascii="Georgia" w:hAnsi="Georgia" w:cs="Times New Roman"/>
          <w:lang w:val="en-GB"/>
        </w:rPr>
        <w:t xml:space="preserve">climate </w:t>
      </w:r>
      <w:r w:rsidR="00BA3F16" w:rsidRPr="0002056A">
        <w:rPr>
          <w:rFonts w:ascii="Georgia" w:hAnsi="Georgia" w:cs="Times New Roman"/>
          <w:lang w:val="en-GB"/>
        </w:rPr>
        <w:t xml:space="preserve">adaptation. </w:t>
      </w:r>
      <w:r w:rsidR="002349AF" w:rsidRPr="0002056A">
        <w:rPr>
          <w:rFonts w:ascii="Georgia" w:hAnsi="Georgia" w:cs="Times New Roman"/>
          <w:lang w:val="en-GB"/>
        </w:rPr>
        <w:t>S</w:t>
      </w:r>
      <w:r w:rsidR="00B75F3D" w:rsidRPr="0002056A">
        <w:rPr>
          <w:rFonts w:ascii="Georgia" w:hAnsi="Georgia" w:cs="Times New Roman"/>
          <w:lang w:val="en-GB"/>
        </w:rPr>
        <w:t xml:space="preserve">pecial </w:t>
      </w:r>
      <w:r w:rsidR="00F94FF6">
        <w:rPr>
          <w:rFonts w:ascii="Georgia" w:hAnsi="Georgia" w:cs="Times New Roman"/>
          <w:lang w:val="en-GB"/>
        </w:rPr>
        <w:t>sub</w:t>
      </w:r>
      <w:r w:rsidR="00B75F3D" w:rsidRPr="0002056A">
        <w:rPr>
          <w:rFonts w:ascii="Georgia" w:hAnsi="Georgia" w:cs="Times New Roman"/>
          <w:lang w:val="en-GB"/>
        </w:rPr>
        <w:t>chapter</w:t>
      </w:r>
      <w:r w:rsidR="002349AF" w:rsidRPr="0002056A">
        <w:rPr>
          <w:rFonts w:ascii="Georgia" w:hAnsi="Georgia" w:cs="Times New Roman"/>
          <w:lang w:val="en-GB"/>
        </w:rPr>
        <w:t>s are</w:t>
      </w:r>
      <w:r w:rsidR="00B75F3D" w:rsidRPr="0002056A">
        <w:rPr>
          <w:rFonts w:ascii="Georgia" w:hAnsi="Georgia" w:cs="Times New Roman"/>
          <w:lang w:val="en-GB"/>
        </w:rPr>
        <w:t xml:space="preserve"> dedicated to the space interpretations of chosen geographical and social space-oriented disciplines. </w:t>
      </w:r>
      <w:r w:rsidR="006C4452" w:rsidRPr="0002056A">
        <w:rPr>
          <w:rFonts w:ascii="Georgia" w:hAnsi="Georgia"/>
          <w:lang w:val="en-GB"/>
        </w:rPr>
        <w:t xml:space="preserve">As the literature review underlines, among the different spatial/territorial levels of planning, monitoring, and evaluation the national </w:t>
      </w:r>
      <w:r w:rsidR="00326B0A" w:rsidRPr="0002056A">
        <w:rPr>
          <w:rFonts w:ascii="Georgia" w:hAnsi="Georgia"/>
          <w:lang w:val="en-GB"/>
        </w:rPr>
        <w:t xml:space="preserve">and regional </w:t>
      </w:r>
      <w:r w:rsidR="006C4452" w:rsidRPr="0002056A">
        <w:rPr>
          <w:rFonts w:ascii="Georgia" w:hAnsi="Georgia"/>
          <w:lang w:val="en-GB"/>
        </w:rPr>
        <w:t>one</w:t>
      </w:r>
      <w:r w:rsidR="00326B0A" w:rsidRPr="0002056A">
        <w:rPr>
          <w:rFonts w:ascii="Georgia" w:hAnsi="Georgia"/>
          <w:lang w:val="en-GB"/>
        </w:rPr>
        <w:t>s</w:t>
      </w:r>
      <w:r w:rsidR="006C4452" w:rsidRPr="0002056A">
        <w:rPr>
          <w:rFonts w:ascii="Georgia" w:hAnsi="Georgia"/>
          <w:lang w:val="en-GB"/>
        </w:rPr>
        <w:t xml:space="preserve"> ha</w:t>
      </w:r>
      <w:r w:rsidR="00326B0A" w:rsidRPr="0002056A">
        <w:rPr>
          <w:rFonts w:ascii="Georgia" w:hAnsi="Georgia"/>
          <w:lang w:val="en-GB"/>
        </w:rPr>
        <w:t>ve</w:t>
      </w:r>
      <w:r w:rsidR="006C4452" w:rsidRPr="0002056A">
        <w:rPr>
          <w:rFonts w:ascii="Georgia" w:hAnsi="Georgia"/>
          <w:lang w:val="en-GB"/>
        </w:rPr>
        <w:t xml:space="preserve"> </w:t>
      </w:r>
      <w:r w:rsidR="00A31824">
        <w:rPr>
          <w:rFonts w:ascii="Georgia" w:hAnsi="Georgia"/>
          <w:lang w:val="en-GB"/>
        </w:rPr>
        <w:t>received</w:t>
      </w:r>
      <w:r w:rsidR="00A31824" w:rsidRPr="0002056A">
        <w:rPr>
          <w:rFonts w:ascii="Georgia" w:hAnsi="Georgia"/>
          <w:lang w:val="en-GB"/>
        </w:rPr>
        <w:t xml:space="preserve"> </w:t>
      </w:r>
      <w:r w:rsidR="006C4452" w:rsidRPr="0002056A">
        <w:rPr>
          <w:rFonts w:ascii="Georgia" w:hAnsi="Georgia"/>
          <w:lang w:val="en-GB"/>
        </w:rPr>
        <w:t>relatively weak</w:t>
      </w:r>
      <w:r w:rsidR="00326B0A" w:rsidRPr="0002056A">
        <w:rPr>
          <w:rFonts w:ascii="Georgia" w:hAnsi="Georgia"/>
          <w:lang w:val="en-GB"/>
        </w:rPr>
        <w:t>er</w:t>
      </w:r>
      <w:r w:rsidR="006C4452" w:rsidRPr="0002056A">
        <w:rPr>
          <w:rFonts w:ascii="Georgia" w:hAnsi="Georgia"/>
          <w:lang w:val="en-GB"/>
        </w:rPr>
        <w:t xml:space="preserve"> emphasis</w:t>
      </w:r>
      <w:r w:rsidR="00BD6D79" w:rsidRPr="0002056A">
        <w:rPr>
          <w:rFonts w:ascii="Georgia" w:hAnsi="Georgia"/>
          <w:lang w:val="en-GB"/>
        </w:rPr>
        <w:t xml:space="preserve"> so far</w:t>
      </w:r>
      <w:r w:rsidR="006C4452" w:rsidRPr="0002056A">
        <w:rPr>
          <w:rFonts w:ascii="Georgia" w:hAnsi="Georgia"/>
          <w:lang w:val="en-GB"/>
        </w:rPr>
        <w:t xml:space="preserve">, </w:t>
      </w:r>
      <w:r w:rsidR="00326B0A" w:rsidRPr="0002056A">
        <w:rPr>
          <w:rFonts w:ascii="Georgia" w:hAnsi="Georgia"/>
          <w:lang w:val="en-GB"/>
        </w:rPr>
        <w:t xml:space="preserve">compared to the local level. </w:t>
      </w:r>
      <w:r w:rsidR="00FC083C" w:rsidRPr="0002056A">
        <w:rPr>
          <w:rFonts w:ascii="Georgia" w:hAnsi="Georgia"/>
          <w:lang w:val="en-GB"/>
        </w:rPr>
        <w:t>So,</w:t>
      </w:r>
      <w:r w:rsidR="006C4452" w:rsidRPr="0002056A">
        <w:rPr>
          <w:rFonts w:ascii="Georgia" w:hAnsi="Georgia"/>
          <w:lang w:val="en-GB"/>
        </w:rPr>
        <w:t xml:space="preserve"> the dissertation concentrates on national adaptation-oriented </w:t>
      </w:r>
      <w:r w:rsidR="00BD6D79" w:rsidRPr="0002056A">
        <w:rPr>
          <w:rFonts w:ascii="Georgia" w:hAnsi="Georgia"/>
          <w:lang w:val="en-GB"/>
        </w:rPr>
        <w:t xml:space="preserve">strategic </w:t>
      </w:r>
      <w:r w:rsidR="006C4452" w:rsidRPr="0002056A">
        <w:rPr>
          <w:rFonts w:ascii="Georgia" w:hAnsi="Georgia"/>
          <w:lang w:val="en-GB"/>
        </w:rPr>
        <w:t>planning, and beyond that</w:t>
      </w:r>
      <w:r w:rsidR="00A31824">
        <w:rPr>
          <w:rFonts w:ascii="Georgia" w:hAnsi="Georgia"/>
          <w:lang w:val="en-GB"/>
        </w:rPr>
        <w:t>,</w:t>
      </w:r>
      <w:r w:rsidR="006C4452" w:rsidRPr="0002056A">
        <w:rPr>
          <w:rFonts w:ascii="Georgia" w:hAnsi="Georgia"/>
          <w:lang w:val="en-GB"/>
        </w:rPr>
        <w:t xml:space="preserve"> monitoring, reporting and evaluation (hereinafter: MRE) activities, and their characteristics in Europe (as </w:t>
      </w:r>
      <w:r w:rsidR="006C28C0" w:rsidRPr="0002056A">
        <w:rPr>
          <w:rFonts w:ascii="Georgia" w:hAnsi="Georgia"/>
          <w:lang w:val="en-GB"/>
        </w:rPr>
        <w:t xml:space="preserve">the </w:t>
      </w:r>
      <w:r w:rsidR="006C4452" w:rsidRPr="0002056A">
        <w:rPr>
          <w:rFonts w:ascii="Georgia" w:hAnsi="Georgia"/>
          <w:lang w:val="en-GB"/>
        </w:rPr>
        <w:t xml:space="preserve">pioneer </w:t>
      </w:r>
      <w:r w:rsidR="006C28C0" w:rsidRPr="0002056A">
        <w:rPr>
          <w:rFonts w:ascii="Georgia" w:hAnsi="Georgia"/>
          <w:lang w:val="en-GB"/>
        </w:rPr>
        <w:t xml:space="preserve">continent </w:t>
      </w:r>
      <w:r w:rsidR="006C4452" w:rsidRPr="0002056A">
        <w:rPr>
          <w:rFonts w:ascii="Georgia" w:hAnsi="Georgia"/>
          <w:lang w:val="en-GB"/>
        </w:rPr>
        <w:t xml:space="preserve">of climate adaptation policy </w:t>
      </w:r>
      <w:r w:rsidR="00326B0A" w:rsidRPr="0002056A">
        <w:rPr>
          <w:rFonts w:ascii="Georgia" w:hAnsi="Georgia"/>
          <w:lang w:val="en-GB"/>
        </w:rPr>
        <w:t>plann</w:t>
      </w:r>
      <w:r w:rsidR="006C4452" w:rsidRPr="0002056A">
        <w:rPr>
          <w:rFonts w:ascii="Georgia" w:hAnsi="Georgia"/>
          <w:lang w:val="en-GB"/>
        </w:rPr>
        <w:t xml:space="preserve">ing). </w:t>
      </w:r>
    </w:p>
    <w:p w14:paraId="33B82B16" w14:textId="75309921" w:rsidR="00DC75A9" w:rsidRPr="0002056A" w:rsidRDefault="00A31824" w:rsidP="00CD5BF3">
      <w:pPr>
        <w:spacing w:before="120" w:after="120"/>
        <w:jc w:val="both"/>
        <w:rPr>
          <w:rFonts w:ascii="Georgia" w:hAnsi="Georgia" w:cs="Times New Roman"/>
          <w:lang w:val="en-GB"/>
        </w:rPr>
      </w:pPr>
      <w:r>
        <w:rPr>
          <w:rFonts w:ascii="Georgia" w:hAnsi="Georgia" w:cs="Times New Roman"/>
          <w:lang w:val="en-GB"/>
        </w:rPr>
        <w:t xml:space="preserve">A key element of the empirical analysis’s qualitative toolkit was </w:t>
      </w:r>
      <w:r w:rsidR="00E364DE">
        <w:rPr>
          <w:rFonts w:ascii="Georgia" w:hAnsi="Georgia" w:cs="Times New Roman"/>
          <w:lang w:val="en-GB"/>
        </w:rPr>
        <w:t xml:space="preserve">a </w:t>
      </w:r>
      <w:r w:rsidRPr="0000167A">
        <w:rPr>
          <w:rFonts w:ascii="Georgia" w:hAnsi="Georgia" w:cs="Times New Roman"/>
          <w:b/>
          <w:bCs/>
          <w:lang w:val="en-GB"/>
        </w:rPr>
        <w:t>comparative document analysis</w:t>
      </w:r>
      <w:r>
        <w:rPr>
          <w:rFonts w:ascii="Georgia" w:hAnsi="Georgia" w:cs="Times New Roman"/>
          <w:lang w:val="en-GB"/>
        </w:rPr>
        <w:t>, focusing on existing national planning documents, monitoring and evaluation reports,</w:t>
      </w:r>
      <w:r w:rsidR="00E723CD" w:rsidRPr="0002056A">
        <w:rPr>
          <w:rFonts w:ascii="Georgia" w:hAnsi="Georgia" w:cs="Times New Roman"/>
          <w:lang w:val="en-GB"/>
        </w:rPr>
        <w:t xml:space="preserve"> and </w:t>
      </w:r>
      <w:r w:rsidR="000E48E7" w:rsidRPr="0002056A">
        <w:rPr>
          <w:rFonts w:ascii="Georgia" w:hAnsi="Georgia" w:cs="Times New Roman"/>
          <w:lang w:val="en-GB"/>
        </w:rPr>
        <w:t>methodological background materials</w:t>
      </w:r>
      <w:r w:rsidR="00E723CD" w:rsidRPr="0002056A">
        <w:rPr>
          <w:rFonts w:ascii="Georgia" w:hAnsi="Georgia" w:cs="Times New Roman"/>
          <w:lang w:val="en-GB"/>
        </w:rPr>
        <w:t xml:space="preserve">. </w:t>
      </w:r>
      <w:r>
        <w:rPr>
          <w:rFonts w:ascii="Georgia" w:hAnsi="Georgia"/>
          <w:lang w:val="en-GB"/>
        </w:rPr>
        <w:t>At the centre of the analyses were, on the one hand,</w:t>
      </w:r>
      <w:r w:rsidR="00E723CD" w:rsidRPr="0002056A">
        <w:rPr>
          <w:rFonts w:ascii="Georgia" w:hAnsi="Georgia"/>
          <w:lang w:val="en-GB"/>
        </w:rPr>
        <w:t xml:space="preserve"> </w:t>
      </w:r>
      <w:r w:rsidR="003836D7" w:rsidRPr="0002056A">
        <w:rPr>
          <w:rFonts w:ascii="Georgia" w:hAnsi="Georgia"/>
          <w:lang w:val="en-GB"/>
        </w:rPr>
        <w:t xml:space="preserve">the </w:t>
      </w:r>
      <w:r w:rsidR="000E48E7" w:rsidRPr="0002056A">
        <w:rPr>
          <w:rFonts w:ascii="Georgia" w:hAnsi="Georgia"/>
          <w:lang w:val="en-GB"/>
        </w:rPr>
        <w:t>n</w:t>
      </w:r>
      <w:r w:rsidR="00B63849" w:rsidRPr="0002056A">
        <w:rPr>
          <w:rFonts w:ascii="Georgia" w:hAnsi="Georgia"/>
          <w:lang w:val="en-GB"/>
        </w:rPr>
        <w:t xml:space="preserve">ational </w:t>
      </w:r>
      <w:r w:rsidR="00B96E47" w:rsidRPr="0002056A">
        <w:rPr>
          <w:rFonts w:ascii="Georgia" w:hAnsi="Georgia"/>
          <w:lang w:val="en-GB"/>
        </w:rPr>
        <w:t>strategic planning documents of adaptation</w:t>
      </w:r>
      <w:r w:rsidR="00E723CD" w:rsidRPr="0002056A">
        <w:rPr>
          <w:rFonts w:ascii="Georgia" w:hAnsi="Georgia"/>
          <w:lang w:val="en-GB"/>
        </w:rPr>
        <w:t>. Under the term NAS, similarly to Timo Leiter’s 2021 analysis</w:t>
      </w:r>
      <w:r w:rsidR="00B63849" w:rsidRPr="0002056A">
        <w:rPr>
          <w:rFonts w:ascii="Georgia" w:hAnsi="Georgia"/>
          <w:lang w:val="en-GB"/>
        </w:rPr>
        <w:t xml:space="preserve"> and</w:t>
      </w:r>
      <w:r w:rsidR="00E723CD" w:rsidRPr="0002056A">
        <w:rPr>
          <w:rFonts w:ascii="Georgia" w:hAnsi="Georgia"/>
          <w:lang w:val="en-GB"/>
        </w:rPr>
        <w:t xml:space="preserve"> using his umbrella definition, I understand national planning documents</w:t>
      </w:r>
      <w:r w:rsidR="00E720C3" w:rsidRPr="0002056A">
        <w:rPr>
          <w:rFonts w:ascii="Georgia" w:hAnsi="Georgia"/>
          <w:lang w:val="en-GB"/>
        </w:rPr>
        <w:t xml:space="preserve">; the category </w:t>
      </w:r>
      <w:r w:rsidR="00E723CD" w:rsidRPr="0002056A">
        <w:rPr>
          <w:rFonts w:ascii="Georgia" w:hAnsi="Georgia"/>
          <w:lang w:val="en-GB"/>
        </w:rPr>
        <w:t>compris</w:t>
      </w:r>
      <w:r w:rsidR="00E720C3" w:rsidRPr="0002056A">
        <w:rPr>
          <w:rFonts w:ascii="Georgia" w:hAnsi="Georgia"/>
          <w:lang w:val="en-GB"/>
        </w:rPr>
        <w:t>es</w:t>
      </w:r>
      <w:r w:rsidR="00E723CD" w:rsidRPr="0002056A">
        <w:rPr>
          <w:rFonts w:ascii="Georgia" w:hAnsi="Georgia"/>
          <w:lang w:val="en-GB"/>
        </w:rPr>
        <w:t xml:space="preserve"> both </w:t>
      </w:r>
      <w:r w:rsidR="00F94FF6" w:rsidRPr="0002056A">
        <w:rPr>
          <w:rFonts w:ascii="Georgia" w:hAnsi="Georgia"/>
          <w:lang w:val="en-GB"/>
        </w:rPr>
        <w:t>national adaptation strategies (NAS)</w:t>
      </w:r>
      <w:r w:rsidR="003836D7" w:rsidRPr="0002056A">
        <w:rPr>
          <w:rFonts w:ascii="Georgia" w:hAnsi="Georgia"/>
          <w:lang w:val="en-GB"/>
        </w:rPr>
        <w:t xml:space="preserve"> and</w:t>
      </w:r>
      <w:r w:rsidR="00F94FF6" w:rsidRPr="00F94FF6">
        <w:rPr>
          <w:rFonts w:ascii="Georgia" w:hAnsi="Georgia"/>
          <w:lang w:val="en-GB"/>
        </w:rPr>
        <w:t xml:space="preserve"> </w:t>
      </w:r>
      <w:r w:rsidR="00F94FF6" w:rsidRPr="0002056A">
        <w:rPr>
          <w:rFonts w:ascii="Georgia" w:hAnsi="Georgia"/>
          <w:lang w:val="en-GB"/>
        </w:rPr>
        <w:t>national adaptation programmes or action plans (NAP)</w:t>
      </w:r>
      <w:r w:rsidR="009F64C7" w:rsidRPr="0002056A">
        <w:rPr>
          <w:rFonts w:ascii="Georgia" w:hAnsi="Georgia"/>
          <w:lang w:val="en-GB"/>
        </w:rPr>
        <w:t>. These can be either</w:t>
      </w:r>
      <w:r w:rsidR="00E723CD" w:rsidRPr="0002056A">
        <w:rPr>
          <w:rFonts w:ascii="Georgia" w:hAnsi="Georgia"/>
          <w:lang w:val="en-GB"/>
        </w:rPr>
        <w:t xml:space="preserve"> documents covering both mitigation and adaptation or strategies concentrating only on adaptation. On the other hand, I also examine</w:t>
      </w:r>
      <w:r w:rsidR="00B96E47" w:rsidRPr="0002056A">
        <w:rPr>
          <w:rFonts w:ascii="Georgia" w:hAnsi="Georgia"/>
          <w:lang w:val="en-GB"/>
        </w:rPr>
        <w:t>d</w:t>
      </w:r>
      <w:r w:rsidR="00E723CD" w:rsidRPr="0002056A">
        <w:rPr>
          <w:rFonts w:ascii="Georgia" w:hAnsi="Georgia"/>
          <w:lang w:val="en-GB"/>
        </w:rPr>
        <w:t xml:space="preserve"> national</w:t>
      </w:r>
      <w:r w:rsidR="00E720C3" w:rsidRPr="0002056A">
        <w:rPr>
          <w:rFonts w:ascii="Georgia" w:hAnsi="Georgia"/>
          <w:lang w:val="en-GB"/>
        </w:rPr>
        <w:t>-</w:t>
      </w:r>
      <w:r w:rsidR="00E723CD" w:rsidRPr="0002056A">
        <w:rPr>
          <w:rFonts w:ascii="Georgia" w:hAnsi="Georgia"/>
          <w:lang w:val="en-GB"/>
        </w:rPr>
        <w:t>level monitoring and evaluation report</w:t>
      </w:r>
      <w:r w:rsidR="00973D3C" w:rsidRPr="0002056A">
        <w:rPr>
          <w:rFonts w:ascii="Georgia" w:hAnsi="Georgia"/>
          <w:lang w:val="en-GB"/>
        </w:rPr>
        <w:t>s and</w:t>
      </w:r>
      <w:r w:rsidR="00E723CD" w:rsidRPr="0002056A">
        <w:rPr>
          <w:rFonts w:ascii="Georgia" w:hAnsi="Georgia"/>
          <w:lang w:val="en-GB"/>
        </w:rPr>
        <w:t xml:space="preserve"> assessments, methodological descriptions, </w:t>
      </w:r>
      <w:r>
        <w:rPr>
          <w:rFonts w:ascii="Georgia" w:hAnsi="Georgia"/>
          <w:lang w:val="en-GB"/>
        </w:rPr>
        <w:t>and indicator descriptions elaborated or commissioned by national governmental organisations</w:t>
      </w:r>
      <w:r w:rsidR="00E723CD" w:rsidRPr="0002056A">
        <w:rPr>
          <w:rFonts w:ascii="Georgia" w:hAnsi="Georgia"/>
          <w:lang w:val="en-GB"/>
        </w:rPr>
        <w:t>.</w:t>
      </w:r>
      <w:r w:rsidR="00E723CD" w:rsidRPr="0002056A">
        <w:rPr>
          <w:rFonts w:eastAsiaTheme="minorEastAsia" w:cs="Calibri"/>
          <w:color w:val="000000" w:themeColor="text1"/>
          <w:kern w:val="24"/>
          <w:lang w:val="en-GB"/>
        </w:rPr>
        <w:t xml:space="preserve"> </w:t>
      </w:r>
      <w:r w:rsidR="00E723CD" w:rsidRPr="0002056A">
        <w:rPr>
          <w:rFonts w:ascii="Georgia" w:hAnsi="Georgia"/>
          <w:lang w:val="en-GB"/>
        </w:rPr>
        <w:t>Regarding the documents</w:t>
      </w:r>
      <w:r w:rsidR="00EC0696" w:rsidRPr="0002056A">
        <w:rPr>
          <w:rFonts w:ascii="Georgia" w:hAnsi="Georgia"/>
          <w:lang w:val="en-GB"/>
        </w:rPr>
        <w:t>,</w:t>
      </w:r>
      <w:r w:rsidR="00E723CD" w:rsidRPr="0002056A">
        <w:rPr>
          <w:rFonts w:ascii="Georgia" w:hAnsi="Georgia"/>
          <w:lang w:val="en-GB"/>
        </w:rPr>
        <w:t xml:space="preserve"> those NASs,</w:t>
      </w:r>
      <w:r w:rsidR="009F64C7" w:rsidRPr="0002056A">
        <w:rPr>
          <w:rFonts w:ascii="Georgia" w:hAnsi="Georgia"/>
          <w:lang w:val="en-GB"/>
        </w:rPr>
        <w:t xml:space="preserve"> </w:t>
      </w:r>
      <w:r w:rsidR="007329A7" w:rsidRPr="0002056A">
        <w:rPr>
          <w:rFonts w:ascii="Georgia" w:hAnsi="Georgia"/>
          <w:lang w:val="en-GB"/>
        </w:rPr>
        <w:t>NAPs</w:t>
      </w:r>
      <w:r w:rsidR="00E723CD" w:rsidRPr="0002056A">
        <w:rPr>
          <w:rFonts w:ascii="Georgia" w:hAnsi="Georgia"/>
          <w:lang w:val="en-GB"/>
        </w:rPr>
        <w:t xml:space="preserve"> and MRE reports </w:t>
      </w:r>
      <w:r w:rsidR="00973D3C" w:rsidRPr="0002056A">
        <w:rPr>
          <w:rFonts w:ascii="Georgia" w:hAnsi="Georgia"/>
          <w:lang w:val="en-GB"/>
        </w:rPr>
        <w:t>are</w:t>
      </w:r>
      <w:r w:rsidR="00E723CD" w:rsidRPr="0002056A">
        <w:rPr>
          <w:rFonts w:ascii="Georgia" w:hAnsi="Georgia"/>
          <w:lang w:val="en-GB"/>
        </w:rPr>
        <w:t xml:space="preserve"> analysed </w:t>
      </w:r>
      <w:r w:rsidR="007329A7" w:rsidRPr="0002056A">
        <w:rPr>
          <w:rFonts w:ascii="Georgia" w:hAnsi="Georgia"/>
          <w:lang w:val="en-GB"/>
        </w:rPr>
        <w:t xml:space="preserve">from each state </w:t>
      </w:r>
      <w:r w:rsidR="00E723CD" w:rsidRPr="0002056A">
        <w:rPr>
          <w:rFonts w:ascii="Georgia" w:hAnsi="Georgia"/>
          <w:lang w:val="en-GB"/>
        </w:rPr>
        <w:t xml:space="preserve">that are currently in force. </w:t>
      </w:r>
      <w:r w:rsidR="00E723CD" w:rsidRPr="0002056A">
        <w:rPr>
          <w:rFonts w:ascii="Georgia" w:hAnsi="Georgia" w:cs="Times New Roman"/>
          <w:lang w:val="en-GB"/>
        </w:rPr>
        <w:t>The comparative analys</w:t>
      </w:r>
      <w:r w:rsidR="002C4994">
        <w:rPr>
          <w:rFonts w:ascii="Georgia" w:hAnsi="Georgia" w:cs="Times New Roman"/>
          <w:lang w:val="en-GB"/>
        </w:rPr>
        <w:t>i</w:t>
      </w:r>
      <w:r w:rsidR="00E723CD" w:rsidRPr="0002056A">
        <w:rPr>
          <w:rFonts w:ascii="Georgia" w:hAnsi="Georgia" w:cs="Times New Roman"/>
          <w:lang w:val="en-GB"/>
        </w:rPr>
        <w:t xml:space="preserve">s of these </w:t>
      </w:r>
      <w:r w:rsidR="002C4994">
        <w:rPr>
          <w:rFonts w:ascii="Georgia" w:hAnsi="Georgia" w:cs="Times New Roman"/>
          <w:lang w:val="en-GB"/>
        </w:rPr>
        <w:t>was</w:t>
      </w:r>
      <w:r w:rsidR="00E723CD" w:rsidRPr="0002056A">
        <w:rPr>
          <w:rFonts w:ascii="Georgia" w:hAnsi="Georgia" w:cs="Times New Roman"/>
          <w:lang w:val="en-GB"/>
        </w:rPr>
        <w:t xml:space="preserve"> based on</w:t>
      </w:r>
      <w:r w:rsidR="003A656C" w:rsidRPr="0002056A">
        <w:rPr>
          <w:rFonts w:ascii="Georgia" w:hAnsi="Georgia" w:cs="Times New Roman"/>
          <w:b/>
          <w:lang w:val="en-GB"/>
        </w:rPr>
        <w:t xml:space="preserve"> </w:t>
      </w:r>
      <w:r w:rsidR="00E723CD" w:rsidRPr="0002056A">
        <w:rPr>
          <w:rFonts w:ascii="Georgia" w:hAnsi="Georgia" w:cs="Times New Roman"/>
          <w:bCs/>
          <w:lang w:val="en-GB"/>
        </w:rPr>
        <w:t xml:space="preserve">a predefined analytical aspect system, with </w:t>
      </w:r>
      <w:r w:rsidR="007329A7" w:rsidRPr="0002056A">
        <w:rPr>
          <w:rFonts w:ascii="Georgia" w:hAnsi="Georgia" w:cs="Times New Roman"/>
          <w:bCs/>
          <w:lang w:val="en-GB"/>
        </w:rPr>
        <w:t xml:space="preserve">7 </w:t>
      </w:r>
      <w:r w:rsidR="00E723CD" w:rsidRPr="0002056A">
        <w:rPr>
          <w:rFonts w:ascii="Georgia" w:hAnsi="Georgia" w:cs="Times New Roman"/>
          <w:bCs/>
          <w:lang w:val="en-GB"/>
        </w:rPr>
        <w:t xml:space="preserve">main factors and for each factor </w:t>
      </w:r>
      <w:r w:rsidR="00EC0696" w:rsidRPr="0002056A">
        <w:rPr>
          <w:rFonts w:ascii="Georgia" w:hAnsi="Georgia" w:cs="Times New Roman"/>
          <w:bCs/>
          <w:lang w:val="en-GB"/>
        </w:rPr>
        <w:t>3</w:t>
      </w:r>
      <w:r w:rsidR="007329A7" w:rsidRPr="0002056A">
        <w:rPr>
          <w:rFonts w:ascii="Georgia" w:hAnsi="Georgia" w:cs="Times New Roman"/>
          <w:bCs/>
          <w:lang w:val="en-GB"/>
        </w:rPr>
        <w:t>-8</w:t>
      </w:r>
      <w:r w:rsidR="00E723CD" w:rsidRPr="0002056A">
        <w:rPr>
          <w:rFonts w:ascii="Georgia" w:hAnsi="Georgia" w:cs="Times New Roman"/>
          <w:bCs/>
          <w:lang w:val="en-GB"/>
        </w:rPr>
        <w:t xml:space="preserve"> sub-factor</w:t>
      </w:r>
      <w:r w:rsidR="00973D3C" w:rsidRPr="0002056A">
        <w:rPr>
          <w:rFonts w:ascii="Georgia" w:hAnsi="Georgia" w:cs="Times New Roman"/>
          <w:bCs/>
          <w:lang w:val="en-GB"/>
        </w:rPr>
        <w:t>s</w:t>
      </w:r>
      <w:r w:rsidR="00E723CD" w:rsidRPr="0002056A">
        <w:rPr>
          <w:rFonts w:ascii="Georgia" w:hAnsi="Georgia" w:cs="Times New Roman"/>
          <w:bCs/>
          <w:lang w:val="en-GB"/>
        </w:rPr>
        <w:t>.</w:t>
      </w:r>
      <w:r w:rsidR="00E723CD" w:rsidRPr="0002056A">
        <w:rPr>
          <w:rFonts w:ascii="Georgia" w:hAnsi="Georgia" w:cs="Times New Roman"/>
          <w:b/>
          <w:lang w:val="en-GB"/>
        </w:rPr>
        <w:t xml:space="preserve"> </w:t>
      </w:r>
      <w:r w:rsidR="00E723CD" w:rsidRPr="0002056A">
        <w:rPr>
          <w:rFonts w:ascii="Georgia" w:hAnsi="Georgia" w:cs="Times New Roman"/>
          <w:lang w:val="en-GB"/>
        </w:rPr>
        <w:t>Attributed to each sub-factor</w:t>
      </w:r>
      <w:r>
        <w:rPr>
          <w:rFonts w:ascii="Georgia" w:hAnsi="Georgia" w:cs="Times New Roman"/>
          <w:lang w:val="en-GB"/>
        </w:rPr>
        <w:t>,</w:t>
      </w:r>
      <w:r w:rsidR="00E723CD" w:rsidRPr="0002056A">
        <w:rPr>
          <w:rFonts w:ascii="Georgia" w:hAnsi="Georgia" w:cs="Times New Roman"/>
          <w:lang w:val="en-GB"/>
        </w:rPr>
        <w:t xml:space="preserve"> the proper principles/rules of classification </w:t>
      </w:r>
      <w:r w:rsidR="00EC0696" w:rsidRPr="0002056A">
        <w:rPr>
          <w:rFonts w:ascii="Georgia" w:hAnsi="Georgia" w:cs="Times New Roman"/>
          <w:lang w:val="en-GB"/>
        </w:rPr>
        <w:t>had</w:t>
      </w:r>
      <w:r w:rsidR="00E723CD" w:rsidRPr="0002056A">
        <w:rPr>
          <w:rFonts w:ascii="Georgia" w:hAnsi="Georgia" w:cs="Times New Roman"/>
          <w:lang w:val="en-GB"/>
        </w:rPr>
        <w:t xml:space="preserve"> also </w:t>
      </w:r>
      <w:r w:rsidR="00EC0696" w:rsidRPr="0002056A">
        <w:rPr>
          <w:rFonts w:ascii="Georgia" w:hAnsi="Georgia" w:cs="Times New Roman"/>
          <w:lang w:val="en-GB"/>
        </w:rPr>
        <w:t xml:space="preserve">been </w:t>
      </w:r>
      <w:r w:rsidR="00E723CD" w:rsidRPr="0002056A">
        <w:rPr>
          <w:rFonts w:ascii="Georgia" w:hAnsi="Georgia" w:cs="Times New Roman"/>
          <w:lang w:val="en-GB"/>
        </w:rPr>
        <w:t xml:space="preserve">defined </w:t>
      </w:r>
      <w:r w:rsidR="006973D2" w:rsidRPr="0002056A">
        <w:rPr>
          <w:rFonts w:ascii="Georgia" w:hAnsi="Georgia" w:cs="Times New Roman"/>
          <w:lang w:val="en-GB"/>
        </w:rPr>
        <w:t xml:space="preserve">in advance </w:t>
      </w:r>
      <w:r w:rsidR="00E723CD" w:rsidRPr="0002056A">
        <w:rPr>
          <w:rFonts w:ascii="Georgia" w:hAnsi="Georgia" w:cs="Times New Roman"/>
          <w:lang w:val="en-GB"/>
        </w:rPr>
        <w:t xml:space="preserve">to make sure that subjectivity is avoided as much as possible. </w:t>
      </w:r>
      <w:r w:rsidR="00C245AE" w:rsidRPr="0002056A">
        <w:rPr>
          <w:rFonts w:ascii="Georgia" w:hAnsi="Georgia" w:cs="Times New Roman"/>
          <w:lang w:val="en-GB"/>
        </w:rPr>
        <w:t>I</w:t>
      </w:r>
      <w:r w:rsidR="00E723CD" w:rsidRPr="0002056A">
        <w:rPr>
          <w:rFonts w:ascii="Georgia" w:hAnsi="Georgia" w:cs="Times New Roman"/>
          <w:lang w:val="en-GB"/>
        </w:rPr>
        <w:t xml:space="preserve">t must be declared that the comparisons </w:t>
      </w:r>
      <w:r>
        <w:rPr>
          <w:rFonts w:ascii="Georgia" w:hAnsi="Georgia" w:cs="Times New Roman"/>
          <w:lang w:val="en-GB"/>
        </w:rPr>
        <w:t xml:space="preserve">are </w:t>
      </w:r>
      <w:r w:rsidR="007329A7" w:rsidRPr="0002056A">
        <w:rPr>
          <w:rFonts w:ascii="Georgia" w:hAnsi="Georgia" w:cs="Times New Roman"/>
          <w:lang w:val="en-GB"/>
        </w:rPr>
        <w:t xml:space="preserve">intended to </w:t>
      </w:r>
      <w:r w:rsidR="00E723CD" w:rsidRPr="0002056A">
        <w:rPr>
          <w:rFonts w:ascii="Georgia" w:hAnsi="Georgia" w:cs="Times New Roman"/>
          <w:lang w:val="en-GB"/>
        </w:rPr>
        <w:t xml:space="preserve">take a critical lead, not just </w:t>
      </w:r>
      <w:r>
        <w:rPr>
          <w:rFonts w:ascii="Georgia" w:hAnsi="Georgia" w:cs="Times New Roman"/>
          <w:lang w:val="en-GB"/>
        </w:rPr>
        <w:t>a</w:t>
      </w:r>
      <w:r w:rsidRPr="0002056A">
        <w:rPr>
          <w:rFonts w:ascii="Georgia" w:hAnsi="Georgia" w:cs="Times New Roman"/>
          <w:lang w:val="en-GB"/>
        </w:rPr>
        <w:t xml:space="preserve"> </w:t>
      </w:r>
      <w:r w:rsidR="007329A7" w:rsidRPr="0002056A">
        <w:rPr>
          <w:rFonts w:ascii="Georgia" w:hAnsi="Georgia" w:cs="Times New Roman"/>
          <w:lang w:val="en-GB"/>
        </w:rPr>
        <w:t xml:space="preserve">pure </w:t>
      </w:r>
      <w:r w:rsidR="00E723CD" w:rsidRPr="0002056A">
        <w:rPr>
          <w:rFonts w:ascii="Georgia" w:hAnsi="Georgia" w:cs="Times New Roman"/>
          <w:lang w:val="en-GB"/>
        </w:rPr>
        <w:t>description of the national characteristics. In addition to narrative document and system</w:t>
      </w:r>
      <w:r w:rsidR="00C245AE" w:rsidRPr="0002056A">
        <w:rPr>
          <w:rFonts w:ascii="Georgia" w:hAnsi="Georgia" w:cs="Times New Roman"/>
          <w:lang w:val="en-GB"/>
        </w:rPr>
        <w:t xml:space="preserve"> </w:t>
      </w:r>
      <w:r w:rsidR="00E723CD" w:rsidRPr="0002056A">
        <w:rPr>
          <w:rFonts w:ascii="Georgia" w:hAnsi="Georgia" w:cs="Times New Roman"/>
          <w:lang w:val="en-GB"/>
        </w:rPr>
        <w:t xml:space="preserve">descriptions, </w:t>
      </w:r>
      <w:r w:rsidR="007329A7" w:rsidRPr="0002056A">
        <w:rPr>
          <w:rFonts w:ascii="Georgia" w:hAnsi="Georgia" w:cs="Times New Roman"/>
          <w:lang w:val="en-GB"/>
        </w:rPr>
        <w:t xml:space="preserve">the </w:t>
      </w:r>
      <w:r w:rsidR="00E723CD" w:rsidRPr="0002056A">
        <w:rPr>
          <w:rFonts w:ascii="Georgia" w:hAnsi="Georgia" w:cs="Times New Roman"/>
          <w:lang w:val="en-GB"/>
        </w:rPr>
        <w:t xml:space="preserve">critical </w:t>
      </w:r>
      <w:r w:rsidR="006973D2" w:rsidRPr="0002056A">
        <w:rPr>
          <w:rFonts w:ascii="Georgia" w:hAnsi="Georgia" w:cs="Times New Roman"/>
          <w:lang w:val="en-GB"/>
        </w:rPr>
        <w:t>approach</w:t>
      </w:r>
      <w:r w:rsidR="00E723CD" w:rsidRPr="0002056A">
        <w:rPr>
          <w:rFonts w:ascii="Georgia" w:hAnsi="Georgia" w:cs="Times New Roman"/>
          <w:lang w:val="en-GB"/>
        </w:rPr>
        <w:t xml:space="preserve"> </w:t>
      </w:r>
      <w:r w:rsidR="007329A7" w:rsidRPr="0002056A">
        <w:rPr>
          <w:rFonts w:ascii="Georgia" w:hAnsi="Georgia" w:cs="Times New Roman"/>
          <w:lang w:val="en-GB"/>
        </w:rPr>
        <w:t>was</w:t>
      </w:r>
      <w:r w:rsidR="00E723CD" w:rsidRPr="0002056A">
        <w:rPr>
          <w:rFonts w:ascii="Georgia" w:hAnsi="Georgia" w:cs="Times New Roman"/>
          <w:lang w:val="en-GB"/>
        </w:rPr>
        <w:t xml:space="preserve"> essential – the explicit system of analytical aspects serves this.</w:t>
      </w:r>
      <w:r w:rsidR="00DC75A9" w:rsidRPr="0002056A">
        <w:rPr>
          <w:rFonts w:ascii="Georgia" w:hAnsi="Georgia" w:cs="Times New Roman"/>
          <w:lang w:val="en-GB"/>
        </w:rPr>
        <w:t xml:space="preserve"> Considering that adaptation is a </w:t>
      </w:r>
      <w:r>
        <w:rPr>
          <w:rFonts w:ascii="Georgia" w:hAnsi="Georgia" w:cs="Times New Roman"/>
          <w:lang w:val="en-GB"/>
        </w:rPr>
        <w:t>relatively</w:t>
      </w:r>
      <w:r w:rsidRPr="0002056A">
        <w:rPr>
          <w:rFonts w:ascii="Georgia" w:hAnsi="Georgia" w:cs="Times New Roman"/>
          <w:lang w:val="en-GB"/>
        </w:rPr>
        <w:t xml:space="preserve"> </w:t>
      </w:r>
      <w:r w:rsidR="00DC75A9" w:rsidRPr="0002056A">
        <w:rPr>
          <w:rFonts w:ascii="Georgia" w:hAnsi="Georgia" w:cs="Times New Roman"/>
          <w:lang w:val="en-GB"/>
        </w:rPr>
        <w:t>new field (the community level strategic frameworks ha</w:t>
      </w:r>
      <w:r w:rsidR="007A2CA3" w:rsidRPr="0002056A">
        <w:rPr>
          <w:rFonts w:ascii="Georgia" w:hAnsi="Georgia" w:cs="Times New Roman"/>
          <w:lang w:val="en-GB"/>
        </w:rPr>
        <w:t>ve</w:t>
      </w:r>
      <w:r w:rsidR="00DC75A9" w:rsidRPr="0002056A">
        <w:rPr>
          <w:rFonts w:ascii="Georgia" w:hAnsi="Georgia" w:cs="Times New Roman"/>
          <w:lang w:val="en-GB"/>
        </w:rPr>
        <w:t xml:space="preserve"> </w:t>
      </w:r>
      <w:r w:rsidR="002C4994" w:rsidRPr="0002056A">
        <w:rPr>
          <w:rFonts w:ascii="Georgia" w:hAnsi="Georgia" w:cs="Times New Roman"/>
          <w:lang w:val="en-GB"/>
        </w:rPr>
        <w:t xml:space="preserve">recently </w:t>
      </w:r>
      <w:r w:rsidR="00DC75A9" w:rsidRPr="0002056A">
        <w:rPr>
          <w:rFonts w:ascii="Georgia" w:hAnsi="Georgia" w:cs="Times New Roman"/>
          <w:lang w:val="en-GB"/>
        </w:rPr>
        <w:t xml:space="preserve">been </w:t>
      </w:r>
      <w:r w:rsidR="0008606F" w:rsidRPr="0002056A">
        <w:rPr>
          <w:rFonts w:ascii="Georgia" w:hAnsi="Georgia" w:cs="Times New Roman"/>
          <w:lang w:val="en-GB"/>
        </w:rPr>
        <w:t>established,</w:t>
      </w:r>
      <w:r w:rsidR="00DC75A9" w:rsidRPr="0002056A">
        <w:rPr>
          <w:rFonts w:ascii="Georgia" w:hAnsi="Georgia" w:cs="Times New Roman"/>
          <w:lang w:val="en-GB"/>
        </w:rPr>
        <w:t xml:space="preserve"> and the </w:t>
      </w:r>
      <w:r w:rsidR="002C4994" w:rsidRPr="0002056A">
        <w:rPr>
          <w:rFonts w:ascii="Georgia" w:hAnsi="Georgia" w:cs="Times New Roman"/>
          <w:lang w:val="en-GB"/>
        </w:rPr>
        <w:t xml:space="preserve">regular </w:t>
      </w:r>
      <w:r w:rsidR="00DC75A9" w:rsidRPr="0002056A">
        <w:rPr>
          <w:rFonts w:ascii="Georgia" w:hAnsi="Georgia" w:cs="Times New Roman"/>
          <w:lang w:val="en-GB"/>
        </w:rPr>
        <w:t>national/regional/local planning cycles ha</w:t>
      </w:r>
      <w:r w:rsidR="007A2CA3" w:rsidRPr="0002056A">
        <w:rPr>
          <w:rFonts w:ascii="Georgia" w:hAnsi="Georgia" w:cs="Times New Roman"/>
          <w:lang w:val="en-GB"/>
        </w:rPr>
        <w:t>ve</w:t>
      </w:r>
      <w:r w:rsidR="00DC75A9" w:rsidRPr="0002056A">
        <w:rPr>
          <w:rFonts w:ascii="Georgia" w:hAnsi="Georgia" w:cs="Times New Roman"/>
          <w:lang w:val="en-GB"/>
        </w:rPr>
        <w:t xml:space="preserve"> begun only since the early 2010s in Europe) the research concentrates on the period of the last 1-1,5 decades, comparatively analysing </w:t>
      </w:r>
      <w:r w:rsidR="00C1729F">
        <w:rPr>
          <w:rFonts w:ascii="Georgia" w:hAnsi="Georgia" w:cs="Times New Roman"/>
          <w:lang w:val="en-GB"/>
        </w:rPr>
        <w:t xml:space="preserve">mostly </w:t>
      </w:r>
      <w:r w:rsidR="00DC75A9" w:rsidRPr="0002056A">
        <w:rPr>
          <w:rFonts w:ascii="Georgia" w:hAnsi="Georgia" w:cs="Times New Roman"/>
          <w:lang w:val="en-GB"/>
        </w:rPr>
        <w:t xml:space="preserve">results of the first MRE cycle. </w:t>
      </w:r>
      <w:r w:rsidR="00F8718C" w:rsidRPr="0002056A">
        <w:rPr>
          <w:rFonts w:ascii="Georgia" w:hAnsi="Georgia" w:cs="Times New Roman"/>
          <w:b/>
          <w:bCs/>
          <w:lang w:val="en-GB"/>
        </w:rPr>
        <w:t>Based on</w:t>
      </w:r>
      <w:r w:rsidR="00F8718C" w:rsidRPr="0002056A">
        <w:rPr>
          <w:rFonts w:ascii="Georgia" w:hAnsi="Georgia" w:cs="Times New Roman"/>
          <w:lang w:val="en-GB"/>
        </w:rPr>
        <w:t xml:space="preserve"> the results of the </w:t>
      </w:r>
      <w:r w:rsidR="00F8718C" w:rsidRPr="0002056A">
        <w:rPr>
          <w:rFonts w:ascii="Georgia" w:hAnsi="Georgia" w:cs="Times New Roman"/>
          <w:b/>
          <w:bCs/>
          <w:lang w:val="en-GB"/>
        </w:rPr>
        <w:t>comparative analysis, a composite indicator</w:t>
      </w:r>
      <w:r w:rsidR="00F8718C" w:rsidRPr="0002056A">
        <w:rPr>
          <w:rFonts w:ascii="Georgia" w:hAnsi="Georgia" w:cs="Times New Roman"/>
          <w:lang w:val="en-GB"/>
        </w:rPr>
        <w:t xml:space="preserve"> was elaborated to measure </w:t>
      </w:r>
      <w:r>
        <w:rPr>
          <w:rFonts w:ascii="Georgia" w:hAnsi="Georgia" w:cs="Times New Roman"/>
          <w:lang w:val="en-GB"/>
        </w:rPr>
        <w:t xml:space="preserve">the </w:t>
      </w:r>
      <w:r w:rsidR="00F8718C" w:rsidRPr="0002056A">
        <w:rPr>
          <w:rFonts w:ascii="Georgia" w:hAnsi="Georgia" w:cs="Times New Roman"/>
          <w:lang w:val="en-GB"/>
        </w:rPr>
        <w:t>spatial sensitivity of climate policy activities of the analysed countries.</w:t>
      </w:r>
    </w:p>
    <w:p w14:paraId="15BC43C1" w14:textId="49A8BAA4" w:rsidR="00E723CD" w:rsidRPr="0002056A" w:rsidRDefault="00E723CD" w:rsidP="00CD5BF3">
      <w:pPr>
        <w:spacing w:before="120" w:after="120"/>
        <w:jc w:val="both"/>
        <w:rPr>
          <w:rFonts w:ascii="Georgia" w:hAnsi="Georgia" w:cs="Times New Roman"/>
          <w:lang w:val="en-GB"/>
        </w:rPr>
      </w:pPr>
      <w:r w:rsidRPr="0002056A">
        <w:rPr>
          <w:rFonts w:ascii="Georgia" w:hAnsi="Georgia" w:cs="Times New Roman"/>
          <w:b/>
          <w:bCs/>
          <w:lang w:val="en-GB"/>
        </w:rPr>
        <w:t xml:space="preserve">The logic behind </w:t>
      </w:r>
      <w:r w:rsidR="003A656C" w:rsidRPr="0002056A">
        <w:rPr>
          <w:rFonts w:ascii="Georgia" w:hAnsi="Georgia" w:cs="Times New Roman"/>
          <w:b/>
          <w:bCs/>
          <w:lang w:val="en-GB"/>
        </w:rPr>
        <w:t xml:space="preserve">the </w:t>
      </w:r>
      <w:r w:rsidRPr="0002056A">
        <w:rPr>
          <w:rFonts w:ascii="Georgia" w:hAnsi="Georgia" w:cs="Times New Roman"/>
          <w:b/>
          <w:bCs/>
          <w:lang w:val="en-GB"/>
        </w:rPr>
        <w:t>selecti</w:t>
      </w:r>
      <w:r w:rsidR="003A656C" w:rsidRPr="0002056A">
        <w:rPr>
          <w:rFonts w:ascii="Georgia" w:hAnsi="Georgia" w:cs="Times New Roman"/>
          <w:b/>
          <w:bCs/>
          <w:lang w:val="en-GB"/>
        </w:rPr>
        <w:t>o</w:t>
      </w:r>
      <w:r w:rsidRPr="0002056A">
        <w:rPr>
          <w:rFonts w:ascii="Georgia" w:hAnsi="Georgia" w:cs="Times New Roman"/>
          <w:b/>
          <w:bCs/>
          <w:lang w:val="en-GB"/>
        </w:rPr>
        <w:t>n</w:t>
      </w:r>
      <w:r w:rsidR="003A656C" w:rsidRPr="0002056A">
        <w:rPr>
          <w:rFonts w:ascii="Georgia" w:hAnsi="Georgia" w:cs="Times New Roman"/>
          <w:b/>
          <w:bCs/>
          <w:lang w:val="en-GB"/>
        </w:rPr>
        <w:t xml:space="preserve"> of</w:t>
      </w:r>
      <w:r w:rsidRPr="0002056A">
        <w:rPr>
          <w:rFonts w:ascii="Georgia" w:hAnsi="Georgia" w:cs="Times New Roman"/>
          <w:b/>
          <w:bCs/>
          <w:lang w:val="en-GB"/>
        </w:rPr>
        <w:t xml:space="preserve"> the analysed countries </w:t>
      </w:r>
      <w:r w:rsidR="0026109F" w:rsidRPr="0002056A">
        <w:rPr>
          <w:rFonts w:ascii="Georgia" w:hAnsi="Georgia" w:cs="Times New Roman"/>
          <w:lang w:val="en-GB"/>
        </w:rPr>
        <w:t xml:space="preserve">is </w:t>
      </w:r>
      <w:r w:rsidR="009F5A71" w:rsidRPr="0002056A">
        <w:rPr>
          <w:rFonts w:ascii="Georgia" w:hAnsi="Georgia" w:cs="Times New Roman"/>
          <w:lang w:val="en-GB"/>
        </w:rPr>
        <w:t>describe</w:t>
      </w:r>
      <w:r w:rsidRPr="0002056A">
        <w:rPr>
          <w:rFonts w:ascii="Georgia" w:hAnsi="Georgia" w:cs="Times New Roman"/>
          <w:lang w:val="en-GB"/>
        </w:rPr>
        <w:t xml:space="preserve">d in the </w:t>
      </w:r>
      <w:r w:rsidR="00A31824">
        <w:rPr>
          <w:rFonts w:ascii="Georgia" w:hAnsi="Georgia" w:cs="Times New Roman"/>
          <w:lang w:val="en-GB"/>
        </w:rPr>
        <w:t>subchapter on geographical context</w:t>
      </w:r>
      <w:r w:rsidRPr="0002056A">
        <w:rPr>
          <w:rFonts w:ascii="Georgia" w:hAnsi="Georgia" w:cs="Times New Roman"/>
          <w:lang w:val="en-GB"/>
        </w:rPr>
        <w:t>. According to that</w:t>
      </w:r>
      <w:r w:rsidR="00A31824">
        <w:rPr>
          <w:rFonts w:ascii="Georgia" w:hAnsi="Georgia" w:cs="Times New Roman"/>
          <w:lang w:val="en-GB"/>
        </w:rPr>
        <w:t>,</w:t>
      </w:r>
      <w:r w:rsidRPr="0002056A">
        <w:rPr>
          <w:rFonts w:ascii="Georgia" w:hAnsi="Georgia" w:cs="Times New Roman"/>
          <w:lang w:val="en-GB"/>
        </w:rPr>
        <w:t xml:space="preserve"> </w:t>
      </w:r>
      <w:r w:rsidRPr="0002056A">
        <w:rPr>
          <w:rFonts w:ascii="Georgia" w:hAnsi="Georgia"/>
          <w:lang w:val="en-GB"/>
        </w:rPr>
        <w:t>I examine</w:t>
      </w:r>
      <w:r w:rsidR="0026109F" w:rsidRPr="0002056A">
        <w:rPr>
          <w:rFonts w:ascii="Georgia" w:hAnsi="Georgia"/>
          <w:lang w:val="en-GB"/>
        </w:rPr>
        <w:t>d</w:t>
      </w:r>
      <w:r w:rsidRPr="0002056A">
        <w:rPr>
          <w:rFonts w:ascii="Georgia" w:hAnsi="Georgia"/>
          <w:lang w:val="en-GB"/>
        </w:rPr>
        <w:t xml:space="preserve"> all EU countries </w:t>
      </w:r>
      <w:r w:rsidR="00A31824">
        <w:rPr>
          <w:rFonts w:ascii="Georgia" w:hAnsi="Georgia"/>
          <w:lang w:val="en-GB"/>
        </w:rPr>
        <w:t xml:space="preserve">and the EEA states, completing the list with Balkan states </w:t>
      </w:r>
      <w:r w:rsidRPr="0002056A">
        <w:rPr>
          <w:rFonts w:ascii="Georgia" w:hAnsi="Georgia"/>
          <w:lang w:val="en-GB"/>
        </w:rPr>
        <w:t>that strongly strive for EU accession. Out of the dual group of the former socialist satellite bloc and the Soviet successor states I focus rather on the former group and leave the second out of the analysis (with the exception</w:t>
      </w:r>
      <w:r w:rsidR="00C00EE6" w:rsidRPr="0002056A">
        <w:rPr>
          <w:rFonts w:ascii="Georgia" w:hAnsi="Georgia"/>
          <w:lang w:val="en-GB"/>
        </w:rPr>
        <w:t xml:space="preserve"> </w:t>
      </w:r>
      <w:r w:rsidRPr="0002056A">
        <w:rPr>
          <w:rFonts w:ascii="Georgia" w:hAnsi="Georgia"/>
          <w:lang w:val="en-GB"/>
        </w:rPr>
        <w:t xml:space="preserve">of the culturally, historically different Baltic states) due to the </w:t>
      </w:r>
      <w:r w:rsidR="00C00EE6" w:rsidRPr="0002056A">
        <w:rPr>
          <w:rFonts w:ascii="Georgia" w:hAnsi="Georgia"/>
          <w:lang w:val="en-GB"/>
        </w:rPr>
        <w:t>scarce availability of documents to be analysed</w:t>
      </w:r>
      <w:r w:rsidR="00C1729F">
        <w:rPr>
          <w:rFonts w:ascii="Georgia" w:hAnsi="Georgia"/>
          <w:lang w:val="en-GB"/>
        </w:rPr>
        <w:t xml:space="preserve">; </w:t>
      </w:r>
      <w:r w:rsidR="00C00EE6" w:rsidRPr="0002056A">
        <w:rPr>
          <w:rFonts w:ascii="Georgia" w:hAnsi="Georgia"/>
          <w:lang w:val="en-GB"/>
        </w:rPr>
        <w:t>the</w:t>
      </w:r>
      <w:r w:rsidRPr="0002056A">
        <w:rPr>
          <w:rFonts w:ascii="Georgia" w:hAnsi="Georgia"/>
          <w:lang w:val="en-GB"/>
        </w:rPr>
        <w:t xml:space="preserve"> lower emphasis on climate policy in these countries</w:t>
      </w:r>
      <w:r w:rsidR="00C1729F">
        <w:rPr>
          <w:rFonts w:ascii="Georgia" w:hAnsi="Georgia"/>
          <w:lang w:val="en-GB"/>
        </w:rPr>
        <w:t>;</w:t>
      </w:r>
      <w:r w:rsidRPr="0002056A">
        <w:rPr>
          <w:rFonts w:ascii="Georgia" w:hAnsi="Georgia"/>
          <w:lang w:val="en-GB"/>
        </w:rPr>
        <w:t xml:space="preserve"> and the even more </w:t>
      </w:r>
      <w:r w:rsidR="006973D2" w:rsidRPr="0002056A">
        <w:rPr>
          <w:rFonts w:ascii="Georgia" w:hAnsi="Georgia"/>
          <w:lang w:val="en-GB"/>
        </w:rPr>
        <w:t>“</w:t>
      </w:r>
      <w:r w:rsidRPr="0002056A">
        <w:rPr>
          <w:rFonts w:ascii="Georgia" w:hAnsi="Georgia"/>
          <w:lang w:val="en-GB"/>
        </w:rPr>
        <w:t>low-priority development policy field</w:t>
      </w:r>
      <w:r w:rsidR="006973D2" w:rsidRPr="0002056A">
        <w:rPr>
          <w:rFonts w:ascii="Georgia" w:hAnsi="Georgia"/>
          <w:lang w:val="en-GB"/>
        </w:rPr>
        <w:t>”</w:t>
      </w:r>
      <w:r w:rsidRPr="0002056A">
        <w:rPr>
          <w:rFonts w:ascii="Georgia" w:hAnsi="Georgia"/>
          <w:lang w:val="en-GB"/>
        </w:rPr>
        <w:t xml:space="preserve"> status of adaptation. </w:t>
      </w:r>
    </w:p>
    <w:p w14:paraId="34237982" w14:textId="0A38AD23" w:rsidR="00E723CD" w:rsidRPr="0002056A" w:rsidRDefault="00D9717A" w:rsidP="00CD5BF3">
      <w:pPr>
        <w:spacing w:before="120" w:after="120"/>
        <w:jc w:val="both"/>
        <w:rPr>
          <w:rFonts w:eastAsiaTheme="minorEastAsia" w:cs="Calibri"/>
          <w:color w:val="000000" w:themeColor="text1"/>
          <w:kern w:val="24"/>
          <w:lang w:val="en-GB"/>
        </w:rPr>
      </w:pPr>
      <w:r w:rsidRPr="0002056A">
        <w:rPr>
          <w:rFonts w:ascii="Georgia" w:hAnsi="Georgia" w:cs="Times New Roman"/>
          <w:lang w:val="en-GB"/>
        </w:rPr>
        <w:t>To complete the comparati</w:t>
      </w:r>
      <w:r w:rsidR="002F3280" w:rsidRPr="0002056A">
        <w:rPr>
          <w:rFonts w:ascii="Georgia" w:hAnsi="Georgia" w:cs="Times New Roman"/>
          <w:lang w:val="en-GB"/>
        </w:rPr>
        <w:t>v</w:t>
      </w:r>
      <w:r w:rsidRPr="0002056A">
        <w:rPr>
          <w:rFonts w:ascii="Georgia" w:hAnsi="Georgia" w:cs="Times New Roman"/>
          <w:lang w:val="en-GB"/>
        </w:rPr>
        <w:t xml:space="preserve">e document </w:t>
      </w:r>
      <w:r w:rsidR="00A31824">
        <w:rPr>
          <w:rFonts w:ascii="Georgia" w:hAnsi="Georgia" w:cs="Times New Roman"/>
          <w:lang w:val="en-GB"/>
        </w:rPr>
        <w:t>analysis’s outcomes, questionnaire-based e-mail interviews have also been conducted,</w:t>
      </w:r>
      <w:r w:rsidR="009F5A71" w:rsidRPr="0002056A">
        <w:rPr>
          <w:rFonts w:ascii="Georgia" w:hAnsi="Georgia" w:cs="Times New Roman"/>
          <w:bCs/>
          <w:lang w:val="en-GB"/>
        </w:rPr>
        <w:t xml:space="preserve"> </w:t>
      </w:r>
      <w:r w:rsidR="00A20043" w:rsidRPr="0002056A">
        <w:rPr>
          <w:rFonts w:ascii="Georgia" w:hAnsi="Georgia" w:cs="Times New Roman"/>
          <w:bCs/>
          <w:lang w:val="en-GB"/>
        </w:rPr>
        <w:t>targeting</w:t>
      </w:r>
      <w:r w:rsidR="009F5A71" w:rsidRPr="0002056A">
        <w:rPr>
          <w:rFonts w:ascii="Georgia" w:hAnsi="Georgia" w:cs="Times New Roman"/>
          <w:bCs/>
          <w:lang w:val="en-GB"/>
        </w:rPr>
        <w:t xml:space="preserve"> </w:t>
      </w:r>
      <w:r w:rsidR="00A20043" w:rsidRPr="0002056A">
        <w:rPr>
          <w:rFonts w:ascii="Georgia" w:hAnsi="Georgia" w:cs="Times New Roman"/>
          <w:bCs/>
          <w:lang w:val="en-GB"/>
        </w:rPr>
        <w:t xml:space="preserve">all </w:t>
      </w:r>
      <w:r w:rsidR="009F5A71" w:rsidRPr="0002056A">
        <w:rPr>
          <w:rFonts w:ascii="Georgia" w:hAnsi="Georgia" w:cs="Times New Roman"/>
          <w:bCs/>
          <w:lang w:val="en-GB"/>
        </w:rPr>
        <w:t>countries</w:t>
      </w:r>
      <w:r w:rsidR="00204E08" w:rsidRPr="0002056A">
        <w:rPr>
          <w:rFonts w:ascii="Georgia" w:hAnsi="Georgia" w:cs="Times New Roman"/>
          <w:bCs/>
          <w:lang w:val="en-GB"/>
        </w:rPr>
        <w:t>.</w:t>
      </w:r>
      <w:r w:rsidR="00204E08" w:rsidRPr="0002056A">
        <w:rPr>
          <w:rFonts w:ascii="Georgia" w:hAnsi="Georgia" w:cs="Times New Roman"/>
          <w:lang w:val="en-GB"/>
        </w:rPr>
        <w:t xml:space="preserve"> Subjects (interviewees) w</w:t>
      </w:r>
      <w:r w:rsidR="008763EF" w:rsidRPr="0002056A">
        <w:rPr>
          <w:rFonts w:ascii="Georgia" w:hAnsi="Georgia" w:cs="Times New Roman"/>
          <w:lang w:val="en-GB"/>
        </w:rPr>
        <w:t>ere</w:t>
      </w:r>
      <w:r w:rsidR="00204E08" w:rsidRPr="0002056A">
        <w:rPr>
          <w:rFonts w:ascii="Georgia" w:hAnsi="Georgia" w:cs="Times New Roman"/>
          <w:lang w:val="en-GB"/>
        </w:rPr>
        <w:t xml:space="preserve"> the </w:t>
      </w:r>
      <w:r w:rsidR="00204E08" w:rsidRPr="0002056A">
        <w:rPr>
          <w:rFonts w:ascii="Georgia" w:hAnsi="Georgia" w:cs="Times New Roman"/>
          <w:lang w:val="en-GB"/>
        </w:rPr>
        <w:lastRenderedPageBreak/>
        <w:t xml:space="preserve">related stakeholders </w:t>
      </w:r>
      <w:r w:rsidR="00E53D95" w:rsidRPr="0002056A">
        <w:rPr>
          <w:rFonts w:ascii="Georgia" w:hAnsi="Georgia" w:cs="Times New Roman"/>
          <w:lang w:val="en-GB"/>
        </w:rPr>
        <w:t>of</w:t>
      </w:r>
      <w:r w:rsidR="00204E08" w:rsidRPr="0002056A">
        <w:rPr>
          <w:rFonts w:ascii="Georgia" w:hAnsi="Georgia" w:cs="Times New Roman"/>
          <w:lang w:val="en-GB"/>
        </w:rPr>
        <w:t xml:space="preserve"> </w:t>
      </w:r>
      <w:r w:rsidR="00E53D95" w:rsidRPr="0002056A">
        <w:rPr>
          <w:rFonts w:ascii="Georgia" w:hAnsi="Georgia" w:cs="Times New Roman"/>
          <w:lang w:val="en-GB"/>
        </w:rPr>
        <w:t xml:space="preserve">national </w:t>
      </w:r>
      <w:r w:rsidR="00A31824">
        <w:rPr>
          <w:rFonts w:ascii="Georgia" w:hAnsi="Georgia" w:cs="Times New Roman"/>
          <w:lang w:val="en-GB"/>
        </w:rPr>
        <w:t>policymaking</w:t>
      </w:r>
      <w:r w:rsidR="00E53D95" w:rsidRPr="0002056A">
        <w:rPr>
          <w:rFonts w:ascii="Georgia" w:hAnsi="Georgia" w:cs="Times New Roman"/>
          <w:lang w:val="en-GB"/>
        </w:rPr>
        <w:t xml:space="preserve"> and planning. The </w:t>
      </w:r>
      <w:r w:rsidR="008763EF" w:rsidRPr="0002056A">
        <w:rPr>
          <w:rFonts w:ascii="Georgia" w:hAnsi="Georgia" w:cs="Times New Roman"/>
          <w:lang w:val="en-GB"/>
        </w:rPr>
        <w:t>interviews, together with the comparative analysis</w:t>
      </w:r>
      <w:r w:rsidR="002F3280" w:rsidRPr="0002056A">
        <w:rPr>
          <w:rFonts w:ascii="Georgia" w:hAnsi="Georgia" w:cs="Times New Roman"/>
          <w:lang w:val="en-GB"/>
        </w:rPr>
        <w:t>,</w:t>
      </w:r>
      <w:r w:rsidR="009E0DEB" w:rsidRPr="0002056A">
        <w:rPr>
          <w:rFonts w:ascii="Georgia" w:hAnsi="Georgia" w:cs="Times New Roman"/>
          <w:lang w:val="en-GB"/>
        </w:rPr>
        <w:t xml:space="preserve"> </w:t>
      </w:r>
      <w:r w:rsidR="00A31824">
        <w:rPr>
          <w:rFonts w:ascii="Georgia" w:hAnsi="Georgia" w:cs="Times New Roman"/>
          <w:lang w:val="en-GB"/>
        </w:rPr>
        <w:t>enabled the collection of detailed information on the spatial content of the analysed activities and on the attitudes of planners/decision-makers toward</w:t>
      </w:r>
      <w:r w:rsidR="00E723CD" w:rsidRPr="0002056A">
        <w:rPr>
          <w:rFonts w:ascii="Georgia" w:hAnsi="Georgia" w:cs="Times New Roman"/>
          <w:lang w:val="en-GB"/>
        </w:rPr>
        <w:t xml:space="preserve"> spatial issues. </w:t>
      </w:r>
      <w:r w:rsidR="00C3092F" w:rsidRPr="0002056A">
        <w:rPr>
          <w:rFonts w:ascii="Georgia" w:hAnsi="Georgia" w:cs="Times New Roman"/>
          <w:b/>
          <w:bCs/>
          <w:lang w:val="en-GB"/>
        </w:rPr>
        <w:t xml:space="preserve">The selection of the interviewees </w:t>
      </w:r>
      <w:r w:rsidR="00C3092F" w:rsidRPr="0002056A">
        <w:rPr>
          <w:rFonts w:ascii="Georgia" w:hAnsi="Georgia" w:cs="Times New Roman"/>
          <w:bCs/>
          <w:lang w:val="en-GB"/>
        </w:rPr>
        <w:t>followed an institutional logic, focusing on persons working at the national level of climate adaptation administration (in re</w:t>
      </w:r>
      <w:r w:rsidR="00496A4B">
        <w:rPr>
          <w:rFonts w:ascii="Georgia" w:hAnsi="Georgia" w:cs="Times New Roman"/>
          <w:bCs/>
          <w:lang w:val="en-GB"/>
        </w:rPr>
        <w:t>levant</w:t>
      </w:r>
      <w:r w:rsidR="00C3092F" w:rsidRPr="0002056A">
        <w:rPr>
          <w:rFonts w:ascii="Georgia" w:hAnsi="Georgia" w:cs="Times New Roman"/>
          <w:bCs/>
          <w:lang w:val="en-GB"/>
        </w:rPr>
        <w:t xml:space="preserve"> ministries, governmental agencies, </w:t>
      </w:r>
      <w:r w:rsidR="00A31824">
        <w:rPr>
          <w:rFonts w:ascii="Georgia" w:hAnsi="Georgia" w:cs="Times New Roman"/>
          <w:bCs/>
          <w:lang w:val="en-GB"/>
        </w:rPr>
        <w:t xml:space="preserve">and </w:t>
      </w:r>
      <w:r w:rsidR="00C3092F" w:rsidRPr="0002056A">
        <w:rPr>
          <w:rFonts w:ascii="Georgia" w:hAnsi="Georgia" w:cs="Times New Roman"/>
          <w:bCs/>
          <w:lang w:val="en-GB"/>
        </w:rPr>
        <w:t>background institutions).</w:t>
      </w:r>
    </w:p>
    <w:p w14:paraId="4FF944F8" w14:textId="15B23E15" w:rsidR="00E723CD" w:rsidRPr="0002056A" w:rsidRDefault="00F41756" w:rsidP="00CD5BF3">
      <w:pPr>
        <w:spacing w:before="120" w:after="120"/>
        <w:jc w:val="both"/>
        <w:rPr>
          <w:rFonts w:ascii="Georgia" w:hAnsi="Georgia" w:cs="Times New Roman"/>
          <w:b/>
          <w:bCs/>
          <w:lang w:val="en-GB"/>
        </w:rPr>
      </w:pPr>
      <w:r w:rsidRPr="0002056A">
        <w:rPr>
          <w:rFonts w:ascii="Georgia" w:hAnsi="Georgia" w:cs="Times New Roman"/>
          <w:lang w:val="en-GB"/>
        </w:rPr>
        <w:t>In Annex</w:t>
      </w:r>
      <w:r w:rsidR="00D337C4">
        <w:rPr>
          <w:rFonts w:ascii="Georgia" w:hAnsi="Georgia" w:cs="Times New Roman"/>
          <w:lang w:val="en-GB"/>
        </w:rPr>
        <w:t xml:space="preserve"> #4</w:t>
      </w:r>
      <w:r w:rsidRPr="0002056A">
        <w:rPr>
          <w:rFonts w:ascii="Georgia" w:hAnsi="Georgia" w:cs="Times New Roman"/>
          <w:lang w:val="en-GB"/>
        </w:rPr>
        <w:t xml:space="preserve">, </w:t>
      </w:r>
      <w:r w:rsidR="00A31824">
        <w:rPr>
          <w:rFonts w:ascii="Georgia" w:hAnsi="Georgia" w:cs="Times New Roman"/>
          <w:lang w:val="en-GB"/>
        </w:rPr>
        <w:t>the cases of the best-performing countries are presented in more detail based on the final ranking of the composite indicator</w:t>
      </w:r>
      <w:r w:rsidRPr="0002056A">
        <w:rPr>
          <w:rFonts w:ascii="Georgia" w:hAnsi="Georgia" w:cs="Times New Roman"/>
          <w:lang w:val="en-GB"/>
        </w:rPr>
        <w:t>.</w:t>
      </w:r>
      <w:r w:rsidRPr="0002056A">
        <w:rPr>
          <w:rFonts w:ascii="Georgia" w:hAnsi="Georgia" w:cs="Times New Roman"/>
          <w:b/>
          <w:bCs/>
          <w:lang w:val="en-GB"/>
        </w:rPr>
        <w:t xml:space="preserve"> </w:t>
      </w:r>
      <w:r w:rsidR="00E723CD" w:rsidRPr="0002056A">
        <w:rPr>
          <w:rFonts w:ascii="Georgia" w:hAnsi="Georgia" w:cs="Times New Roman"/>
          <w:b/>
          <w:bCs/>
          <w:lang w:val="en-GB"/>
        </w:rPr>
        <w:t xml:space="preserve">The logic behind selecting the sample of benchmark countries </w:t>
      </w:r>
      <w:r w:rsidR="007F6945" w:rsidRPr="0002056A">
        <w:rPr>
          <w:rFonts w:ascii="Georgia" w:hAnsi="Georgia" w:cs="Times New Roman"/>
          <w:bCs/>
          <w:lang w:val="en-GB"/>
        </w:rPr>
        <w:t>was</w:t>
      </w:r>
      <w:r w:rsidR="00E723CD" w:rsidRPr="0002056A">
        <w:rPr>
          <w:rFonts w:ascii="Georgia" w:hAnsi="Georgia" w:cs="Times New Roman"/>
          <w:bCs/>
          <w:lang w:val="en-GB"/>
        </w:rPr>
        <w:t xml:space="preserve"> based on the </w:t>
      </w:r>
      <w:r w:rsidR="00713DFF" w:rsidRPr="0002056A">
        <w:rPr>
          <w:rFonts w:ascii="Georgia" w:hAnsi="Georgia" w:cs="Times New Roman"/>
          <w:bCs/>
          <w:lang w:val="en-GB"/>
        </w:rPr>
        <w:t xml:space="preserve">final results of the empirical analysis and the </w:t>
      </w:r>
      <w:r w:rsidR="00A31824">
        <w:rPr>
          <w:rFonts w:ascii="Georgia" w:hAnsi="Georgia" w:cs="Times New Roman"/>
          <w:bCs/>
          <w:lang w:val="en-GB"/>
        </w:rPr>
        <w:t>macro-regional</w:t>
      </w:r>
      <w:r w:rsidR="00713DFF" w:rsidRPr="0002056A">
        <w:rPr>
          <w:rFonts w:ascii="Georgia" w:hAnsi="Georgia" w:cs="Times New Roman"/>
          <w:bCs/>
          <w:lang w:val="en-GB"/>
        </w:rPr>
        <w:t xml:space="preserve"> classification. In </w:t>
      </w:r>
      <w:r w:rsidR="00E723CD" w:rsidRPr="0002056A">
        <w:rPr>
          <w:rFonts w:ascii="Georgia" w:hAnsi="Georgia" w:cs="Times New Roman"/>
          <w:bCs/>
          <w:lang w:val="en-GB"/>
        </w:rPr>
        <w:t>Europe</w:t>
      </w:r>
      <w:r w:rsidR="00A31824">
        <w:rPr>
          <w:rFonts w:ascii="Georgia" w:hAnsi="Georgia" w:cs="Times New Roman"/>
          <w:bCs/>
          <w:lang w:val="en-GB"/>
        </w:rPr>
        <w:t>,</w:t>
      </w:r>
      <w:r w:rsidR="00E723CD" w:rsidRPr="0002056A">
        <w:rPr>
          <w:rFonts w:ascii="Georgia" w:hAnsi="Georgia" w:cs="Times New Roman"/>
          <w:bCs/>
          <w:lang w:val="en-GB"/>
        </w:rPr>
        <w:t xml:space="preserve"> the Anglo-Saxon countries with large planning and MRE traditions perform exceptionally</w:t>
      </w:r>
      <w:r w:rsidR="007F6945" w:rsidRPr="0002056A">
        <w:rPr>
          <w:rFonts w:ascii="Georgia" w:hAnsi="Georgia" w:cs="Times New Roman"/>
          <w:bCs/>
          <w:lang w:val="en-GB"/>
        </w:rPr>
        <w:t xml:space="preserve"> </w:t>
      </w:r>
      <w:r w:rsidR="009E0DEB" w:rsidRPr="0002056A">
        <w:rPr>
          <w:rFonts w:ascii="Georgia" w:hAnsi="Georgia" w:cs="Times New Roman"/>
          <w:bCs/>
          <w:lang w:val="en-GB"/>
        </w:rPr>
        <w:t xml:space="preserve">well </w:t>
      </w:r>
      <w:r w:rsidR="00E723CD" w:rsidRPr="0002056A">
        <w:rPr>
          <w:rFonts w:ascii="Georgia" w:hAnsi="Georgia" w:cs="Times New Roman"/>
          <w:bCs/>
          <w:lang w:val="en-GB"/>
        </w:rPr>
        <w:t>in climate policy and climate adaptation</w:t>
      </w:r>
      <w:r w:rsidR="007F6945" w:rsidRPr="0002056A">
        <w:rPr>
          <w:rFonts w:ascii="Georgia" w:hAnsi="Georgia" w:cs="Times New Roman"/>
          <w:bCs/>
          <w:lang w:val="en-GB"/>
        </w:rPr>
        <w:t>, too.</w:t>
      </w:r>
      <w:r w:rsidR="00591060" w:rsidRPr="0002056A">
        <w:rPr>
          <w:rFonts w:ascii="Georgia" w:hAnsi="Georgia" w:cs="Times New Roman"/>
          <w:bCs/>
          <w:lang w:val="en-GB"/>
        </w:rPr>
        <w:t xml:space="preserve"> From </w:t>
      </w:r>
      <w:r w:rsidR="00A31824">
        <w:rPr>
          <w:rFonts w:ascii="Georgia" w:hAnsi="Georgia" w:cs="Times New Roman"/>
          <w:bCs/>
          <w:lang w:val="en-GB"/>
        </w:rPr>
        <w:t>this group,</w:t>
      </w:r>
      <w:r w:rsidR="00591060" w:rsidRPr="0002056A">
        <w:rPr>
          <w:rFonts w:ascii="Georgia" w:hAnsi="Georgia" w:cs="Times New Roman"/>
          <w:bCs/>
          <w:lang w:val="en-GB"/>
        </w:rPr>
        <w:t xml:space="preserve"> Germany, the Netherlands, Austria and Scotland got dedicated subchapters in the Annex. </w:t>
      </w:r>
      <w:r w:rsidR="0051731E" w:rsidRPr="0002056A">
        <w:rPr>
          <w:rFonts w:ascii="Georgia" w:hAnsi="Georgia" w:cs="Times New Roman"/>
          <w:bCs/>
          <w:lang w:val="en-GB"/>
        </w:rPr>
        <w:t xml:space="preserve">Their pioneer role is represented both in general development policy- and climate adaptation-related strategic planning and MRE: even adaptation MRE system development has already been started in them, or they already have a functioning system. </w:t>
      </w:r>
      <w:r w:rsidR="00614B54" w:rsidRPr="0002056A">
        <w:rPr>
          <w:rFonts w:ascii="Georgia" w:hAnsi="Georgia" w:cs="Times New Roman"/>
          <w:bCs/>
          <w:lang w:val="en-GB"/>
        </w:rPr>
        <w:t xml:space="preserve">These countries can </w:t>
      </w:r>
      <w:r w:rsidR="00A31824">
        <w:rPr>
          <w:rFonts w:ascii="Georgia" w:hAnsi="Georgia" w:cs="Times New Roman"/>
          <w:bCs/>
          <w:lang w:val="en-GB"/>
        </w:rPr>
        <w:t>even serve as good examples for Eastern-Central European states, since members of this latter group are mostly yet to undertake their adaptation-oriented MRE system-building actions</w:t>
      </w:r>
      <w:r w:rsidR="00614B54" w:rsidRPr="0002056A">
        <w:rPr>
          <w:rFonts w:ascii="Georgia" w:hAnsi="Georgia" w:cs="Times New Roman"/>
          <w:bCs/>
          <w:lang w:val="en-GB"/>
        </w:rPr>
        <w:t xml:space="preserve">. </w:t>
      </w:r>
      <w:r w:rsidR="00486DF5">
        <w:rPr>
          <w:rFonts w:ascii="Georgia" w:hAnsi="Georgia" w:cs="Times New Roman"/>
          <w:bCs/>
          <w:lang w:val="en-GB"/>
        </w:rPr>
        <w:t>Among the generally well-performing Northern European countries, Sweden, Norway, and Finland are presented in detail</w:t>
      </w:r>
      <w:r w:rsidR="0051731E" w:rsidRPr="0002056A">
        <w:rPr>
          <w:rFonts w:ascii="Georgia" w:hAnsi="Georgia" w:cs="Times New Roman"/>
          <w:bCs/>
          <w:lang w:val="en-GB"/>
        </w:rPr>
        <w:t xml:space="preserve">. </w:t>
      </w:r>
      <w:r w:rsidR="00C42ABF" w:rsidRPr="0002056A">
        <w:rPr>
          <w:rFonts w:ascii="Georgia" w:hAnsi="Georgia" w:cs="Times New Roman"/>
          <w:bCs/>
          <w:lang w:val="en-GB"/>
        </w:rPr>
        <w:t xml:space="preserve">From Eastern and </w:t>
      </w:r>
      <w:r w:rsidR="00486DF5">
        <w:rPr>
          <w:rFonts w:ascii="Georgia" w:hAnsi="Georgia" w:cs="Times New Roman"/>
          <w:bCs/>
          <w:lang w:val="en-GB"/>
        </w:rPr>
        <w:t>Southern Europe, the best-performing examples were introduced in the dissertation’s Annex, too: Poland, Hungary, Türkiye,</w:t>
      </w:r>
      <w:r w:rsidR="00C42ABF" w:rsidRPr="0002056A">
        <w:rPr>
          <w:rFonts w:ascii="Georgia" w:hAnsi="Georgia" w:cs="Times New Roman"/>
          <w:bCs/>
          <w:lang w:val="en-GB"/>
        </w:rPr>
        <w:t xml:space="preserve"> and Spain.</w:t>
      </w:r>
    </w:p>
    <w:p w14:paraId="4B4DEFCF" w14:textId="41C240AE" w:rsidR="009060F3" w:rsidRPr="0002056A" w:rsidRDefault="00EF593B" w:rsidP="00CD5BF3">
      <w:pPr>
        <w:spacing w:before="120" w:after="120"/>
        <w:jc w:val="both"/>
        <w:rPr>
          <w:rFonts w:ascii="Georgia" w:hAnsi="Georgia" w:cs="Times New Roman"/>
          <w:lang w:val="en-GB"/>
        </w:rPr>
      </w:pPr>
      <w:r w:rsidRPr="0002056A">
        <w:rPr>
          <w:rFonts w:ascii="Georgia" w:hAnsi="Georgia" w:cs="Times New Roman"/>
          <w:lang w:val="en-GB"/>
        </w:rPr>
        <w:t xml:space="preserve">In a </w:t>
      </w:r>
      <w:r w:rsidR="009060F3" w:rsidRPr="0002056A">
        <w:rPr>
          <w:rFonts w:ascii="Georgia" w:hAnsi="Georgia" w:cs="Times New Roman"/>
          <w:lang w:val="en-GB"/>
        </w:rPr>
        <w:t>next</w:t>
      </w:r>
      <w:r w:rsidRPr="0002056A">
        <w:rPr>
          <w:rFonts w:ascii="Georgia" w:hAnsi="Georgia" w:cs="Times New Roman"/>
          <w:lang w:val="en-GB"/>
        </w:rPr>
        <w:t xml:space="preserve"> step, </w:t>
      </w:r>
      <w:r w:rsidR="009060F3" w:rsidRPr="0002056A">
        <w:rPr>
          <w:rFonts w:ascii="Georgia" w:hAnsi="Georgia" w:cs="Times New Roman"/>
          <w:lang w:val="en-GB"/>
        </w:rPr>
        <w:t>the dissertation trie</w:t>
      </w:r>
      <w:r w:rsidR="003E6F91" w:rsidRPr="0002056A">
        <w:rPr>
          <w:rFonts w:ascii="Georgia" w:hAnsi="Georgia" w:cs="Times New Roman"/>
          <w:lang w:val="en-GB"/>
        </w:rPr>
        <w:t>d</w:t>
      </w:r>
      <w:r w:rsidRPr="0002056A">
        <w:rPr>
          <w:rFonts w:ascii="Georgia" w:hAnsi="Georgia" w:cs="Times New Roman"/>
          <w:lang w:val="en-GB"/>
        </w:rPr>
        <w:t xml:space="preserve"> </w:t>
      </w:r>
      <w:r w:rsidRPr="0002056A">
        <w:rPr>
          <w:rFonts w:ascii="Georgia" w:hAnsi="Georgia" w:cs="Times New Roman"/>
          <w:b/>
          <w:bCs/>
          <w:lang w:val="en-GB"/>
        </w:rPr>
        <w:t>to identify the main influential factors of adaptation tools’ spatial performance,</w:t>
      </w:r>
      <w:r w:rsidRPr="0002056A">
        <w:rPr>
          <w:rFonts w:ascii="Georgia" w:hAnsi="Georgia" w:cs="Times New Roman"/>
          <w:lang w:val="en-GB"/>
        </w:rPr>
        <w:t xml:space="preserve"> through comparing the elaborated spatial sensitivity composite indicator </w:t>
      </w:r>
      <w:r w:rsidR="009060F3" w:rsidRPr="0002056A">
        <w:rPr>
          <w:rFonts w:ascii="Georgia" w:hAnsi="Georgia" w:cs="Times New Roman"/>
          <w:lang w:val="en-GB"/>
        </w:rPr>
        <w:t xml:space="preserve">of the given states </w:t>
      </w:r>
      <w:r w:rsidRPr="0002056A">
        <w:rPr>
          <w:rFonts w:ascii="Georgia" w:hAnsi="Georgia" w:cs="Times New Roman"/>
          <w:lang w:val="en-GB"/>
        </w:rPr>
        <w:t xml:space="preserve">to other </w:t>
      </w:r>
      <w:r w:rsidR="009060F3" w:rsidRPr="0002056A">
        <w:rPr>
          <w:rFonts w:ascii="Georgia" w:hAnsi="Georgia" w:cs="Times New Roman"/>
          <w:lang w:val="en-GB"/>
        </w:rPr>
        <w:t xml:space="preserve">national level </w:t>
      </w:r>
      <w:r w:rsidRPr="0002056A">
        <w:rPr>
          <w:rFonts w:ascii="Georgia" w:hAnsi="Georgia" w:cs="Times New Roman"/>
          <w:lang w:val="en-GB"/>
        </w:rPr>
        <w:t>social/economic/geographic/spatial administration-related indices</w:t>
      </w:r>
      <w:r w:rsidR="009060F3" w:rsidRPr="0002056A">
        <w:rPr>
          <w:rFonts w:ascii="Georgia" w:hAnsi="Georgia" w:cs="Times New Roman"/>
          <w:lang w:val="en-GB"/>
        </w:rPr>
        <w:t xml:space="preserve"> in the form of a correlation analysis</w:t>
      </w:r>
      <w:r w:rsidR="0080615B" w:rsidRPr="0002056A">
        <w:rPr>
          <w:rFonts w:ascii="Georgia" w:hAnsi="Georgia" w:cs="Times New Roman"/>
          <w:lang w:val="en-GB"/>
        </w:rPr>
        <w:t xml:space="preserve"> to</w:t>
      </w:r>
      <w:r w:rsidR="0080615B" w:rsidRPr="0002056A">
        <w:rPr>
          <w:rFonts w:ascii="Georgia" w:hAnsi="Georgia" w:cs="Times New Roman"/>
          <w:b/>
          <w:bCs/>
          <w:lang w:val="en-GB"/>
        </w:rPr>
        <w:t xml:space="preserve"> identify whether geomorphologic, natural geographic, social, economic or political issues</w:t>
      </w:r>
      <w:r w:rsidR="0080615B" w:rsidRPr="0002056A">
        <w:rPr>
          <w:rFonts w:ascii="Georgia" w:hAnsi="Georgia" w:cs="Times New Roman"/>
          <w:lang w:val="en-GB"/>
        </w:rPr>
        <w:t xml:space="preserve"> influence more the spatiality of national adaptation policies.</w:t>
      </w:r>
    </w:p>
    <w:p w14:paraId="7E37C23B" w14:textId="3605B111" w:rsidR="007A2CA3" w:rsidRPr="0002056A" w:rsidRDefault="009060F3" w:rsidP="00CD5BF3">
      <w:pPr>
        <w:spacing w:before="120" w:after="120"/>
        <w:jc w:val="both"/>
        <w:rPr>
          <w:rFonts w:ascii="Georgia" w:hAnsi="Georgia" w:cs="Times New Roman"/>
          <w:lang w:val="en-GB"/>
        </w:rPr>
      </w:pPr>
      <w:r w:rsidRPr="0002056A">
        <w:rPr>
          <w:rFonts w:ascii="Georgia" w:hAnsi="Georgia" w:cs="Times New Roman"/>
          <w:lang w:val="en-GB"/>
        </w:rPr>
        <w:t>Again</w:t>
      </w:r>
      <w:r w:rsidR="00B773D1" w:rsidRPr="0002056A">
        <w:rPr>
          <w:rFonts w:ascii="Georgia" w:hAnsi="Georgia" w:cs="Times New Roman"/>
          <w:lang w:val="en-GB"/>
        </w:rPr>
        <w:t>,</w:t>
      </w:r>
      <w:r w:rsidRPr="0002056A">
        <w:rPr>
          <w:rFonts w:ascii="Georgia" w:hAnsi="Georgia" w:cs="Times New Roman"/>
          <w:lang w:val="en-GB"/>
        </w:rPr>
        <w:t xml:space="preserve"> in </w:t>
      </w:r>
      <w:r w:rsidR="00486DF5">
        <w:rPr>
          <w:rFonts w:ascii="Georgia" w:hAnsi="Georgia" w:cs="Times New Roman"/>
          <w:lang w:val="en-GB"/>
        </w:rPr>
        <w:t>the</w:t>
      </w:r>
      <w:r w:rsidR="00486DF5" w:rsidRPr="0002056A">
        <w:rPr>
          <w:rFonts w:ascii="Georgia" w:hAnsi="Georgia" w:cs="Times New Roman"/>
          <w:lang w:val="en-GB"/>
        </w:rPr>
        <w:t xml:space="preserve"> </w:t>
      </w:r>
      <w:r w:rsidRPr="0002056A">
        <w:rPr>
          <w:rFonts w:ascii="Georgia" w:hAnsi="Georgia" w:cs="Times New Roman"/>
          <w:lang w:val="en-GB"/>
        </w:rPr>
        <w:t xml:space="preserve">next </w:t>
      </w:r>
      <w:r w:rsidR="00EF593B" w:rsidRPr="0002056A">
        <w:rPr>
          <w:rFonts w:ascii="Georgia" w:hAnsi="Georgia" w:cs="Times New Roman"/>
          <w:lang w:val="en-GB"/>
        </w:rPr>
        <w:t xml:space="preserve">step, </w:t>
      </w:r>
      <w:r w:rsidR="00486DF5">
        <w:rPr>
          <w:rFonts w:ascii="Georgia" w:hAnsi="Georgia" w:cs="Times New Roman"/>
          <w:b/>
          <w:bCs/>
          <w:lang w:val="en-GB"/>
        </w:rPr>
        <w:t>macro-regional</w:t>
      </w:r>
      <w:r w:rsidR="00EF593B" w:rsidRPr="0002056A">
        <w:rPr>
          <w:rFonts w:ascii="Georgia" w:hAnsi="Georgia" w:cs="Times New Roman"/>
          <w:b/>
          <w:bCs/>
          <w:lang w:val="en-GB"/>
        </w:rPr>
        <w:t xml:space="preserve"> determination</w:t>
      </w:r>
      <w:r w:rsidR="00EF593B" w:rsidRPr="0002056A">
        <w:rPr>
          <w:rFonts w:ascii="Georgia" w:hAnsi="Georgia" w:cs="Times New Roman"/>
          <w:lang w:val="en-GB"/>
        </w:rPr>
        <w:t xml:space="preserve"> </w:t>
      </w:r>
      <w:r w:rsidR="009C0F54" w:rsidRPr="0002056A">
        <w:rPr>
          <w:rFonts w:ascii="Georgia" w:hAnsi="Georgia" w:cs="Times New Roman"/>
          <w:lang w:val="en-GB"/>
        </w:rPr>
        <w:t>wa</w:t>
      </w:r>
      <w:r w:rsidR="00EF593B" w:rsidRPr="0002056A">
        <w:rPr>
          <w:rFonts w:ascii="Georgia" w:hAnsi="Georgia" w:cs="Times New Roman"/>
          <w:lang w:val="en-GB"/>
        </w:rPr>
        <w:t xml:space="preserve">s also sought in </w:t>
      </w:r>
      <w:r w:rsidR="009C0176" w:rsidRPr="0002056A">
        <w:rPr>
          <w:rFonts w:ascii="Georgia" w:hAnsi="Georgia" w:cs="Times New Roman"/>
          <w:lang w:val="en-GB"/>
        </w:rPr>
        <w:t xml:space="preserve">the final ranking of the spatial sensitivity composite indicators </w:t>
      </w:r>
      <w:r w:rsidR="00EF593B" w:rsidRPr="0002056A">
        <w:rPr>
          <w:rFonts w:ascii="Georgia" w:hAnsi="Georgia" w:cs="Times New Roman"/>
          <w:b/>
          <w:bCs/>
          <w:lang w:val="en-GB"/>
        </w:rPr>
        <w:t>of European national adaptation activities</w:t>
      </w:r>
      <w:r w:rsidR="0080615B" w:rsidRPr="0002056A">
        <w:rPr>
          <w:rFonts w:ascii="Georgia" w:hAnsi="Georgia" w:cs="Times New Roman"/>
          <w:lang w:val="en-GB"/>
        </w:rPr>
        <w:t xml:space="preserve"> to </w:t>
      </w:r>
      <w:r w:rsidR="00486DF5">
        <w:rPr>
          <w:rFonts w:ascii="Georgia" w:hAnsi="Georgia" w:cs="Times New Roman"/>
          <w:lang w:val="en-GB"/>
        </w:rPr>
        <w:t xml:space="preserve">determine which group of countries performs better in this field and whether there is a relationship between a country's macro-regional position </w:t>
      </w:r>
      <w:r w:rsidR="0080615B" w:rsidRPr="0002056A">
        <w:rPr>
          <w:rFonts w:ascii="Georgia" w:hAnsi="Georgia" w:cs="Times New Roman"/>
          <w:lang w:val="en-GB"/>
        </w:rPr>
        <w:t>and its spatial performance in climate adaptation.</w:t>
      </w:r>
      <w:r w:rsidR="00B360BB" w:rsidRPr="0002056A">
        <w:rPr>
          <w:rFonts w:ascii="Georgia" w:hAnsi="Georgia" w:cs="Times New Roman"/>
          <w:lang w:val="en-GB"/>
        </w:rPr>
        <w:t xml:space="preserve"> The dissertation examined and </w:t>
      </w:r>
      <w:r w:rsidR="00486DF5">
        <w:rPr>
          <w:rFonts w:ascii="Georgia" w:hAnsi="Georgia" w:cs="Times New Roman"/>
          <w:lang w:val="en-GB"/>
        </w:rPr>
        <w:t xml:space="preserve">sought to identify the presence or absence of a </w:t>
      </w:r>
      <w:r w:rsidR="00B64C66" w:rsidRPr="0002056A">
        <w:rPr>
          <w:rFonts w:ascii="Georgia" w:hAnsi="Georgia" w:cs="Times New Roman"/>
          <w:lang w:val="en-GB"/>
        </w:rPr>
        <w:t xml:space="preserve">connection between the given country’s </w:t>
      </w:r>
      <w:r w:rsidR="00486DF5">
        <w:rPr>
          <w:rFonts w:ascii="Georgia" w:hAnsi="Georgia" w:cs="Times New Roman"/>
          <w:lang w:val="en-GB"/>
        </w:rPr>
        <w:t>macro-regional</w:t>
      </w:r>
      <w:r w:rsidR="00B64C66" w:rsidRPr="0002056A">
        <w:rPr>
          <w:rFonts w:ascii="Georgia" w:hAnsi="Georgia" w:cs="Times New Roman"/>
          <w:lang w:val="en-GB"/>
        </w:rPr>
        <w:t xml:space="preserve"> position and </w:t>
      </w:r>
      <w:r w:rsidR="00A85C71" w:rsidRPr="0002056A">
        <w:rPr>
          <w:rFonts w:ascii="Georgia" w:hAnsi="Georgia" w:cs="Times New Roman"/>
          <w:lang w:val="en-GB"/>
        </w:rPr>
        <w:t>the spatial performance of its adaptation policy planning activities.</w:t>
      </w:r>
      <w:r w:rsidR="007A2CA3" w:rsidRPr="0002056A">
        <w:rPr>
          <w:rFonts w:ascii="Georgia" w:hAnsi="Georgia" w:cs="Times New Roman"/>
          <w:lang w:val="en-GB"/>
        </w:rPr>
        <w:t xml:space="preserve"> </w:t>
      </w:r>
    </w:p>
    <w:p w14:paraId="56DB123F" w14:textId="081ED63F" w:rsidR="00EF593B" w:rsidRPr="0002056A" w:rsidRDefault="001D2F6E" w:rsidP="00CD5BF3">
      <w:pPr>
        <w:spacing w:before="120" w:after="120"/>
        <w:jc w:val="both"/>
        <w:rPr>
          <w:rFonts w:ascii="Georgia" w:hAnsi="Georgia" w:cs="Times New Roman"/>
          <w:lang w:val="en-GB"/>
        </w:rPr>
      </w:pPr>
      <w:r w:rsidRPr="0002056A">
        <w:rPr>
          <w:rFonts w:ascii="Georgia" w:hAnsi="Georgia" w:cs="Times New Roman"/>
          <w:lang w:val="en-GB"/>
        </w:rPr>
        <w:t>Finally</w:t>
      </w:r>
      <w:r w:rsidR="007A2CA3" w:rsidRPr="0002056A">
        <w:rPr>
          <w:rFonts w:ascii="Georgia" w:hAnsi="Georgia" w:cs="Times New Roman"/>
          <w:lang w:val="en-GB"/>
        </w:rPr>
        <w:t xml:space="preserve">, </w:t>
      </w:r>
      <w:r w:rsidR="007A2CA3" w:rsidRPr="0002056A">
        <w:rPr>
          <w:rFonts w:ascii="Georgia" w:hAnsi="Georgia" w:cs="Times New Roman"/>
          <w:b/>
          <w:bCs/>
          <w:lang w:val="en-GB"/>
        </w:rPr>
        <w:t>the responses for the RQs</w:t>
      </w:r>
      <w:r w:rsidR="0081797B">
        <w:rPr>
          <w:rFonts w:ascii="Georgia" w:hAnsi="Georgia" w:cs="Times New Roman"/>
          <w:b/>
          <w:bCs/>
          <w:lang w:val="en-GB"/>
        </w:rPr>
        <w:t xml:space="preserve"> </w:t>
      </w:r>
      <w:r w:rsidR="0081797B" w:rsidRPr="00180AC6">
        <w:rPr>
          <w:rFonts w:ascii="Georgia" w:hAnsi="Georgia" w:cs="Times New Roman"/>
          <w:lang w:val="en-GB"/>
        </w:rPr>
        <w:t>and the presentation of</w:t>
      </w:r>
      <w:r w:rsidR="0081797B">
        <w:rPr>
          <w:rFonts w:ascii="Georgia" w:hAnsi="Georgia" w:cs="Times New Roman"/>
          <w:b/>
          <w:bCs/>
          <w:lang w:val="en-GB"/>
        </w:rPr>
        <w:t xml:space="preserve"> recommendations for </w:t>
      </w:r>
      <w:r w:rsidR="00D337C4">
        <w:rPr>
          <w:rFonts w:ascii="Georgia" w:hAnsi="Georgia" w:cs="Times New Roman"/>
          <w:b/>
          <w:bCs/>
          <w:lang w:val="en-GB"/>
        </w:rPr>
        <w:t xml:space="preserve">climate adaptation </w:t>
      </w:r>
      <w:r w:rsidR="0081797B">
        <w:rPr>
          <w:rFonts w:ascii="Georgia" w:hAnsi="Georgia" w:cs="Times New Roman"/>
          <w:b/>
          <w:bCs/>
          <w:lang w:val="en-GB"/>
        </w:rPr>
        <w:t>policy practice</w:t>
      </w:r>
      <w:r w:rsidR="0081797B" w:rsidRPr="00D070E4">
        <w:rPr>
          <w:rFonts w:ascii="Georgia" w:hAnsi="Georgia" w:cs="Times New Roman"/>
          <w:lang w:val="en-GB"/>
        </w:rPr>
        <w:t xml:space="preserve"> </w:t>
      </w:r>
      <w:r w:rsidR="00CB2F49">
        <w:rPr>
          <w:rFonts w:ascii="Georgia" w:hAnsi="Georgia" w:cs="Times New Roman"/>
          <w:lang w:val="en-GB"/>
        </w:rPr>
        <w:t xml:space="preserve">compose the first parts of the </w:t>
      </w:r>
      <w:r w:rsidR="00F140A9">
        <w:rPr>
          <w:rFonts w:ascii="Georgia" w:hAnsi="Georgia" w:cs="Times New Roman"/>
          <w:lang w:val="en-GB"/>
        </w:rPr>
        <w:t>“</w:t>
      </w:r>
      <w:r w:rsidR="00F140A9" w:rsidRPr="00F140A9">
        <w:rPr>
          <w:rFonts w:ascii="Georgia" w:hAnsi="Georgia" w:cs="Times New Roman"/>
          <w:i/>
          <w:iCs/>
          <w:lang w:val="en-GB"/>
        </w:rPr>
        <w:t>Conclusions and discussion</w:t>
      </w:r>
      <w:r w:rsidR="00F140A9">
        <w:rPr>
          <w:rFonts w:ascii="Georgia" w:hAnsi="Georgia" w:cs="Times New Roman"/>
          <w:lang w:val="en-GB"/>
        </w:rPr>
        <w:t xml:space="preserve">” </w:t>
      </w:r>
      <w:r w:rsidR="00CB2F49">
        <w:rPr>
          <w:rFonts w:ascii="Georgia" w:hAnsi="Georgia" w:cs="Times New Roman"/>
          <w:lang w:val="en-GB"/>
        </w:rPr>
        <w:t xml:space="preserve">Chapter. These are followed by </w:t>
      </w:r>
      <w:r w:rsidR="007A2CA3" w:rsidRPr="00D070E4">
        <w:rPr>
          <w:rFonts w:ascii="Georgia" w:hAnsi="Georgia" w:cs="Times New Roman"/>
          <w:lang w:val="en-GB"/>
        </w:rPr>
        <w:t>the</w:t>
      </w:r>
      <w:r w:rsidR="007A2CA3" w:rsidRPr="0002056A">
        <w:rPr>
          <w:rFonts w:ascii="Georgia" w:hAnsi="Georgia" w:cs="Times New Roman"/>
          <w:b/>
          <w:bCs/>
          <w:lang w:val="en-GB"/>
        </w:rPr>
        <w:t xml:space="preserve"> </w:t>
      </w:r>
      <w:r w:rsidR="00180AC6">
        <w:rPr>
          <w:rFonts w:ascii="Georgia" w:hAnsi="Georgia" w:cs="Times New Roman"/>
          <w:b/>
          <w:bCs/>
          <w:lang w:val="en-GB"/>
        </w:rPr>
        <w:t xml:space="preserve">dissertation’s </w:t>
      </w:r>
      <w:r w:rsidR="006C1F4A">
        <w:rPr>
          <w:rFonts w:ascii="Georgia" w:hAnsi="Georgia" w:cs="Times New Roman"/>
          <w:b/>
          <w:bCs/>
          <w:lang w:val="en-GB"/>
        </w:rPr>
        <w:t xml:space="preserve">actual </w:t>
      </w:r>
      <w:r w:rsidR="007A2CA3" w:rsidRPr="0002056A">
        <w:rPr>
          <w:rFonts w:ascii="Georgia" w:hAnsi="Georgia" w:cs="Times New Roman"/>
          <w:b/>
          <w:bCs/>
          <w:lang w:val="en-GB"/>
        </w:rPr>
        <w:t xml:space="preserve">conclusions, </w:t>
      </w:r>
      <w:r w:rsidR="007A2CA3" w:rsidRPr="00180AC6">
        <w:rPr>
          <w:rFonts w:ascii="Georgia" w:hAnsi="Georgia" w:cs="Times New Roman"/>
          <w:lang w:val="en-GB"/>
        </w:rPr>
        <w:t>the introduction of</w:t>
      </w:r>
      <w:r w:rsidR="007A2CA3" w:rsidRPr="0002056A">
        <w:rPr>
          <w:rFonts w:ascii="Georgia" w:hAnsi="Georgia" w:cs="Times New Roman"/>
          <w:b/>
          <w:bCs/>
          <w:lang w:val="en-GB"/>
        </w:rPr>
        <w:t xml:space="preserve"> new scientific results</w:t>
      </w:r>
      <w:r w:rsidR="00743700">
        <w:rPr>
          <w:rFonts w:ascii="Georgia" w:hAnsi="Georgia" w:cs="Times New Roman"/>
          <w:lang w:val="en-GB"/>
        </w:rPr>
        <w:t xml:space="preserve">, together with the </w:t>
      </w:r>
      <w:r w:rsidR="000465E8">
        <w:rPr>
          <w:rFonts w:ascii="Georgia" w:hAnsi="Georgia" w:cs="Times New Roman"/>
          <w:lang w:val="en-GB"/>
        </w:rPr>
        <w:t xml:space="preserve">description of the </w:t>
      </w:r>
      <w:r w:rsidR="000465E8" w:rsidRPr="00CB2F49">
        <w:rPr>
          <w:rFonts w:ascii="Georgia" w:hAnsi="Georgia" w:cs="Times New Roman"/>
          <w:b/>
          <w:bCs/>
          <w:lang w:val="en-GB"/>
        </w:rPr>
        <w:t>research’s limits</w:t>
      </w:r>
      <w:r w:rsidR="000465E8">
        <w:rPr>
          <w:rFonts w:ascii="Georgia" w:hAnsi="Georgia" w:cs="Times New Roman"/>
          <w:lang w:val="en-GB"/>
        </w:rPr>
        <w:t xml:space="preserve"> </w:t>
      </w:r>
      <w:r w:rsidR="00CB2F49">
        <w:rPr>
          <w:rFonts w:ascii="Georgia" w:hAnsi="Georgia" w:cs="Times New Roman"/>
          <w:lang w:val="en-GB"/>
        </w:rPr>
        <w:t xml:space="preserve">and the </w:t>
      </w:r>
      <w:r w:rsidR="00CB2F49" w:rsidRPr="00CB2F49">
        <w:rPr>
          <w:rFonts w:ascii="Georgia" w:hAnsi="Georgia" w:cs="Times New Roman"/>
          <w:b/>
          <w:bCs/>
          <w:lang w:val="en-GB"/>
        </w:rPr>
        <w:t>potential future research directions</w:t>
      </w:r>
      <w:r w:rsidR="002A1000">
        <w:rPr>
          <w:rFonts w:ascii="Georgia" w:hAnsi="Georgia" w:cs="Times New Roman"/>
          <w:lang w:val="en-GB"/>
        </w:rPr>
        <w:t xml:space="preserve"> (Figure 1)</w:t>
      </w:r>
      <w:r w:rsidR="007A2CA3" w:rsidRPr="0002056A">
        <w:rPr>
          <w:rFonts w:ascii="Georgia" w:hAnsi="Georgia" w:cs="Times New Roman"/>
          <w:lang w:val="en-GB"/>
        </w:rPr>
        <w:t>.</w:t>
      </w:r>
    </w:p>
    <w:p w14:paraId="62E0C0D2" w14:textId="358A0DCA" w:rsidR="00F36F3D" w:rsidRPr="0002056A" w:rsidRDefault="00F36F3D" w:rsidP="00E723CD">
      <w:pPr>
        <w:spacing w:before="120" w:after="120" w:line="240" w:lineRule="auto"/>
        <w:jc w:val="both"/>
        <w:rPr>
          <w:rFonts w:ascii="Georgia" w:hAnsi="Georgia" w:cs="Times New Roman"/>
          <w:lang w:val="en-GB"/>
        </w:rPr>
        <w:sectPr w:rsidR="00F36F3D" w:rsidRPr="0002056A" w:rsidSect="0065651F">
          <w:footerReference w:type="default" r:id="rId9"/>
          <w:footerReference w:type="first" r:id="rId10"/>
          <w:pgSz w:w="11906" w:h="16838"/>
          <w:pgMar w:top="1417" w:right="1417" w:bottom="1417" w:left="1417" w:header="708" w:footer="708" w:gutter="0"/>
          <w:cols w:space="708"/>
          <w:titlePg/>
          <w:docGrid w:linePitch="360"/>
        </w:sectPr>
      </w:pPr>
    </w:p>
    <w:p w14:paraId="28D7C8A5" w14:textId="0AB05B22" w:rsidR="00E723CD" w:rsidRPr="0002056A" w:rsidRDefault="003210BE" w:rsidP="0008606F">
      <w:pPr>
        <w:spacing w:before="120" w:after="120" w:line="240" w:lineRule="auto"/>
        <w:jc w:val="center"/>
        <w:rPr>
          <w:rFonts w:ascii="Georgia" w:hAnsi="Georgia" w:cs="Times New Roman"/>
          <w:lang w:val="en-GB"/>
        </w:rPr>
      </w:pPr>
      <w:r>
        <w:rPr>
          <w:rFonts w:ascii="Georgia" w:hAnsi="Georgia" w:cs="Times New Roman"/>
          <w:noProof/>
          <w:lang w:val="en-GB"/>
          <w14:ligatures w14:val="standardContextual"/>
        </w:rPr>
        <w:lastRenderedPageBreak/>
        <w:drawing>
          <wp:inline distT="0" distB="0" distL="0" distR="0" wp14:anchorId="2AA4CBB2" wp14:editId="16E914CC">
            <wp:extent cx="8860271" cy="5113175"/>
            <wp:effectExtent l="0" t="0" r="0" b="0"/>
            <wp:docPr id="145221548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5486" name="Kép 1452215486"/>
                    <pic:cNvPicPr/>
                  </pic:nvPicPr>
                  <pic:blipFill rotWithShape="1">
                    <a:blip r:embed="rId11" cstate="print">
                      <a:extLst>
                        <a:ext uri="{28A0092B-C50C-407E-A947-70E740481C1C}">
                          <a14:useLocalDpi xmlns:a14="http://schemas.microsoft.com/office/drawing/2010/main" val="0"/>
                        </a:ext>
                      </a:extLst>
                    </a:blip>
                    <a:srcRect t="10913" b="10208"/>
                    <a:stretch>
                      <a:fillRect/>
                    </a:stretch>
                  </pic:blipFill>
                  <pic:spPr bwMode="auto">
                    <a:xfrm>
                      <a:off x="0" y="0"/>
                      <a:ext cx="8877773" cy="5123275"/>
                    </a:xfrm>
                    <a:prstGeom prst="rect">
                      <a:avLst/>
                    </a:prstGeom>
                    <a:ln>
                      <a:noFill/>
                    </a:ln>
                    <a:extLst>
                      <a:ext uri="{53640926-AAD7-44D8-BBD7-CCE9431645EC}">
                        <a14:shadowObscured xmlns:a14="http://schemas.microsoft.com/office/drawing/2010/main"/>
                      </a:ext>
                    </a:extLst>
                  </pic:spPr>
                </pic:pic>
              </a:graphicData>
            </a:graphic>
          </wp:inline>
        </w:drawing>
      </w:r>
    </w:p>
    <w:p w14:paraId="63522BAD" w14:textId="2852A2F9" w:rsidR="00F36F3D" w:rsidRPr="00520198" w:rsidRDefault="00294134" w:rsidP="00294134">
      <w:pPr>
        <w:spacing w:before="60" w:after="60" w:line="360" w:lineRule="auto"/>
        <w:jc w:val="center"/>
        <w:rPr>
          <w:rFonts w:ascii="Georgia" w:hAnsi="Georgia" w:cs="Times New Roman"/>
          <w:i/>
          <w:sz w:val="18"/>
          <w:szCs w:val="18"/>
          <w:lang w:val="en-GB"/>
        </w:rPr>
        <w:sectPr w:rsidR="00F36F3D" w:rsidRPr="00520198" w:rsidSect="00DD018E">
          <w:pgSz w:w="16838" w:h="11906" w:orient="landscape"/>
          <w:pgMar w:top="1417" w:right="1417" w:bottom="1417" w:left="1417" w:header="708" w:footer="708" w:gutter="0"/>
          <w:cols w:space="708"/>
          <w:titlePg/>
          <w:docGrid w:linePitch="360"/>
        </w:sectPr>
      </w:pPr>
      <w:r w:rsidRPr="00520198">
        <w:rPr>
          <w:rFonts w:ascii="Georgia" w:hAnsi="Georgia" w:cs="Times New Roman"/>
          <w:b/>
          <w:sz w:val="18"/>
          <w:szCs w:val="18"/>
          <w:lang w:val="en-GB"/>
        </w:rPr>
        <w:t xml:space="preserve">Figure </w:t>
      </w:r>
      <w:r w:rsidR="00543FEE" w:rsidRPr="00520198">
        <w:rPr>
          <w:rFonts w:ascii="Georgia" w:hAnsi="Georgia" w:cs="Times New Roman"/>
          <w:b/>
          <w:sz w:val="18"/>
          <w:szCs w:val="18"/>
          <w:lang w:val="en-GB"/>
        </w:rPr>
        <w:t>1</w:t>
      </w:r>
      <w:r w:rsidRPr="00520198">
        <w:rPr>
          <w:rFonts w:ascii="Georgia" w:hAnsi="Georgia" w:cs="Times New Roman"/>
          <w:b/>
          <w:sz w:val="18"/>
          <w:szCs w:val="18"/>
          <w:lang w:val="en-GB"/>
        </w:rPr>
        <w:t xml:space="preserve">: Design and internal logic of the doctoral research. </w:t>
      </w:r>
      <w:r w:rsidRPr="00520198">
        <w:rPr>
          <w:rFonts w:ascii="Georgia" w:hAnsi="Georgia" w:cs="Times New Roman"/>
          <w:i/>
          <w:sz w:val="18"/>
          <w:szCs w:val="18"/>
          <w:lang w:val="en-GB"/>
        </w:rPr>
        <w:t>Source: own editing.</w:t>
      </w:r>
    </w:p>
    <w:p w14:paraId="2C6C0B82" w14:textId="04AF547D" w:rsidR="00294134" w:rsidRPr="0002056A" w:rsidRDefault="00294134" w:rsidP="00294134">
      <w:pPr>
        <w:spacing w:before="60" w:after="60" w:line="360" w:lineRule="auto"/>
        <w:jc w:val="center"/>
        <w:rPr>
          <w:rFonts w:ascii="Times New Roman" w:hAnsi="Times New Roman" w:cs="Times New Roman"/>
          <w:i/>
          <w:sz w:val="16"/>
          <w:szCs w:val="16"/>
          <w:lang w:val="en-GB"/>
        </w:rPr>
      </w:pPr>
    </w:p>
    <w:p w14:paraId="5913ABB7" w14:textId="5CFCF5CB" w:rsidR="004B3C15" w:rsidRPr="0002056A" w:rsidRDefault="004B3C15" w:rsidP="00214BD9">
      <w:pPr>
        <w:pStyle w:val="Cmsor1"/>
        <w:numPr>
          <w:ilvl w:val="0"/>
          <w:numId w:val="4"/>
        </w:numPr>
        <w:rPr>
          <w:rFonts w:asciiTheme="minorHAnsi" w:hAnsiTheme="minorHAnsi" w:cstheme="minorHAnsi"/>
          <w:lang w:val="en-GB"/>
        </w:rPr>
      </w:pPr>
      <w:bookmarkStart w:id="12" w:name="_Toc225578835"/>
      <w:r w:rsidRPr="0002056A">
        <w:rPr>
          <w:rFonts w:asciiTheme="minorHAnsi" w:hAnsiTheme="minorHAnsi" w:cstheme="minorHAnsi"/>
          <w:lang w:val="en-GB"/>
        </w:rPr>
        <w:t xml:space="preserve">Theoretical </w:t>
      </w:r>
      <w:r w:rsidR="00554206" w:rsidRPr="0002056A">
        <w:rPr>
          <w:rFonts w:asciiTheme="minorHAnsi" w:hAnsiTheme="minorHAnsi" w:cstheme="minorHAnsi"/>
          <w:lang w:val="en-GB"/>
        </w:rPr>
        <w:t>f</w:t>
      </w:r>
      <w:r w:rsidR="00E47EF6" w:rsidRPr="0002056A">
        <w:rPr>
          <w:rFonts w:asciiTheme="minorHAnsi" w:hAnsiTheme="minorHAnsi" w:cstheme="minorHAnsi"/>
          <w:lang w:val="en-GB"/>
        </w:rPr>
        <w:t>oundation</w:t>
      </w:r>
      <w:r w:rsidR="00554206" w:rsidRPr="0002056A">
        <w:rPr>
          <w:rFonts w:asciiTheme="minorHAnsi" w:hAnsiTheme="minorHAnsi" w:cstheme="minorHAnsi"/>
          <w:lang w:val="en-GB"/>
        </w:rPr>
        <w:t xml:space="preserve"> </w:t>
      </w:r>
      <w:r w:rsidRPr="0002056A">
        <w:rPr>
          <w:rFonts w:asciiTheme="minorHAnsi" w:hAnsiTheme="minorHAnsi" w:cstheme="minorHAnsi"/>
          <w:lang w:val="en-GB"/>
        </w:rPr>
        <w:t>and literature analysis</w:t>
      </w:r>
      <w:bookmarkEnd w:id="12"/>
    </w:p>
    <w:p w14:paraId="3E085051" w14:textId="77777777" w:rsidR="0035719D" w:rsidRPr="0002056A" w:rsidRDefault="0035719D" w:rsidP="00214BD9">
      <w:pPr>
        <w:pStyle w:val="Cmsor2"/>
        <w:numPr>
          <w:ilvl w:val="1"/>
          <w:numId w:val="4"/>
        </w:numPr>
        <w:rPr>
          <w:rFonts w:asciiTheme="minorHAnsi" w:hAnsiTheme="minorHAnsi" w:cstheme="minorHAnsi"/>
          <w:b w:val="0"/>
          <w:bCs w:val="0"/>
          <w:i/>
          <w:iCs/>
          <w:lang w:val="en-GB"/>
        </w:rPr>
      </w:pPr>
      <w:bookmarkStart w:id="13" w:name="_Toc225578836"/>
      <w:r w:rsidRPr="0002056A">
        <w:rPr>
          <w:rFonts w:asciiTheme="minorHAnsi" w:hAnsiTheme="minorHAnsi" w:cstheme="minorHAnsi"/>
          <w:b w:val="0"/>
          <w:bCs w:val="0"/>
          <w:i/>
          <w:iCs/>
          <w:lang w:val="en-GB"/>
        </w:rPr>
        <w:t>Literature and scientific context</w:t>
      </w:r>
      <w:bookmarkEnd w:id="13"/>
    </w:p>
    <w:p w14:paraId="3DC8BFA2" w14:textId="6D68ECE4" w:rsidR="00A77932" w:rsidRPr="0002056A" w:rsidRDefault="0035719D" w:rsidP="00CD5BF3">
      <w:pPr>
        <w:spacing w:before="120" w:after="120"/>
        <w:jc w:val="both"/>
        <w:rPr>
          <w:rFonts w:ascii="Georgia" w:hAnsi="Georgia" w:cs="Times New Roman"/>
          <w:lang w:val="en-GB"/>
        </w:rPr>
      </w:pPr>
      <w:r w:rsidRPr="0002056A">
        <w:rPr>
          <w:rFonts w:ascii="Georgia" w:hAnsi="Georgia"/>
          <w:lang w:val="en-GB"/>
        </w:rPr>
        <w:t xml:space="preserve">As </w:t>
      </w:r>
      <w:r w:rsidR="00486DF5">
        <w:rPr>
          <w:rFonts w:ascii="Georgia" w:hAnsi="Georgia"/>
          <w:lang w:val="en-GB"/>
        </w:rPr>
        <w:t>already mentioned in Chapter 2.4, the literature review was one of the main tools of the research, serving as a theoretical basis for</w:t>
      </w:r>
      <w:r w:rsidRPr="0002056A">
        <w:rPr>
          <w:rFonts w:ascii="Georgia" w:hAnsi="Georgia"/>
          <w:lang w:val="en-GB"/>
        </w:rPr>
        <w:t xml:space="preserve"> the empirical </w:t>
      </w:r>
      <w:r w:rsidR="00216AD0" w:rsidRPr="0002056A">
        <w:rPr>
          <w:rFonts w:ascii="Georgia" w:hAnsi="Georgia"/>
          <w:lang w:val="en-GB"/>
        </w:rPr>
        <w:t>work phases</w:t>
      </w:r>
      <w:r w:rsidRPr="0002056A">
        <w:rPr>
          <w:rFonts w:ascii="Georgia" w:hAnsi="Georgia"/>
          <w:lang w:val="en-GB"/>
        </w:rPr>
        <w:t xml:space="preserve">. </w:t>
      </w:r>
      <w:r w:rsidR="00486DF5">
        <w:rPr>
          <w:rFonts w:ascii="Georgia" w:hAnsi="Georgia"/>
          <w:lang w:val="en-GB"/>
        </w:rPr>
        <w:t>Among the vast terrain of climate adaptation-related scientific and grey literature, I focused especially on issues crucial to the dissertation's main topic</w:t>
      </w:r>
      <w:r w:rsidRPr="0002056A">
        <w:rPr>
          <w:rFonts w:ascii="Georgia" w:hAnsi="Georgia"/>
          <w:lang w:val="en-GB"/>
        </w:rPr>
        <w:t xml:space="preserve">. </w:t>
      </w:r>
      <w:r w:rsidR="00A77932" w:rsidRPr="0002056A">
        <w:rPr>
          <w:rFonts w:ascii="Georgia" w:hAnsi="Georgia" w:cs="Times New Roman"/>
          <w:lang w:val="en-GB"/>
        </w:rPr>
        <w:t>During the first part of the research near half a dozen literature review phases were conducted. In these</w:t>
      </w:r>
      <w:r w:rsidR="00740144">
        <w:rPr>
          <w:rFonts w:ascii="Georgia" w:hAnsi="Georgia" w:cs="Times New Roman"/>
          <w:lang w:val="en-GB"/>
        </w:rPr>
        <w:t xml:space="preserve"> </w:t>
      </w:r>
      <w:r w:rsidR="00486DF5">
        <w:rPr>
          <w:rFonts w:ascii="Georgia" w:hAnsi="Georgia" w:cs="Times New Roman"/>
          <w:lang w:val="en-GB"/>
        </w:rPr>
        <w:t xml:space="preserve">I first dealt with </w:t>
      </w:r>
      <w:r w:rsidR="00486DF5" w:rsidRPr="009F4027">
        <w:rPr>
          <w:rFonts w:ascii="Georgia" w:hAnsi="Georgia" w:cs="Times New Roman"/>
          <w:i/>
          <w:iCs/>
          <w:lang w:val="en-GB"/>
        </w:rPr>
        <w:t>the evolution of concepts and definitions of planning, monitoring, evaluation, and reporting in general</w:t>
      </w:r>
      <w:r w:rsidR="00486DF5">
        <w:rPr>
          <w:rFonts w:ascii="Georgia" w:hAnsi="Georgia" w:cs="Times New Roman"/>
          <w:lang w:val="en-GB"/>
        </w:rPr>
        <w:t>,</w:t>
      </w:r>
      <w:r w:rsidR="00A77932" w:rsidRPr="0002056A">
        <w:rPr>
          <w:rFonts w:ascii="Georgia" w:hAnsi="Georgia" w:cs="Times New Roman"/>
          <w:i/>
          <w:iCs/>
          <w:lang w:val="en-GB"/>
        </w:rPr>
        <w:t xml:space="preserve"> </w:t>
      </w:r>
      <w:r w:rsidR="00A77932" w:rsidRPr="0002056A">
        <w:rPr>
          <w:rFonts w:ascii="Georgia" w:hAnsi="Georgia" w:cs="Times New Roman"/>
          <w:lang w:val="en-GB"/>
        </w:rPr>
        <w:t>and</w:t>
      </w:r>
      <w:r w:rsidR="00A77932" w:rsidRPr="0002056A">
        <w:rPr>
          <w:rFonts w:ascii="Georgia" w:hAnsi="Georgia" w:cs="Times New Roman"/>
          <w:i/>
          <w:iCs/>
          <w:lang w:val="en-GB"/>
        </w:rPr>
        <w:t xml:space="preserve"> especially in climate adaptation policy</w:t>
      </w:r>
      <w:r w:rsidR="00A77932" w:rsidRPr="0002056A">
        <w:rPr>
          <w:rFonts w:ascii="Georgia" w:hAnsi="Georgia" w:cs="Times New Roman"/>
          <w:b/>
          <w:bCs/>
          <w:lang w:val="en-GB"/>
        </w:rPr>
        <w:t xml:space="preserve">. </w:t>
      </w:r>
      <w:r w:rsidR="00A77932" w:rsidRPr="0002056A">
        <w:rPr>
          <w:rFonts w:ascii="Georgia" w:hAnsi="Georgia" w:cs="Times New Roman"/>
          <w:lang w:val="en-GB"/>
        </w:rPr>
        <w:t>In the dissertation</w:t>
      </w:r>
      <w:r w:rsidR="00486DF5">
        <w:rPr>
          <w:rFonts w:ascii="Georgia" w:hAnsi="Georgia" w:cs="Times New Roman"/>
          <w:lang w:val="en-GB"/>
        </w:rPr>
        <w:t>,</w:t>
      </w:r>
      <w:r w:rsidR="00A77932" w:rsidRPr="0002056A">
        <w:rPr>
          <w:rFonts w:ascii="Georgia" w:hAnsi="Georgia" w:cs="Times New Roman"/>
          <w:lang w:val="en-GB"/>
        </w:rPr>
        <w:t xml:space="preserve"> given subchapter</w:t>
      </w:r>
      <w:r w:rsidR="00A24E81" w:rsidRPr="0002056A">
        <w:rPr>
          <w:rFonts w:ascii="Georgia" w:hAnsi="Georgia" w:cs="Times New Roman"/>
          <w:lang w:val="en-GB"/>
        </w:rPr>
        <w:t xml:space="preserve"> </w:t>
      </w:r>
      <w:r w:rsidR="00F84D39" w:rsidRPr="0002056A">
        <w:rPr>
          <w:rFonts w:ascii="Georgia" w:hAnsi="Georgia" w:cs="Times New Roman"/>
          <w:lang w:val="en-GB"/>
        </w:rPr>
        <w:t xml:space="preserve">3.2. </w:t>
      </w:r>
      <w:r w:rsidR="00A77932" w:rsidRPr="0002056A">
        <w:rPr>
          <w:rFonts w:ascii="Georgia" w:hAnsi="Georgia" w:cs="Times New Roman"/>
          <w:lang w:val="en-GB"/>
        </w:rPr>
        <w:t>introduce</w:t>
      </w:r>
      <w:r w:rsidR="00A24E81" w:rsidRPr="0002056A">
        <w:rPr>
          <w:rFonts w:ascii="Georgia" w:hAnsi="Georgia" w:cs="Times New Roman"/>
          <w:lang w:val="en-GB"/>
        </w:rPr>
        <w:t>s</w:t>
      </w:r>
      <w:r w:rsidR="00A77932" w:rsidRPr="0002056A">
        <w:rPr>
          <w:rFonts w:ascii="Georgia" w:hAnsi="Georgia" w:cs="Times New Roman"/>
          <w:lang w:val="en-GB"/>
        </w:rPr>
        <w:t xml:space="preserve"> the results of this overview based on scientific and grey literature </w:t>
      </w:r>
      <w:r w:rsidR="00A24E81" w:rsidRPr="0002056A">
        <w:rPr>
          <w:rFonts w:ascii="Georgia" w:hAnsi="Georgia" w:cs="Times New Roman"/>
          <w:lang w:val="en-GB"/>
        </w:rPr>
        <w:t>items</w:t>
      </w:r>
      <w:r w:rsidR="00A77932" w:rsidRPr="0002056A">
        <w:rPr>
          <w:rFonts w:ascii="Georgia" w:hAnsi="Georgia" w:cs="Times New Roman"/>
          <w:lang w:val="en-GB"/>
        </w:rPr>
        <w:t xml:space="preserve"> and my related development policy experience. I also reviewed the </w:t>
      </w:r>
      <w:r w:rsidR="00A77932" w:rsidRPr="0002056A">
        <w:rPr>
          <w:rFonts w:ascii="Georgia" w:hAnsi="Georgia" w:cs="Times New Roman"/>
          <w:i/>
          <w:iCs/>
          <w:lang w:val="en-GB"/>
        </w:rPr>
        <w:t>timely evolution of the policy field</w:t>
      </w:r>
      <w:r w:rsidR="00A77932" w:rsidRPr="0002056A">
        <w:rPr>
          <w:rFonts w:ascii="Georgia" w:hAnsi="Georgia" w:cs="Times New Roman"/>
          <w:lang w:val="en-GB"/>
        </w:rPr>
        <w:t xml:space="preserve"> </w:t>
      </w:r>
      <w:r w:rsidR="00A24E81" w:rsidRPr="0002056A">
        <w:rPr>
          <w:rFonts w:ascii="Georgia" w:hAnsi="Georgia" w:cs="Times New Roman"/>
          <w:lang w:val="en-GB"/>
        </w:rPr>
        <w:t>(Chapter 3.3.1</w:t>
      </w:r>
      <w:r w:rsidR="00486DF5">
        <w:rPr>
          <w:rFonts w:ascii="Georgia" w:hAnsi="Georgia" w:cs="Times New Roman"/>
          <w:lang w:val="en-GB"/>
        </w:rPr>
        <w:t xml:space="preserve">) as well as </w:t>
      </w:r>
      <w:r w:rsidR="00486DF5" w:rsidRPr="009F4027">
        <w:rPr>
          <w:rFonts w:ascii="Georgia" w:hAnsi="Georgia" w:cs="Times New Roman"/>
          <w:i/>
          <w:iCs/>
          <w:lang w:val="en-GB"/>
        </w:rPr>
        <w:t>its main spatial levels</w:t>
      </w:r>
      <w:r w:rsidR="00486DF5">
        <w:rPr>
          <w:rFonts w:ascii="Georgia" w:hAnsi="Georgia" w:cs="Times New Roman"/>
          <w:lang w:val="en-GB"/>
        </w:rPr>
        <w:t xml:space="preserve"> (Chapter 3.4.2) as the </w:t>
      </w:r>
      <w:r w:rsidR="00A77932" w:rsidRPr="0002056A">
        <w:rPr>
          <w:rFonts w:ascii="Georgia" w:hAnsi="Georgia" w:cs="Times New Roman"/>
          <w:lang w:val="en-GB"/>
        </w:rPr>
        <w:t xml:space="preserve">most important scenes of adaptation activities and planning. The central part of the literature review dealt with </w:t>
      </w:r>
      <w:r w:rsidR="00A77932" w:rsidRPr="0002056A">
        <w:rPr>
          <w:rFonts w:ascii="Georgia" w:hAnsi="Georgia" w:cs="Times New Roman"/>
          <w:i/>
          <w:iCs/>
          <w:lang w:val="en-GB"/>
        </w:rPr>
        <w:t>spatiality and spatial, territorial emphases, approaches in adaptation policy</w:t>
      </w:r>
      <w:r w:rsidR="00BD6ABD" w:rsidRPr="0002056A">
        <w:rPr>
          <w:rFonts w:ascii="Georgia" w:hAnsi="Georgia" w:cs="Times New Roman"/>
          <w:i/>
          <w:iCs/>
          <w:lang w:val="en-GB"/>
        </w:rPr>
        <w:t xml:space="preserve"> </w:t>
      </w:r>
      <w:r w:rsidR="00BD6ABD" w:rsidRPr="0002056A">
        <w:rPr>
          <w:rFonts w:ascii="Georgia" w:hAnsi="Georgia" w:cs="Times New Roman"/>
          <w:lang w:val="en-GB"/>
        </w:rPr>
        <w:t>(Chapter 3.4)</w:t>
      </w:r>
      <w:r w:rsidR="00A77932" w:rsidRPr="0002056A">
        <w:rPr>
          <w:rFonts w:ascii="Georgia" w:hAnsi="Georgia" w:cs="Times New Roman"/>
          <w:i/>
          <w:iCs/>
          <w:lang w:val="en-GB"/>
        </w:rPr>
        <w:t xml:space="preserve">, </w:t>
      </w:r>
      <w:r w:rsidR="00A77932" w:rsidRPr="0002056A">
        <w:rPr>
          <w:rFonts w:ascii="Georgia" w:hAnsi="Georgia" w:cs="Times New Roman"/>
          <w:lang w:val="en-GB"/>
        </w:rPr>
        <w:t xml:space="preserve">and the </w:t>
      </w:r>
      <w:r w:rsidR="00A77932" w:rsidRPr="0002056A">
        <w:rPr>
          <w:rFonts w:ascii="Georgia" w:hAnsi="Georgia" w:cs="Times New Roman"/>
          <w:i/>
          <w:iCs/>
          <w:lang w:val="en-GB"/>
        </w:rPr>
        <w:t>connection between the two fields.</w:t>
      </w:r>
      <w:r w:rsidR="00A77932" w:rsidRPr="0002056A">
        <w:rPr>
          <w:rFonts w:ascii="Georgia" w:hAnsi="Georgia" w:cs="Times New Roman"/>
          <w:lang w:val="en-GB"/>
        </w:rPr>
        <w:t xml:space="preserve"> I especially collected information about </w:t>
      </w:r>
      <w:r w:rsidR="00A77932" w:rsidRPr="0002056A">
        <w:rPr>
          <w:rFonts w:ascii="Georgia" w:hAnsi="Georgia" w:cs="Times New Roman"/>
          <w:i/>
          <w:iCs/>
          <w:lang w:val="en-GB"/>
        </w:rPr>
        <w:t>linkages between climate adaptation and (spatial) strategic planning</w:t>
      </w:r>
      <w:r w:rsidR="00335E31" w:rsidRPr="0002056A">
        <w:rPr>
          <w:rFonts w:ascii="Georgia" w:hAnsi="Georgia" w:cs="Times New Roman"/>
          <w:i/>
          <w:iCs/>
          <w:lang w:val="en-GB"/>
        </w:rPr>
        <w:t xml:space="preserve"> </w:t>
      </w:r>
      <w:r w:rsidR="00335E31" w:rsidRPr="0002056A">
        <w:rPr>
          <w:rFonts w:ascii="Georgia" w:hAnsi="Georgia" w:cs="Times New Roman"/>
          <w:lang w:val="en-GB"/>
        </w:rPr>
        <w:t>(Chapter 3.4.1.1.1)</w:t>
      </w:r>
      <w:r w:rsidR="00A77932" w:rsidRPr="0002056A">
        <w:rPr>
          <w:rFonts w:ascii="Georgia" w:hAnsi="Georgia" w:cs="Times New Roman"/>
          <w:lang w:val="en-GB"/>
        </w:rPr>
        <w:t xml:space="preserve">. Finally, to find a proper definition for </w:t>
      </w:r>
      <w:r w:rsidR="00486DF5">
        <w:rPr>
          <w:rFonts w:ascii="Georgia" w:hAnsi="Georgia" w:cs="Times New Roman"/>
          <w:lang w:val="en-GB"/>
        </w:rPr>
        <w:t xml:space="preserve">the </w:t>
      </w:r>
      <w:r w:rsidR="00A77932" w:rsidRPr="0002056A">
        <w:rPr>
          <w:rFonts w:ascii="Georgia" w:hAnsi="Georgia" w:cs="Times New Roman"/>
          <w:lang w:val="en-GB"/>
        </w:rPr>
        <w:t>spatial</w:t>
      </w:r>
      <w:r w:rsidR="0007488B">
        <w:rPr>
          <w:rFonts w:ascii="Georgia" w:hAnsi="Georgia" w:cs="Times New Roman"/>
          <w:lang w:val="en-GB"/>
        </w:rPr>
        <w:t>ity in</w:t>
      </w:r>
      <w:r w:rsidR="00A77932" w:rsidRPr="0002056A">
        <w:rPr>
          <w:rFonts w:ascii="Georgia" w:hAnsi="Georgia" w:cs="Times New Roman"/>
          <w:lang w:val="en-GB"/>
        </w:rPr>
        <w:t xml:space="preserve"> adaptation and the analysed activities’ sensitivity to these dimensions, </w:t>
      </w:r>
      <w:r w:rsidR="00335E31" w:rsidRPr="0002056A">
        <w:rPr>
          <w:rFonts w:ascii="Georgia" w:hAnsi="Georgia" w:cs="Times New Roman"/>
          <w:lang w:val="en-GB"/>
        </w:rPr>
        <w:t>Chapter 3.6.</w:t>
      </w:r>
      <w:r w:rsidR="00A77932" w:rsidRPr="0002056A">
        <w:rPr>
          <w:rFonts w:ascii="Georgia" w:hAnsi="Georgia" w:cs="Times New Roman"/>
          <w:lang w:val="en-GB"/>
        </w:rPr>
        <w:t xml:space="preserve"> analyse</w:t>
      </w:r>
      <w:r w:rsidR="00335E31" w:rsidRPr="0002056A">
        <w:rPr>
          <w:rFonts w:ascii="Georgia" w:hAnsi="Georgia" w:cs="Times New Roman"/>
          <w:lang w:val="en-GB"/>
        </w:rPr>
        <w:t>s</w:t>
      </w:r>
      <w:r w:rsidR="00A77932" w:rsidRPr="0002056A">
        <w:rPr>
          <w:rFonts w:ascii="Georgia" w:hAnsi="Georgia" w:cs="Times New Roman"/>
          <w:lang w:val="en-GB"/>
        </w:rPr>
        <w:t xml:space="preserve"> the above-mentioned </w:t>
      </w:r>
      <w:r w:rsidR="00A77932" w:rsidRPr="0002056A">
        <w:rPr>
          <w:rFonts w:ascii="Georgia" w:hAnsi="Georgia" w:cs="Times New Roman"/>
          <w:i/>
          <w:iCs/>
          <w:lang w:val="en-GB"/>
        </w:rPr>
        <w:t>space-oriented disciplines’ space interpretations</w:t>
      </w:r>
      <w:r w:rsidR="00A77932" w:rsidRPr="0002056A">
        <w:rPr>
          <w:rFonts w:ascii="Georgia" w:hAnsi="Georgia" w:cs="Times New Roman"/>
          <w:lang w:val="en-GB"/>
        </w:rPr>
        <w:t xml:space="preserve"> (Figure </w:t>
      </w:r>
      <w:r w:rsidR="002A1000">
        <w:rPr>
          <w:rFonts w:ascii="Georgia" w:hAnsi="Georgia" w:cs="Times New Roman"/>
          <w:lang w:val="en-GB"/>
        </w:rPr>
        <w:t>2</w:t>
      </w:r>
      <w:r w:rsidR="00A77932" w:rsidRPr="0002056A">
        <w:rPr>
          <w:rFonts w:ascii="Georgia" w:hAnsi="Georgia" w:cs="Times New Roman"/>
          <w:lang w:val="en-GB"/>
        </w:rPr>
        <w:t>).</w:t>
      </w:r>
    </w:p>
    <w:p w14:paraId="596C8231" w14:textId="77777777" w:rsidR="00A77932" w:rsidRPr="0002056A" w:rsidRDefault="00A77932" w:rsidP="00A77932">
      <w:pPr>
        <w:spacing w:before="120" w:afterLines="120" w:after="288" w:line="240" w:lineRule="auto"/>
        <w:jc w:val="both"/>
        <w:rPr>
          <w:rFonts w:ascii="Georgia" w:hAnsi="Georgia" w:cs="Times New Roman"/>
          <w:lang w:val="en-GB"/>
        </w:rPr>
      </w:pPr>
      <w:r w:rsidRPr="0002056A">
        <w:rPr>
          <w:rFonts w:ascii="Georgia" w:hAnsi="Georgia" w:cs="Times New Roman"/>
          <w:noProof/>
          <w:lang w:val="en-GB"/>
          <w14:ligatures w14:val="standardContextual"/>
        </w:rPr>
        <w:drawing>
          <wp:inline distT="0" distB="0" distL="0" distR="0" wp14:anchorId="091BEF6F" wp14:editId="0FBD3863">
            <wp:extent cx="5760720" cy="2929890"/>
            <wp:effectExtent l="0" t="0" r="0" b="3810"/>
            <wp:docPr id="1849246826" name="Kép 1" descr="A képen szöveg, képernyőkép, Betűtípus, so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46826" name="Kép 1" descr="A képen szöveg, képernyőkép, Betűtípus, sor látható&#10;&#10;Előfordulhat, hogy az AI által létrehozott tartalom helytele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929890"/>
                    </a:xfrm>
                    <a:prstGeom prst="rect">
                      <a:avLst/>
                    </a:prstGeom>
                  </pic:spPr>
                </pic:pic>
              </a:graphicData>
            </a:graphic>
          </wp:inline>
        </w:drawing>
      </w:r>
    </w:p>
    <w:p w14:paraId="32CB718F" w14:textId="3821E0D8" w:rsidR="00A77932" w:rsidRPr="0002056A" w:rsidRDefault="00A77932" w:rsidP="00A77932">
      <w:pPr>
        <w:spacing w:before="120" w:after="120" w:line="240" w:lineRule="auto"/>
        <w:jc w:val="center"/>
        <w:rPr>
          <w:rFonts w:ascii="Georgia" w:hAnsi="Georgia"/>
          <w:i/>
          <w:sz w:val="16"/>
          <w:szCs w:val="16"/>
          <w:lang w:val="en-GB"/>
        </w:rPr>
      </w:pPr>
      <w:r w:rsidRPr="0002056A">
        <w:rPr>
          <w:rFonts w:ascii="Georgia" w:hAnsi="Georgia"/>
          <w:b/>
          <w:sz w:val="16"/>
          <w:szCs w:val="16"/>
          <w:lang w:val="en-GB"/>
        </w:rPr>
        <w:t xml:space="preserve">Figure </w:t>
      </w:r>
      <w:r w:rsidR="00543FEE" w:rsidRPr="0002056A">
        <w:rPr>
          <w:rFonts w:ascii="Georgia" w:hAnsi="Georgia"/>
          <w:b/>
          <w:sz w:val="16"/>
          <w:szCs w:val="16"/>
          <w:lang w:val="en-GB"/>
        </w:rPr>
        <w:t>2</w:t>
      </w:r>
      <w:r w:rsidRPr="0002056A">
        <w:rPr>
          <w:rFonts w:ascii="Georgia" w:hAnsi="Georgia"/>
          <w:b/>
          <w:sz w:val="16"/>
          <w:szCs w:val="16"/>
          <w:lang w:val="en-GB"/>
        </w:rPr>
        <w:t xml:space="preserve">: Main components of the </w:t>
      </w:r>
      <w:r w:rsidR="00216AD0" w:rsidRPr="0002056A">
        <w:rPr>
          <w:rFonts w:ascii="Georgia" w:hAnsi="Georgia"/>
          <w:b/>
          <w:sz w:val="16"/>
          <w:szCs w:val="16"/>
          <w:lang w:val="en-GB"/>
        </w:rPr>
        <w:t>literature</w:t>
      </w:r>
      <w:r w:rsidRPr="0002056A">
        <w:rPr>
          <w:rFonts w:ascii="Georgia" w:hAnsi="Georgia"/>
          <w:b/>
          <w:sz w:val="16"/>
          <w:szCs w:val="16"/>
          <w:lang w:val="en-GB"/>
        </w:rPr>
        <w:t xml:space="preserve"> review. </w:t>
      </w:r>
      <w:r w:rsidRPr="0002056A">
        <w:rPr>
          <w:rFonts w:ascii="Georgia" w:hAnsi="Georgia"/>
          <w:i/>
          <w:sz w:val="16"/>
          <w:szCs w:val="16"/>
          <w:lang w:val="en-GB"/>
        </w:rPr>
        <w:t>Source: own editing.</w:t>
      </w:r>
    </w:p>
    <w:p w14:paraId="711AD200" w14:textId="48F60656" w:rsidR="00A77932" w:rsidRPr="0002056A" w:rsidRDefault="00A77932" w:rsidP="00CD5BF3">
      <w:pPr>
        <w:spacing w:before="120" w:after="120"/>
        <w:jc w:val="both"/>
        <w:rPr>
          <w:rFonts w:ascii="Georgia" w:hAnsi="Georgia"/>
          <w:lang w:val="en-GB"/>
        </w:rPr>
      </w:pPr>
      <w:r w:rsidRPr="0002056A">
        <w:rPr>
          <w:rFonts w:ascii="Georgia" w:hAnsi="Georgia"/>
          <w:bCs/>
          <w:lang w:val="en-GB"/>
        </w:rPr>
        <w:t>The principal subject</w:t>
      </w:r>
      <w:r w:rsidR="00B0218D" w:rsidRPr="0002056A">
        <w:rPr>
          <w:rFonts w:ascii="Georgia" w:hAnsi="Georgia"/>
          <w:bCs/>
          <w:lang w:val="en-GB"/>
        </w:rPr>
        <w:t>s</w:t>
      </w:r>
      <w:r w:rsidRPr="0002056A">
        <w:rPr>
          <w:rFonts w:ascii="Georgia" w:hAnsi="Georgia"/>
          <w:bCs/>
          <w:lang w:val="en-GB"/>
        </w:rPr>
        <w:t xml:space="preserve"> of the dissertation </w:t>
      </w:r>
      <w:r w:rsidR="00B0218D" w:rsidRPr="0002056A">
        <w:rPr>
          <w:rFonts w:ascii="Georgia" w:hAnsi="Georgia"/>
          <w:bCs/>
          <w:lang w:val="en-GB"/>
        </w:rPr>
        <w:t>are</w:t>
      </w:r>
      <w:r w:rsidRPr="0002056A">
        <w:rPr>
          <w:rFonts w:ascii="Georgia" w:hAnsi="Georgia"/>
          <w:bCs/>
          <w:lang w:val="en-GB"/>
        </w:rPr>
        <w:t xml:space="preserve"> national climate adaptation policy activities, instruments in European countries, with special focus on their spatial contents. Consequently, </w:t>
      </w:r>
      <w:r w:rsidRPr="0002056A">
        <w:rPr>
          <w:rFonts w:ascii="Georgia" w:hAnsi="Georgia"/>
          <w:b/>
          <w:lang w:val="en-GB"/>
        </w:rPr>
        <w:t xml:space="preserve">climate adaptation policy-related planning, monitoring, reporting and evaluation (MRE) </w:t>
      </w:r>
      <w:r w:rsidRPr="0002056A">
        <w:rPr>
          <w:rFonts w:ascii="Georgia" w:hAnsi="Georgia"/>
          <w:lang w:val="en-GB"/>
        </w:rPr>
        <w:t xml:space="preserve">are in the centre of my research interest, </w:t>
      </w:r>
      <w:r w:rsidRPr="0002056A">
        <w:rPr>
          <w:rFonts w:ascii="Georgia" w:hAnsi="Georgia"/>
          <w:b/>
          <w:lang w:val="en-GB"/>
        </w:rPr>
        <w:t>positioned</w:t>
      </w:r>
      <w:r w:rsidRPr="0002056A">
        <w:rPr>
          <w:rFonts w:ascii="Georgia" w:hAnsi="Georgia"/>
          <w:lang w:val="en-GB"/>
        </w:rPr>
        <w:t xml:space="preserve"> </w:t>
      </w:r>
      <w:r w:rsidRPr="0002056A">
        <w:rPr>
          <w:rFonts w:ascii="Georgia" w:hAnsi="Georgia"/>
          <w:b/>
          <w:lang w:val="en-GB"/>
        </w:rPr>
        <w:t>in the intersection of research areas;</w:t>
      </w:r>
      <w:r w:rsidRPr="0002056A">
        <w:rPr>
          <w:rFonts w:ascii="Georgia" w:hAnsi="Georgia"/>
          <w:lang w:val="en-GB"/>
        </w:rPr>
        <w:t xml:space="preserve"> there are many topics, theories, schools that are related to the topic. </w:t>
      </w:r>
      <w:r w:rsidRPr="0002056A">
        <w:rPr>
          <w:rFonts w:ascii="Georgia" w:hAnsi="Georgia"/>
          <w:b/>
          <w:lang w:val="en-GB"/>
        </w:rPr>
        <w:t xml:space="preserve">I basically used a space-interpretation-centred approach during the </w:t>
      </w:r>
      <w:r w:rsidRPr="0002056A">
        <w:rPr>
          <w:rFonts w:ascii="Georgia" w:hAnsi="Georgia"/>
          <w:b/>
          <w:lang w:val="en-GB"/>
        </w:rPr>
        <w:lastRenderedPageBreak/>
        <w:t xml:space="preserve">research, </w:t>
      </w:r>
      <w:r w:rsidR="00486DF5">
        <w:rPr>
          <w:rFonts w:ascii="Georgia" w:hAnsi="Georgia"/>
          <w:bCs/>
          <w:lang w:val="en-GB"/>
        </w:rPr>
        <w:t>drawing on different disciplines to identify, from their perspectives, the “</w:t>
      </w:r>
      <w:r w:rsidR="00486DF5" w:rsidRPr="009F4027">
        <w:rPr>
          <w:rFonts w:ascii="Georgia" w:hAnsi="Georgia"/>
          <w:bCs/>
          <w:i/>
          <w:iCs/>
          <w:lang w:val="en-GB"/>
        </w:rPr>
        <w:t>geographical</w:t>
      </w:r>
      <w:r w:rsidR="00486DF5">
        <w:rPr>
          <w:rFonts w:ascii="Georgia" w:hAnsi="Georgia"/>
          <w:bCs/>
          <w:lang w:val="en-GB"/>
        </w:rPr>
        <w:t>” and “</w:t>
      </w:r>
      <w:r w:rsidR="00486DF5" w:rsidRPr="009F4027">
        <w:rPr>
          <w:rFonts w:ascii="Georgia" w:hAnsi="Georgia"/>
          <w:bCs/>
          <w:i/>
          <w:iCs/>
          <w:lang w:val="en-GB"/>
        </w:rPr>
        <w:t>spatial</w:t>
      </w:r>
      <w:r w:rsidR="00486DF5">
        <w:rPr>
          <w:rFonts w:ascii="Georgia" w:hAnsi="Georgia"/>
          <w:bCs/>
          <w:lang w:val="en-GB"/>
        </w:rPr>
        <w:t xml:space="preserve">” dimensions and the </w:t>
      </w:r>
      <w:r w:rsidRPr="0002056A">
        <w:rPr>
          <w:rFonts w:ascii="Georgia" w:hAnsi="Georgia"/>
          <w:bCs/>
          <w:lang w:val="en-GB"/>
        </w:rPr>
        <w:t>“</w:t>
      </w:r>
      <w:r w:rsidRPr="0002056A">
        <w:rPr>
          <w:rFonts w:ascii="Georgia" w:hAnsi="Georgia"/>
          <w:bCs/>
          <w:i/>
          <w:iCs/>
          <w:lang w:val="en-GB"/>
        </w:rPr>
        <w:t>sensitivity</w:t>
      </w:r>
      <w:r w:rsidRPr="0002056A">
        <w:rPr>
          <w:rFonts w:ascii="Georgia" w:hAnsi="Georgia"/>
          <w:bCs/>
          <w:lang w:val="en-GB"/>
        </w:rPr>
        <w:t xml:space="preserve">” to </w:t>
      </w:r>
      <w:r w:rsidR="005469D5" w:rsidRPr="0002056A">
        <w:rPr>
          <w:rFonts w:ascii="Georgia" w:hAnsi="Georgia"/>
          <w:bCs/>
          <w:lang w:val="en-GB"/>
        </w:rPr>
        <w:t>these dimensions</w:t>
      </w:r>
      <w:r w:rsidRPr="0002056A">
        <w:rPr>
          <w:rFonts w:ascii="Georgia" w:hAnsi="Georgia"/>
          <w:bCs/>
          <w:lang w:val="en-GB"/>
        </w:rPr>
        <w:t>.</w:t>
      </w:r>
      <w:r w:rsidRPr="0002056A">
        <w:rPr>
          <w:rFonts w:ascii="Georgia" w:hAnsi="Georgia"/>
          <w:lang w:val="en-GB"/>
        </w:rPr>
        <w:t xml:space="preserve"> Beyond classic space-oriented disciplines (geography in general and especially its social/economic sub-branches; regional studies such as regional geography and regional economics; governance and administration studies, IR, geopolitics, etc.), even some practice-oriented fields (regional development policy, strategic planning) have also been used to support the basic theoretical foundations of the research and assign elements of the analytical aspect system that serves as a central element of the empirical phase of my work.</w:t>
      </w:r>
    </w:p>
    <w:p w14:paraId="2CF735D3" w14:textId="4B820670" w:rsidR="00A77932" w:rsidRPr="0002056A" w:rsidRDefault="00A77932" w:rsidP="00CD5BF3">
      <w:pPr>
        <w:spacing w:before="60" w:after="60"/>
        <w:jc w:val="both"/>
        <w:rPr>
          <w:rFonts w:ascii="Georgia" w:hAnsi="Georgia" w:cs="Times New Roman"/>
          <w:lang w:val="en-GB"/>
        </w:rPr>
      </w:pPr>
      <w:r w:rsidRPr="0002056A">
        <w:rPr>
          <w:rFonts w:ascii="Georgia" w:hAnsi="Georgia" w:cs="Times New Roman"/>
          <w:color w:val="000000"/>
          <w:lang w:val="en-GB"/>
        </w:rPr>
        <w:t>In the several literature review phases</w:t>
      </w:r>
      <w:r w:rsidR="00486DF5">
        <w:rPr>
          <w:rFonts w:ascii="Georgia" w:hAnsi="Georgia" w:cs="Times New Roman"/>
          <w:color w:val="000000"/>
          <w:lang w:val="en-GB"/>
        </w:rPr>
        <w:t>,</w:t>
      </w:r>
      <w:r w:rsidRPr="0002056A">
        <w:rPr>
          <w:rFonts w:ascii="Georgia" w:hAnsi="Georgia" w:cs="Times New Roman"/>
          <w:color w:val="000000"/>
          <w:lang w:val="en-GB"/>
        </w:rPr>
        <w:t xml:space="preserve"> </w:t>
      </w:r>
      <w:r w:rsidRPr="0002056A">
        <w:rPr>
          <w:rFonts w:ascii="Georgia" w:hAnsi="Georgia" w:cs="Times New Roman"/>
          <w:lang w:val="en-GB"/>
        </w:rPr>
        <w:t xml:space="preserve">I have collected cca. 250 pieces of literature. Most of the authors are from the USA and </w:t>
      </w:r>
      <w:r w:rsidR="00486DF5">
        <w:rPr>
          <w:rFonts w:ascii="Georgia" w:hAnsi="Georgia" w:cs="Times New Roman"/>
          <w:lang w:val="en-GB"/>
        </w:rPr>
        <w:t xml:space="preserve">Western and North-Western Europe, principally from the Netherlands, the United Kingdom and Germany, clearly showing which nations are the leading </w:t>
      </w:r>
      <w:r w:rsidR="003103F7">
        <w:rPr>
          <w:rFonts w:ascii="Georgia" w:hAnsi="Georgia" w:cs="Times New Roman"/>
          <w:lang w:val="en-GB"/>
        </w:rPr>
        <w:t>ones</w:t>
      </w:r>
      <w:r w:rsidR="00486DF5">
        <w:rPr>
          <w:rFonts w:ascii="Georgia" w:hAnsi="Georgia" w:cs="Times New Roman"/>
          <w:lang w:val="en-GB"/>
        </w:rPr>
        <w:t xml:space="preserve"> </w:t>
      </w:r>
      <w:r w:rsidRPr="0002056A">
        <w:rPr>
          <w:rFonts w:ascii="Georgia" w:hAnsi="Georgia" w:cs="Times New Roman"/>
          <w:lang w:val="en-GB"/>
        </w:rPr>
        <w:t xml:space="preserve">in the </w:t>
      </w:r>
      <w:r w:rsidR="00216AD0" w:rsidRPr="0002056A">
        <w:rPr>
          <w:rFonts w:ascii="Georgia" w:hAnsi="Georgia" w:cs="Times New Roman"/>
          <w:lang w:val="en-GB"/>
        </w:rPr>
        <w:t>analysed</w:t>
      </w:r>
      <w:r w:rsidRPr="0002056A">
        <w:rPr>
          <w:rFonts w:ascii="Georgia" w:hAnsi="Georgia" w:cs="Times New Roman"/>
          <w:lang w:val="en-GB"/>
        </w:rPr>
        <w:t xml:space="preserve"> policy field</w:t>
      </w:r>
      <w:r w:rsidR="00384B36" w:rsidRPr="0002056A">
        <w:rPr>
          <w:rFonts w:ascii="Georgia" w:hAnsi="Georgia" w:cs="Times New Roman"/>
          <w:lang w:val="en-GB"/>
        </w:rPr>
        <w:t xml:space="preserve"> (Figure 3)</w:t>
      </w:r>
      <w:r w:rsidRPr="0002056A">
        <w:rPr>
          <w:rFonts w:ascii="Georgia" w:hAnsi="Georgia" w:cs="Times New Roman"/>
          <w:lang w:val="en-GB"/>
        </w:rPr>
        <w:t xml:space="preserve">. Authors like </w:t>
      </w:r>
      <w:r w:rsidRPr="0002056A">
        <w:rPr>
          <w:rFonts w:ascii="Georgia" w:hAnsi="Georgia" w:cs="Times New Roman"/>
          <w:smallCaps/>
          <w:lang w:val="en-GB"/>
        </w:rPr>
        <w:t>Stefan Greiving</w:t>
      </w:r>
      <w:r w:rsidRPr="0002056A">
        <w:rPr>
          <w:rFonts w:ascii="Georgia" w:hAnsi="Georgia" w:cs="Times New Roman"/>
          <w:lang w:val="en-GB"/>
        </w:rPr>
        <w:t xml:space="preserve"> and </w:t>
      </w:r>
      <w:r w:rsidRPr="0002056A">
        <w:rPr>
          <w:rFonts w:ascii="Georgia" w:hAnsi="Georgia" w:cs="Times New Roman"/>
          <w:smallCaps/>
          <w:lang w:val="en-GB"/>
        </w:rPr>
        <w:t>Markus Fleischhauer</w:t>
      </w:r>
      <w:r w:rsidRPr="0002056A">
        <w:rPr>
          <w:rFonts w:ascii="Georgia" w:hAnsi="Georgia" w:cs="Times New Roman"/>
          <w:lang w:val="en-GB"/>
        </w:rPr>
        <w:t xml:space="preserve">, </w:t>
      </w:r>
      <w:r w:rsidRPr="0002056A">
        <w:rPr>
          <w:rFonts w:ascii="Georgia" w:hAnsi="Georgia" w:cs="Times New Roman"/>
          <w:smallCaps/>
          <w:lang w:val="en-GB"/>
        </w:rPr>
        <w:t>Timo Leiter</w:t>
      </w:r>
      <w:r w:rsidR="00FD4897" w:rsidRPr="0002056A">
        <w:rPr>
          <w:rFonts w:ascii="Georgia" w:hAnsi="Georgia" w:cs="Times New Roman"/>
          <w:smallCaps/>
          <w:lang w:val="en-GB"/>
        </w:rPr>
        <w:t xml:space="preserve"> </w:t>
      </w:r>
      <w:r w:rsidR="00FD4897" w:rsidRPr="0002056A">
        <w:rPr>
          <w:rFonts w:ascii="Georgia" w:hAnsi="Georgia" w:cs="Times New Roman"/>
          <w:lang w:val="en-GB"/>
        </w:rPr>
        <w:t>(all from Germany)</w:t>
      </w:r>
      <w:r w:rsidRPr="0002056A">
        <w:rPr>
          <w:rFonts w:ascii="Georgia" w:hAnsi="Georgia" w:cs="Times New Roman"/>
          <w:lang w:val="en-GB"/>
        </w:rPr>
        <w:t xml:space="preserve">, </w:t>
      </w:r>
      <w:r w:rsidRPr="0002056A">
        <w:rPr>
          <w:rFonts w:ascii="Georgia" w:hAnsi="Georgia" w:cs="Times New Roman"/>
          <w:smallCaps/>
          <w:lang w:val="en-GB"/>
        </w:rPr>
        <w:t>Mike Harley, Patrick Pringle</w:t>
      </w:r>
      <w:r w:rsidR="00FD4897" w:rsidRPr="0002056A">
        <w:rPr>
          <w:rFonts w:ascii="Georgia" w:hAnsi="Georgia" w:cs="Times New Roman"/>
          <w:smallCaps/>
          <w:lang w:val="en-GB"/>
        </w:rPr>
        <w:t xml:space="preserve"> </w:t>
      </w:r>
      <w:r w:rsidR="00FD4897" w:rsidRPr="0002056A">
        <w:rPr>
          <w:rFonts w:ascii="Georgia" w:hAnsi="Georgia" w:cs="Times New Roman"/>
          <w:lang w:val="en-GB"/>
        </w:rPr>
        <w:t>(United Kingdom)</w:t>
      </w:r>
      <w:r w:rsidRPr="0002056A">
        <w:rPr>
          <w:rFonts w:ascii="Georgia" w:hAnsi="Georgia" w:cs="Times New Roman"/>
          <w:smallCaps/>
          <w:lang w:val="en-GB"/>
        </w:rPr>
        <w:t>, Rob Roggema, Jelle G. Van Minnen, Judith Klostermann, Willem Ligtvoet, Kim van Nieuwal</w:t>
      </w:r>
      <w:r w:rsidRPr="0002056A">
        <w:rPr>
          <w:rFonts w:ascii="Georgia" w:hAnsi="Georgia" w:cs="Times New Roman"/>
          <w:lang w:val="en-GB"/>
        </w:rPr>
        <w:t xml:space="preserve"> </w:t>
      </w:r>
      <w:r w:rsidR="00315D65" w:rsidRPr="0002056A">
        <w:rPr>
          <w:rFonts w:ascii="Georgia" w:hAnsi="Georgia" w:cs="Times New Roman"/>
          <w:lang w:val="en-GB"/>
        </w:rPr>
        <w:t xml:space="preserve">(all from the Netherlands) </w:t>
      </w:r>
      <w:r w:rsidRPr="0002056A">
        <w:rPr>
          <w:rFonts w:ascii="Georgia" w:hAnsi="Georgia" w:cs="Times New Roman"/>
          <w:lang w:val="en-GB"/>
        </w:rPr>
        <w:t xml:space="preserve">etc. can be considered as pioneers in climate adaptation policy-oriented studies. If we deepen the analysis into the </w:t>
      </w:r>
      <w:r w:rsidR="00486DF5">
        <w:rPr>
          <w:rFonts w:ascii="Georgia" w:hAnsi="Georgia" w:cs="Times New Roman"/>
          <w:lang w:val="en-GB"/>
        </w:rPr>
        <w:t>theoretical background, definitions, and concepts of planning, monitoring, and evaluation in general, further Dutch, British, and American authors emerge</w:t>
      </w:r>
      <w:r w:rsidRPr="0002056A">
        <w:rPr>
          <w:rFonts w:ascii="Georgia" w:hAnsi="Georgia" w:cs="Times New Roman"/>
          <w:lang w:val="en-GB"/>
        </w:rPr>
        <w:t xml:space="preserve"> in the research (e.g., </w:t>
      </w:r>
      <w:r w:rsidRPr="0002056A">
        <w:rPr>
          <w:rFonts w:ascii="Georgia" w:hAnsi="Georgia" w:cs="Times New Roman"/>
          <w:smallCaps/>
          <w:lang w:val="en-GB"/>
        </w:rPr>
        <w:t xml:space="preserve">Haug, Huitema, McGibb, Bours, Vedung, Haggett, Agnew, </w:t>
      </w:r>
      <w:r w:rsidRPr="0002056A">
        <w:rPr>
          <w:rFonts w:ascii="Georgia" w:hAnsi="Georgia" w:cs="Times New Roman"/>
          <w:lang w:val="en-GB"/>
        </w:rPr>
        <w:t xml:space="preserve">etc.). As further </w:t>
      </w:r>
      <w:r w:rsidR="00315D65" w:rsidRPr="0002056A">
        <w:rPr>
          <w:rFonts w:ascii="Georgia" w:hAnsi="Georgia" w:cs="Times New Roman"/>
          <w:lang w:val="en-GB"/>
        </w:rPr>
        <w:t xml:space="preserve">related </w:t>
      </w:r>
      <w:r w:rsidRPr="0002056A">
        <w:rPr>
          <w:rFonts w:ascii="Georgia" w:hAnsi="Georgia" w:cs="Times New Roman"/>
          <w:lang w:val="en-GB"/>
        </w:rPr>
        <w:t>sub-topics, such as (spatial) governance, geopolitics and IR also emerged in the literature review, again further Western-European</w:t>
      </w:r>
      <w:r w:rsidR="00315D65" w:rsidRPr="0002056A">
        <w:rPr>
          <w:rFonts w:ascii="Georgia" w:hAnsi="Georgia" w:cs="Times New Roman"/>
          <w:lang w:val="en-GB"/>
        </w:rPr>
        <w:t xml:space="preserve"> and</w:t>
      </w:r>
      <w:r w:rsidRPr="0002056A">
        <w:rPr>
          <w:rFonts w:ascii="Georgia" w:hAnsi="Georgia" w:cs="Times New Roman"/>
          <w:lang w:val="en-GB"/>
        </w:rPr>
        <w:t xml:space="preserve"> </w:t>
      </w:r>
      <w:r w:rsidR="00293BBA" w:rsidRPr="0002056A">
        <w:rPr>
          <w:rFonts w:ascii="Georgia" w:hAnsi="Georgia" w:cs="Times New Roman"/>
          <w:lang w:val="en-GB"/>
        </w:rPr>
        <w:t>North American</w:t>
      </w:r>
      <w:r w:rsidRPr="0002056A">
        <w:rPr>
          <w:rFonts w:ascii="Georgia" w:hAnsi="Georgia" w:cs="Times New Roman"/>
          <w:lang w:val="en-GB"/>
        </w:rPr>
        <w:t xml:space="preserve"> authors appear, like </w:t>
      </w:r>
      <w:r w:rsidRPr="0002056A">
        <w:rPr>
          <w:rFonts w:ascii="Georgia" w:hAnsi="Georgia" w:cs="Times New Roman"/>
          <w:smallCaps/>
          <w:lang w:val="en-GB"/>
        </w:rPr>
        <w:t xml:space="preserve">Rosenau, Kelly, Cohen, </w:t>
      </w:r>
      <w:r w:rsidRPr="0002056A">
        <w:rPr>
          <w:rFonts w:ascii="Georgia" w:hAnsi="Georgia" w:cs="Times New Roman"/>
          <w:lang w:val="en-GB"/>
        </w:rPr>
        <w:t>or</w:t>
      </w:r>
      <w:r w:rsidRPr="0002056A">
        <w:rPr>
          <w:rFonts w:ascii="Georgia" w:hAnsi="Georgia" w:cs="Times New Roman"/>
          <w:smallCaps/>
          <w:lang w:val="en-GB"/>
        </w:rPr>
        <w:t xml:space="preserve"> Baylis et al.</w:t>
      </w:r>
      <w:r w:rsidRPr="0002056A">
        <w:rPr>
          <w:rFonts w:ascii="Georgia" w:hAnsi="Georgia" w:cs="Times New Roman"/>
          <w:lang w:val="en-GB"/>
        </w:rPr>
        <w:t xml:space="preserve"> etc. From the field of regional science and regional econom</w:t>
      </w:r>
      <w:r w:rsidR="009F0D70">
        <w:rPr>
          <w:rFonts w:ascii="Georgia" w:hAnsi="Georgia" w:cs="Times New Roman"/>
          <w:lang w:val="en-GB"/>
        </w:rPr>
        <w:t>y</w:t>
      </w:r>
      <w:r w:rsidRPr="0002056A">
        <w:rPr>
          <w:rFonts w:ascii="Georgia" w:hAnsi="Georgia" w:cs="Times New Roman"/>
          <w:lang w:val="en-GB"/>
        </w:rPr>
        <w:t>, social geography and planning studies, even Hungarian authors emerge in greater numbers (</w:t>
      </w:r>
      <w:r w:rsidRPr="0002056A">
        <w:rPr>
          <w:rFonts w:ascii="Georgia" w:hAnsi="Georgia" w:cs="Times New Roman"/>
          <w:smallCaps/>
          <w:lang w:val="en-GB"/>
        </w:rPr>
        <w:t xml:space="preserve">Nemes-Nagy J., Faragó L., </w:t>
      </w:r>
      <w:r w:rsidR="00293BBA" w:rsidRPr="0002056A">
        <w:rPr>
          <w:rFonts w:ascii="Georgia" w:hAnsi="Georgia" w:cs="Times New Roman"/>
          <w:smallCaps/>
          <w:lang w:val="en-GB"/>
        </w:rPr>
        <w:t xml:space="preserve">Korompai A., Kerekes S., Péti M., Salamin G., </w:t>
      </w:r>
      <w:r w:rsidRPr="0002056A">
        <w:rPr>
          <w:rFonts w:ascii="Georgia" w:hAnsi="Georgia" w:cs="Times New Roman"/>
          <w:smallCaps/>
          <w:lang w:val="en-GB"/>
        </w:rPr>
        <w:t>Dusek T., Lengyel I</w:t>
      </w:r>
      <w:r w:rsidRPr="0002056A">
        <w:rPr>
          <w:rFonts w:ascii="Georgia" w:hAnsi="Georgia" w:cs="Times New Roman"/>
          <w:lang w:val="en-GB"/>
        </w:rPr>
        <w:t>.</w:t>
      </w:r>
      <w:r w:rsidRPr="0002056A">
        <w:rPr>
          <w:rFonts w:ascii="Georgia" w:hAnsi="Georgia" w:cs="Times New Roman"/>
          <w:smallCaps/>
          <w:lang w:val="en-GB"/>
        </w:rPr>
        <w:t xml:space="preserve"> </w:t>
      </w:r>
      <w:r w:rsidRPr="0002056A">
        <w:rPr>
          <w:rFonts w:ascii="Georgia" w:hAnsi="Georgia" w:cs="Times New Roman"/>
          <w:lang w:val="en-GB"/>
        </w:rPr>
        <w:t>etc.).</w:t>
      </w:r>
    </w:p>
    <w:p w14:paraId="22D8A1D1" w14:textId="77777777" w:rsidR="00A77932" w:rsidRPr="0002056A" w:rsidRDefault="00A77932" w:rsidP="00A77932">
      <w:pPr>
        <w:spacing w:before="60" w:after="60" w:line="240" w:lineRule="auto"/>
        <w:jc w:val="both"/>
        <w:rPr>
          <w:rFonts w:ascii="Georgia" w:hAnsi="Georgia" w:cs="Times New Roman"/>
          <w:sz w:val="24"/>
          <w:szCs w:val="24"/>
          <w:highlight w:val="yellow"/>
          <w:lang w:val="en-GB"/>
        </w:rPr>
      </w:pPr>
      <w:r w:rsidRPr="0002056A">
        <w:rPr>
          <w:noProof/>
          <w:lang w:val="en-GB"/>
          <w14:ligatures w14:val="standardContextual"/>
        </w:rPr>
        <w:drawing>
          <wp:inline distT="0" distB="0" distL="0" distR="0" wp14:anchorId="6928F73E" wp14:editId="63A1F816">
            <wp:extent cx="5797550" cy="2800350"/>
            <wp:effectExtent l="0" t="0" r="12700" b="0"/>
            <wp:docPr id="1936861880" name="Diagram 1">
              <a:extLst xmlns:a="http://schemas.openxmlformats.org/drawingml/2006/main">
                <a:ext uri="{FF2B5EF4-FFF2-40B4-BE49-F238E27FC236}">
                  <a16:creationId xmlns:a16="http://schemas.microsoft.com/office/drawing/2014/main" id="{637C1D62-1206-A40B-5935-688B687C83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BC4914F" w14:textId="03A8B94F" w:rsidR="00A77932" w:rsidRPr="0002056A" w:rsidRDefault="00A77932" w:rsidP="00A77932">
      <w:pPr>
        <w:pStyle w:val="Kpalrs"/>
        <w:jc w:val="center"/>
        <w:rPr>
          <w:rFonts w:ascii="Georgia" w:hAnsi="Georgia" w:cstheme="minorHAnsi"/>
          <w:color w:val="auto"/>
          <w:sz w:val="16"/>
          <w:szCs w:val="16"/>
          <w:lang w:val="en-GB"/>
        </w:rPr>
      </w:pPr>
      <w:r w:rsidRPr="0002056A">
        <w:rPr>
          <w:rFonts w:ascii="Georgia" w:hAnsi="Georgia"/>
          <w:noProof/>
          <w:color w:val="auto"/>
          <w:sz w:val="16"/>
          <w:szCs w:val="16"/>
          <w:lang w:val="en-GB"/>
        </w:rPr>
        <w:t xml:space="preserve">Figure </w:t>
      </w:r>
      <w:r w:rsidR="00543FEE" w:rsidRPr="0002056A">
        <w:rPr>
          <w:rFonts w:ascii="Georgia" w:hAnsi="Georgia"/>
          <w:noProof/>
          <w:color w:val="auto"/>
          <w:sz w:val="16"/>
          <w:szCs w:val="16"/>
          <w:lang w:val="en-GB"/>
        </w:rPr>
        <w:t>3</w:t>
      </w:r>
      <w:r w:rsidRPr="0002056A">
        <w:rPr>
          <w:rFonts w:ascii="Georgia" w:hAnsi="Georgia"/>
          <w:noProof/>
          <w:color w:val="auto"/>
          <w:sz w:val="16"/>
          <w:szCs w:val="16"/>
          <w:lang w:val="en-GB"/>
        </w:rPr>
        <w:t xml:space="preserve">: The reviewed literature by the nationality of authors. </w:t>
      </w:r>
      <w:r w:rsidRPr="0002056A">
        <w:rPr>
          <w:rFonts w:ascii="Georgia" w:hAnsi="Georgia"/>
          <w:b w:val="0"/>
          <w:i/>
          <w:noProof/>
          <w:color w:val="auto"/>
          <w:sz w:val="16"/>
          <w:szCs w:val="16"/>
          <w:lang w:val="en-GB"/>
        </w:rPr>
        <w:t>Source: own editing.</w:t>
      </w:r>
    </w:p>
    <w:p w14:paraId="6F07815A" w14:textId="2EE8935C" w:rsidR="00A77932" w:rsidRPr="0002056A" w:rsidRDefault="00A77932" w:rsidP="00CD5BF3">
      <w:pPr>
        <w:spacing w:before="120" w:after="120"/>
        <w:jc w:val="both"/>
        <w:rPr>
          <w:rFonts w:ascii="Georgia" w:hAnsi="Georgia" w:cs="Times New Roman"/>
          <w:lang w:val="en-GB"/>
        </w:rPr>
      </w:pPr>
      <w:r w:rsidRPr="0002056A">
        <w:rPr>
          <w:rFonts w:ascii="Georgia" w:hAnsi="Georgia" w:cs="Times New Roman"/>
          <w:lang w:val="en-GB"/>
        </w:rPr>
        <w:t>Climate change / climate policy, especially its adaptation pillar</w:t>
      </w:r>
      <w:r w:rsidR="00486DF5">
        <w:rPr>
          <w:rFonts w:ascii="Georgia" w:hAnsi="Georgia" w:cs="Times New Roman"/>
          <w:lang w:val="en-GB"/>
        </w:rPr>
        <w:t>,</w:t>
      </w:r>
      <w:r w:rsidRPr="0002056A">
        <w:rPr>
          <w:rFonts w:ascii="Georgia" w:hAnsi="Georgia" w:cs="Times New Roman"/>
          <w:lang w:val="en-GB"/>
        </w:rPr>
        <w:t xml:space="preserve"> co</w:t>
      </w:r>
      <w:r w:rsidR="00791B53" w:rsidRPr="0002056A">
        <w:rPr>
          <w:rFonts w:ascii="Georgia" w:hAnsi="Georgia" w:cs="Times New Roman"/>
          <w:lang w:val="en-GB"/>
        </w:rPr>
        <w:t>nstitutes</w:t>
      </w:r>
      <w:r w:rsidRPr="0002056A">
        <w:rPr>
          <w:rFonts w:ascii="Georgia" w:hAnsi="Georgia" w:cs="Times New Roman"/>
          <w:lang w:val="en-GB"/>
        </w:rPr>
        <w:t xml:space="preserve"> a new field of research. Consequently, the year range of the enlisted literature is relatively narrow. Almost all climate adaptation planning- or MRE-oriented materials are from the recent two decades. When I completed the review with topics of planning/MRE in general, spatial and strategic planning and geopolitics or IR, some older articles/books have also appeared (items from the 1990s, 1980s and 1970s) as mostly general strategic planning methodology-</w:t>
      </w:r>
      <w:r w:rsidR="00A074E7" w:rsidRPr="0002056A">
        <w:rPr>
          <w:rFonts w:ascii="Georgia" w:hAnsi="Georgia" w:cs="Times New Roman"/>
          <w:lang w:val="en-GB"/>
        </w:rPr>
        <w:t>related, geopolitical</w:t>
      </w:r>
      <w:r w:rsidRPr="0002056A">
        <w:rPr>
          <w:rFonts w:ascii="Georgia" w:hAnsi="Georgia" w:cs="Times New Roman"/>
          <w:lang w:val="en-GB"/>
        </w:rPr>
        <w:t xml:space="preserve"> position-, or (spatial) governance-oriented theoretical works (Figure </w:t>
      </w:r>
      <w:r w:rsidR="00791B53" w:rsidRPr="0002056A">
        <w:rPr>
          <w:rFonts w:ascii="Georgia" w:hAnsi="Georgia" w:cs="Times New Roman"/>
          <w:lang w:val="en-GB"/>
        </w:rPr>
        <w:t>4</w:t>
      </w:r>
      <w:r w:rsidRPr="0002056A">
        <w:rPr>
          <w:rFonts w:ascii="Georgia" w:hAnsi="Georgia" w:cs="Times New Roman"/>
          <w:lang w:val="en-GB"/>
        </w:rPr>
        <w:t xml:space="preserve">). </w:t>
      </w:r>
    </w:p>
    <w:p w14:paraId="0DFA4B11" w14:textId="77777777" w:rsidR="00A77932" w:rsidRPr="0002056A" w:rsidRDefault="00A77932" w:rsidP="00A77932">
      <w:pPr>
        <w:spacing w:before="120" w:afterLines="120" w:after="288" w:line="240" w:lineRule="auto"/>
        <w:jc w:val="both"/>
        <w:rPr>
          <w:rFonts w:ascii="Georgia" w:hAnsi="Georgia" w:cs="Times New Roman"/>
          <w:lang w:val="en-GB"/>
        </w:rPr>
      </w:pPr>
      <w:r w:rsidRPr="0002056A">
        <w:rPr>
          <w:noProof/>
          <w:lang w:val="en-GB"/>
          <w14:ligatures w14:val="standardContextual"/>
        </w:rPr>
        <w:lastRenderedPageBreak/>
        <w:drawing>
          <wp:inline distT="0" distB="0" distL="0" distR="0" wp14:anchorId="57B759C7" wp14:editId="2FFC15D0">
            <wp:extent cx="5760720" cy="2743200"/>
            <wp:effectExtent l="0" t="0" r="11430" b="0"/>
            <wp:docPr id="1546351050" name="Diagram 1">
              <a:extLst xmlns:a="http://schemas.openxmlformats.org/drawingml/2006/main">
                <a:ext uri="{FF2B5EF4-FFF2-40B4-BE49-F238E27FC236}">
                  <a16:creationId xmlns:a16="http://schemas.microsoft.com/office/drawing/2014/main" id="{B6F4D38E-F299-EAF2-B816-B1AF8DE68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61E77E8" w14:textId="1C785124" w:rsidR="00A77932" w:rsidRPr="0002056A" w:rsidRDefault="00A77932" w:rsidP="00A77932">
      <w:pPr>
        <w:pStyle w:val="Kpalrs"/>
        <w:jc w:val="center"/>
        <w:rPr>
          <w:rFonts w:ascii="Georgia" w:hAnsi="Georgia" w:cstheme="minorHAnsi"/>
          <w:color w:val="auto"/>
          <w:sz w:val="16"/>
          <w:szCs w:val="16"/>
          <w:lang w:val="en-GB"/>
        </w:rPr>
      </w:pPr>
      <w:r w:rsidRPr="0002056A">
        <w:rPr>
          <w:rFonts w:ascii="Georgia" w:hAnsi="Georgia"/>
          <w:color w:val="auto"/>
          <w:sz w:val="16"/>
          <w:szCs w:val="16"/>
          <w:lang w:val="en-GB"/>
        </w:rPr>
        <w:t>Figure</w:t>
      </w:r>
      <w:r w:rsidR="00543FEE" w:rsidRPr="0002056A">
        <w:rPr>
          <w:rFonts w:ascii="Georgia" w:hAnsi="Georgia"/>
          <w:color w:val="auto"/>
          <w:sz w:val="16"/>
          <w:szCs w:val="16"/>
          <w:lang w:val="en-GB"/>
        </w:rPr>
        <w:t xml:space="preserve"> 4</w:t>
      </w:r>
      <w:r w:rsidRPr="0002056A">
        <w:rPr>
          <w:rFonts w:ascii="Georgia" w:hAnsi="Georgia"/>
          <w:color w:val="auto"/>
          <w:sz w:val="16"/>
          <w:szCs w:val="16"/>
          <w:lang w:val="en-GB"/>
        </w:rPr>
        <w:t xml:space="preserve">: The reviewed literature by year of publishing. </w:t>
      </w:r>
      <w:r w:rsidRPr="0002056A">
        <w:rPr>
          <w:rFonts w:ascii="Georgia" w:hAnsi="Georgia"/>
          <w:b w:val="0"/>
          <w:i/>
          <w:noProof/>
          <w:color w:val="auto"/>
          <w:sz w:val="16"/>
          <w:szCs w:val="16"/>
          <w:lang w:val="en-GB"/>
        </w:rPr>
        <w:t>Source: own editing.</w:t>
      </w:r>
    </w:p>
    <w:p w14:paraId="69EAE9FA" w14:textId="28FB5D1E" w:rsidR="00A77932" w:rsidRPr="0002056A" w:rsidRDefault="00A77932" w:rsidP="00CD5BF3">
      <w:pPr>
        <w:spacing w:before="120" w:after="0"/>
        <w:jc w:val="both"/>
        <w:rPr>
          <w:rFonts w:ascii="Georgia" w:hAnsi="Georgia" w:cs="Times New Roman"/>
          <w:lang w:val="en-GB"/>
        </w:rPr>
      </w:pPr>
      <w:r w:rsidRPr="0002056A">
        <w:rPr>
          <w:rFonts w:ascii="Georgia" w:hAnsi="Georgia" w:cs="Times New Roman"/>
          <w:lang w:val="en-GB"/>
        </w:rPr>
        <w:t xml:space="preserve">The </w:t>
      </w:r>
      <w:r w:rsidR="00486DF5">
        <w:rPr>
          <w:rFonts w:ascii="Georgia" w:hAnsi="Georgia" w:cs="Times New Roman"/>
          <w:lang w:val="en-GB"/>
        </w:rPr>
        <w:t>dissertation's central topic is mostly practice-oriented: it focuses on strategic planning and MRE, especially their climate-adaptation</w:t>
      </w:r>
      <w:r w:rsidRPr="0002056A">
        <w:rPr>
          <w:rFonts w:ascii="Georgia" w:hAnsi="Georgia" w:cs="Times New Roman"/>
          <w:lang w:val="en-GB"/>
        </w:rPr>
        <w:t xml:space="preserve"> policy-oriented versions. If I use a more exact disciplinary classification, spatial and land use planning, regional studies (regional geography, regional economics) and social geography, planning and management studies are the main spheres, where the research finds its sources. These space-oriented studies got special emphasis in my theoretical foundations because adaptation planning and MRE activities deal</w:t>
      </w:r>
      <w:r w:rsidR="00791B53" w:rsidRPr="0002056A">
        <w:rPr>
          <w:rFonts w:ascii="Georgia" w:hAnsi="Georgia" w:cs="Times New Roman"/>
          <w:lang w:val="en-GB"/>
        </w:rPr>
        <w:t xml:space="preserve"> </w:t>
      </w:r>
      <w:r w:rsidRPr="0002056A">
        <w:rPr>
          <w:rFonts w:ascii="Georgia" w:hAnsi="Georgia" w:cs="Times New Roman"/>
          <w:lang w:val="en-GB"/>
        </w:rPr>
        <w:t>at least implicitly with spatial/territorial differences of climate change impacts and spatially/territorially different adaptive capacities. The other important direction of the research examines the differences between national adaptation planning and MRE systems and approaches. For this, governance- and administration-oriented studies proved also to be useful; meanwhile</w:t>
      </w:r>
      <w:r w:rsidR="00486DF5">
        <w:rPr>
          <w:rFonts w:ascii="Georgia" w:hAnsi="Georgia" w:cs="Times New Roman"/>
          <w:lang w:val="en-GB"/>
        </w:rPr>
        <w:t>, in the analysis of the international spatial dimensions of national climate adaptation policies, geopolitics- and IR-related sources have added value</w:t>
      </w:r>
      <w:r w:rsidR="00B3483C" w:rsidRPr="0002056A">
        <w:rPr>
          <w:rFonts w:ascii="Georgia" w:hAnsi="Georgia" w:cs="Times New Roman"/>
          <w:lang w:val="en-GB"/>
        </w:rPr>
        <w:t>, too</w:t>
      </w:r>
      <w:r w:rsidRPr="0002056A">
        <w:rPr>
          <w:rFonts w:ascii="Georgia" w:hAnsi="Georgia" w:cs="Times New Roman"/>
          <w:lang w:val="en-GB"/>
        </w:rPr>
        <w:t xml:space="preserve"> (Figure </w:t>
      </w:r>
      <w:r w:rsidR="00B3483C" w:rsidRPr="0002056A">
        <w:rPr>
          <w:rFonts w:ascii="Georgia" w:hAnsi="Georgia" w:cs="Times New Roman"/>
          <w:lang w:val="en-GB"/>
        </w:rPr>
        <w:t>5</w:t>
      </w:r>
      <w:r w:rsidRPr="0002056A">
        <w:rPr>
          <w:rFonts w:ascii="Georgia" w:hAnsi="Georgia" w:cs="Times New Roman"/>
          <w:lang w:val="en-GB"/>
        </w:rPr>
        <w:t>).</w:t>
      </w:r>
    </w:p>
    <w:p w14:paraId="741F0ED5" w14:textId="77777777" w:rsidR="00A77932" w:rsidRPr="0002056A" w:rsidRDefault="00A77932" w:rsidP="00A77932">
      <w:pPr>
        <w:spacing w:after="0" w:line="240" w:lineRule="auto"/>
        <w:jc w:val="center"/>
        <w:rPr>
          <w:rFonts w:ascii="Georgia" w:hAnsi="Georgia" w:cs="Times New Roman"/>
          <w:highlight w:val="yellow"/>
          <w:lang w:val="en-GB"/>
        </w:rPr>
      </w:pPr>
      <w:r w:rsidRPr="0002056A">
        <w:rPr>
          <w:noProof/>
          <w:lang w:val="en-GB"/>
          <w14:ligatures w14:val="standardContextual"/>
        </w:rPr>
        <w:drawing>
          <wp:inline distT="0" distB="0" distL="0" distR="0" wp14:anchorId="74DDA354" wp14:editId="75CFB464">
            <wp:extent cx="5589270" cy="2882265"/>
            <wp:effectExtent l="0" t="0" r="11430" b="13335"/>
            <wp:docPr id="854974398" name="Diagram 1">
              <a:extLst xmlns:a="http://schemas.openxmlformats.org/drawingml/2006/main">
                <a:ext uri="{FF2B5EF4-FFF2-40B4-BE49-F238E27FC236}">
                  <a16:creationId xmlns:a16="http://schemas.microsoft.com/office/drawing/2014/main" id="{F7498B94-19A7-EECD-BBD4-97282A14F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688FA9C" w14:textId="4E301719" w:rsidR="00A77932" w:rsidRPr="0002056A" w:rsidRDefault="00A77932" w:rsidP="00A77932">
      <w:pPr>
        <w:pStyle w:val="Kpalrs"/>
        <w:spacing w:before="120" w:after="0"/>
        <w:jc w:val="center"/>
        <w:rPr>
          <w:rFonts w:ascii="Georgia" w:hAnsi="Georgia" w:cstheme="minorHAnsi"/>
          <w:color w:val="auto"/>
          <w:sz w:val="16"/>
          <w:szCs w:val="16"/>
          <w:lang w:val="en-GB"/>
        </w:rPr>
      </w:pPr>
      <w:r w:rsidRPr="0002056A">
        <w:rPr>
          <w:rFonts w:ascii="Georgia" w:hAnsi="Georgia"/>
          <w:color w:val="auto"/>
          <w:sz w:val="16"/>
          <w:szCs w:val="16"/>
          <w:lang w:val="en-GB"/>
        </w:rPr>
        <w:t xml:space="preserve">Figure </w:t>
      </w:r>
      <w:r w:rsidR="00543FEE" w:rsidRPr="0002056A">
        <w:rPr>
          <w:rFonts w:ascii="Georgia" w:hAnsi="Georgia"/>
          <w:color w:val="auto"/>
          <w:sz w:val="16"/>
          <w:szCs w:val="16"/>
          <w:lang w:val="en-GB"/>
        </w:rPr>
        <w:t>5</w:t>
      </w:r>
      <w:r w:rsidRPr="0002056A">
        <w:rPr>
          <w:rFonts w:ascii="Georgia" w:hAnsi="Georgia"/>
          <w:color w:val="auto"/>
          <w:sz w:val="16"/>
          <w:szCs w:val="16"/>
          <w:lang w:val="en-GB"/>
        </w:rPr>
        <w:t xml:space="preserve">: The reviewed literature by </w:t>
      </w:r>
      <w:r w:rsidR="00486DF5">
        <w:rPr>
          <w:rFonts w:ascii="Georgia" w:hAnsi="Georgia"/>
          <w:color w:val="auto"/>
          <w:sz w:val="16"/>
          <w:szCs w:val="16"/>
          <w:lang w:val="en-GB"/>
        </w:rPr>
        <w:t>disciplines/policy</w:t>
      </w:r>
      <w:r w:rsidRPr="0002056A">
        <w:rPr>
          <w:rFonts w:ascii="Georgia" w:hAnsi="Georgia"/>
          <w:color w:val="auto"/>
          <w:sz w:val="16"/>
          <w:szCs w:val="16"/>
          <w:lang w:val="en-GB"/>
        </w:rPr>
        <w:t xml:space="preserve"> fields. </w:t>
      </w:r>
      <w:r w:rsidRPr="0002056A">
        <w:rPr>
          <w:rFonts w:ascii="Georgia" w:hAnsi="Georgia"/>
          <w:b w:val="0"/>
          <w:i/>
          <w:noProof/>
          <w:color w:val="auto"/>
          <w:sz w:val="16"/>
          <w:szCs w:val="16"/>
          <w:lang w:val="en-GB"/>
        </w:rPr>
        <w:t>Source: own editing.</w:t>
      </w:r>
    </w:p>
    <w:p w14:paraId="30032EFB" w14:textId="6B1BC5F0" w:rsidR="00A77932" w:rsidRPr="0002056A" w:rsidRDefault="00A77932" w:rsidP="00CD5BF3">
      <w:pPr>
        <w:spacing w:before="120" w:after="120"/>
        <w:jc w:val="both"/>
        <w:rPr>
          <w:rFonts w:ascii="Georgia" w:hAnsi="Georgia" w:cs="Times New Roman"/>
          <w:lang w:val="en-GB"/>
        </w:rPr>
      </w:pPr>
      <w:r w:rsidRPr="0002056A">
        <w:rPr>
          <w:rFonts w:ascii="Georgia" w:hAnsi="Georgia" w:cs="Times New Roman"/>
          <w:lang w:val="en-GB"/>
        </w:rPr>
        <w:t xml:space="preserve">One of the implicit goals of the whole research is to support the development and </w:t>
      </w:r>
      <w:r w:rsidR="00B3483C" w:rsidRPr="0002056A">
        <w:rPr>
          <w:rFonts w:ascii="Georgia" w:hAnsi="Georgia" w:cs="Times New Roman"/>
          <w:lang w:val="en-GB"/>
        </w:rPr>
        <w:t xml:space="preserve">space-oriented </w:t>
      </w:r>
      <w:r w:rsidRPr="0002056A">
        <w:rPr>
          <w:rFonts w:ascii="Georgia" w:hAnsi="Georgia" w:cs="Times New Roman"/>
          <w:lang w:val="en-GB"/>
        </w:rPr>
        <w:t xml:space="preserve">paradigm-shift of European and Hungarian climate and development policy planning </w:t>
      </w:r>
      <w:r w:rsidRPr="0002056A">
        <w:rPr>
          <w:rFonts w:ascii="Georgia" w:hAnsi="Georgia" w:cs="Times New Roman"/>
          <w:lang w:val="en-GB"/>
        </w:rPr>
        <w:lastRenderedPageBreak/>
        <w:t>activities, so the research pays special attention to the potential applicability of the results in practice</w:t>
      </w:r>
      <w:r w:rsidR="002B7718" w:rsidRPr="0002056A">
        <w:rPr>
          <w:rFonts w:ascii="Georgia" w:hAnsi="Georgia" w:cs="Times New Roman"/>
          <w:lang w:val="en-GB"/>
        </w:rPr>
        <w:t xml:space="preserve">: I </w:t>
      </w:r>
      <w:r w:rsidRPr="0002056A">
        <w:rPr>
          <w:rFonts w:ascii="Georgia" w:hAnsi="Georgia" w:cs="Times New Roman"/>
          <w:lang w:val="en-GB"/>
        </w:rPr>
        <w:t xml:space="preserve">applied this approach consistently throughout </w:t>
      </w:r>
      <w:r w:rsidR="002B7718" w:rsidRPr="0002056A">
        <w:rPr>
          <w:rFonts w:ascii="Georgia" w:hAnsi="Georgia" w:cs="Times New Roman"/>
          <w:lang w:val="en-GB"/>
        </w:rPr>
        <w:t>my</w:t>
      </w:r>
      <w:r w:rsidRPr="0002056A">
        <w:rPr>
          <w:rFonts w:ascii="Georgia" w:hAnsi="Georgia" w:cs="Times New Roman"/>
          <w:lang w:val="en-GB"/>
        </w:rPr>
        <w:t xml:space="preserve"> doctoral studies. </w:t>
      </w:r>
      <w:r w:rsidR="002B7718" w:rsidRPr="0002056A">
        <w:rPr>
          <w:rFonts w:ascii="Georgia" w:hAnsi="Georgia" w:cs="Times New Roman"/>
          <w:lang w:val="en-GB"/>
        </w:rPr>
        <w:t>O</w:t>
      </w:r>
      <w:r w:rsidRPr="0002056A">
        <w:rPr>
          <w:rFonts w:ascii="Georgia" w:hAnsi="Georgia" w:cs="Times New Roman"/>
          <w:lang w:val="en-GB"/>
        </w:rPr>
        <w:t xml:space="preserve">n the other hand, </w:t>
      </w:r>
      <w:r w:rsidR="002B7718" w:rsidRPr="0002056A">
        <w:rPr>
          <w:rFonts w:ascii="Georgia" w:hAnsi="Georgia" w:cs="Times New Roman"/>
          <w:lang w:val="en-GB"/>
        </w:rPr>
        <w:t xml:space="preserve">the topic of climate adaptation policy </w:t>
      </w:r>
      <w:r w:rsidR="0088050F" w:rsidRPr="0002056A">
        <w:rPr>
          <w:rFonts w:ascii="Georgia" w:hAnsi="Georgia" w:cs="Times New Roman"/>
          <w:lang w:val="en-GB"/>
        </w:rPr>
        <w:t>is</w:t>
      </w:r>
      <w:r w:rsidRPr="0002056A">
        <w:rPr>
          <w:rFonts w:ascii="Georgia" w:hAnsi="Georgia" w:cs="Times New Roman"/>
          <w:lang w:val="en-GB"/>
        </w:rPr>
        <w:t xml:space="preserve"> strongly practice-oriented </w:t>
      </w:r>
      <w:r w:rsidR="0088050F" w:rsidRPr="0002056A">
        <w:rPr>
          <w:rFonts w:ascii="Georgia" w:hAnsi="Georgia" w:cs="Times New Roman"/>
          <w:lang w:val="en-GB"/>
        </w:rPr>
        <w:t>in itself</w:t>
      </w:r>
      <w:r w:rsidRPr="0002056A">
        <w:rPr>
          <w:rFonts w:ascii="Georgia" w:hAnsi="Georgia" w:cs="Times New Roman"/>
          <w:lang w:val="en-GB"/>
        </w:rPr>
        <w:t xml:space="preserve">, </w:t>
      </w:r>
      <w:r w:rsidR="0088050F" w:rsidRPr="0002056A">
        <w:rPr>
          <w:rFonts w:ascii="Georgia" w:hAnsi="Georgia" w:cs="Times New Roman"/>
          <w:lang w:val="en-GB"/>
        </w:rPr>
        <w:t xml:space="preserve">so </w:t>
      </w:r>
      <w:r w:rsidRPr="0002056A">
        <w:rPr>
          <w:rFonts w:ascii="Georgia" w:hAnsi="Georgia" w:cs="Times New Roman"/>
          <w:lang w:val="en-GB"/>
        </w:rPr>
        <w:t xml:space="preserve">significant part of the collected literature [policy papers and communications, technical reports, monitoring/evaluation </w:t>
      </w:r>
      <w:r w:rsidR="00216AD0" w:rsidRPr="0002056A">
        <w:rPr>
          <w:rFonts w:ascii="Georgia" w:hAnsi="Georgia" w:cs="Times New Roman"/>
          <w:lang w:val="en-GB"/>
        </w:rPr>
        <w:t>background</w:t>
      </w:r>
      <w:r w:rsidRPr="0002056A">
        <w:rPr>
          <w:rFonts w:ascii="Georgia" w:hAnsi="Georgia" w:cs="Times New Roman"/>
          <w:lang w:val="en-GB"/>
        </w:rPr>
        <w:t xml:space="preserve"> materials and actual reports, working papers, guidances, policy studies, etc.] </w:t>
      </w:r>
      <w:r w:rsidR="0088050F" w:rsidRPr="0002056A">
        <w:rPr>
          <w:rFonts w:ascii="Georgia" w:hAnsi="Georgia" w:cs="Times New Roman"/>
          <w:lang w:val="en-GB"/>
        </w:rPr>
        <w:t>were</w:t>
      </w:r>
      <w:r w:rsidRPr="0002056A">
        <w:rPr>
          <w:rFonts w:ascii="Georgia" w:hAnsi="Georgia" w:cs="Times New Roman"/>
          <w:lang w:val="en-GB"/>
        </w:rPr>
        <w:t xml:space="preserve"> from the practical field. </w:t>
      </w:r>
      <w:r w:rsidR="001E59C1" w:rsidRPr="0002056A">
        <w:rPr>
          <w:rFonts w:ascii="Georgia" w:hAnsi="Georgia" w:cs="Times New Roman"/>
          <w:lang w:val="en-GB"/>
        </w:rPr>
        <w:t>However, f</w:t>
      </w:r>
      <w:r w:rsidRPr="0002056A">
        <w:rPr>
          <w:rFonts w:ascii="Georgia" w:hAnsi="Georgia" w:cs="Times New Roman"/>
          <w:lang w:val="en-GB"/>
        </w:rPr>
        <w:t>or the theoretical foundations I used</w:t>
      </w:r>
      <w:r w:rsidR="0088050F" w:rsidRPr="0002056A">
        <w:rPr>
          <w:rFonts w:ascii="Georgia" w:hAnsi="Georgia" w:cs="Times New Roman"/>
          <w:lang w:val="en-GB"/>
        </w:rPr>
        <w:t>,</w:t>
      </w:r>
      <w:r w:rsidRPr="0002056A">
        <w:rPr>
          <w:rFonts w:ascii="Georgia" w:hAnsi="Georgia" w:cs="Times New Roman"/>
          <w:lang w:val="en-GB"/>
        </w:rPr>
        <w:t xml:space="preserve"> of course, </w:t>
      </w:r>
      <w:r w:rsidR="0088050F" w:rsidRPr="0002056A">
        <w:rPr>
          <w:rFonts w:ascii="Georgia" w:hAnsi="Georgia" w:cs="Times New Roman"/>
          <w:lang w:val="en-GB"/>
        </w:rPr>
        <w:t xml:space="preserve">mostly </w:t>
      </w:r>
      <w:r w:rsidRPr="0002056A">
        <w:rPr>
          <w:rFonts w:ascii="Georgia" w:hAnsi="Georgia" w:cs="Times New Roman"/>
          <w:lang w:val="en-GB"/>
        </w:rPr>
        <w:t xml:space="preserve">scientific or theoretical works; the vast majority of reviewed literature were naturally articles, books, or book chapters (Figure </w:t>
      </w:r>
      <w:r w:rsidR="001E59C1" w:rsidRPr="0002056A">
        <w:rPr>
          <w:rFonts w:ascii="Georgia" w:hAnsi="Georgia" w:cs="Times New Roman"/>
          <w:lang w:val="en-GB"/>
        </w:rPr>
        <w:t>6</w:t>
      </w:r>
      <w:r w:rsidRPr="0002056A">
        <w:rPr>
          <w:rFonts w:ascii="Georgia" w:hAnsi="Georgia" w:cs="Times New Roman"/>
          <w:lang w:val="en-GB"/>
        </w:rPr>
        <w:t>).</w:t>
      </w:r>
    </w:p>
    <w:p w14:paraId="052E13C7" w14:textId="77777777" w:rsidR="00A77932" w:rsidRPr="0002056A" w:rsidRDefault="00A77932" w:rsidP="00A77932">
      <w:pPr>
        <w:spacing w:before="120" w:after="120" w:line="240" w:lineRule="auto"/>
        <w:jc w:val="both"/>
        <w:rPr>
          <w:rFonts w:ascii="Georgia" w:hAnsi="Georgia" w:cs="Times New Roman"/>
          <w:highlight w:val="yellow"/>
          <w:lang w:val="en-GB"/>
        </w:rPr>
      </w:pPr>
      <w:r w:rsidRPr="0002056A">
        <w:rPr>
          <w:noProof/>
          <w:lang w:val="en-GB"/>
          <w14:ligatures w14:val="standardContextual"/>
        </w:rPr>
        <w:drawing>
          <wp:inline distT="0" distB="0" distL="0" distR="0" wp14:anchorId="3C48494E" wp14:editId="3C30FB3F">
            <wp:extent cx="5760720" cy="2556510"/>
            <wp:effectExtent l="0" t="0" r="11430" b="15240"/>
            <wp:docPr id="981744609" name="Diagram 1">
              <a:extLst xmlns:a="http://schemas.openxmlformats.org/drawingml/2006/main">
                <a:ext uri="{FF2B5EF4-FFF2-40B4-BE49-F238E27FC236}">
                  <a16:creationId xmlns:a16="http://schemas.microsoft.com/office/drawing/2014/main" id="{6E688D99-E736-5243-F4CF-88DBC07E50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3B95C6F" w14:textId="635FE0C5" w:rsidR="00A77932" w:rsidRPr="0002056A" w:rsidRDefault="00A77932" w:rsidP="00A77932">
      <w:pPr>
        <w:pStyle w:val="Kpalrs"/>
        <w:jc w:val="center"/>
        <w:rPr>
          <w:rFonts w:ascii="Georgia" w:hAnsi="Georgia" w:cstheme="minorHAnsi"/>
          <w:color w:val="auto"/>
          <w:sz w:val="16"/>
          <w:szCs w:val="16"/>
          <w:lang w:val="en-GB"/>
        </w:rPr>
      </w:pPr>
      <w:r w:rsidRPr="0002056A">
        <w:rPr>
          <w:rFonts w:ascii="Georgia" w:hAnsi="Georgia"/>
          <w:color w:val="auto"/>
          <w:sz w:val="16"/>
          <w:szCs w:val="16"/>
          <w:lang w:val="en-GB"/>
        </w:rPr>
        <w:t xml:space="preserve">Figure </w:t>
      </w:r>
      <w:r w:rsidR="00543FEE" w:rsidRPr="0002056A">
        <w:rPr>
          <w:rFonts w:ascii="Georgia" w:hAnsi="Georgia"/>
          <w:color w:val="auto"/>
          <w:sz w:val="16"/>
          <w:szCs w:val="16"/>
          <w:lang w:val="en-GB"/>
        </w:rPr>
        <w:t>6</w:t>
      </w:r>
      <w:r w:rsidRPr="0002056A">
        <w:rPr>
          <w:rFonts w:ascii="Georgia" w:hAnsi="Georgia"/>
          <w:color w:val="auto"/>
          <w:sz w:val="16"/>
          <w:szCs w:val="16"/>
          <w:lang w:val="en-GB"/>
        </w:rPr>
        <w:t xml:space="preserve">: The reviewed literature by types. </w:t>
      </w:r>
      <w:r w:rsidR="001E59C1" w:rsidRPr="0002056A">
        <w:rPr>
          <w:rFonts w:ascii="Georgia" w:hAnsi="Georgia"/>
          <w:b w:val="0"/>
          <w:color w:val="auto"/>
          <w:sz w:val="16"/>
          <w:szCs w:val="16"/>
          <w:lang w:val="en-GB"/>
        </w:rPr>
        <w:t>Dark green</w:t>
      </w:r>
      <w:r w:rsidRPr="0002056A">
        <w:rPr>
          <w:rFonts w:ascii="Georgia" w:hAnsi="Georgia"/>
          <w:b w:val="0"/>
          <w:color w:val="auto"/>
          <w:sz w:val="16"/>
          <w:szCs w:val="16"/>
          <w:lang w:val="en-GB"/>
        </w:rPr>
        <w:t xml:space="preserve"> </w:t>
      </w:r>
      <w:r w:rsidR="00216AD0" w:rsidRPr="0002056A">
        <w:rPr>
          <w:rFonts w:ascii="Georgia" w:hAnsi="Georgia"/>
          <w:b w:val="0"/>
          <w:color w:val="auto"/>
          <w:sz w:val="16"/>
          <w:szCs w:val="16"/>
          <w:lang w:val="en-GB"/>
        </w:rPr>
        <w:t>columns</w:t>
      </w:r>
      <w:r w:rsidRPr="0002056A">
        <w:rPr>
          <w:rFonts w:ascii="Georgia" w:hAnsi="Georgia"/>
          <w:b w:val="0"/>
          <w:color w:val="auto"/>
          <w:sz w:val="16"/>
          <w:szCs w:val="16"/>
          <w:lang w:val="en-GB"/>
        </w:rPr>
        <w:t xml:space="preserve"> indicate the scientific, </w:t>
      </w:r>
      <w:r w:rsidR="001E59C1" w:rsidRPr="0002056A">
        <w:rPr>
          <w:rFonts w:ascii="Georgia" w:hAnsi="Georgia"/>
          <w:b w:val="0"/>
          <w:color w:val="auto"/>
          <w:sz w:val="16"/>
          <w:szCs w:val="16"/>
          <w:lang w:val="en-GB"/>
        </w:rPr>
        <w:t xml:space="preserve">light green </w:t>
      </w:r>
      <w:r w:rsidR="00216AD0" w:rsidRPr="0002056A">
        <w:rPr>
          <w:rFonts w:ascii="Georgia" w:hAnsi="Georgia"/>
          <w:b w:val="0"/>
          <w:color w:val="auto"/>
          <w:sz w:val="16"/>
          <w:szCs w:val="16"/>
          <w:lang w:val="en-GB"/>
        </w:rPr>
        <w:t>columns</w:t>
      </w:r>
      <w:r w:rsidRPr="0002056A">
        <w:rPr>
          <w:rFonts w:ascii="Georgia" w:hAnsi="Georgia"/>
          <w:b w:val="0"/>
          <w:color w:val="auto"/>
          <w:sz w:val="16"/>
          <w:szCs w:val="16"/>
          <w:lang w:val="en-GB"/>
        </w:rPr>
        <w:t xml:space="preserve"> the grey literature.</w:t>
      </w:r>
      <w:r w:rsidRPr="0002056A">
        <w:rPr>
          <w:rFonts w:ascii="Georgia" w:hAnsi="Georgia"/>
          <w:color w:val="auto"/>
          <w:sz w:val="16"/>
          <w:szCs w:val="16"/>
          <w:lang w:val="en-GB"/>
        </w:rPr>
        <w:t xml:space="preserve"> </w:t>
      </w:r>
      <w:r w:rsidRPr="0002056A">
        <w:rPr>
          <w:rFonts w:ascii="Georgia" w:hAnsi="Georgia"/>
          <w:b w:val="0"/>
          <w:i/>
          <w:noProof/>
          <w:color w:val="auto"/>
          <w:sz w:val="16"/>
          <w:szCs w:val="16"/>
          <w:lang w:val="en-GB"/>
        </w:rPr>
        <w:t>Source: own editing.</w:t>
      </w:r>
    </w:p>
    <w:p w14:paraId="01050488" w14:textId="25F2F3B3" w:rsidR="004E603D" w:rsidRPr="0002056A" w:rsidRDefault="00372E9E" w:rsidP="00CD5BF3">
      <w:pPr>
        <w:spacing w:before="120" w:after="120"/>
        <w:jc w:val="both"/>
        <w:rPr>
          <w:rFonts w:ascii="Georgia" w:hAnsi="Georgia" w:cs="Times New Roman"/>
          <w:lang w:val="en-GB"/>
        </w:rPr>
      </w:pPr>
      <w:r w:rsidRPr="0002056A">
        <w:rPr>
          <w:rFonts w:ascii="Georgia" w:hAnsi="Georgia" w:cs="Times New Roman"/>
          <w:color w:val="000000"/>
          <w:lang w:val="en-GB"/>
        </w:rPr>
        <w:t xml:space="preserve">As results of </w:t>
      </w:r>
      <w:r w:rsidR="004D4F7B" w:rsidRPr="0002056A">
        <w:rPr>
          <w:rFonts w:ascii="Georgia" w:hAnsi="Georgia" w:cs="Times New Roman"/>
          <w:color w:val="000000"/>
          <w:lang w:val="en-GB"/>
        </w:rPr>
        <w:t xml:space="preserve">the </w:t>
      </w:r>
      <w:r w:rsidR="004E603D" w:rsidRPr="0002056A">
        <w:rPr>
          <w:rFonts w:ascii="Georgia" w:hAnsi="Georgia" w:cs="Times New Roman"/>
          <w:color w:val="000000"/>
          <w:lang w:val="en-GB"/>
        </w:rPr>
        <w:t>first 4 topi</w:t>
      </w:r>
      <w:r w:rsidR="007A1444" w:rsidRPr="0002056A">
        <w:rPr>
          <w:rFonts w:ascii="Georgia" w:hAnsi="Georgia" w:cs="Times New Roman"/>
          <w:color w:val="000000"/>
          <w:lang w:val="en-GB"/>
        </w:rPr>
        <w:t>c</w:t>
      </w:r>
      <w:r w:rsidR="004E603D" w:rsidRPr="0002056A">
        <w:rPr>
          <w:rFonts w:ascii="Georgia" w:hAnsi="Georgia" w:cs="Times New Roman"/>
          <w:color w:val="000000"/>
          <w:lang w:val="en-GB"/>
        </w:rPr>
        <w:t>s of the literature</w:t>
      </w:r>
      <w:r w:rsidR="009853C2" w:rsidRPr="0002056A">
        <w:rPr>
          <w:rFonts w:ascii="Georgia" w:hAnsi="Georgia" w:cs="Times New Roman"/>
          <w:color w:val="000000"/>
          <w:lang w:val="en-GB"/>
        </w:rPr>
        <w:t xml:space="preserve"> review</w:t>
      </w:r>
      <w:r w:rsidR="003076FA" w:rsidRPr="0002056A">
        <w:rPr>
          <w:rFonts w:ascii="Georgia" w:hAnsi="Georgia" w:cs="Times New Roman"/>
          <w:color w:val="000000"/>
          <w:lang w:val="en-GB"/>
        </w:rPr>
        <w:t>,</w:t>
      </w:r>
      <w:r w:rsidR="004E603D" w:rsidRPr="0002056A">
        <w:rPr>
          <w:rFonts w:ascii="Georgia" w:hAnsi="Georgia" w:cs="Times New Roman"/>
          <w:color w:val="000000"/>
          <w:lang w:val="en-GB"/>
        </w:rPr>
        <w:t xml:space="preserve"> </w:t>
      </w:r>
      <w:r w:rsidRPr="0002056A">
        <w:rPr>
          <w:rFonts w:ascii="Georgia" w:hAnsi="Georgia" w:cs="Times New Roman"/>
          <w:color w:val="000000"/>
          <w:lang w:val="en-GB"/>
        </w:rPr>
        <w:t xml:space="preserve">Chapters 3.2.-3.4. </w:t>
      </w:r>
      <w:r w:rsidR="003076FA" w:rsidRPr="0002056A">
        <w:rPr>
          <w:rFonts w:ascii="Georgia" w:hAnsi="Georgia" w:cs="Times New Roman"/>
          <w:color w:val="000000"/>
          <w:lang w:val="en-GB"/>
        </w:rPr>
        <w:t>introduc</w:t>
      </w:r>
      <w:r w:rsidRPr="0002056A">
        <w:rPr>
          <w:rFonts w:ascii="Georgia" w:hAnsi="Georgia" w:cs="Times New Roman"/>
          <w:color w:val="000000"/>
          <w:lang w:val="en-GB"/>
        </w:rPr>
        <w:t>e</w:t>
      </w:r>
      <w:r w:rsidR="003076FA" w:rsidRPr="0002056A">
        <w:rPr>
          <w:rFonts w:ascii="Georgia" w:hAnsi="Georgia" w:cs="Times New Roman"/>
          <w:color w:val="000000"/>
          <w:lang w:val="en-GB"/>
        </w:rPr>
        <w:t xml:space="preserve"> excerpts from recent </w:t>
      </w:r>
      <w:r w:rsidR="00FD4C6A">
        <w:rPr>
          <w:rFonts w:ascii="Georgia" w:hAnsi="Georgia" w:cs="Times New Roman"/>
          <w:color w:val="000000"/>
          <w:lang w:val="en-GB"/>
        </w:rPr>
        <w:t xml:space="preserve">adaptation planning-related </w:t>
      </w:r>
      <w:r w:rsidR="00486DF5">
        <w:rPr>
          <w:rFonts w:ascii="Georgia" w:hAnsi="Georgia" w:cs="Times New Roman"/>
          <w:color w:val="000000"/>
          <w:lang w:val="en-GB"/>
        </w:rPr>
        <w:t>studies</w:t>
      </w:r>
      <w:r w:rsidR="00EA7CB1" w:rsidRPr="0002056A">
        <w:rPr>
          <w:rFonts w:ascii="Georgia" w:hAnsi="Georgia" w:cs="Times New Roman"/>
          <w:color w:val="000000"/>
          <w:lang w:val="en-GB"/>
        </w:rPr>
        <w:t xml:space="preserve">. These chapters </w:t>
      </w:r>
      <w:r w:rsidR="004E603D" w:rsidRPr="0002056A">
        <w:rPr>
          <w:rFonts w:ascii="Georgia" w:hAnsi="Georgia" w:cs="Times New Roman"/>
          <w:color w:val="000000"/>
          <w:lang w:val="en-GB"/>
        </w:rPr>
        <w:t>concentrate on the evolution of climate adaptation and planning/MRE activities supporting them</w:t>
      </w:r>
      <w:r w:rsidR="007A1444" w:rsidRPr="0002056A">
        <w:rPr>
          <w:rFonts w:ascii="Georgia" w:hAnsi="Georgia" w:cs="Times New Roman"/>
          <w:color w:val="000000"/>
          <w:lang w:val="en-GB"/>
        </w:rPr>
        <w:t xml:space="preserve"> and of course, the emergence of the</w:t>
      </w:r>
      <w:r w:rsidR="003076FA" w:rsidRPr="0002056A">
        <w:rPr>
          <w:rFonts w:ascii="Georgia" w:hAnsi="Georgia" w:cs="Times New Roman"/>
          <w:color w:val="000000"/>
          <w:lang w:val="en-GB"/>
        </w:rPr>
        <w:t xml:space="preserve"> topic of spatiality within these contexts</w:t>
      </w:r>
      <w:r w:rsidR="004E603D" w:rsidRPr="0002056A">
        <w:rPr>
          <w:rFonts w:ascii="Georgia" w:hAnsi="Georgia" w:cs="Times New Roman"/>
          <w:color w:val="000000"/>
          <w:lang w:val="en-GB"/>
        </w:rPr>
        <w:t xml:space="preserve">. Beyond the literature items and background materials collected from </w:t>
      </w:r>
      <w:r w:rsidR="00F8429D" w:rsidRPr="0002056A">
        <w:rPr>
          <w:rFonts w:ascii="Georgia" w:hAnsi="Georgia" w:cs="Times New Roman"/>
          <w:color w:val="000000"/>
          <w:lang w:val="en-GB"/>
        </w:rPr>
        <w:t>applied</w:t>
      </w:r>
      <w:r w:rsidR="004E603D" w:rsidRPr="0002056A">
        <w:rPr>
          <w:rFonts w:ascii="Georgia" w:hAnsi="Georgia" w:cs="Times New Roman"/>
          <w:color w:val="000000"/>
          <w:lang w:val="en-GB"/>
        </w:rPr>
        <w:t xml:space="preserve"> climate adaptation planning from the recent decades during my professional career, the literature selection was based on </w:t>
      </w:r>
      <w:r w:rsidR="00486DF5">
        <w:rPr>
          <w:rFonts w:ascii="Georgia" w:hAnsi="Georgia" w:cs="Times New Roman"/>
          <w:color w:val="000000"/>
          <w:lang w:val="en-GB"/>
        </w:rPr>
        <w:t xml:space="preserve">a </w:t>
      </w:r>
      <w:r w:rsidR="004E603D" w:rsidRPr="0002056A">
        <w:rPr>
          <w:rFonts w:ascii="Georgia" w:hAnsi="Georgia" w:cs="Times New Roman"/>
          <w:color w:val="000000"/>
          <w:lang w:val="en-GB"/>
        </w:rPr>
        <w:t xml:space="preserve">detailed library and internet search. </w:t>
      </w:r>
      <w:r w:rsidR="004E603D" w:rsidRPr="0002056A">
        <w:rPr>
          <w:rFonts w:ascii="Georgia" w:hAnsi="Georgia" w:cs="Times New Roman"/>
          <w:lang w:val="en-GB"/>
        </w:rPr>
        <w:t>In the review process, I used databases of JSTOR (</w:t>
      </w:r>
      <w:hyperlink r:id="rId17" w:history="1">
        <w:r w:rsidR="004E603D" w:rsidRPr="0002056A">
          <w:rPr>
            <w:rFonts w:ascii="Georgia" w:hAnsi="Georgia"/>
            <w:lang w:val="en-GB"/>
          </w:rPr>
          <w:t>https://www.jstor.org/</w:t>
        </w:r>
      </w:hyperlink>
      <w:r w:rsidR="004E603D" w:rsidRPr="0002056A">
        <w:rPr>
          <w:rFonts w:ascii="Georgia" w:hAnsi="Georgia" w:cs="Times New Roman"/>
          <w:lang w:val="en-GB"/>
        </w:rPr>
        <w:t>), Google Scholar and the BCE’s Library (</w:t>
      </w:r>
      <w:hyperlink r:id="rId18" w:history="1">
        <w:r w:rsidR="004E603D" w:rsidRPr="0002056A">
          <w:rPr>
            <w:rFonts w:ascii="Georgia" w:hAnsi="Georgia"/>
            <w:lang w:val="en-GB"/>
          </w:rPr>
          <w:t>https://hunteka.uni-corvinus.hu/</w:t>
        </w:r>
      </w:hyperlink>
      <w:r w:rsidR="004E603D" w:rsidRPr="0002056A">
        <w:rPr>
          <w:rFonts w:ascii="Georgia" w:hAnsi="Georgia" w:cs="Times New Roman"/>
          <w:lang w:val="en-GB"/>
        </w:rPr>
        <w:t>). The used keywords of the advanced search rounds were “</w:t>
      </w:r>
      <w:r w:rsidR="004E603D" w:rsidRPr="0002056A">
        <w:rPr>
          <w:rFonts w:ascii="Georgia" w:hAnsi="Georgia" w:cs="Times New Roman"/>
          <w:i/>
          <w:iCs/>
          <w:lang w:val="en-GB"/>
        </w:rPr>
        <w:t>climate policy planning</w:t>
      </w:r>
      <w:r w:rsidR="004E603D" w:rsidRPr="0002056A">
        <w:rPr>
          <w:rFonts w:ascii="Georgia" w:hAnsi="Georgia" w:cs="Times New Roman"/>
          <w:lang w:val="en-GB"/>
        </w:rPr>
        <w:t>”, “</w:t>
      </w:r>
      <w:r w:rsidR="004E603D" w:rsidRPr="0002056A">
        <w:rPr>
          <w:rFonts w:ascii="Georgia" w:hAnsi="Georgia" w:cs="Times New Roman"/>
          <w:i/>
          <w:iCs/>
          <w:lang w:val="en-GB"/>
        </w:rPr>
        <w:t>(climate) adaptation</w:t>
      </w:r>
      <w:r w:rsidR="004E603D" w:rsidRPr="0002056A">
        <w:rPr>
          <w:rFonts w:ascii="Georgia" w:hAnsi="Georgia" w:cs="Times New Roman"/>
          <w:lang w:val="en-GB"/>
        </w:rPr>
        <w:t xml:space="preserve"> </w:t>
      </w:r>
      <w:r w:rsidR="004E603D" w:rsidRPr="0002056A">
        <w:rPr>
          <w:rFonts w:ascii="Georgia" w:hAnsi="Georgia" w:cs="Times New Roman"/>
          <w:i/>
          <w:iCs/>
          <w:lang w:val="en-GB"/>
        </w:rPr>
        <w:t>planning</w:t>
      </w:r>
      <w:r w:rsidR="004E603D" w:rsidRPr="0002056A">
        <w:rPr>
          <w:rFonts w:ascii="Georgia" w:hAnsi="Georgia" w:cs="Times New Roman"/>
          <w:lang w:val="en-GB"/>
        </w:rPr>
        <w:t xml:space="preserve">” </w:t>
      </w:r>
      <w:r w:rsidR="004E603D" w:rsidRPr="0002056A">
        <w:rPr>
          <w:rFonts w:ascii="Georgia" w:hAnsi="Georgia" w:cs="Times New Roman"/>
          <w:i/>
          <w:iCs/>
          <w:lang w:val="en-GB"/>
        </w:rPr>
        <w:t>“(climate) adaptation monitoring</w:t>
      </w:r>
      <w:r w:rsidR="004E603D" w:rsidRPr="0002056A">
        <w:rPr>
          <w:rFonts w:ascii="Georgia" w:hAnsi="Georgia" w:cs="Times New Roman"/>
          <w:lang w:val="en-GB"/>
        </w:rPr>
        <w:t xml:space="preserve">”, </w:t>
      </w:r>
      <w:r w:rsidR="004E603D" w:rsidRPr="0002056A">
        <w:rPr>
          <w:rFonts w:ascii="Georgia" w:hAnsi="Georgia" w:cs="Times New Roman"/>
          <w:i/>
          <w:iCs/>
          <w:lang w:val="en-GB"/>
        </w:rPr>
        <w:t>“(climate) adaptation evaluation</w:t>
      </w:r>
      <w:r w:rsidR="004E603D" w:rsidRPr="0002056A">
        <w:rPr>
          <w:rFonts w:ascii="Georgia" w:hAnsi="Georgia" w:cs="Times New Roman"/>
          <w:lang w:val="en-GB"/>
        </w:rPr>
        <w:t>”, “</w:t>
      </w:r>
      <w:r w:rsidR="004E603D" w:rsidRPr="0002056A">
        <w:rPr>
          <w:rFonts w:ascii="Georgia" w:hAnsi="Georgia" w:cs="Times New Roman"/>
          <w:i/>
          <w:iCs/>
          <w:lang w:val="en-GB"/>
        </w:rPr>
        <w:t>climate</w:t>
      </w:r>
      <w:r w:rsidR="004E603D" w:rsidRPr="0002056A">
        <w:rPr>
          <w:rFonts w:ascii="Georgia" w:hAnsi="Georgia" w:cs="Times New Roman"/>
          <w:lang w:val="en-GB"/>
        </w:rPr>
        <w:t xml:space="preserve"> </w:t>
      </w:r>
      <w:r w:rsidR="004E603D" w:rsidRPr="0002056A">
        <w:rPr>
          <w:rFonts w:ascii="Georgia" w:hAnsi="Georgia" w:cs="Times New Roman"/>
          <w:i/>
          <w:iCs/>
          <w:lang w:val="en-GB"/>
        </w:rPr>
        <w:t>adaptation strategies</w:t>
      </w:r>
      <w:r w:rsidR="004E603D" w:rsidRPr="0002056A">
        <w:rPr>
          <w:rFonts w:ascii="Georgia" w:hAnsi="Georgia" w:cs="Times New Roman"/>
          <w:lang w:val="en-GB"/>
        </w:rPr>
        <w:t>”, “</w:t>
      </w:r>
      <w:r w:rsidR="004E603D" w:rsidRPr="0002056A">
        <w:rPr>
          <w:rFonts w:ascii="Georgia" w:hAnsi="Georgia" w:cs="Times New Roman"/>
          <w:i/>
          <w:iCs/>
          <w:lang w:val="en-GB"/>
        </w:rPr>
        <w:t>urban adaptation</w:t>
      </w:r>
      <w:r w:rsidR="004E603D" w:rsidRPr="0002056A">
        <w:rPr>
          <w:rFonts w:ascii="Georgia" w:hAnsi="Georgia" w:cs="Times New Roman"/>
          <w:lang w:val="en-GB"/>
        </w:rPr>
        <w:t>”, “</w:t>
      </w:r>
      <w:r w:rsidR="004E603D" w:rsidRPr="0002056A">
        <w:rPr>
          <w:rFonts w:ascii="Georgia" w:hAnsi="Georgia" w:cs="Times New Roman"/>
          <w:i/>
          <w:iCs/>
          <w:lang w:val="en-GB"/>
        </w:rPr>
        <w:t>national adaptation</w:t>
      </w:r>
      <w:r w:rsidR="004E603D" w:rsidRPr="0002056A">
        <w:rPr>
          <w:rFonts w:ascii="Georgia" w:hAnsi="Georgia" w:cs="Times New Roman"/>
          <w:lang w:val="en-GB"/>
        </w:rPr>
        <w:t>”, “</w:t>
      </w:r>
      <w:r w:rsidR="004E603D" w:rsidRPr="0002056A">
        <w:rPr>
          <w:rFonts w:ascii="Georgia" w:hAnsi="Georgia" w:cs="Times New Roman"/>
          <w:i/>
          <w:iCs/>
          <w:lang w:val="en-GB"/>
        </w:rPr>
        <w:t>national adaptation</w:t>
      </w:r>
      <w:r w:rsidR="004E603D" w:rsidRPr="0002056A">
        <w:rPr>
          <w:rFonts w:ascii="Georgia" w:hAnsi="Georgia" w:cs="Times New Roman"/>
          <w:lang w:val="en-GB"/>
        </w:rPr>
        <w:t xml:space="preserve"> </w:t>
      </w:r>
      <w:r w:rsidR="004E603D" w:rsidRPr="0002056A">
        <w:rPr>
          <w:rFonts w:ascii="Georgia" w:hAnsi="Georgia" w:cs="Times New Roman"/>
          <w:i/>
          <w:iCs/>
          <w:lang w:val="en-GB"/>
        </w:rPr>
        <w:t>strategies</w:t>
      </w:r>
      <w:r w:rsidR="004E603D" w:rsidRPr="0002056A">
        <w:rPr>
          <w:rFonts w:ascii="Georgia" w:hAnsi="Georgia" w:cs="Times New Roman"/>
          <w:lang w:val="en-GB"/>
        </w:rPr>
        <w:t>”, “</w:t>
      </w:r>
      <w:r w:rsidR="004E603D" w:rsidRPr="0002056A">
        <w:rPr>
          <w:rFonts w:ascii="Georgia" w:hAnsi="Georgia" w:cs="Times New Roman"/>
          <w:i/>
          <w:iCs/>
          <w:lang w:val="en-GB"/>
        </w:rPr>
        <w:t>climate strategic planning</w:t>
      </w:r>
      <w:r w:rsidR="004E603D" w:rsidRPr="0002056A">
        <w:rPr>
          <w:rFonts w:ascii="Georgia" w:hAnsi="Georgia" w:cs="Times New Roman"/>
          <w:lang w:val="en-GB"/>
        </w:rPr>
        <w:t xml:space="preserve">” </w:t>
      </w:r>
      <w:r w:rsidR="009F2CBA" w:rsidRPr="0002056A">
        <w:rPr>
          <w:rFonts w:ascii="Georgia" w:hAnsi="Georgia" w:cs="Times New Roman"/>
          <w:lang w:val="en-GB"/>
        </w:rPr>
        <w:t xml:space="preserve">or their combinations like </w:t>
      </w:r>
      <w:r w:rsidR="004E603D" w:rsidRPr="0002056A">
        <w:rPr>
          <w:rFonts w:ascii="Georgia" w:hAnsi="Georgia" w:cs="Times New Roman"/>
          <w:lang w:val="en-GB"/>
        </w:rPr>
        <w:t>“</w:t>
      </w:r>
      <w:r w:rsidR="004E603D" w:rsidRPr="0002056A">
        <w:rPr>
          <w:rFonts w:ascii="Georgia" w:hAnsi="Georgia" w:cs="Times New Roman"/>
          <w:i/>
          <w:iCs/>
          <w:lang w:val="en-GB"/>
        </w:rPr>
        <w:t>climate adaptation</w:t>
      </w:r>
      <w:r w:rsidR="004E603D" w:rsidRPr="0002056A">
        <w:rPr>
          <w:rFonts w:ascii="Georgia" w:hAnsi="Georgia" w:cs="Times New Roman"/>
          <w:lang w:val="en-GB"/>
        </w:rPr>
        <w:t xml:space="preserve"> + </w:t>
      </w:r>
      <w:r w:rsidR="004E603D" w:rsidRPr="0002056A">
        <w:rPr>
          <w:rFonts w:ascii="Georgia" w:hAnsi="Georgia" w:cs="Times New Roman"/>
          <w:i/>
          <w:iCs/>
          <w:lang w:val="en-GB"/>
        </w:rPr>
        <w:t>spatial planning</w:t>
      </w:r>
      <w:r w:rsidR="004E603D" w:rsidRPr="0002056A">
        <w:rPr>
          <w:rFonts w:ascii="Georgia" w:hAnsi="Georgia" w:cs="Times New Roman"/>
          <w:lang w:val="en-GB"/>
        </w:rPr>
        <w:t>” “</w:t>
      </w:r>
      <w:r w:rsidR="004E603D" w:rsidRPr="0002056A">
        <w:rPr>
          <w:rFonts w:ascii="Georgia" w:hAnsi="Georgia" w:cs="Times New Roman"/>
          <w:i/>
          <w:iCs/>
          <w:lang w:val="en-GB"/>
        </w:rPr>
        <w:t>climate</w:t>
      </w:r>
      <w:r w:rsidR="004E603D" w:rsidRPr="0002056A">
        <w:rPr>
          <w:rFonts w:ascii="Georgia" w:hAnsi="Georgia" w:cs="Times New Roman"/>
          <w:lang w:val="en-GB"/>
        </w:rPr>
        <w:t xml:space="preserve"> </w:t>
      </w:r>
      <w:r w:rsidR="004E603D" w:rsidRPr="0002056A">
        <w:rPr>
          <w:rFonts w:ascii="Georgia" w:hAnsi="Georgia" w:cs="Times New Roman"/>
          <w:i/>
          <w:iCs/>
          <w:lang w:val="en-GB"/>
        </w:rPr>
        <w:t>adaptation + strategic planning</w:t>
      </w:r>
      <w:r w:rsidR="004E603D" w:rsidRPr="0002056A">
        <w:rPr>
          <w:rFonts w:ascii="Georgia" w:hAnsi="Georgia" w:cs="Times New Roman"/>
          <w:lang w:val="en-GB"/>
        </w:rPr>
        <w:t xml:space="preserve">” and their further permutations. The first extensive round of items </w:t>
      </w:r>
      <w:r w:rsidR="0092241D" w:rsidRPr="0002056A">
        <w:rPr>
          <w:rFonts w:ascii="Georgia" w:hAnsi="Georgia" w:cs="Times New Roman"/>
          <w:lang w:val="en-GB"/>
        </w:rPr>
        <w:t xml:space="preserve">found </w:t>
      </w:r>
      <w:r w:rsidR="004E603D" w:rsidRPr="0002056A">
        <w:rPr>
          <w:rFonts w:ascii="Georgia" w:hAnsi="Georgia" w:cs="Times New Roman"/>
          <w:lang w:val="en-GB"/>
        </w:rPr>
        <w:t>were narrowed further according to the below enlisted criteria.</w:t>
      </w:r>
    </w:p>
    <w:p w14:paraId="388B7B19" w14:textId="25B8B9FA" w:rsidR="004E603D" w:rsidRPr="0002056A" w:rsidRDefault="004E603D" w:rsidP="00CD5BF3">
      <w:pPr>
        <w:autoSpaceDE w:val="0"/>
        <w:autoSpaceDN w:val="0"/>
        <w:adjustRightInd w:val="0"/>
        <w:spacing w:before="120" w:after="120"/>
        <w:jc w:val="both"/>
        <w:rPr>
          <w:rFonts w:ascii="Georgia" w:hAnsi="Georgia" w:cs="Times New Roman"/>
          <w:color w:val="000000"/>
          <w:lang w:val="en-GB"/>
        </w:rPr>
      </w:pPr>
      <w:r w:rsidRPr="0002056A">
        <w:rPr>
          <w:rFonts w:ascii="Georgia" w:hAnsi="Georgia" w:cs="Times New Roman"/>
          <w:color w:val="000000"/>
          <w:lang w:val="en-GB"/>
        </w:rPr>
        <w:t xml:space="preserve">Regarding the </w:t>
      </w:r>
      <w:r w:rsidRPr="0002056A">
        <w:rPr>
          <w:rFonts w:ascii="Georgia" w:hAnsi="Georgia" w:cs="Times New Roman"/>
          <w:b/>
          <w:bCs/>
          <w:color w:val="000000"/>
          <w:lang w:val="en-GB"/>
        </w:rPr>
        <w:t>select</w:t>
      </w:r>
      <w:r w:rsidR="001C68CE" w:rsidRPr="0002056A">
        <w:rPr>
          <w:rFonts w:ascii="Georgia" w:hAnsi="Georgia" w:cs="Times New Roman"/>
          <w:b/>
          <w:bCs/>
          <w:color w:val="000000"/>
          <w:lang w:val="en-GB"/>
        </w:rPr>
        <w:t>ion</w:t>
      </w:r>
      <w:r w:rsidRPr="0002056A">
        <w:rPr>
          <w:rFonts w:ascii="Georgia" w:hAnsi="Georgia" w:cs="Times New Roman"/>
          <w:b/>
          <w:bCs/>
          <w:color w:val="000000"/>
          <w:lang w:val="en-GB"/>
        </w:rPr>
        <w:t xml:space="preserve"> criteria for </w:t>
      </w:r>
      <w:r w:rsidR="001C68CE" w:rsidRPr="0002056A">
        <w:rPr>
          <w:rFonts w:ascii="Georgia" w:hAnsi="Georgia" w:cs="Times New Roman"/>
          <w:b/>
          <w:bCs/>
          <w:color w:val="000000"/>
          <w:lang w:val="en-GB"/>
        </w:rPr>
        <w:t xml:space="preserve">the literature </w:t>
      </w:r>
      <w:r w:rsidRPr="0002056A">
        <w:rPr>
          <w:rFonts w:ascii="Georgia" w:hAnsi="Georgia" w:cs="Times New Roman"/>
          <w:b/>
          <w:bCs/>
          <w:color w:val="000000"/>
          <w:lang w:val="en-GB"/>
        </w:rPr>
        <w:t>analysis</w:t>
      </w:r>
      <w:r w:rsidRPr="0002056A">
        <w:rPr>
          <w:rFonts w:ascii="Georgia" w:hAnsi="Georgia" w:cs="Times New Roman"/>
          <w:color w:val="000000"/>
          <w:lang w:val="en-GB"/>
        </w:rPr>
        <w:t xml:space="preserve">, I basically sought </w:t>
      </w:r>
      <w:r w:rsidR="00486DF5">
        <w:rPr>
          <w:rFonts w:ascii="Georgia" w:hAnsi="Georgia" w:cs="Times New Roman"/>
          <w:color w:val="000000"/>
          <w:lang w:val="en-GB"/>
        </w:rPr>
        <w:t>literature items from all spatial/territorial levels,</w:t>
      </w:r>
      <w:r w:rsidRPr="0002056A">
        <w:rPr>
          <w:rFonts w:ascii="Georgia" w:hAnsi="Georgia" w:cs="Times New Roman"/>
          <w:color w:val="000000"/>
          <w:lang w:val="en-GB"/>
        </w:rPr>
        <w:t xml:space="preserve"> from local through regional to national or even macro-regional, to find out which of those levels are the most relevant in adaptation planning. </w:t>
      </w:r>
      <w:r w:rsidRPr="0002056A">
        <w:rPr>
          <w:rFonts w:ascii="Georgia" w:hAnsi="Georgia" w:cs="Times New Roman"/>
          <w:i/>
          <w:iCs/>
          <w:color w:val="000000"/>
          <w:lang w:val="en-GB"/>
        </w:rPr>
        <w:t>I did not apply any regional selection criterion</w:t>
      </w:r>
      <w:r w:rsidRPr="0002056A">
        <w:rPr>
          <w:rFonts w:ascii="Georgia" w:hAnsi="Georgia" w:cs="Times New Roman"/>
          <w:color w:val="000000"/>
          <w:lang w:val="en-GB"/>
        </w:rPr>
        <w:t>; the processed literature came from all regions/countries of the world. Nevertheless, the number of the identified studies/articles from given countries clearly shows which the most advanced regions (Western and Northern Europe, North America) are in this field.</w:t>
      </w:r>
    </w:p>
    <w:p w14:paraId="59FE2F92" w14:textId="78FFC0AB" w:rsidR="004E603D" w:rsidRPr="0002056A" w:rsidRDefault="004E603D" w:rsidP="00CD5BF3">
      <w:pPr>
        <w:autoSpaceDE w:val="0"/>
        <w:autoSpaceDN w:val="0"/>
        <w:adjustRightInd w:val="0"/>
        <w:spacing w:before="120" w:after="120"/>
        <w:jc w:val="both"/>
        <w:rPr>
          <w:rFonts w:ascii="Georgia" w:hAnsi="Georgia" w:cs="Times New Roman"/>
          <w:color w:val="000000"/>
          <w:lang w:val="en-GB"/>
        </w:rPr>
      </w:pPr>
      <w:r w:rsidRPr="0002056A">
        <w:rPr>
          <w:rFonts w:ascii="Georgia" w:hAnsi="Georgia" w:cs="Times New Roman"/>
          <w:color w:val="000000"/>
          <w:lang w:val="en-GB"/>
        </w:rPr>
        <w:lastRenderedPageBreak/>
        <w:t xml:space="preserve">Another criterion of selection was the </w:t>
      </w:r>
      <w:r w:rsidR="00900884" w:rsidRPr="0002056A">
        <w:rPr>
          <w:rFonts w:ascii="Georgia" w:hAnsi="Georgia" w:cs="Times New Roman"/>
          <w:i/>
          <w:iCs/>
          <w:color w:val="000000"/>
          <w:lang w:val="en-GB"/>
        </w:rPr>
        <w:t>up-to-date nature</w:t>
      </w:r>
      <w:r w:rsidRPr="0002056A">
        <w:rPr>
          <w:rFonts w:ascii="Georgia" w:hAnsi="Georgia" w:cs="Times New Roman"/>
          <w:i/>
          <w:iCs/>
          <w:color w:val="000000"/>
          <w:lang w:val="en-GB"/>
        </w:rPr>
        <w:t xml:space="preserve"> of the literature items</w:t>
      </w:r>
      <w:r w:rsidR="00FD4C6A">
        <w:rPr>
          <w:rFonts w:ascii="Georgia" w:hAnsi="Georgia" w:cs="Times New Roman"/>
          <w:i/>
          <w:iCs/>
          <w:color w:val="000000"/>
          <w:lang w:val="en-GB"/>
        </w:rPr>
        <w:t>.</w:t>
      </w:r>
      <w:r w:rsidR="00FD4C6A" w:rsidRPr="009F4027">
        <w:rPr>
          <w:rFonts w:ascii="Georgia" w:hAnsi="Georgia" w:cs="Times New Roman"/>
          <w:color w:val="000000"/>
          <w:lang w:val="en-GB"/>
        </w:rPr>
        <w:t xml:space="preserve"> R</w:t>
      </w:r>
      <w:r w:rsidR="00486DF5" w:rsidRPr="00FD4C6A">
        <w:rPr>
          <w:rFonts w:ascii="Georgia" w:hAnsi="Georgia" w:cs="Times New Roman"/>
          <w:color w:val="000000"/>
          <w:lang w:val="en-GB"/>
        </w:rPr>
        <w:t xml:space="preserve">egarding </w:t>
      </w:r>
      <w:r w:rsidR="00486DF5">
        <w:rPr>
          <w:rFonts w:ascii="Georgia" w:hAnsi="Georgia" w:cs="Times New Roman"/>
          <w:color w:val="000000"/>
          <w:lang w:val="en-GB"/>
        </w:rPr>
        <w:t>the fact that climate adaptation is a relatively new topic, the chosen articles easily met</w:t>
      </w:r>
      <w:r w:rsidRPr="0002056A">
        <w:rPr>
          <w:rFonts w:ascii="Georgia" w:hAnsi="Georgia" w:cs="Times New Roman"/>
          <w:color w:val="000000"/>
          <w:lang w:val="en-GB"/>
        </w:rPr>
        <w:t xml:space="preserve"> this requirement</w:t>
      </w:r>
      <w:r w:rsidR="005067F7" w:rsidRPr="0002056A">
        <w:rPr>
          <w:lang w:val="en-GB"/>
        </w:rPr>
        <w:t xml:space="preserve"> </w:t>
      </w:r>
      <w:r w:rsidR="005067F7" w:rsidRPr="0002056A">
        <w:rPr>
          <w:rFonts w:ascii="Georgia" w:hAnsi="Georgia" w:cs="Times New Roman"/>
          <w:color w:val="000000"/>
          <w:lang w:val="en-GB"/>
        </w:rPr>
        <w:t>and concentrated on the last 1,5 decades.</w:t>
      </w:r>
    </w:p>
    <w:p w14:paraId="0773CFE8" w14:textId="06D9504A" w:rsidR="004E603D" w:rsidRPr="0002056A" w:rsidRDefault="004E603D" w:rsidP="00CD5BF3">
      <w:pPr>
        <w:autoSpaceDE w:val="0"/>
        <w:autoSpaceDN w:val="0"/>
        <w:adjustRightInd w:val="0"/>
        <w:spacing w:before="120" w:after="120"/>
        <w:jc w:val="both"/>
        <w:rPr>
          <w:rFonts w:ascii="Georgia" w:hAnsi="Georgia" w:cs="Times New Roman"/>
          <w:color w:val="000000"/>
          <w:lang w:val="en-GB"/>
        </w:rPr>
      </w:pPr>
      <w:r w:rsidRPr="0002056A">
        <w:rPr>
          <w:rFonts w:ascii="Georgia" w:hAnsi="Georgia" w:cs="Times New Roman"/>
          <w:color w:val="000000"/>
          <w:lang w:val="en-GB"/>
        </w:rPr>
        <w:t xml:space="preserve">Considering the different scientific and/or practical fields, I </w:t>
      </w:r>
      <w:r w:rsidR="00486DF5">
        <w:rPr>
          <w:rFonts w:ascii="Georgia" w:hAnsi="Georgia" w:cs="Times New Roman"/>
          <w:color w:val="000000"/>
          <w:lang w:val="en-GB"/>
        </w:rPr>
        <w:t>focused mainly on literature that addresses strategic planning, monitoring and evaluation activities and</w:t>
      </w:r>
      <w:r w:rsidR="00E254DB">
        <w:rPr>
          <w:rFonts w:ascii="Georgia" w:hAnsi="Georgia" w:cs="Times New Roman"/>
          <w:color w:val="000000"/>
          <w:lang w:val="en-GB"/>
        </w:rPr>
        <w:t>/or</w:t>
      </w:r>
      <w:r w:rsidR="00486DF5">
        <w:rPr>
          <w:rFonts w:ascii="Georgia" w:hAnsi="Georgia" w:cs="Times New Roman"/>
          <w:color w:val="000000"/>
          <w:lang w:val="en-GB"/>
        </w:rPr>
        <w:t xml:space="preserve"> methodologies in general, or the use of planning and MRE tools in a specific</w:t>
      </w:r>
      <w:r w:rsidRPr="0002056A">
        <w:rPr>
          <w:rFonts w:ascii="Georgia" w:hAnsi="Georgia" w:cs="Times New Roman"/>
          <w:color w:val="000000"/>
          <w:lang w:val="en-GB"/>
        </w:rPr>
        <w:t xml:space="preserve"> example. So </w:t>
      </w:r>
      <w:r w:rsidRPr="0002056A">
        <w:rPr>
          <w:rFonts w:ascii="Georgia" w:hAnsi="Georgia" w:cs="Times New Roman"/>
          <w:i/>
          <w:iCs/>
          <w:color w:val="000000"/>
          <w:lang w:val="en-GB"/>
        </w:rPr>
        <w:t>urban planning, land use planning, general strategic planning, climate policy planning and management studies</w:t>
      </w:r>
      <w:r w:rsidRPr="0002056A">
        <w:rPr>
          <w:rFonts w:ascii="Georgia" w:hAnsi="Georgia" w:cs="Times New Roman"/>
          <w:color w:val="000000"/>
          <w:lang w:val="en-GB"/>
        </w:rPr>
        <w:t xml:space="preserve"> meant the main pool from that I could chose the reviewed items.</w:t>
      </w:r>
    </w:p>
    <w:p w14:paraId="00FB9EEC" w14:textId="59E9CA06" w:rsidR="004E603D" w:rsidRPr="0002056A" w:rsidRDefault="004E603D" w:rsidP="00CD5BF3">
      <w:pPr>
        <w:autoSpaceDE w:val="0"/>
        <w:autoSpaceDN w:val="0"/>
        <w:adjustRightInd w:val="0"/>
        <w:spacing w:before="120" w:after="120"/>
        <w:jc w:val="both"/>
        <w:rPr>
          <w:rFonts w:ascii="Georgia" w:hAnsi="Georgia" w:cs="Times New Roman"/>
          <w:color w:val="000000"/>
          <w:lang w:val="en-GB"/>
        </w:rPr>
      </w:pPr>
      <w:r w:rsidRPr="0002056A">
        <w:rPr>
          <w:rFonts w:ascii="Georgia" w:hAnsi="Georgia" w:cs="Times New Roman"/>
          <w:color w:val="000000"/>
          <w:lang w:val="en-GB"/>
        </w:rPr>
        <w:t xml:space="preserve">I </w:t>
      </w:r>
      <w:r w:rsidR="00F2168B" w:rsidRPr="0002056A">
        <w:rPr>
          <w:rFonts w:ascii="Georgia" w:hAnsi="Georgia" w:cs="Times New Roman"/>
          <w:color w:val="000000"/>
          <w:lang w:val="en-GB"/>
        </w:rPr>
        <w:t>sought</w:t>
      </w:r>
      <w:r w:rsidRPr="0002056A">
        <w:rPr>
          <w:rFonts w:ascii="Georgia" w:hAnsi="Georgia" w:cs="Times New Roman"/>
          <w:color w:val="000000"/>
          <w:lang w:val="en-GB"/>
        </w:rPr>
        <w:t xml:space="preserve"> principally </w:t>
      </w:r>
      <w:r w:rsidRPr="0002056A">
        <w:rPr>
          <w:rFonts w:ascii="Georgia" w:hAnsi="Georgia" w:cs="Times New Roman"/>
          <w:i/>
          <w:iCs/>
          <w:color w:val="000000"/>
          <w:lang w:val="en-GB"/>
        </w:rPr>
        <w:t xml:space="preserve">those studies that focus on comparative analysis of different </w:t>
      </w:r>
      <w:r w:rsidR="00F2168B" w:rsidRPr="0002056A">
        <w:rPr>
          <w:rFonts w:ascii="Georgia" w:hAnsi="Georgia" w:cs="Times New Roman"/>
          <w:i/>
          <w:iCs/>
          <w:color w:val="000000"/>
          <w:lang w:val="en-GB"/>
        </w:rPr>
        <w:t>state</w:t>
      </w:r>
      <w:r w:rsidRPr="0002056A">
        <w:rPr>
          <w:rFonts w:ascii="Georgia" w:hAnsi="Georgia" w:cs="Times New Roman"/>
          <w:i/>
          <w:iCs/>
          <w:color w:val="000000"/>
          <w:lang w:val="en-GB"/>
        </w:rPr>
        <w:t>s/regions</w:t>
      </w:r>
      <w:r w:rsidRPr="0002056A">
        <w:rPr>
          <w:rFonts w:ascii="Georgia" w:hAnsi="Georgia" w:cs="Times New Roman"/>
          <w:color w:val="000000"/>
          <w:lang w:val="en-GB"/>
        </w:rPr>
        <w:t xml:space="preserve">. Though numerous adaptation-oriented studies focus on specific sectors (agriculture, land use, financing, etc.), countries (e.g., Uganda, Nigeria, Nepal, Republic of </w:t>
      </w:r>
      <w:r w:rsidR="00486DF5">
        <w:rPr>
          <w:rFonts w:ascii="Georgia" w:hAnsi="Georgia" w:cs="Times New Roman"/>
          <w:color w:val="000000"/>
          <w:lang w:val="en-GB"/>
        </w:rPr>
        <w:t>South Africa, etc.) or regions (e.g., ASEAN countries, East-African states, Caribbean countries, etc.),</w:t>
      </w:r>
      <w:r w:rsidRPr="0002056A">
        <w:rPr>
          <w:rFonts w:ascii="Georgia" w:hAnsi="Georgia" w:cs="Times New Roman"/>
          <w:color w:val="000000"/>
          <w:lang w:val="en-GB"/>
        </w:rPr>
        <w:t xml:space="preserve"> these are rather regionally relevant documents. I preferred the </w:t>
      </w:r>
      <w:r w:rsidRPr="0002056A">
        <w:rPr>
          <w:rFonts w:ascii="Georgia" w:hAnsi="Georgia" w:cs="Times New Roman"/>
          <w:i/>
          <w:iCs/>
          <w:color w:val="000000"/>
          <w:lang w:val="en-GB"/>
        </w:rPr>
        <w:t>more horizontal, world- or continent-wide examinations</w:t>
      </w:r>
      <w:r w:rsidRPr="0002056A">
        <w:rPr>
          <w:rFonts w:ascii="Georgia" w:hAnsi="Georgia" w:cs="Times New Roman"/>
          <w:color w:val="000000"/>
          <w:lang w:val="en-GB"/>
        </w:rPr>
        <w:t xml:space="preserve"> to draw general conclusions.</w:t>
      </w:r>
    </w:p>
    <w:p w14:paraId="6B30AD3C" w14:textId="299B553D" w:rsidR="00FE5C05" w:rsidRPr="0002056A" w:rsidRDefault="00FE5C05" w:rsidP="00CD5BF3">
      <w:pPr>
        <w:spacing w:before="120" w:after="120"/>
        <w:jc w:val="both"/>
        <w:rPr>
          <w:rFonts w:ascii="Georgia" w:hAnsi="Georgia"/>
          <w:lang w:val="en-GB"/>
        </w:rPr>
      </w:pPr>
      <w:r w:rsidRPr="0002056A">
        <w:rPr>
          <w:rFonts w:ascii="Georgia" w:hAnsi="Georgia"/>
          <w:lang w:val="en-GB"/>
        </w:rPr>
        <w:t xml:space="preserve">In the following subchapters, the main </w:t>
      </w:r>
      <w:r w:rsidR="000641BA" w:rsidRPr="0002056A">
        <w:rPr>
          <w:rFonts w:ascii="Georgia" w:hAnsi="Georgia"/>
          <w:lang w:val="en-GB"/>
        </w:rPr>
        <w:t>results of the review phases are presented.</w:t>
      </w:r>
    </w:p>
    <w:p w14:paraId="6497B78A" w14:textId="74ADE9F7" w:rsidR="004E603D" w:rsidRPr="0002056A" w:rsidRDefault="004E603D" w:rsidP="00214BD9">
      <w:pPr>
        <w:pStyle w:val="Cmsor2"/>
        <w:numPr>
          <w:ilvl w:val="1"/>
          <w:numId w:val="4"/>
        </w:numPr>
        <w:rPr>
          <w:rFonts w:asciiTheme="minorHAnsi" w:hAnsiTheme="minorHAnsi" w:cstheme="minorHAnsi"/>
          <w:b w:val="0"/>
          <w:bCs w:val="0"/>
          <w:i/>
          <w:iCs/>
          <w:lang w:val="en-GB"/>
        </w:rPr>
      </w:pPr>
      <w:bookmarkStart w:id="14" w:name="_Toc225578837"/>
      <w:r w:rsidRPr="0002056A">
        <w:rPr>
          <w:rFonts w:asciiTheme="minorHAnsi" w:hAnsiTheme="minorHAnsi" w:cstheme="minorHAnsi"/>
          <w:b w:val="0"/>
          <w:bCs w:val="0"/>
          <w:i/>
          <w:iCs/>
          <w:lang w:val="en-GB"/>
        </w:rPr>
        <w:t>Clarification of basic concepts</w:t>
      </w:r>
      <w:r w:rsidR="00BC1F38" w:rsidRPr="0002056A">
        <w:rPr>
          <w:rFonts w:asciiTheme="minorHAnsi" w:hAnsiTheme="minorHAnsi" w:cstheme="minorHAnsi"/>
          <w:b w:val="0"/>
          <w:bCs w:val="0"/>
          <w:i/>
          <w:iCs/>
          <w:lang w:val="en-GB"/>
        </w:rPr>
        <w:t xml:space="preserve"> of adaptation policy and planning</w:t>
      </w:r>
      <w:bookmarkEnd w:id="14"/>
    </w:p>
    <w:p w14:paraId="7AA32E16" w14:textId="64F01C76" w:rsidR="004E603D" w:rsidRPr="0002056A" w:rsidRDefault="004E603D" w:rsidP="00CD5BF3">
      <w:pPr>
        <w:tabs>
          <w:tab w:val="left" w:pos="8789"/>
        </w:tabs>
        <w:spacing w:before="120" w:after="120"/>
        <w:ind w:right="141"/>
        <w:jc w:val="both"/>
        <w:rPr>
          <w:rFonts w:ascii="Georgia" w:hAnsi="Georgia" w:cs="Times New Roman"/>
          <w:lang w:val="en-GB"/>
        </w:rPr>
      </w:pPr>
      <w:r w:rsidRPr="0002056A">
        <w:rPr>
          <w:rFonts w:ascii="Georgia" w:hAnsi="Georgia"/>
          <w:lang w:val="en-GB"/>
        </w:rPr>
        <w:t>Th</w:t>
      </w:r>
      <w:r w:rsidR="006536C7" w:rsidRPr="0002056A">
        <w:rPr>
          <w:rFonts w:ascii="Georgia" w:hAnsi="Georgia"/>
          <w:lang w:val="en-GB"/>
        </w:rPr>
        <w:t>e</w:t>
      </w:r>
      <w:r w:rsidRPr="0002056A">
        <w:rPr>
          <w:rFonts w:ascii="Georgia" w:hAnsi="Georgia"/>
          <w:lang w:val="en-GB"/>
        </w:rPr>
        <w:t xml:space="preserve"> chapter intends </w:t>
      </w:r>
      <w:r w:rsidR="00486DF5">
        <w:rPr>
          <w:rFonts w:ascii="Georgia" w:hAnsi="Georgia"/>
          <w:lang w:val="en-GB"/>
        </w:rPr>
        <w:t xml:space="preserve">to </w:t>
      </w:r>
      <w:r w:rsidRPr="0002056A">
        <w:rPr>
          <w:rFonts w:ascii="Georgia" w:hAnsi="Georgia"/>
          <w:lang w:val="en-GB"/>
        </w:rPr>
        <w:t>shortly clarify the basic concepts of the dissertation</w:t>
      </w:r>
      <w:r w:rsidR="001605B8" w:rsidRPr="0002056A">
        <w:rPr>
          <w:rFonts w:ascii="Georgia" w:hAnsi="Georgia"/>
          <w:lang w:val="en-GB"/>
        </w:rPr>
        <w:t>,</w:t>
      </w:r>
      <w:r w:rsidRPr="0002056A">
        <w:rPr>
          <w:rFonts w:ascii="Georgia" w:hAnsi="Georgia"/>
          <w:lang w:val="en-GB"/>
        </w:rPr>
        <w:t xml:space="preserve"> reflected directly or indirectly already in the title of the whole research. These are climate adaptation, adaptation policy, policy planning instruments and spatial sensitivity. Some of these have detailed definitions in the literature, one of them not</w:t>
      </w:r>
      <w:r w:rsidR="00D81D6D" w:rsidRPr="0002056A">
        <w:rPr>
          <w:rFonts w:ascii="Georgia" w:hAnsi="Georgia"/>
          <w:lang w:val="en-GB"/>
        </w:rPr>
        <w:t>: t</w:t>
      </w:r>
      <w:r w:rsidR="00F160CB" w:rsidRPr="0002056A">
        <w:rPr>
          <w:rFonts w:ascii="Georgia" w:hAnsi="Georgia" w:cs="Times New Roman"/>
          <w:lang w:val="en-GB"/>
        </w:rPr>
        <w:t xml:space="preserve">he last element of the dissertation’s title, </w:t>
      </w:r>
      <w:r w:rsidR="00486DF5">
        <w:rPr>
          <w:rFonts w:ascii="Georgia" w:hAnsi="Georgia" w:cs="Times New Roman"/>
          <w:lang w:val="en-GB"/>
        </w:rPr>
        <w:t xml:space="preserve">which will not be discussed in this chapter, is the </w:t>
      </w:r>
      <w:r w:rsidR="00F160CB" w:rsidRPr="0002056A">
        <w:rPr>
          <w:rFonts w:ascii="Georgia" w:hAnsi="Georgia" w:cs="Times New Roman"/>
          <w:lang w:val="en-GB"/>
        </w:rPr>
        <w:t>spatial sensitivity of these adaptation activities. T</w:t>
      </w:r>
      <w:r w:rsidR="00D81D6D" w:rsidRPr="0002056A">
        <w:rPr>
          <w:rFonts w:ascii="Georgia" w:hAnsi="Georgia" w:cs="Times New Roman"/>
          <w:lang w:val="en-GB"/>
        </w:rPr>
        <w:t>o define this</w:t>
      </w:r>
      <w:r w:rsidR="00F160CB" w:rsidRPr="0002056A">
        <w:rPr>
          <w:rFonts w:ascii="Georgia" w:hAnsi="Georgia" w:cs="Times New Roman"/>
          <w:lang w:val="en-GB"/>
        </w:rPr>
        <w:t xml:space="preserve"> concept is one of the task</w:t>
      </w:r>
      <w:r w:rsidR="001605B8" w:rsidRPr="0002056A">
        <w:rPr>
          <w:rFonts w:ascii="Georgia" w:hAnsi="Georgia" w:cs="Times New Roman"/>
          <w:lang w:val="en-GB"/>
        </w:rPr>
        <w:t>s</w:t>
      </w:r>
      <w:r w:rsidR="00F160CB" w:rsidRPr="0002056A">
        <w:rPr>
          <w:rFonts w:ascii="Georgia" w:hAnsi="Georgia" w:cs="Times New Roman"/>
          <w:lang w:val="en-GB"/>
        </w:rPr>
        <w:t xml:space="preserve"> of this dissertation. </w:t>
      </w:r>
      <w:r w:rsidR="00DA6FB3" w:rsidRPr="0002056A">
        <w:rPr>
          <w:rFonts w:ascii="Georgia" w:hAnsi="Georgia" w:cs="Times New Roman"/>
          <w:lang w:val="en-GB"/>
        </w:rPr>
        <w:t>Consequently,</w:t>
      </w:r>
      <w:r w:rsidR="007067D3" w:rsidRPr="0002056A">
        <w:rPr>
          <w:rFonts w:ascii="Georgia" w:hAnsi="Georgia"/>
          <w:lang w:val="en-GB"/>
        </w:rPr>
        <w:t xml:space="preserve"> Chapter 3.2. deals only with the adaptation- and planning cycle-related definitions – the dissertation dedicates special chapter</w:t>
      </w:r>
      <w:r w:rsidR="00DC69F7" w:rsidRPr="0002056A">
        <w:rPr>
          <w:rFonts w:ascii="Georgia" w:hAnsi="Georgia"/>
          <w:lang w:val="en-GB"/>
        </w:rPr>
        <w:t>s</w:t>
      </w:r>
      <w:r w:rsidR="007067D3" w:rsidRPr="0002056A">
        <w:rPr>
          <w:rFonts w:ascii="Georgia" w:hAnsi="Georgia"/>
          <w:lang w:val="en-GB"/>
        </w:rPr>
        <w:t xml:space="preserve"> </w:t>
      </w:r>
      <w:r w:rsidR="00DC69F7" w:rsidRPr="0002056A">
        <w:rPr>
          <w:rFonts w:ascii="Georgia" w:hAnsi="Georgia"/>
          <w:lang w:val="en-GB"/>
        </w:rPr>
        <w:t>for the concept of spatial sensitivity later (see 4.2.1.-4.2.2.)</w:t>
      </w:r>
      <w:r w:rsidRPr="0002056A">
        <w:rPr>
          <w:rFonts w:ascii="Georgia" w:hAnsi="Georgia"/>
          <w:lang w:val="en-GB"/>
        </w:rPr>
        <w:t>.</w:t>
      </w:r>
      <w:r w:rsidR="00F160CB" w:rsidRPr="0002056A">
        <w:rPr>
          <w:rFonts w:ascii="Georgia" w:hAnsi="Georgia" w:cs="Times New Roman"/>
          <w:lang w:val="en-GB"/>
        </w:rPr>
        <w:t xml:space="preserve"> </w:t>
      </w:r>
    </w:p>
    <w:p w14:paraId="612BF874" w14:textId="49B28128" w:rsidR="004E603D" w:rsidRPr="0002056A" w:rsidRDefault="004E603D" w:rsidP="00CD5BF3">
      <w:pPr>
        <w:autoSpaceDE w:val="0"/>
        <w:autoSpaceDN w:val="0"/>
        <w:adjustRightInd w:val="0"/>
        <w:spacing w:before="120" w:after="120"/>
        <w:jc w:val="both"/>
        <w:rPr>
          <w:rFonts w:ascii="Georgia" w:hAnsi="Georgia" w:cs="FrutigerLTPro-BoldCn"/>
          <w:bCs/>
          <w:lang w:val="en-GB"/>
          <w14:ligatures w14:val="standardContextual"/>
        </w:rPr>
      </w:pPr>
      <w:r w:rsidRPr="0002056A">
        <w:rPr>
          <w:rFonts w:ascii="Georgia" w:hAnsi="Georgia"/>
          <w:b/>
          <w:bCs/>
          <w:lang w:val="en-GB"/>
        </w:rPr>
        <w:t>Climate adaptation</w:t>
      </w:r>
      <w:r w:rsidRPr="0002056A">
        <w:rPr>
          <w:rFonts w:ascii="Georgia" w:hAnsi="Georgia"/>
          <w:lang w:val="en-GB"/>
        </w:rPr>
        <w:t xml:space="preserve"> itself </w:t>
      </w:r>
      <w:r w:rsidRPr="0002056A">
        <w:rPr>
          <w:rFonts w:ascii="Georgia" w:hAnsi="Georgia"/>
          <w:b/>
          <w:bCs/>
          <w:lang w:val="en-GB"/>
        </w:rPr>
        <w:t>basically means</w:t>
      </w:r>
      <w:r w:rsidRPr="0002056A">
        <w:rPr>
          <w:rFonts w:ascii="Georgia" w:hAnsi="Georgia"/>
          <w:lang w:val="en-GB"/>
        </w:rPr>
        <w:t xml:space="preserve"> the preparation for and adaptation to the unavoidable impacts of the process widely known as climate change</w:t>
      </w:r>
      <w:r w:rsidR="00486DF5">
        <w:rPr>
          <w:rFonts w:ascii="Georgia" w:hAnsi="Georgia"/>
          <w:lang w:val="en-GB"/>
        </w:rPr>
        <w:t>,</w:t>
      </w:r>
      <w:r w:rsidRPr="0002056A">
        <w:rPr>
          <w:rFonts w:ascii="Georgia" w:hAnsi="Georgia"/>
          <w:lang w:val="en-GB"/>
        </w:rPr>
        <w:t xml:space="preserve"> and the dissertation also intends to use this </w:t>
      </w:r>
      <w:r w:rsidR="003F5410" w:rsidRPr="0002056A">
        <w:rPr>
          <w:rFonts w:ascii="Georgia" w:hAnsi="Georgia"/>
          <w:lang w:val="en-GB"/>
        </w:rPr>
        <w:t xml:space="preserve">expression </w:t>
      </w:r>
      <w:r w:rsidRPr="0002056A">
        <w:rPr>
          <w:rFonts w:ascii="Georgia" w:hAnsi="Georgia"/>
          <w:lang w:val="en-GB"/>
        </w:rPr>
        <w:t>in this sense. Th</w:t>
      </w:r>
      <w:r w:rsidR="009C6F74" w:rsidRPr="0002056A">
        <w:rPr>
          <w:rFonts w:ascii="Georgia" w:hAnsi="Georgia"/>
          <w:lang w:val="en-GB"/>
        </w:rPr>
        <w:t>is description</w:t>
      </w:r>
      <w:r w:rsidRPr="0002056A">
        <w:rPr>
          <w:rFonts w:ascii="Georgia" w:hAnsi="Georgia"/>
          <w:lang w:val="en-GB"/>
        </w:rPr>
        <w:t xml:space="preserve"> is quite </w:t>
      </w:r>
      <w:r w:rsidR="009C6F74" w:rsidRPr="0002056A">
        <w:rPr>
          <w:rFonts w:ascii="Georgia" w:hAnsi="Georgia"/>
          <w:lang w:val="en-GB"/>
        </w:rPr>
        <w:t xml:space="preserve">uniform </w:t>
      </w:r>
      <w:r w:rsidRPr="0002056A">
        <w:rPr>
          <w:rFonts w:ascii="Georgia" w:hAnsi="Georgia"/>
          <w:lang w:val="en-GB"/>
        </w:rPr>
        <w:t>in the known scientific and grey literature. Adaptation</w:t>
      </w:r>
      <w:r w:rsidR="009C6F74" w:rsidRPr="0002056A">
        <w:rPr>
          <w:rFonts w:ascii="Georgia" w:hAnsi="Georgia"/>
          <w:lang w:val="en-GB"/>
        </w:rPr>
        <w:t>,</w:t>
      </w:r>
      <w:r w:rsidRPr="0002056A">
        <w:rPr>
          <w:rFonts w:ascii="Georgia" w:hAnsi="Georgia"/>
          <w:lang w:val="en-GB"/>
        </w:rPr>
        <w:t xml:space="preserve"> according to the statement of the </w:t>
      </w:r>
      <w:r w:rsidR="009147D2" w:rsidRPr="0002056A">
        <w:rPr>
          <w:rFonts w:ascii="Georgia" w:hAnsi="Georgia"/>
          <w:lang w:val="en-GB"/>
        </w:rPr>
        <w:t>Intergovernmental Panel on Climate Change (IPCC)</w:t>
      </w:r>
      <w:r w:rsidRPr="0002056A">
        <w:rPr>
          <w:rFonts w:ascii="Georgia" w:hAnsi="Georgia"/>
          <w:lang w:val="en-GB"/>
        </w:rPr>
        <w:t>, for example</w:t>
      </w:r>
      <w:r w:rsidR="00486DF5">
        <w:rPr>
          <w:rFonts w:ascii="Georgia" w:hAnsi="Georgia"/>
          <w:lang w:val="en-GB"/>
        </w:rPr>
        <w:t>,</w:t>
      </w:r>
      <w:r w:rsidRPr="0002056A">
        <w:rPr>
          <w:rFonts w:ascii="Georgia" w:hAnsi="Georgia"/>
          <w:lang w:val="en-GB"/>
        </w:rPr>
        <w:t xml:space="preserve"> refers to adjustments in ecological, social or economic systems in response to actual or expected climatic stimuli and their effects</w:t>
      </w:r>
      <w:r w:rsidR="009B7012" w:rsidRPr="0002056A">
        <w:rPr>
          <w:rFonts w:ascii="Georgia" w:hAnsi="Georgia"/>
          <w:lang w:val="en-GB"/>
        </w:rPr>
        <w:t xml:space="preserve"> </w:t>
      </w:r>
      <w:r w:rsidR="002458CB" w:rsidRPr="0002056A">
        <w:rPr>
          <w:rFonts w:ascii="Georgia" w:hAnsi="Georgia"/>
          <w:lang w:val="en-GB"/>
        </w:rPr>
        <w:t>(IPCC, 2007)</w:t>
      </w:r>
      <w:r w:rsidRPr="0002056A">
        <w:rPr>
          <w:rFonts w:ascii="Georgia" w:hAnsi="Georgia"/>
          <w:lang w:val="en-GB"/>
        </w:rPr>
        <w:t xml:space="preserve">. </w:t>
      </w:r>
      <w:r w:rsidR="00B57268" w:rsidRPr="0002056A">
        <w:rPr>
          <w:rFonts w:ascii="Georgia" w:hAnsi="Georgia" w:cstheme="minorHAnsi"/>
          <w:lang w:val="en-GB"/>
        </w:rPr>
        <w:t xml:space="preserve">These adjustments can involve changes in practices, processes, and structures to make systems more resilient and better cope with the impacts of a changing climate (IPCC, 2014). </w:t>
      </w:r>
      <w:r w:rsidR="00330691" w:rsidRPr="0002056A">
        <w:rPr>
          <w:rFonts w:ascii="Georgia" w:hAnsi="Georgia" w:cstheme="minorHAnsi"/>
          <w:lang w:val="en-GB"/>
        </w:rPr>
        <w:t xml:space="preserve">The newest IPCC definition describes adaptation as undertaking of actions to adjust to already observed or expected climate change and its effects, to protect natural and human systems against harmful effects, to exploit opportunities, and to ensure sustainability of investments and development despite current climate risks (IPCC, 2022). </w:t>
      </w:r>
      <w:r w:rsidR="009147D2" w:rsidRPr="0002056A">
        <w:rPr>
          <w:rFonts w:ascii="Georgia" w:hAnsi="Georgia"/>
          <w:lang w:val="en-GB"/>
        </w:rPr>
        <w:t xml:space="preserve">The Hungarian National Climate Change Strategy, as </w:t>
      </w:r>
      <w:r w:rsidR="009B7012" w:rsidRPr="0002056A">
        <w:rPr>
          <w:rFonts w:ascii="Georgia" w:hAnsi="Georgia"/>
          <w:lang w:val="en-GB"/>
        </w:rPr>
        <w:t xml:space="preserve">the </w:t>
      </w:r>
      <w:r w:rsidR="009147D2" w:rsidRPr="0002056A">
        <w:rPr>
          <w:rFonts w:ascii="Georgia" w:hAnsi="Georgia"/>
          <w:lang w:val="en-GB"/>
        </w:rPr>
        <w:t xml:space="preserve">main policy document </w:t>
      </w:r>
      <w:r w:rsidR="00486DF5">
        <w:rPr>
          <w:rFonts w:ascii="Georgia" w:hAnsi="Georgia"/>
          <w:lang w:val="en-GB"/>
        </w:rPr>
        <w:t xml:space="preserve">in the field, even nominates the main goal of adaptation: preparation for the unavoidable changes in climate and </w:t>
      </w:r>
      <w:r w:rsidR="00AA10AB">
        <w:rPr>
          <w:rFonts w:ascii="Georgia" w:hAnsi="Georgia"/>
          <w:lang w:val="en-GB"/>
        </w:rPr>
        <w:t>their</w:t>
      </w:r>
      <w:r w:rsidR="00486DF5">
        <w:rPr>
          <w:rFonts w:ascii="Georgia" w:hAnsi="Georgia"/>
          <w:lang w:val="en-GB"/>
        </w:rPr>
        <w:t xml:space="preserve"> impacts,</w:t>
      </w:r>
      <w:r w:rsidR="009147D2" w:rsidRPr="0002056A">
        <w:rPr>
          <w:rFonts w:ascii="Georgia" w:hAnsi="Georgia"/>
          <w:lang w:val="en-GB"/>
        </w:rPr>
        <w:t xml:space="preserve"> </w:t>
      </w:r>
      <w:r w:rsidR="00E92195" w:rsidRPr="0002056A">
        <w:rPr>
          <w:rFonts w:ascii="Georgia" w:hAnsi="Georgia"/>
          <w:lang w:val="en-GB"/>
        </w:rPr>
        <w:t>and</w:t>
      </w:r>
      <w:r w:rsidR="009147D2" w:rsidRPr="0002056A">
        <w:rPr>
          <w:rFonts w:ascii="Georgia" w:hAnsi="Georgia"/>
          <w:lang w:val="en-GB"/>
        </w:rPr>
        <w:t xml:space="preserve"> adaptation to these changes (NCCS-2, 2018). </w:t>
      </w:r>
      <w:r w:rsidR="00330691" w:rsidRPr="0002056A">
        <w:rPr>
          <w:rFonts w:ascii="Georgia" w:hAnsi="Georgia"/>
          <w:lang w:val="en-GB"/>
        </w:rPr>
        <w:t>T</w:t>
      </w:r>
      <w:r w:rsidRPr="0002056A">
        <w:rPr>
          <w:rFonts w:ascii="Georgia" w:hAnsi="Georgia"/>
          <w:lang w:val="en-GB"/>
        </w:rPr>
        <w:t xml:space="preserve">he </w:t>
      </w:r>
      <w:r w:rsidR="009147D2" w:rsidRPr="0002056A">
        <w:rPr>
          <w:rFonts w:ascii="Georgia" w:hAnsi="Georgia"/>
          <w:lang w:val="en-GB"/>
        </w:rPr>
        <w:t xml:space="preserve">United Nations Framework </w:t>
      </w:r>
      <w:r w:rsidR="00486DF5">
        <w:rPr>
          <w:rFonts w:ascii="Georgia" w:hAnsi="Georgia"/>
          <w:lang w:val="en-GB"/>
        </w:rPr>
        <w:t xml:space="preserve">Convention on Climate Change’s (UNFCCC) definition is more policy-oriented: adaptation solutions should be developed at the state and community level as </w:t>
      </w:r>
      <w:r w:rsidRPr="0002056A">
        <w:rPr>
          <w:rFonts w:ascii="Georgia" w:hAnsi="Georgia"/>
          <w:lang w:val="en-GB"/>
        </w:rPr>
        <w:t>respons</w:t>
      </w:r>
      <w:r w:rsidR="00AA10AB">
        <w:rPr>
          <w:rFonts w:ascii="Georgia" w:hAnsi="Georgia"/>
          <w:lang w:val="en-GB"/>
        </w:rPr>
        <w:t>es</w:t>
      </w:r>
      <w:r w:rsidRPr="0002056A">
        <w:rPr>
          <w:rFonts w:ascii="Georgia" w:hAnsi="Georgia"/>
          <w:lang w:val="en-GB"/>
        </w:rPr>
        <w:t xml:space="preserve"> to current and future climate impacts. These solutions emerge in many forms, depending</w:t>
      </w:r>
      <w:r w:rsidR="00486DF5">
        <w:rPr>
          <w:rFonts w:ascii="Georgia" w:hAnsi="Georgia"/>
          <w:lang w:val="en-GB"/>
        </w:rPr>
        <w:t>, among other things,</w:t>
      </w:r>
      <w:r w:rsidRPr="0002056A">
        <w:rPr>
          <w:rFonts w:ascii="Georgia" w:hAnsi="Georgia"/>
          <w:lang w:val="en-GB"/>
        </w:rPr>
        <w:t xml:space="preserve"> on country or region</w:t>
      </w:r>
      <w:r w:rsidR="0002403D" w:rsidRPr="0002056A">
        <w:rPr>
          <w:rFonts w:ascii="Georgia" w:hAnsi="Georgia"/>
          <w:lang w:val="en-GB"/>
        </w:rPr>
        <w:t>-</w:t>
      </w:r>
      <w:r w:rsidRPr="0002056A">
        <w:rPr>
          <w:rFonts w:ascii="Georgia" w:hAnsi="Georgia"/>
          <w:lang w:val="en-GB"/>
        </w:rPr>
        <w:t>specific contexts</w:t>
      </w:r>
      <w:r w:rsidR="00976C04" w:rsidRPr="0002056A">
        <w:rPr>
          <w:rStyle w:val="Lbjegyzet-hivatkozs"/>
          <w:rFonts w:ascii="Georgia" w:hAnsi="Georgia"/>
          <w:lang w:val="en-GB"/>
        </w:rPr>
        <w:footnoteReference w:id="1"/>
      </w:r>
      <w:r w:rsidRPr="0002056A">
        <w:rPr>
          <w:rFonts w:ascii="Georgia" w:hAnsi="Georgia"/>
          <w:lang w:val="en-GB"/>
        </w:rPr>
        <w:t>.</w:t>
      </w:r>
      <w:r w:rsidRPr="0002056A">
        <w:rPr>
          <w:rFonts w:ascii="Georgia" w:hAnsi="Georgia" w:cstheme="minorHAnsi"/>
          <w:lang w:val="en-GB"/>
        </w:rPr>
        <w:t xml:space="preserve"> </w:t>
      </w:r>
      <w:r w:rsidR="006C2129" w:rsidRPr="0002056A">
        <w:rPr>
          <w:rFonts w:ascii="Georgia" w:hAnsi="Georgia" w:cstheme="minorHAnsi"/>
          <w:lang w:val="en-GB"/>
        </w:rPr>
        <w:t xml:space="preserve">The UNEP’s definition is </w:t>
      </w:r>
      <w:r w:rsidR="00486DF5">
        <w:rPr>
          <w:rFonts w:ascii="Georgia" w:hAnsi="Georgia" w:cstheme="minorHAnsi"/>
          <w:lang w:val="en-GB"/>
        </w:rPr>
        <w:t xml:space="preserve">response-oriented (and resilience-oriented) </w:t>
      </w:r>
      <w:r w:rsidR="006C2129" w:rsidRPr="0002056A">
        <w:rPr>
          <w:rFonts w:ascii="Georgia" w:hAnsi="Georgia" w:cstheme="minorHAnsi"/>
          <w:lang w:val="en-GB"/>
        </w:rPr>
        <w:t>again: a</w:t>
      </w:r>
      <w:r w:rsidRPr="0002056A">
        <w:rPr>
          <w:rFonts w:ascii="Georgia" w:hAnsi="Georgia" w:cstheme="minorHAnsi"/>
          <w:lang w:val="en-GB"/>
        </w:rPr>
        <w:t xml:space="preserve">daptation </w:t>
      </w:r>
      <w:r w:rsidRPr="0002056A">
        <w:rPr>
          <w:rFonts w:ascii="Georgia" w:hAnsi="Georgia"/>
          <w:lang w:val="en-GB"/>
        </w:rPr>
        <w:t xml:space="preserve">aims at reducing vulnerability and building resilience. The latter is </w:t>
      </w:r>
      <w:r w:rsidRPr="0002056A">
        <w:rPr>
          <w:rFonts w:ascii="Georgia" w:hAnsi="Georgia"/>
          <w:lang w:val="en-GB"/>
        </w:rPr>
        <w:lastRenderedPageBreak/>
        <w:t>the ability of a system to absorb stress and cope with climatic hazards</w:t>
      </w:r>
      <w:r w:rsidR="00737B35" w:rsidRPr="0002056A">
        <w:rPr>
          <w:rFonts w:ascii="Georgia" w:hAnsi="Georgia"/>
          <w:lang w:val="en-GB"/>
        </w:rPr>
        <w:t>,</w:t>
      </w:r>
      <w:r w:rsidRPr="0002056A">
        <w:rPr>
          <w:rFonts w:ascii="Georgia" w:hAnsi="Georgia"/>
          <w:lang w:val="en-GB"/>
        </w:rPr>
        <w:t xml:space="preserve"> recover and transform to improve its sustainability</w:t>
      </w:r>
      <w:r w:rsidR="00FA0E36" w:rsidRPr="0002056A">
        <w:rPr>
          <w:rStyle w:val="Lbjegyzet-hivatkozs"/>
          <w:rFonts w:ascii="Georgia" w:hAnsi="Georgia"/>
          <w:lang w:val="en-GB"/>
        </w:rPr>
        <w:footnoteReference w:id="2"/>
      </w:r>
      <w:r w:rsidRPr="0002056A">
        <w:rPr>
          <w:rFonts w:ascii="Georgia" w:hAnsi="Georgia" w:cstheme="minorHAnsi"/>
          <w:lang w:val="en-GB"/>
        </w:rPr>
        <w:t xml:space="preserve">. The British adaptation knowledge platform, </w:t>
      </w:r>
      <w:r w:rsidR="00737B35" w:rsidRPr="0002056A">
        <w:rPr>
          <w:rFonts w:ascii="Georgia" w:hAnsi="Georgia" w:cstheme="minorHAnsi"/>
          <w:lang w:val="en-GB"/>
        </w:rPr>
        <w:t xml:space="preserve">the </w:t>
      </w:r>
      <w:r w:rsidRPr="0002056A">
        <w:rPr>
          <w:rFonts w:ascii="Georgia" w:hAnsi="Georgia" w:cstheme="minorHAnsi"/>
          <w:lang w:val="en-GB"/>
        </w:rPr>
        <w:t xml:space="preserve">UKCIP emphasises the role of adaptation measures and policies to reduce the overall risk, to limit climate impacts and improve resilience within communities and systems. Adaptation planning at </w:t>
      </w:r>
      <w:r w:rsidR="00486DF5">
        <w:rPr>
          <w:rFonts w:ascii="Georgia" w:hAnsi="Georgia" w:cstheme="minorHAnsi"/>
          <w:lang w:val="en-GB"/>
        </w:rPr>
        <w:t xml:space="preserve">the </w:t>
      </w:r>
      <w:r w:rsidRPr="0002056A">
        <w:rPr>
          <w:rFonts w:ascii="Georgia" w:hAnsi="Georgia" w:cstheme="minorHAnsi"/>
          <w:lang w:val="en-GB"/>
        </w:rPr>
        <w:t xml:space="preserve">local and regional </w:t>
      </w:r>
      <w:r w:rsidR="00CB3054">
        <w:rPr>
          <w:rFonts w:ascii="Georgia" w:hAnsi="Georgia" w:cstheme="minorHAnsi"/>
          <w:lang w:val="en-GB"/>
        </w:rPr>
        <w:t>levels, depending on the site, requires a thorough understanding of the relevant factors through</w:t>
      </w:r>
      <w:r w:rsidRPr="0002056A">
        <w:rPr>
          <w:rFonts w:ascii="Georgia" w:hAnsi="Georgia" w:cstheme="minorHAnsi"/>
          <w:lang w:val="en-GB"/>
        </w:rPr>
        <w:t xml:space="preserve"> a climate risk assessment</w:t>
      </w:r>
      <w:r w:rsidR="00007DB3" w:rsidRPr="0002056A">
        <w:rPr>
          <w:rStyle w:val="Lbjegyzet-hivatkozs"/>
          <w:rFonts w:ascii="Georgia" w:hAnsi="Georgia" w:cstheme="minorHAnsi"/>
          <w:lang w:val="en-GB"/>
        </w:rPr>
        <w:footnoteReference w:id="3"/>
      </w:r>
      <w:r w:rsidRPr="0002056A">
        <w:rPr>
          <w:rFonts w:ascii="Georgia" w:hAnsi="Georgia" w:cstheme="minorHAnsi"/>
          <w:lang w:val="en-GB"/>
        </w:rPr>
        <w:t>.</w:t>
      </w:r>
      <w:r w:rsidRPr="0002056A">
        <w:rPr>
          <w:rFonts w:ascii="Georgia" w:hAnsi="Georgia"/>
          <w:lang w:val="en-GB"/>
        </w:rPr>
        <w:t xml:space="preserve"> The Climate-ADAPT website similarly </w:t>
      </w:r>
      <w:r w:rsidR="00486DF5">
        <w:rPr>
          <w:rFonts w:ascii="Georgia" w:hAnsi="Georgia"/>
          <w:lang w:val="en-GB"/>
        </w:rPr>
        <w:t>defines adaptive capacity as the ability of people, sectors, or systems to adapt to potential damage, seize opportunities,</w:t>
      </w:r>
      <w:r w:rsidRPr="0002056A">
        <w:rPr>
          <w:rFonts w:ascii="Georgia" w:hAnsi="Georgia" w:cs="FrutigerLTPro-BoldCn"/>
          <w:lang w:val="en-GB"/>
          <w14:ligatures w14:val="standardContextual"/>
        </w:rPr>
        <w:t xml:space="preserve"> or respond</w:t>
      </w:r>
      <w:r w:rsidRPr="0002056A">
        <w:rPr>
          <w:rFonts w:ascii="Georgia" w:hAnsi="Georgia" w:cs="FrutigerLTPro-BoldCn"/>
          <w:bCs/>
          <w:lang w:val="en-GB"/>
          <w14:ligatures w14:val="standardContextual"/>
        </w:rPr>
        <w:t xml:space="preserve"> to consequences. Adaptive capacity involves adjusting behaviours, resources and technologies. Factors </w:t>
      </w:r>
      <w:r w:rsidR="00CB3054">
        <w:rPr>
          <w:rFonts w:ascii="Georgia" w:hAnsi="Georgia" w:cs="FrutigerLTPro-BoldCn"/>
          <w:bCs/>
          <w:lang w:val="en-GB"/>
          <w14:ligatures w14:val="standardContextual"/>
        </w:rPr>
        <w:t>that hinder change or reduce</w:t>
      </w:r>
      <w:r w:rsidRPr="0002056A">
        <w:rPr>
          <w:rFonts w:ascii="Georgia" w:hAnsi="Georgia" w:cs="FrutigerLTPro-BoldCn"/>
          <w:bCs/>
          <w:lang w:val="en-GB"/>
          <w14:ligatures w14:val="standardContextual"/>
        </w:rPr>
        <w:t xml:space="preserve"> resources decrease adaptive capacity, while openness to innovation enhances it</w:t>
      </w:r>
      <w:r w:rsidR="00FC2D49" w:rsidRPr="0002056A">
        <w:rPr>
          <w:rStyle w:val="Lbjegyzet-hivatkozs"/>
          <w:rFonts w:ascii="Georgia" w:hAnsi="Georgia" w:cs="FrutigerLTPro-BoldCn"/>
          <w:bCs/>
          <w:lang w:val="en-GB"/>
          <w14:ligatures w14:val="standardContextual"/>
        </w:rPr>
        <w:footnoteReference w:id="4"/>
      </w:r>
      <w:r w:rsidR="00FC2D49" w:rsidRPr="0002056A">
        <w:rPr>
          <w:rFonts w:ascii="Georgia" w:hAnsi="Georgia" w:cs="FrutigerLTPro-BoldCn"/>
          <w:bCs/>
          <w:lang w:val="en-GB"/>
          <w14:ligatures w14:val="standardContextual"/>
        </w:rPr>
        <w:t>.</w:t>
      </w:r>
      <w:r w:rsidR="00541ED4" w:rsidRPr="0002056A">
        <w:rPr>
          <w:rFonts w:ascii="Georgia" w:hAnsi="Georgia" w:cs="FrutigerLTPro-BoldCn"/>
          <w:bCs/>
          <w:lang w:val="en-GB"/>
          <w14:ligatures w14:val="standardContextual"/>
        </w:rPr>
        <w:t xml:space="preserve"> </w:t>
      </w:r>
    </w:p>
    <w:p w14:paraId="3C904A37" w14:textId="1FF80B40" w:rsidR="004E603D" w:rsidRPr="0002056A" w:rsidRDefault="004E603D" w:rsidP="00CD5BF3">
      <w:pPr>
        <w:autoSpaceDE w:val="0"/>
        <w:autoSpaceDN w:val="0"/>
        <w:adjustRightInd w:val="0"/>
        <w:spacing w:before="120" w:after="120"/>
        <w:jc w:val="both"/>
        <w:rPr>
          <w:rFonts w:ascii="Georgia" w:eastAsia="Times New Roman" w:hAnsi="Georgia" w:cs="Times New Roman"/>
          <w:lang w:val="en-GB" w:eastAsia="hu-HU"/>
        </w:rPr>
      </w:pPr>
      <w:r w:rsidRPr="0002056A">
        <w:rPr>
          <w:rFonts w:ascii="Georgia" w:hAnsi="Georgia" w:cstheme="minorHAnsi"/>
          <w:b/>
          <w:bCs/>
          <w:lang w:val="en-GB"/>
        </w:rPr>
        <w:t>Adaptation</w:t>
      </w:r>
      <w:r w:rsidR="001E3C7F" w:rsidRPr="0002056A">
        <w:rPr>
          <w:rFonts w:ascii="Georgia" w:hAnsi="Georgia" w:cstheme="minorHAnsi"/>
          <w:b/>
          <w:bCs/>
          <w:lang w:val="en-GB"/>
        </w:rPr>
        <w:t>,</w:t>
      </w:r>
      <w:r w:rsidRPr="0002056A">
        <w:rPr>
          <w:rFonts w:ascii="Georgia" w:hAnsi="Georgia" w:cstheme="minorHAnsi"/>
          <w:b/>
          <w:bCs/>
          <w:lang w:val="en-GB"/>
        </w:rPr>
        <w:t xml:space="preserve"> </w:t>
      </w:r>
      <w:r w:rsidRPr="0002056A">
        <w:rPr>
          <w:rFonts w:ascii="Georgia" w:hAnsi="Georgia" w:cstheme="minorHAnsi"/>
          <w:lang w:val="en-GB"/>
        </w:rPr>
        <w:t xml:space="preserve">on the other hand, can be </w:t>
      </w:r>
      <w:r w:rsidR="00216AD0" w:rsidRPr="0002056A">
        <w:rPr>
          <w:rFonts w:ascii="Georgia" w:hAnsi="Georgia" w:cstheme="minorHAnsi"/>
          <w:lang w:val="en-GB"/>
        </w:rPr>
        <w:t>interpreted</w:t>
      </w:r>
      <w:r w:rsidRPr="0002056A">
        <w:rPr>
          <w:rFonts w:ascii="Georgia" w:hAnsi="Georgia" w:cstheme="minorHAnsi"/>
          <w:b/>
          <w:bCs/>
          <w:lang w:val="en-GB"/>
        </w:rPr>
        <w:t xml:space="preserve"> as part of </w:t>
      </w:r>
      <w:r w:rsidR="0002403D" w:rsidRPr="0002056A">
        <w:rPr>
          <w:rFonts w:ascii="Georgia" w:hAnsi="Georgia" w:cstheme="minorHAnsi"/>
          <w:b/>
          <w:bCs/>
          <w:lang w:val="en-GB"/>
        </w:rPr>
        <w:t xml:space="preserve">the </w:t>
      </w:r>
      <w:r w:rsidRPr="0002056A">
        <w:rPr>
          <w:rFonts w:ascii="Georgia" w:hAnsi="Georgia" w:cstheme="minorHAnsi"/>
          <w:b/>
          <w:bCs/>
          <w:lang w:val="en-GB"/>
        </w:rPr>
        <w:t>climate vulnerability or climate risk impact chains.</w:t>
      </w:r>
      <w:r w:rsidRPr="0002056A">
        <w:rPr>
          <w:rFonts w:ascii="Georgia" w:hAnsi="Georgia" w:cstheme="minorHAnsi"/>
          <w:lang w:val="en-GB"/>
        </w:rPr>
        <w:t xml:space="preserve"> </w:t>
      </w:r>
      <w:r w:rsidR="008414EA" w:rsidRPr="0002056A">
        <w:rPr>
          <w:rFonts w:ascii="Georgia" w:hAnsi="Georgia" w:cstheme="minorHAnsi"/>
          <w:lang w:val="en-GB"/>
        </w:rPr>
        <w:t xml:space="preserve">The IPCC Fourth Assessment Report (AR4)-based framework considered adaptation as the strength and </w:t>
      </w:r>
      <w:r w:rsidR="00527E6C" w:rsidRPr="0002056A">
        <w:rPr>
          <w:rFonts w:ascii="Georgia" w:hAnsi="Georgia" w:cstheme="minorHAnsi"/>
          <w:lang w:val="en-GB"/>
        </w:rPr>
        <w:t xml:space="preserve">character of local </w:t>
      </w:r>
      <w:r w:rsidR="007554D3" w:rsidRPr="0002056A">
        <w:rPr>
          <w:rFonts w:ascii="Georgia" w:hAnsi="Georgia" w:cstheme="minorHAnsi"/>
          <w:lang w:val="en-GB"/>
        </w:rPr>
        <w:t xml:space="preserve">social/economic </w:t>
      </w:r>
      <w:r w:rsidR="00527E6C" w:rsidRPr="0002056A">
        <w:rPr>
          <w:rFonts w:ascii="Georgia" w:hAnsi="Georgia" w:cstheme="minorHAnsi"/>
          <w:lang w:val="en-GB"/>
        </w:rPr>
        <w:t>answers</w:t>
      </w:r>
      <w:r w:rsidR="007554D3" w:rsidRPr="0002056A">
        <w:rPr>
          <w:rFonts w:ascii="Georgia" w:hAnsi="Georgia" w:cstheme="minorHAnsi"/>
          <w:lang w:val="en-GB"/>
        </w:rPr>
        <w:t xml:space="preserve"> </w:t>
      </w:r>
      <w:r w:rsidR="00527E6C" w:rsidRPr="0002056A">
        <w:rPr>
          <w:rFonts w:ascii="Georgia" w:hAnsi="Georgia" w:cstheme="minorHAnsi"/>
          <w:lang w:val="en-GB"/>
        </w:rPr>
        <w:t xml:space="preserve">to climate change impacts and the related </w:t>
      </w:r>
      <w:r w:rsidR="00A074E7" w:rsidRPr="0002056A">
        <w:rPr>
          <w:rFonts w:ascii="Georgia" w:hAnsi="Georgia" w:cstheme="minorHAnsi"/>
          <w:lang w:val="en-GB"/>
        </w:rPr>
        <w:t>exposure,</w:t>
      </w:r>
      <w:r w:rsidR="00527E6C" w:rsidRPr="0002056A">
        <w:rPr>
          <w:rFonts w:ascii="Georgia" w:hAnsi="Georgia" w:cstheme="minorHAnsi"/>
          <w:lang w:val="en-GB"/>
        </w:rPr>
        <w:t xml:space="preserve"> </w:t>
      </w:r>
      <w:r w:rsidR="00A915BF" w:rsidRPr="0002056A">
        <w:rPr>
          <w:rFonts w:ascii="Georgia" w:hAnsi="Georgia" w:cstheme="minorHAnsi"/>
          <w:lang w:val="en-GB"/>
        </w:rPr>
        <w:t xml:space="preserve">and it is one of the basic components of vulnerability </w:t>
      </w:r>
      <w:r w:rsidR="00527E6C" w:rsidRPr="0002056A">
        <w:rPr>
          <w:rFonts w:ascii="Georgia" w:hAnsi="Georgia" w:cstheme="minorHAnsi"/>
          <w:lang w:val="en-GB"/>
        </w:rPr>
        <w:t xml:space="preserve">(IPCC, 2007). </w:t>
      </w:r>
      <w:r w:rsidRPr="0002056A">
        <w:rPr>
          <w:rFonts w:ascii="Georgia" w:hAnsi="Georgia" w:cstheme="minorHAnsi"/>
          <w:lang w:val="en-GB"/>
        </w:rPr>
        <w:t>The current</w:t>
      </w:r>
      <w:r w:rsidR="008414EA" w:rsidRPr="0002056A">
        <w:rPr>
          <w:rFonts w:ascii="Georgia" w:hAnsi="Georgia" w:cstheme="minorHAnsi"/>
          <w:lang w:val="en-GB"/>
        </w:rPr>
        <w:t xml:space="preserve"> Sixth</w:t>
      </w:r>
      <w:r w:rsidRPr="0002056A">
        <w:rPr>
          <w:rFonts w:ascii="Georgia" w:hAnsi="Georgia" w:cstheme="minorHAnsi"/>
          <w:lang w:val="en-GB"/>
        </w:rPr>
        <w:t xml:space="preserve"> IPCC A</w:t>
      </w:r>
      <w:r w:rsidR="008414EA" w:rsidRPr="0002056A">
        <w:rPr>
          <w:rFonts w:ascii="Georgia" w:hAnsi="Georgia" w:cstheme="minorHAnsi"/>
          <w:lang w:val="en-GB"/>
        </w:rPr>
        <w:t>ssessment Report (A</w:t>
      </w:r>
      <w:r w:rsidRPr="0002056A">
        <w:rPr>
          <w:rFonts w:ascii="Georgia" w:hAnsi="Georgia" w:cstheme="minorHAnsi"/>
          <w:lang w:val="en-GB"/>
        </w:rPr>
        <w:t>R6</w:t>
      </w:r>
      <w:r w:rsidR="008414EA" w:rsidRPr="0002056A">
        <w:rPr>
          <w:rFonts w:ascii="Georgia" w:hAnsi="Georgia" w:cstheme="minorHAnsi"/>
          <w:lang w:val="en-GB"/>
        </w:rPr>
        <w:t>)</w:t>
      </w:r>
      <w:r w:rsidRPr="0002056A">
        <w:rPr>
          <w:rFonts w:ascii="Georgia" w:hAnsi="Georgia" w:cstheme="minorHAnsi"/>
          <w:lang w:val="en-GB"/>
        </w:rPr>
        <w:t xml:space="preserve"> states that a</w:t>
      </w:r>
      <w:r w:rsidRPr="0002056A">
        <w:rPr>
          <w:rFonts w:ascii="Georgia" w:hAnsi="Georgia" w:cs="FrutigerLTPro-BoldCn"/>
          <w:lang w:val="en-GB"/>
          <w14:ligatures w14:val="standardContextual"/>
        </w:rPr>
        <w:t>daptation</w:t>
      </w:r>
      <w:r w:rsidRPr="0002056A">
        <w:rPr>
          <w:rFonts w:ascii="Georgia" w:hAnsi="Georgia" w:cs="FrutigerLTPro-Condensed"/>
          <w:lang w:val="en-GB"/>
          <w14:ligatures w14:val="standardContextual"/>
        </w:rPr>
        <w:t xml:space="preserve"> plays a key role in reducing exposure and vulnerability to climate change. It is often considered as a notion around resilience as bouncing back and returning to a previous state after a disturbance, describing not just the ability to maintain essential function, identity and structure, but also the capacity for transformation. At the same time</w:t>
      </w:r>
      <w:r w:rsidR="00CB3054">
        <w:rPr>
          <w:rFonts w:ascii="Georgia" w:hAnsi="Georgia" w:cs="FrutigerLTPro-Condensed"/>
          <w:lang w:val="en-GB"/>
          <w14:ligatures w14:val="standardContextual"/>
        </w:rPr>
        <w:t>,</w:t>
      </w:r>
      <w:r w:rsidRPr="0002056A">
        <w:rPr>
          <w:rFonts w:ascii="Georgia" w:hAnsi="Georgia" w:cs="FrutigerLTPro-Condensed"/>
          <w:lang w:val="en-GB"/>
          <w14:ligatures w14:val="standardContextual"/>
        </w:rPr>
        <w:t xml:space="preserve"> the new climate vulnerability assessment logic puts climate risks into the centre of the </w:t>
      </w:r>
      <w:r w:rsidR="008A163C" w:rsidRPr="0002056A">
        <w:rPr>
          <w:rFonts w:ascii="Georgia" w:hAnsi="Georgia" w:cs="FrutigerLTPro-Condensed"/>
          <w:lang w:val="en-GB"/>
          <w14:ligatures w14:val="standardContextual"/>
        </w:rPr>
        <w:t>examinations</w:t>
      </w:r>
      <w:r w:rsidRPr="0002056A">
        <w:rPr>
          <w:rFonts w:ascii="Georgia" w:hAnsi="Georgia" w:cs="FrutigerLTPro-Condensed"/>
          <w:lang w:val="en-GB"/>
          <w14:ligatures w14:val="standardContextual"/>
        </w:rPr>
        <w:t xml:space="preserve">. </w:t>
      </w:r>
      <w:r w:rsidR="00216AD0" w:rsidRPr="0002056A">
        <w:rPr>
          <w:rFonts w:ascii="Georgia" w:hAnsi="Georgia" w:cs="FrutigerLTPro-Condensed"/>
          <w:lang w:val="en-GB"/>
          <w14:ligatures w14:val="standardContextual"/>
        </w:rPr>
        <w:t>According</w:t>
      </w:r>
      <w:r w:rsidRPr="0002056A">
        <w:rPr>
          <w:rFonts w:ascii="Georgia" w:hAnsi="Georgia" w:cs="FrutigerLTPro-Condensed"/>
          <w:lang w:val="en-GB"/>
          <w14:ligatures w14:val="standardContextual"/>
        </w:rPr>
        <w:t xml:space="preserve"> to this, c</w:t>
      </w:r>
      <w:r w:rsidRPr="0002056A">
        <w:rPr>
          <w:rFonts w:ascii="Georgia" w:eastAsia="Times New Roman" w:hAnsi="Georgia" w:cs="Times New Roman"/>
          <w:lang w:val="en-GB" w:eastAsia="hu-HU"/>
        </w:rPr>
        <w:t xml:space="preserve">limate risk results from a combination of local conditions, including climate hazards, exposure and </w:t>
      </w:r>
      <w:r w:rsidR="009B7DE4" w:rsidRPr="0002056A">
        <w:rPr>
          <w:rFonts w:ascii="Georgia" w:eastAsia="Times New Roman" w:hAnsi="Georgia" w:cs="Times New Roman"/>
          <w:lang w:val="en-GB" w:eastAsia="hu-HU"/>
        </w:rPr>
        <w:t>vulnerability</w:t>
      </w:r>
      <w:r w:rsidR="00300DAC" w:rsidRPr="0002056A">
        <w:rPr>
          <w:rFonts w:ascii="Georgia" w:eastAsia="Times New Roman" w:hAnsi="Georgia" w:cs="Times New Roman"/>
          <w:lang w:val="en-GB" w:eastAsia="hu-HU"/>
        </w:rPr>
        <w:t>. Adaptation</w:t>
      </w:r>
      <w:r w:rsidR="00CB3054">
        <w:rPr>
          <w:rFonts w:ascii="Georgia" w:eastAsia="Times New Roman" w:hAnsi="Georgia" w:cs="Times New Roman"/>
          <w:lang w:val="en-GB" w:eastAsia="hu-HU"/>
        </w:rPr>
        <w:t>, together with sensitivity, comprises</w:t>
      </w:r>
      <w:r w:rsidR="00300DAC" w:rsidRPr="0002056A">
        <w:rPr>
          <w:rFonts w:ascii="Georgia" w:eastAsia="Times New Roman" w:hAnsi="Georgia" w:cs="Times New Roman"/>
          <w:lang w:val="en-GB" w:eastAsia="hu-HU"/>
        </w:rPr>
        <w:t xml:space="preserve"> the two parts of vulnerability </w:t>
      </w:r>
      <w:r w:rsidR="009B7DE4" w:rsidRPr="0002056A">
        <w:rPr>
          <w:rFonts w:ascii="Georgia" w:hAnsi="Georgia" w:cs="FrutigerLTPro-Condensed"/>
          <w:lang w:val="en-GB"/>
          <w14:ligatures w14:val="standardContextual"/>
        </w:rPr>
        <w:t>(</w:t>
      </w:r>
      <w:r w:rsidR="009B7DE4" w:rsidRPr="0002056A">
        <w:rPr>
          <w:rFonts w:ascii="Georgia" w:hAnsi="Georgia" w:cs="FrutigerLTPro-Condensed"/>
          <w:bCs/>
          <w:iCs/>
          <w:smallCaps/>
          <w:lang w:val="en-GB"/>
          <w14:ligatures w14:val="standardContextual"/>
        </w:rPr>
        <w:t>IPCC, 2022</w:t>
      </w:r>
      <w:r w:rsidR="009B7DE4" w:rsidRPr="0002056A">
        <w:rPr>
          <w:rFonts w:ascii="Georgia" w:hAnsi="Georgia" w:cs="FrutigerLTPro-Condensed"/>
          <w:lang w:val="en-GB"/>
          <w14:ligatures w14:val="standardContextual"/>
        </w:rPr>
        <w:t>)</w:t>
      </w:r>
      <w:r w:rsidRPr="0002056A">
        <w:rPr>
          <w:rFonts w:ascii="Georgia" w:eastAsia="Times New Roman" w:hAnsi="Georgia" w:cs="Times New Roman"/>
          <w:lang w:val="en-GB" w:eastAsia="hu-HU"/>
        </w:rPr>
        <w:t xml:space="preserve">. Adaptation measures and policies are </w:t>
      </w:r>
      <w:r w:rsidR="009B7DE4" w:rsidRPr="0002056A">
        <w:rPr>
          <w:rFonts w:ascii="Georgia" w:eastAsia="Times New Roman" w:hAnsi="Georgia" w:cs="Times New Roman"/>
          <w:lang w:val="en-GB" w:eastAsia="hu-HU"/>
        </w:rPr>
        <w:t xml:space="preserve">consequently </w:t>
      </w:r>
      <w:r w:rsidRPr="0002056A">
        <w:rPr>
          <w:rFonts w:ascii="Georgia" w:eastAsia="Times New Roman" w:hAnsi="Georgia" w:cs="Times New Roman"/>
          <w:lang w:val="en-GB" w:eastAsia="hu-HU"/>
        </w:rPr>
        <w:t>essential in reducing the overall risk, aiming to limit climate impacts and improve resilience within communities and systems (</w:t>
      </w:r>
      <w:r w:rsidRPr="0002056A">
        <w:rPr>
          <w:rFonts w:ascii="Georgia" w:eastAsia="Times New Roman" w:hAnsi="Georgia" w:cs="Times New Roman"/>
          <w:bCs/>
          <w:iCs/>
          <w:smallCaps/>
          <w:lang w:val="en-GB" w:eastAsia="hu-HU"/>
        </w:rPr>
        <w:t>EEA, 2025</w:t>
      </w:r>
      <w:r w:rsidRPr="0002056A">
        <w:rPr>
          <w:rFonts w:ascii="Georgia" w:eastAsia="Times New Roman" w:hAnsi="Georgia" w:cs="Times New Roman"/>
          <w:lang w:val="en-GB" w:eastAsia="hu-HU"/>
        </w:rPr>
        <w:t>).</w:t>
      </w:r>
    </w:p>
    <w:p w14:paraId="067C061D" w14:textId="55F3B91D" w:rsidR="004E603D" w:rsidRPr="0002056A" w:rsidRDefault="009B7DE4" w:rsidP="00CD5BF3">
      <w:pPr>
        <w:autoSpaceDE w:val="0"/>
        <w:autoSpaceDN w:val="0"/>
        <w:adjustRightInd w:val="0"/>
        <w:spacing w:before="120" w:after="120"/>
        <w:jc w:val="both"/>
        <w:rPr>
          <w:rFonts w:ascii="Georgia" w:hAnsi="Georgia" w:cs="STIX-Regular"/>
          <w:b/>
          <w:i/>
          <w:color w:val="000000"/>
          <w:lang w:val="en-GB"/>
        </w:rPr>
      </w:pPr>
      <w:r w:rsidRPr="0002056A">
        <w:rPr>
          <w:rFonts w:ascii="Georgia" w:hAnsi="Georgia"/>
          <w:b/>
          <w:lang w:val="en-GB"/>
        </w:rPr>
        <w:t>One of t</w:t>
      </w:r>
      <w:r w:rsidR="004E603D" w:rsidRPr="0002056A">
        <w:rPr>
          <w:rFonts w:ascii="Georgia" w:hAnsi="Georgia"/>
          <w:b/>
          <w:lang w:val="en-GB"/>
        </w:rPr>
        <w:t xml:space="preserve">he dissertation’s central </w:t>
      </w:r>
      <w:r w:rsidR="00A074E7" w:rsidRPr="0002056A">
        <w:rPr>
          <w:rFonts w:ascii="Georgia" w:hAnsi="Georgia"/>
          <w:b/>
          <w:lang w:val="en-GB"/>
        </w:rPr>
        <w:t>topics</w:t>
      </w:r>
      <w:r w:rsidR="004E603D" w:rsidRPr="0002056A">
        <w:rPr>
          <w:rFonts w:ascii="Georgia" w:hAnsi="Georgia"/>
          <w:b/>
          <w:lang w:val="en-GB"/>
        </w:rPr>
        <w:t xml:space="preserve"> is climate adaptation policy.</w:t>
      </w:r>
      <w:r w:rsidR="004E603D" w:rsidRPr="0002056A">
        <w:rPr>
          <w:rFonts w:ascii="Georgia" w:hAnsi="Georgia"/>
          <w:lang w:val="en-GB"/>
        </w:rPr>
        <w:t xml:space="preserve"> The field is a relatively </w:t>
      </w:r>
      <w:r w:rsidR="00CB3054">
        <w:rPr>
          <w:rFonts w:ascii="Georgia" w:hAnsi="Georgia"/>
          <w:lang w:val="en-GB"/>
        </w:rPr>
        <w:t xml:space="preserve">new policy area, both </w:t>
      </w:r>
      <w:r w:rsidR="00924A75">
        <w:rPr>
          <w:rFonts w:ascii="Georgia" w:hAnsi="Georgia"/>
          <w:lang w:val="en-GB"/>
        </w:rPr>
        <w:t xml:space="preserve">among </w:t>
      </w:r>
      <w:r w:rsidR="00CB3054">
        <w:rPr>
          <w:rFonts w:ascii="Georgia" w:hAnsi="Georgia"/>
          <w:lang w:val="en-GB"/>
        </w:rPr>
        <w:t xml:space="preserve">the sectoral fields and </w:t>
      </w:r>
      <w:r w:rsidR="004E603D" w:rsidRPr="0002056A">
        <w:rPr>
          <w:rFonts w:ascii="Georgia" w:hAnsi="Georgia"/>
          <w:lang w:val="en-GB"/>
        </w:rPr>
        <w:t>within climate policy. As the IPCC declares, “(</w:t>
      </w:r>
      <w:r w:rsidR="004E603D" w:rsidRPr="0002056A">
        <w:rPr>
          <w:rFonts w:ascii="Georgia" w:hAnsi="Georgia"/>
          <w:i/>
          <w:iCs/>
          <w:lang w:val="en-GB"/>
        </w:rPr>
        <w:t>planned) adaptation</w:t>
      </w:r>
      <w:r w:rsidR="004E603D" w:rsidRPr="0002056A">
        <w:rPr>
          <w:rFonts w:ascii="Georgia" w:hAnsi="Georgia"/>
          <w:i/>
          <w:lang w:val="en-GB"/>
        </w:rPr>
        <w:t xml:space="preserve"> is the result of a deliberate policy decision, based on awareness that conditions have changed or are about to change and that action is required to return to, maintain, or achieve a desired state</w:t>
      </w:r>
      <w:r w:rsidR="004E603D" w:rsidRPr="0002056A">
        <w:rPr>
          <w:rFonts w:ascii="Georgia" w:hAnsi="Georgia"/>
          <w:lang w:val="en-GB"/>
        </w:rPr>
        <w:t>” (</w:t>
      </w:r>
      <w:r w:rsidR="004E603D" w:rsidRPr="0002056A">
        <w:rPr>
          <w:rFonts w:ascii="Georgia" w:hAnsi="Georgia"/>
          <w:bCs/>
          <w:iCs/>
          <w:smallCaps/>
          <w:lang w:val="en-GB"/>
        </w:rPr>
        <w:t>IPCC, 2007</w:t>
      </w:r>
      <w:r w:rsidR="004E603D" w:rsidRPr="0002056A">
        <w:rPr>
          <w:rFonts w:ascii="Georgia" w:hAnsi="Georgia"/>
          <w:lang w:val="en-GB"/>
        </w:rPr>
        <w:t xml:space="preserve">). </w:t>
      </w:r>
      <w:r w:rsidR="004E603D" w:rsidRPr="0002056A">
        <w:rPr>
          <w:rFonts w:ascii="Georgia" w:hAnsi="Georgia" w:cs="FrutigerLTPro-BoldCn"/>
          <w:bCs/>
          <w:lang w:val="en-GB"/>
          <w14:ligatures w14:val="standardContextual"/>
        </w:rPr>
        <w:t xml:space="preserve">Climate adaptation </w:t>
      </w:r>
      <w:r w:rsidR="00A16DD2" w:rsidRPr="0002056A">
        <w:rPr>
          <w:rFonts w:ascii="Georgia" w:hAnsi="Georgia" w:cs="FrutigerLTPro-BoldCn"/>
          <w:bCs/>
          <w:lang w:val="en-GB"/>
          <w14:ligatures w14:val="standardContextual"/>
        </w:rPr>
        <w:t xml:space="preserve">policy </w:t>
      </w:r>
      <w:r w:rsidR="004E603D" w:rsidRPr="0002056A">
        <w:rPr>
          <w:rFonts w:ascii="Georgia" w:hAnsi="Georgia" w:cs="FrutigerLTPro-BoldCn"/>
          <w:bCs/>
          <w:lang w:val="en-GB"/>
          <w14:ligatures w14:val="standardContextual"/>
        </w:rPr>
        <w:t xml:space="preserve">comprises </w:t>
      </w:r>
      <w:r w:rsidR="00A16DD2" w:rsidRPr="0002056A">
        <w:rPr>
          <w:rFonts w:ascii="Georgia" w:hAnsi="Georgia" w:cs="FrutigerLTPro-BoldCn"/>
          <w:bCs/>
          <w:lang w:val="en-GB"/>
          <w14:ligatures w14:val="standardContextual"/>
        </w:rPr>
        <w:t>the planned</w:t>
      </w:r>
      <w:r w:rsidR="004E603D" w:rsidRPr="0002056A">
        <w:rPr>
          <w:rFonts w:ascii="Georgia" w:hAnsi="Georgia" w:cs="FrutigerLTPro-BoldCn"/>
          <w:bCs/>
          <w:lang w:val="en-GB"/>
          <w14:ligatures w14:val="standardContextual"/>
        </w:rPr>
        <w:t xml:space="preserve"> action</w:t>
      </w:r>
      <w:r w:rsidR="00A16DD2" w:rsidRPr="0002056A">
        <w:rPr>
          <w:rFonts w:ascii="Georgia" w:hAnsi="Georgia" w:cs="FrutigerLTPro-BoldCn"/>
          <w:bCs/>
          <w:lang w:val="en-GB"/>
          <w14:ligatures w14:val="standardContextual"/>
        </w:rPr>
        <w:t>s</w:t>
      </w:r>
      <w:r w:rsidR="004E603D" w:rsidRPr="0002056A">
        <w:rPr>
          <w:rFonts w:ascii="Georgia" w:hAnsi="Georgia" w:cs="FrutigerLTPro-BoldCn"/>
          <w:bCs/>
          <w:lang w:val="en-GB"/>
          <w14:ligatures w14:val="standardContextual"/>
        </w:rPr>
        <w:t xml:space="preserve"> to cope with the impacts of </w:t>
      </w:r>
      <w:r w:rsidR="00A16DD2" w:rsidRPr="0002056A">
        <w:rPr>
          <w:rFonts w:ascii="Georgia" w:hAnsi="Georgia" w:cs="FrutigerLTPro-BoldCn"/>
          <w:bCs/>
          <w:lang w:val="en-GB"/>
          <w14:ligatures w14:val="standardContextual"/>
        </w:rPr>
        <w:t>climate change,</w:t>
      </w:r>
      <w:r w:rsidR="004E603D" w:rsidRPr="0002056A">
        <w:rPr>
          <w:rFonts w:ascii="Georgia" w:hAnsi="Georgia" w:cs="FrutigerLTPro-BoldCn"/>
          <w:bCs/>
          <w:lang w:val="en-GB"/>
          <w14:ligatures w14:val="standardContextual"/>
        </w:rPr>
        <w:t xml:space="preserve"> reduce vulnerability to them and </w:t>
      </w:r>
      <w:r w:rsidR="00CB3054">
        <w:rPr>
          <w:rFonts w:ascii="Georgia" w:hAnsi="Georgia" w:cs="FrutigerLTPro-BoldCn"/>
          <w:bCs/>
          <w:lang w:val="en-GB"/>
          <w14:ligatures w14:val="standardContextual"/>
        </w:rPr>
        <w:t>tackle</w:t>
      </w:r>
      <w:r w:rsidR="00CB3054" w:rsidRPr="0002056A">
        <w:rPr>
          <w:rFonts w:ascii="Georgia" w:hAnsi="Georgia" w:cs="FrutigerLTPro-BoldCn"/>
          <w:bCs/>
          <w:lang w:val="en-GB"/>
          <w14:ligatures w14:val="standardContextual"/>
        </w:rPr>
        <w:t xml:space="preserve"> </w:t>
      </w:r>
      <w:r w:rsidR="004E603D" w:rsidRPr="0002056A">
        <w:rPr>
          <w:rFonts w:ascii="Georgia" w:hAnsi="Georgia" w:cs="FrutigerLTPro-BoldCn"/>
          <w:bCs/>
          <w:lang w:val="en-GB"/>
          <w14:ligatures w14:val="standardContextual"/>
        </w:rPr>
        <w:t>b</w:t>
      </w:r>
      <w:r w:rsidR="00A16DD2" w:rsidRPr="0002056A">
        <w:rPr>
          <w:rFonts w:ascii="Georgia" w:hAnsi="Georgia" w:cs="FrutigerLTPro-BoldCn"/>
          <w:bCs/>
          <w:lang w:val="en-GB"/>
          <w14:ligatures w14:val="standardContextual"/>
        </w:rPr>
        <w:t>o</w:t>
      </w:r>
      <w:r w:rsidR="004E603D" w:rsidRPr="0002056A">
        <w:rPr>
          <w:rFonts w:ascii="Georgia" w:hAnsi="Georgia" w:cs="FrutigerLTPro-BoldCn"/>
          <w:bCs/>
          <w:lang w:val="en-GB"/>
          <w14:ligatures w14:val="standardContextual"/>
        </w:rPr>
        <w:t>th current problems and anticipate future challenges as cost</w:t>
      </w:r>
      <w:r w:rsidR="00A16DD2" w:rsidRPr="0002056A">
        <w:rPr>
          <w:rFonts w:ascii="Georgia" w:hAnsi="Georgia" w:cs="FrutigerLTPro-BoldCn"/>
          <w:bCs/>
          <w:lang w:val="en-GB"/>
          <w14:ligatures w14:val="standardContextual"/>
        </w:rPr>
        <w:t>-</w:t>
      </w:r>
      <w:r w:rsidR="004E603D" w:rsidRPr="0002056A">
        <w:rPr>
          <w:rFonts w:ascii="Georgia" w:hAnsi="Georgia" w:cs="FrutigerLTPro-BoldCn"/>
          <w:bCs/>
          <w:lang w:val="en-GB"/>
          <w14:ligatures w14:val="standardContextual"/>
        </w:rPr>
        <w:t xml:space="preserve">effectively as possible. </w:t>
      </w:r>
      <w:r w:rsidR="00BC1032" w:rsidRPr="0002056A">
        <w:rPr>
          <w:rFonts w:ascii="Georgia" w:hAnsi="Georgia" w:cs="FrutigerLTPro-BoldCn"/>
          <w:bCs/>
          <w:lang w:val="en-GB"/>
          <w14:ligatures w14:val="standardContextual"/>
        </w:rPr>
        <w:t>Meanwhile</w:t>
      </w:r>
      <w:r w:rsidR="00CB3054">
        <w:rPr>
          <w:rFonts w:ascii="Georgia" w:hAnsi="Georgia" w:cs="FrutigerLTPro-BoldCn"/>
          <w:bCs/>
          <w:lang w:val="en-GB"/>
          <w14:ligatures w14:val="standardContextual"/>
        </w:rPr>
        <w:t xml:space="preserve">, earlier </w:t>
      </w:r>
      <w:r w:rsidR="00B20337">
        <w:rPr>
          <w:rFonts w:ascii="Georgia" w:hAnsi="Georgia" w:cs="FrutigerLTPro-BoldCn"/>
          <w:bCs/>
          <w:lang w:val="en-GB"/>
          <w14:ligatures w14:val="standardContextual"/>
        </w:rPr>
        <w:t xml:space="preserve">the </w:t>
      </w:r>
      <w:r w:rsidR="00CB3054">
        <w:rPr>
          <w:rFonts w:ascii="Georgia" w:hAnsi="Georgia" w:cs="FrutigerLTPro-BoldCn"/>
          <w:bCs/>
          <w:lang w:val="en-GB"/>
          <w14:ligatures w14:val="standardContextual"/>
        </w:rPr>
        <w:t>related challenges were often handled through implicitly increasing adaptive capacities as part of other sectoral policies; during the recent decades, adaptation policy evolved into a separate</w:t>
      </w:r>
      <w:r w:rsidR="00BC1032" w:rsidRPr="0002056A">
        <w:rPr>
          <w:rFonts w:ascii="Georgia" w:hAnsi="Georgia" w:cs="FrutigerLTPro-BoldCn"/>
          <w:bCs/>
          <w:lang w:val="en-GB"/>
          <w14:ligatures w14:val="standardContextual"/>
        </w:rPr>
        <w:t xml:space="preserve"> policy field.</w:t>
      </w:r>
      <w:r w:rsidR="004E603D" w:rsidRPr="0002056A">
        <w:rPr>
          <w:rFonts w:ascii="Georgia" w:hAnsi="Georgia" w:cstheme="minorHAnsi"/>
          <w:lang w:val="en-GB"/>
        </w:rPr>
        <w:t xml:space="preserve"> </w:t>
      </w:r>
      <w:r w:rsidR="004E603D" w:rsidRPr="0002056A">
        <w:rPr>
          <w:rFonts w:ascii="Georgia" w:hAnsi="Georgia"/>
          <w:lang w:val="en-GB"/>
        </w:rPr>
        <w:t xml:space="preserve">As one of the three formal pillars of climate policy </w:t>
      </w:r>
      <w:r w:rsidR="00BC1032" w:rsidRPr="0002056A">
        <w:rPr>
          <w:rFonts w:ascii="Georgia" w:hAnsi="Georgia"/>
          <w:lang w:val="en-GB"/>
        </w:rPr>
        <w:t xml:space="preserve">it </w:t>
      </w:r>
      <w:r w:rsidR="004E603D" w:rsidRPr="0002056A">
        <w:rPr>
          <w:rFonts w:ascii="Georgia" w:hAnsi="Georgia"/>
          <w:lang w:val="en-GB"/>
        </w:rPr>
        <w:t>is the activity of planning, implementing and following-up adaptation solutions aiming at the adaptation to and preparation for climate change</w:t>
      </w:r>
      <w:r w:rsidR="00FF513B" w:rsidRPr="0002056A">
        <w:rPr>
          <w:rFonts w:ascii="Georgia" w:hAnsi="Georgia"/>
          <w:lang w:val="en-GB"/>
        </w:rPr>
        <w:t>-</w:t>
      </w:r>
      <w:r w:rsidR="004E603D" w:rsidRPr="0002056A">
        <w:rPr>
          <w:rFonts w:ascii="Georgia" w:hAnsi="Georgia"/>
          <w:lang w:val="en-GB"/>
        </w:rPr>
        <w:t xml:space="preserve">induced challenges. </w:t>
      </w:r>
      <w:r w:rsidR="004E603D" w:rsidRPr="0002056A">
        <w:rPr>
          <w:rFonts w:ascii="Georgia" w:eastAsia="Times New Roman" w:hAnsi="Georgia" w:cs="Times New Roman"/>
          <w:lang w:val="en-GB" w:eastAsia="hu-HU"/>
        </w:rPr>
        <w:t xml:space="preserve">Benzie and Persson </w:t>
      </w:r>
      <w:r w:rsidR="004E603D" w:rsidRPr="0002056A">
        <w:rPr>
          <w:rFonts w:ascii="Georgia" w:eastAsia="Times New Roman" w:hAnsi="Georgia" w:cs="Times New Roman"/>
          <w:color w:val="3D5265"/>
          <w:lang w:val="en-GB" w:eastAsia="hu-HU"/>
        </w:rPr>
        <w:t>d</w:t>
      </w:r>
      <w:r w:rsidR="004E603D" w:rsidRPr="0002056A">
        <w:rPr>
          <w:rFonts w:ascii="Georgia" w:hAnsi="Georgia" w:cs="STIX-Regular"/>
          <w:color w:val="000000"/>
          <w:lang w:val="en-GB"/>
        </w:rPr>
        <w:t xml:space="preserve">efine </w:t>
      </w:r>
      <w:r w:rsidR="004E603D" w:rsidRPr="0002056A">
        <w:rPr>
          <w:rFonts w:ascii="Georgia" w:hAnsi="Georgia" w:cs="STIX-Regular"/>
          <w:b/>
          <w:bCs/>
          <w:color w:val="000000"/>
          <w:lang w:val="en-GB"/>
        </w:rPr>
        <w:t>adaptation governance</w:t>
      </w:r>
      <w:r w:rsidR="004E603D" w:rsidRPr="0002056A">
        <w:rPr>
          <w:rFonts w:ascii="Georgia" w:hAnsi="Georgia" w:cs="STIX-Regular"/>
          <w:color w:val="000000"/>
          <w:lang w:val="en-GB"/>
        </w:rPr>
        <w:t xml:space="preserve"> as the collective efforts of multiple societal actors to address problems</w:t>
      </w:r>
      <w:r w:rsidR="00CB3054">
        <w:rPr>
          <w:rFonts w:ascii="Georgia" w:hAnsi="Georgia" w:cs="STIX-Regular"/>
          <w:color w:val="000000"/>
          <w:lang w:val="en-GB"/>
        </w:rPr>
        <w:t xml:space="preserve"> or </w:t>
      </w:r>
      <w:r w:rsidR="00B20337">
        <w:rPr>
          <w:rFonts w:ascii="Georgia" w:hAnsi="Georgia" w:cs="STIX-Regular"/>
          <w:color w:val="000000"/>
          <w:lang w:val="en-GB"/>
        </w:rPr>
        <w:t>exploit</w:t>
      </w:r>
      <w:r w:rsidR="00CB3054">
        <w:rPr>
          <w:rFonts w:ascii="Georgia" w:hAnsi="Georgia" w:cs="STIX-Regular"/>
          <w:color w:val="000000"/>
          <w:lang w:val="en-GB"/>
        </w:rPr>
        <w:t xml:space="preserve"> the </w:t>
      </w:r>
      <w:r w:rsidR="00B20337">
        <w:rPr>
          <w:rFonts w:ascii="Georgia" w:hAnsi="Georgia" w:cs="STIX-Regular"/>
          <w:color w:val="000000"/>
          <w:lang w:val="en-GB"/>
        </w:rPr>
        <w:t>gains</w:t>
      </w:r>
      <w:r w:rsidR="00CB3054">
        <w:rPr>
          <w:rFonts w:ascii="Georgia" w:hAnsi="Georgia" w:cs="STIX-Regular"/>
          <w:color w:val="000000"/>
          <w:lang w:val="en-GB"/>
        </w:rPr>
        <w:t xml:space="preserve"> associated with the impacts of climate change, including the design and use of institutions and ideas (</w:t>
      </w:r>
      <w:r w:rsidR="00CB3054" w:rsidRPr="009F4027">
        <w:rPr>
          <w:rFonts w:ascii="Georgia" w:hAnsi="Georgia" w:cs="STIX-Regular"/>
          <w:smallCaps/>
          <w:color w:val="000000"/>
          <w:lang w:val="en-GB"/>
        </w:rPr>
        <w:t>Benzie &amp; Persson</w:t>
      </w:r>
      <w:r w:rsidR="004E603D" w:rsidRPr="008C655F">
        <w:rPr>
          <w:rFonts w:ascii="Georgia" w:hAnsi="Georgia" w:cs="STIX-Regular"/>
          <w:smallCaps/>
          <w:color w:val="000000"/>
          <w:lang w:val="en-GB"/>
        </w:rPr>
        <w:t>, 2019</w:t>
      </w:r>
      <w:r w:rsidR="004E603D" w:rsidRPr="0002056A">
        <w:rPr>
          <w:rFonts w:ascii="Georgia" w:hAnsi="Georgia" w:cs="STIX-Regular"/>
          <w:color w:val="000000"/>
          <w:lang w:val="en-GB"/>
        </w:rPr>
        <w:t>).</w:t>
      </w:r>
    </w:p>
    <w:p w14:paraId="5419A7AB" w14:textId="68E255A1" w:rsidR="00715A78" w:rsidRPr="0002056A" w:rsidRDefault="004E603D" w:rsidP="00CD5BF3">
      <w:pPr>
        <w:spacing w:before="120" w:after="120"/>
        <w:jc w:val="both"/>
        <w:rPr>
          <w:rFonts w:ascii="Georgia" w:hAnsi="Georgia"/>
          <w:lang w:val="en-GB"/>
        </w:rPr>
      </w:pPr>
      <w:r w:rsidRPr="0002056A">
        <w:rPr>
          <w:rFonts w:ascii="Georgia" w:hAnsi="Georgia"/>
          <w:lang w:val="en-GB"/>
        </w:rPr>
        <w:t xml:space="preserve">Tompkins </w:t>
      </w:r>
      <w:r w:rsidR="001B376D" w:rsidRPr="0002056A">
        <w:rPr>
          <w:rFonts w:ascii="Georgia" w:hAnsi="Georgia"/>
          <w:lang w:val="en-GB"/>
        </w:rPr>
        <w:t xml:space="preserve">and his colleague </w:t>
      </w:r>
      <w:r w:rsidRPr="0002056A">
        <w:rPr>
          <w:rFonts w:ascii="Georgia" w:hAnsi="Georgia"/>
          <w:lang w:val="en-GB"/>
        </w:rPr>
        <w:t xml:space="preserve">identified 3 groups of </w:t>
      </w:r>
      <w:r w:rsidRPr="0002056A">
        <w:rPr>
          <w:rFonts w:ascii="Georgia" w:hAnsi="Georgia"/>
          <w:b/>
          <w:bCs/>
          <w:lang w:val="en-GB"/>
        </w:rPr>
        <w:t>adaptation actions</w:t>
      </w:r>
      <w:r w:rsidRPr="0002056A">
        <w:rPr>
          <w:rFonts w:ascii="Georgia" w:hAnsi="Georgia"/>
          <w:lang w:val="en-GB"/>
        </w:rPr>
        <w:t>: those that address social vulnerability</w:t>
      </w:r>
      <w:r w:rsidR="00CB3054">
        <w:rPr>
          <w:rFonts w:ascii="Georgia" w:hAnsi="Georgia"/>
          <w:lang w:val="en-GB"/>
        </w:rPr>
        <w:t>,</w:t>
      </w:r>
      <w:r w:rsidR="00CB3054" w:rsidRPr="0002056A">
        <w:rPr>
          <w:rFonts w:ascii="Georgia" w:hAnsi="Georgia"/>
          <w:lang w:val="en-GB"/>
        </w:rPr>
        <w:t xml:space="preserve"> </w:t>
      </w:r>
      <w:r w:rsidRPr="0002056A">
        <w:rPr>
          <w:rFonts w:ascii="Georgia" w:hAnsi="Georgia"/>
          <w:lang w:val="en-GB"/>
        </w:rPr>
        <w:t>those that aim at enhancing ecosystem resilience</w:t>
      </w:r>
      <w:r w:rsidR="00CB3054">
        <w:rPr>
          <w:rFonts w:ascii="Georgia" w:hAnsi="Georgia"/>
          <w:lang w:val="en-GB"/>
        </w:rPr>
        <w:t>,</w:t>
      </w:r>
      <w:r w:rsidRPr="0002056A">
        <w:rPr>
          <w:rFonts w:ascii="Georgia" w:hAnsi="Georgia"/>
          <w:lang w:val="en-GB"/>
        </w:rPr>
        <w:t xml:space="preserve"> and those that propagate actions against specific risks (</w:t>
      </w:r>
      <w:r w:rsidRPr="0002056A">
        <w:rPr>
          <w:rFonts w:ascii="Georgia" w:hAnsi="Georgia" w:cstheme="minorHAnsi"/>
          <w:smallCaps/>
          <w:lang w:val="en-GB"/>
        </w:rPr>
        <w:t xml:space="preserve">Tompkins </w:t>
      </w:r>
      <w:r w:rsidR="001B376D" w:rsidRPr="0002056A">
        <w:rPr>
          <w:rFonts w:ascii="Georgia" w:hAnsi="Georgia" w:cstheme="minorHAnsi"/>
          <w:smallCaps/>
          <w:lang w:val="en-GB"/>
        </w:rPr>
        <w:t>&amp; Amundsen</w:t>
      </w:r>
      <w:r w:rsidRPr="0002056A">
        <w:rPr>
          <w:rFonts w:ascii="Georgia" w:hAnsi="Georgia"/>
          <w:lang w:val="en-GB"/>
        </w:rPr>
        <w:t xml:space="preserve">, 2008). Similarly, other authors emphasise that adaptation activities comprise measures directed to reducing </w:t>
      </w:r>
      <w:r w:rsidR="00CB3054">
        <w:rPr>
          <w:rFonts w:ascii="Georgia" w:hAnsi="Georgia"/>
          <w:lang w:val="en-GB"/>
        </w:rPr>
        <w:t>ecological</w:t>
      </w:r>
      <w:r w:rsidRPr="0002056A">
        <w:rPr>
          <w:rFonts w:ascii="Georgia" w:hAnsi="Georgia"/>
          <w:lang w:val="en-GB"/>
        </w:rPr>
        <w:t xml:space="preserve">, </w:t>
      </w:r>
      <w:r w:rsidRPr="0002056A">
        <w:rPr>
          <w:rFonts w:ascii="Georgia" w:hAnsi="Georgia"/>
          <w:lang w:val="en-GB"/>
        </w:rPr>
        <w:lastRenderedPageBreak/>
        <w:t>economic and societal vulnerability to climatic factors (</w:t>
      </w:r>
      <w:r w:rsidRPr="0002056A">
        <w:rPr>
          <w:rFonts w:ascii="Georgia" w:hAnsi="Georgia" w:cstheme="minorHAnsi"/>
          <w:smallCaps/>
          <w:lang w:val="en-GB"/>
        </w:rPr>
        <w:t>Füssel-Klein, 2006; Klostermann et al., 2018</w:t>
      </w:r>
      <w:r w:rsidRPr="0002056A">
        <w:rPr>
          <w:rFonts w:ascii="Georgia" w:hAnsi="Georgia"/>
          <w:lang w:val="en-GB"/>
        </w:rPr>
        <w:t xml:space="preserve">), adjusting these systems to actual or expected </w:t>
      </w:r>
      <w:r w:rsidR="00171B99" w:rsidRPr="0002056A">
        <w:rPr>
          <w:rFonts w:ascii="Georgia" w:hAnsi="Georgia"/>
          <w:lang w:val="en-GB"/>
        </w:rPr>
        <w:t>impacts and consequences</w:t>
      </w:r>
      <w:r w:rsidRPr="0002056A">
        <w:rPr>
          <w:rFonts w:ascii="Georgia" w:hAnsi="Georgia"/>
          <w:lang w:val="en-GB"/>
        </w:rPr>
        <w:t xml:space="preserve"> and changing structures and processes to moderate potential damage and benefit from opportunities (</w:t>
      </w:r>
      <w:r w:rsidRPr="0002056A">
        <w:rPr>
          <w:rFonts w:ascii="Georgia" w:hAnsi="Georgia" w:cstheme="minorHAnsi"/>
          <w:smallCaps/>
          <w:lang w:val="en-GB"/>
        </w:rPr>
        <w:t>Feldmayer et al., 2019</w:t>
      </w:r>
      <w:r w:rsidRPr="0002056A">
        <w:rPr>
          <w:rFonts w:ascii="Georgia" w:hAnsi="Georgia"/>
          <w:lang w:val="en-GB"/>
        </w:rPr>
        <w:t xml:space="preserve">). </w:t>
      </w:r>
      <w:r w:rsidR="00690516" w:rsidRPr="0002056A">
        <w:rPr>
          <w:rFonts w:ascii="Georgia" w:hAnsi="Georgia"/>
          <w:lang w:val="en-GB"/>
        </w:rPr>
        <w:t xml:space="preserve">According to Araos and his colleagues, adaptation interventions comprise five main groups: capacity building; practice and behaviour; information; financing; and last but not least our central topic: </w:t>
      </w:r>
      <w:r w:rsidR="00690516" w:rsidRPr="0002056A">
        <w:rPr>
          <w:rFonts w:ascii="Georgia" w:hAnsi="Georgia"/>
          <w:iCs/>
          <w:lang w:val="en-GB"/>
        </w:rPr>
        <w:t>planning and policy</w:t>
      </w:r>
      <w:r w:rsidR="00690516" w:rsidRPr="0002056A">
        <w:rPr>
          <w:rFonts w:ascii="Georgia" w:hAnsi="Georgia"/>
          <w:i/>
          <w:lang w:val="en-GB"/>
        </w:rPr>
        <w:t xml:space="preserve"> </w:t>
      </w:r>
      <w:r w:rsidR="00690516" w:rsidRPr="0002056A">
        <w:rPr>
          <w:rFonts w:ascii="Georgia" w:hAnsi="Georgia"/>
          <w:lang w:val="en-GB"/>
        </w:rPr>
        <w:t>(</w:t>
      </w:r>
      <w:r w:rsidR="00690516" w:rsidRPr="0002056A">
        <w:rPr>
          <w:rFonts w:ascii="Georgia" w:hAnsi="Georgia" w:cstheme="minorHAnsi"/>
          <w:smallCaps/>
          <w:lang w:val="en-GB"/>
        </w:rPr>
        <w:t>Araos et al, 2016</w:t>
      </w:r>
      <w:r w:rsidR="00690516" w:rsidRPr="0002056A">
        <w:rPr>
          <w:rFonts w:ascii="Georgia" w:hAnsi="Georgia"/>
          <w:lang w:val="en-GB"/>
        </w:rPr>
        <w:t>).</w:t>
      </w:r>
      <w:r w:rsidR="00796351" w:rsidRPr="0002056A">
        <w:rPr>
          <w:rFonts w:ascii="Georgia" w:hAnsi="Georgia"/>
          <w:lang w:val="en-GB"/>
        </w:rPr>
        <w:t xml:space="preserve"> </w:t>
      </w:r>
      <w:r w:rsidRPr="0002056A">
        <w:rPr>
          <w:rFonts w:ascii="Georgia" w:hAnsi="Georgia"/>
          <w:lang w:val="en-GB"/>
        </w:rPr>
        <w:t>As the sum of such activities</w:t>
      </w:r>
      <w:r w:rsidR="00CB3054">
        <w:rPr>
          <w:rFonts w:ascii="Georgia" w:hAnsi="Georgia"/>
          <w:lang w:val="en-GB"/>
        </w:rPr>
        <w:t>, adaptation comprises natural, infrastructural and human system-related actions, based on an evidence-based, coordinated and systematic approach to strengthen climate preparedness (IPCC, 2007; Woodruff &amp; Regan,</w:t>
      </w:r>
      <w:r w:rsidRPr="0002056A">
        <w:rPr>
          <w:rFonts w:ascii="Georgia" w:hAnsi="Georgia" w:cstheme="minorHAnsi"/>
          <w:smallCaps/>
          <w:lang w:val="en-GB"/>
        </w:rPr>
        <w:t xml:space="preserve"> 2018</w:t>
      </w:r>
      <w:r w:rsidRPr="0002056A">
        <w:rPr>
          <w:rFonts w:ascii="Georgia" w:hAnsi="Georgia"/>
          <w:lang w:val="en-GB"/>
        </w:rPr>
        <w:t xml:space="preserve">). </w:t>
      </w:r>
    </w:p>
    <w:p w14:paraId="02F2BFA2" w14:textId="55B78D8B" w:rsidR="00291A34" w:rsidRPr="0002056A" w:rsidRDefault="00291A34" w:rsidP="00CD5BF3">
      <w:pPr>
        <w:spacing w:before="120" w:after="120"/>
        <w:jc w:val="both"/>
        <w:rPr>
          <w:rFonts w:ascii="Georgia" w:hAnsi="Georgia"/>
          <w:bCs/>
          <w:lang w:val="en-GB"/>
        </w:rPr>
      </w:pPr>
      <w:r w:rsidRPr="0002056A">
        <w:rPr>
          <w:rFonts w:ascii="Georgia" w:hAnsi="Georgia"/>
          <w:b/>
          <w:lang w:val="en-GB"/>
        </w:rPr>
        <w:t>Adaptation is definitely a multi-sectoral issue</w:t>
      </w:r>
      <w:r w:rsidRPr="0002056A">
        <w:rPr>
          <w:rFonts w:ascii="Georgia" w:hAnsi="Georgia"/>
          <w:bCs/>
          <w:lang w:val="en-GB"/>
        </w:rPr>
        <w:t xml:space="preserve">, addressing different challenges involving multiple stakeholders, various government levels, through communication, cooperation and coordination for synergies. It affects several fields from water management through energy supply, transportation and telecommunications, built environment and </w:t>
      </w:r>
      <w:r w:rsidR="00CA5E3C" w:rsidRPr="0002056A">
        <w:rPr>
          <w:rFonts w:ascii="Georgia" w:hAnsi="Georgia"/>
          <w:bCs/>
          <w:lang w:val="en-GB"/>
        </w:rPr>
        <w:t xml:space="preserve">the </w:t>
      </w:r>
      <w:r w:rsidRPr="0002056A">
        <w:rPr>
          <w:rFonts w:ascii="Georgia" w:hAnsi="Georgia"/>
          <w:bCs/>
          <w:lang w:val="en-GB"/>
        </w:rPr>
        <w:t>housing sector, green surface management, tourism, nature conservation and forestry; to human health and social services. In its holistic and multidisciplinary/multisectoral character</w:t>
      </w:r>
      <w:r w:rsidR="00CB3054">
        <w:rPr>
          <w:rFonts w:ascii="Georgia" w:hAnsi="Georgia"/>
          <w:bCs/>
          <w:lang w:val="en-GB"/>
        </w:rPr>
        <w:t>, climate adaptation (and risk management) shows strong similarity to territorial/spatial development and planning as it horizontally synthesises</w:t>
      </w:r>
      <w:r w:rsidRPr="0002056A">
        <w:rPr>
          <w:rFonts w:ascii="Georgia" w:hAnsi="Georgia"/>
          <w:bCs/>
          <w:lang w:val="en-GB"/>
        </w:rPr>
        <w:t xml:space="preserve"> different sectoral development directions </w:t>
      </w:r>
      <w:r w:rsidR="008C4A58" w:rsidRPr="0002056A">
        <w:rPr>
          <w:rFonts w:ascii="Georgia" w:hAnsi="Georgia"/>
          <w:bCs/>
          <w:lang w:val="en-GB"/>
        </w:rPr>
        <w:t>and</w:t>
      </w:r>
      <w:r w:rsidRPr="0002056A">
        <w:rPr>
          <w:rFonts w:ascii="Georgia" w:hAnsi="Georgia"/>
          <w:bCs/>
          <w:lang w:val="en-GB"/>
        </w:rPr>
        <w:t xml:space="preserve"> interventions in a given geographic unit (</w:t>
      </w:r>
      <w:r w:rsidRPr="0002056A">
        <w:rPr>
          <w:rFonts w:ascii="Georgia" w:hAnsi="Georgia" w:cstheme="minorHAnsi"/>
          <w:bCs/>
          <w:smallCaps/>
          <w:lang w:val="en-GB"/>
        </w:rPr>
        <w:t>Sapountzaki et al., 2011; Sütő, 2023</w:t>
      </w:r>
      <w:r w:rsidRPr="0002056A">
        <w:rPr>
          <w:rFonts w:ascii="Georgia" w:hAnsi="Georgia"/>
          <w:bCs/>
          <w:lang w:val="en-GB"/>
        </w:rPr>
        <w:t xml:space="preserve">). </w:t>
      </w:r>
    </w:p>
    <w:p w14:paraId="5F0329C0" w14:textId="7DBDF69E" w:rsidR="004E603D" w:rsidRPr="0002056A" w:rsidRDefault="004E603D" w:rsidP="00CD5BF3">
      <w:pPr>
        <w:spacing w:before="120" w:after="120"/>
        <w:jc w:val="both"/>
        <w:rPr>
          <w:rFonts w:ascii="Georgia" w:hAnsi="Georgia"/>
          <w:lang w:val="en-GB"/>
        </w:rPr>
      </w:pPr>
      <w:r w:rsidRPr="0002056A">
        <w:rPr>
          <w:rFonts w:ascii="Georgia" w:hAnsi="Georgia"/>
          <w:lang w:val="en-GB"/>
        </w:rPr>
        <w:t xml:space="preserve">All in all, we can regard </w:t>
      </w:r>
      <w:r w:rsidRPr="0002056A">
        <w:rPr>
          <w:rFonts w:ascii="Georgia" w:hAnsi="Georgia"/>
          <w:b/>
          <w:bCs/>
          <w:lang w:val="en-GB"/>
        </w:rPr>
        <w:t>adaptation policy as the sum of strategic directions, priorities</w:t>
      </w:r>
      <w:r w:rsidR="001D67A8" w:rsidRPr="0002056A">
        <w:rPr>
          <w:rFonts w:ascii="Georgia" w:hAnsi="Georgia"/>
          <w:b/>
          <w:bCs/>
          <w:lang w:val="en-GB"/>
        </w:rPr>
        <w:t xml:space="preserve"> as well as </w:t>
      </w:r>
      <w:r w:rsidRPr="0002056A">
        <w:rPr>
          <w:rFonts w:ascii="Georgia" w:hAnsi="Georgia"/>
          <w:b/>
          <w:bCs/>
          <w:lang w:val="en-GB"/>
        </w:rPr>
        <w:t>those measures and concrete actions that implement these directions and measures.</w:t>
      </w:r>
      <w:r w:rsidRPr="0002056A">
        <w:rPr>
          <w:rFonts w:ascii="Georgia" w:hAnsi="Georgia"/>
          <w:lang w:val="en-GB"/>
        </w:rPr>
        <w:t xml:space="preserve"> Its </w:t>
      </w:r>
      <w:r w:rsidRPr="0002056A">
        <w:rPr>
          <w:rFonts w:ascii="Georgia" w:hAnsi="Georgia"/>
          <w:b/>
          <w:bCs/>
          <w:lang w:val="en-GB"/>
        </w:rPr>
        <w:t>typical tools</w:t>
      </w:r>
      <w:r w:rsidRPr="0002056A">
        <w:rPr>
          <w:rFonts w:ascii="Georgia" w:hAnsi="Georgia"/>
          <w:lang w:val="en-GB"/>
        </w:rPr>
        <w:t xml:space="preserve"> are </w:t>
      </w:r>
      <w:r w:rsidR="00572666" w:rsidRPr="0002056A">
        <w:rPr>
          <w:rFonts w:ascii="Georgia" w:hAnsi="Georgia"/>
          <w:lang w:val="en-GB"/>
        </w:rPr>
        <w:t xml:space="preserve">legislation, </w:t>
      </w:r>
      <w:r w:rsidR="001D67A8" w:rsidRPr="0002056A">
        <w:rPr>
          <w:rFonts w:ascii="Georgia" w:hAnsi="Georgia"/>
          <w:lang w:val="en-GB"/>
        </w:rPr>
        <w:t xml:space="preserve">strategic planning and monitoring-reporting-evaluation (MRE) activities, financial incentives, </w:t>
      </w:r>
      <w:r w:rsidR="00431050" w:rsidRPr="0002056A">
        <w:rPr>
          <w:rFonts w:ascii="Georgia" w:hAnsi="Georgia"/>
          <w:lang w:val="en-GB"/>
        </w:rPr>
        <w:t>physical interventions and awareness</w:t>
      </w:r>
      <w:r w:rsidR="00CB3054">
        <w:rPr>
          <w:rFonts w:ascii="Georgia" w:hAnsi="Georgia"/>
          <w:lang w:val="en-GB"/>
        </w:rPr>
        <w:t>-</w:t>
      </w:r>
      <w:r w:rsidR="00431050" w:rsidRPr="0002056A">
        <w:rPr>
          <w:rFonts w:ascii="Georgia" w:hAnsi="Georgia"/>
          <w:lang w:val="en-GB"/>
        </w:rPr>
        <w:t xml:space="preserve">raising. The dissertation concentrates on the </w:t>
      </w:r>
      <w:r w:rsidR="00457F84" w:rsidRPr="0002056A">
        <w:rPr>
          <w:rFonts w:ascii="Georgia" w:hAnsi="Georgia"/>
          <w:lang w:val="en-GB"/>
        </w:rPr>
        <w:t>second</w:t>
      </w:r>
      <w:r w:rsidR="00431050" w:rsidRPr="0002056A">
        <w:rPr>
          <w:rFonts w:ascii="Georgia" w:hAnsi="Georgia"/>
          <w:lang w:val="en-GB"/>
        </w:rPr>
        <w:t xml:space="preserve"> group, namely </w:t>
      </w:r>
      <w:r w:rsidRPr="0002056A">
        <w:rPr>
          <w:rFonts w:ascii="Georgia" w:hAnsi="Georgia"/>
          <w:lang w:val="en-GB"/>
        </w:rPr>
        <w:t xml:space="preserve">the adaptation strategies/concepts </w:t>
      </w:r>
      <w:r w:rsidR="00431050" w:rsidRPr="0002056A">
        <w:rPr>
          <w:rFonts w:ascii="Georgia" w:hAnsi="Georgia"/>
          <w:lang w:val="en-GB"/>
        </w:rPr>
        <w:t>that p</w:t>
      </w:r>
      <w:r w:rsidRPr="0002056A">
        <w:rPr>
          <w:rFonts w:ascii="Georgia" w:hAnsi="Georgia"/>
          <w:lang w:val="en-GB"/>
        </w:rPr>
        <w:t>rovid</w:t>
      </w:r>
      <w:r w:rsidR="00431050" w:rsidRPr="0002056A">
        <w:rPr>
          <w:rFonts w:ascii="Georgia" w:hAnsi="Georgia"/>
          <w:lang w:val="en-GB"/>
        </w:rPr>
        <w:t>e</w:t>
      </w:r>
      <w:r w:rsidRPr="0002056A">
        <w:rPr>
          <w:rFonts w:ascii="Georgia" w:hAnsi="Georgia"/>
          <w:lang w:val="en-GB"/>
        </w:rPr>
        <w:t xml:space="preserve"> overarching vision, goals and systematic objectives </w:t>
      </w:r>
      <w:r w:rsidR="00431050" w:rsidRPr="0002056A">
        <w:rPr>
          <w:rFonts w:ascii="Georgia" w:hAnsi="Georgia"/>
          <w:lang w:val="en-GB"/>
        </w:rPr>
        <w:t xml:space="preserve">as well as </w:t>
      </w:r>
      <w:r w:rsidRPr="0002056A">
        <w:rPr>
          <w:rFonts w:ascii="Georgia" w:hAnsi="Georgia"/>
          <w:lang w:val="en-GB"/>
        </w:rPr>
        <w:t xml:space="preserve">and cross-sectoral </w:t>
      </w:r>
      <w:r w:rsidR="00216AD0" w:rsidRPr="0002056A">
        <w:rPr>
          <w:rFonts w:ascii="Georgia" w:hAnsi="Georgia"/>
          <w:lang w:val="en-GB"/>
        </w:rPr>
        <w:t>priorities</w:t>
      </w:r>
      <w:r w:rsidRPr="0002056A">
        <w:rPr>
          <w:rFonts w:ascii="Georgia" w:hAnsi="Georgia"/>
          <w:lang w:val="en-GB"/>
        </w:rPr>
        <w:t xml:space="preserve">; the </w:t>
      </w:r>
      <w:r w:rsidR="00715A78" w:rsidRPr="0002056A">
        <w:rPr>
          <w:rFonts w:ascii="Georgia" w:hAnsi="Georgia"/>
          <w:lang w:val="en-GB"/>
        </w:rPr>
        <w:t>adaptation pro</w:t>
      </w:r>
      <w:r w:rsidRPr="0002056A">
        <w:rPr>
          <w:rFonts w:ascii="Georgia" w:hAnsi="Georgia"/>
          <w:lang w:val="en-GB"/>
        </w:rPr>
        <w:t>grammes/action plans, which translates the strategy’s objectives and action lines into specific measures with responsible parties for implementation and concrete financial background</w:t>
      </w:r>
      <w:r w:rsidR="005C593B" w:rsidRPr="0002056A">
        <w:rPr>
          <w:rFonts w:ascii="Georgia" w:hAnsi="Georgia"/>
          <w:lang w:val="en-GB"/>
        </w:rPr>
        <w:t>;</w:t>
      </w:r>
      <w:r w:rsidRPr="0002056A">
        <w:rPr>
          <w:rFonts w:ascii="Georgia" w:hAnsi="Georgia"/>
          <w:lang w:val="en-GB"/>
        </w:rPr>
        <w:t xml:space="preserve"> </w:t>
      </w:r>
      <w:r w:rsidR="00011E19" w:rsidRPr="0002056A">
        <w:rPr>
          <w:rFonts w:ascii="Georgia" w:hAnsi="Georgia"/>
          <w:lang w:val="en-GB"/>
        </w:rPr>
        <w:t>and the monitoring and evaluation methodological studies as well as actual reports</w:t>
      </w:r>
      <w:r w:rsidRPr="0002056A">
        <w:rPr>
          <w:rFonts w:ascii="Georgia" w:hAnsi="Georgia"/>
          <w:lang w:val="en-GB"/>
        </w:rPr>
        <w:t xml:space="preserve"> that secure feedbacks to be </w:t>
      </w:r>
      <w:r w:rsidR="00216AD0" w:rsidRPr="0002056A">
        <w:rPr>
          <w:rFonts w:ascii="Georgia" w:hAnsi="Georgia"/>
          <w:lang w:val="en-GB"/>
        </w:rPr>
        <w:t>channelled</w:t>
      </w:r>
      <w:r w:rsidRPr="0002056A">
        <w:rPr>
          <w:rFonts w:ascii="Georgia" w:hAnsi="Georgia"/>
          <w:lang w:val="en-GB"/>
        </w:rPr>
        <w:t xml:space="preserve"> back into the policy cycle and inform different stakeholders about achievements of strategies / program</w:t>
      </w:r>
      <w:r w:rsidR="005C593B" w:rsidRPr="0002056A">
        <w:rPr>
          <w:rFonts w:ascii="Georgia" w:hAnsi="Georgia"/>
          <w:lang w:val="en-GB"/>
        </w:rPr>
        <w:t>me</w:t>
      </w:r>
      <w:r w:rsidRPr="0002056A">
        <w:rPr>
          <w:rFonts w:ascii="Georgia" w:hAnsi="Georgia"/>
          <w:lang w:val="en-GB"/>
        </w:rPr>
        <w:t xml:space="preserve"> objectives. </w:t>
      </w:r>
    </w:p>
    <w:p w14:paraId="24906678" w14:textId="0A62E7EF" w:rsidR="001D4B44" w:rsidRPr="0002056A" w:rsidRDefault="001D4B44" w:rsidP="00CD5BF3">
      <w:pPr>
        <w:spacing w:before="120" w:after="120"/>
        <w:jc w:val="both"/>
        <w:rPr>
          <w:rFonts w:ascii="Georgia" w:hAnsi="Georgia"/>
          <w:lang w:val="en-GB"/>
        </w:rPr>
      </w:pPr>
      <w:r w:rsidRPr="0002056A">
        <w:rPr>
          <w:rFonts w:ascii="Georgia" w:hAnsi="Georgia"/>
          <w:lang w:val="en-GB"/>
        </w:rPr>
        <w:t>In my approach</w:t>
      </w:r>
      <w:r w:rsidR="00BA603D">
        <w:rPr>
          <w:rFonts w:ascii="Georgia" w:hAnsi="Georgia"/>
          <w:lang w:val="en-GB"/>
        </w:rPr>
        <w:t>,</w:t>
      </w:r>
      <w:r w:rsidRPr="0002056A">
        <w:rPr>
          <w:rFonts w:ascii="Georgia" w:hAnsi="Georgia"/>
          <w:lang w:val="en-GB"/>
        </w:rPr>
        <w:t xml:space="preserve"> I understand under </w:t>
      </w:r>
      <w:r w:rsidRPr="0002056A">
        <w:rPr>
          <w:rFonts w:ascii="Georgia" w:hAnsi="Georgia"/>
          <w:b/>
          <w:lang w:val="en-GB"/>
        </w:rPr>
        <w:t xml:space="preserve">the wider concept of strategic planning the whole planning cycle, </w:t>
      </w:r>
      <w:r w:rsidRPr="0002056A">
        <w:rPr>
          <w:rFonts w:ascii="Georgia" w:hAnsi="Georgia"/>
          <w:bCs/>
          <w:lang w:val="en-GB"/>
        </w:rPr>
        <w:t>from actual planning/design of interventions through implementation, monitoring, reporting and evaluation to elaboration of concrete feedback</w:t>
      </w:r>
      <w:r w:rsidR="00E148A3" w:rsidRPr="0002056A">
        <w:rPr>
          <w:rFonts w:ascii="Georgia" w:hAnsi="Georgia"/>
          <w:bCs/>
          <w:lang w:val="en-GB"/>
        </w:rPr>
        <w:t xml:space="preserve"> loop</w:t>
      </w:r>
      <w:r w:rsidRPr="0002056A">
        <w:rPr>
          <w:rFonts w:ascii="Georgia" w:hAnsi="Georgia"/>
          <w:bCs/>
          <w:lang w:val="en-GB"/>
        </w:rPr>
        <w:t>s f</w:t>
      </w:r>
      <w:r w:rsidRPr="0002056A">
        <w:rPr>
          <w:rFonts w:ascii="Georgia" w:hAnsi="Georgia"/>
          <w:lang w:val="en-GB"/>
        </w:rPr>
        <w:t xml:space="preserve">or the next planning period. In this, I follow the majority of the strategic planning-related literature that considers planning, monitoring, evaluation and feedback provision as the </w:t>
      </w:r>
      <w:r w:rsidR="00E148A3" w:rsidRPr="0002056A">
        <w:rPr>
          <w:rFonts w:ascii="Georgia" w:hAnsi="Georgia"/>
          <w:lang w:val="en-GB"/>
        </w:rPr>
        <w:t>four</w:t>
      </w:r>
      <w:r w:rsidRPr="0002056A">
        <w:rPr>
          <w:rFonts w:ascii="Georgia" w:hAnsi="Georgia"/>
          <w:lang w:val="en-GB"/>
        </w:rPr>
        <w:t xml:space="preserve"> most important steps of the planning cycle, both in general development policy (</w:t>
      </w:r>
      <w:r w:rsidRPr="0002056A">
        <w:rPr>
          <w:rFonts w:ascii="Georgia" w:hAnsi="Georgia" w:cstheme="minorHAnsi"/>
          <w:smallCaps/>
          <w:lang w:val="en-GB"/>
        </w:rPr>
        <w:t>Vedung, 1997; Guskey, 2000; Dunn, 2004; Hogan, 2007; Kabeyi, 2019</w:t>
      </w:r>
      <w:r w:rsidRPr="0002056A">
        <w:rPr>
          <w:rFonts w:ascii="Georgia" w:hAnsi="Georgia"/>
          <w:lang w:val="en-GB"/>
        </w:rPr>
        <w:t>) and in climate policy (</w:t>
      </w:r>
      <w:r w:rsidRPr="0002056A">
        <w:rPr>
          <w:rFonts w:ascii="Georgia" w:hAnsi="Georgia" w:cstheme="minorHAnsi"/>
          <w:smallCaps/>
          <w:lang w:val="en-GB"/>
        </w:rPr>
        <w:t xml:space="preserve">Haug et al., 2010; Huitema et al., 2011; Pringle, 2011; Bours et al., 2013 </w:t>
      </w:r>
      <w:r w:rsidRPr="0002056A">
        <w:rPr>
          <w:rFonts w:ascii="Georgia" w:hAnsi="Georgia" w:cstheme="minorHAnsi"/>
          <w:lang w:val="en-GB"/>
        </w:rPr>
        <w:t>and</w:t>
      </w:r>
      <w:r w:rsidRPr="0002056A">
        <w:rPr>
          <w:rFonts w:ascii="Georgia" w:hAnsi="Georgia" w:cstheme="minorHAnsi"/>
          <w:smallCaps/>
          <w:lang w:val="en-GB"/>
        </w:rPr>
        <w:t xml:space="preserve"> 2014; EEA, 2015 and 2022; Pringle et al., 2017; Klostermann et al., 2018</w:t>
      </w:r>
      <w:r w:rsidRPr="0002056A">
        <w:rPr>
          <w:rFonts w:ascii="Georgia" w:hAnsi="Georgia"/>
          <w:lang w:val="en-GB"/>
        </w:rPr>
        <w:t xml:space="preserve">) as well. Leiter </w:t>
      </w:r>
      <w:r w:rsidR="00BA603D">
        <w:rPr>
          <w:rFonts w:ascii="Georgia" w:hAnsi="Georgia"/>
          <w:lang w:val="en-GB"/>
        </w:rPr>
        <w:t xml:space="preserve">specifically notes that adaptation planning typically manifests as a policy cycle, including </w:t>
      </w:r>
      <w:r w:rsidR="00E4552E" w:rsidRPr="0002056A">
        <w:rPr>
          <w:rFonts w:ascii="Georgia" w:hAnsi="Georgia"/>
          <w:lang w:val="en-GB"/>
        </w:rPr>
        <w:t>monitoring and evaluation</w:t>
      </w:r>
      <w:r w:rsidRPr="0002056A">
        <w:rPr>
          <w:rFonts w:ascii="Georgia" w:hAnsi="Georgia"/>
          <w:lang w:val="en-GB"/>
        </w:rPr>
        <w:t xml:space="preserve"> (</w:t>
      </w:r>
      <w:r w:rsidRPr="0002056A">
        <w:rPr>
          <w:rFonts w:ascii="Georgia" w:hAnsi="Georgia" w:cstheme="minorHAnsi"/>
          <w:smallCaps/>
          <w:lang w:val="en-GB"/>
        </w:rPr>
        <w:t>Leiter, 2021</w:t>
      </w:r>
      <w:r w:rsidRPr="0002056A">
        <w:rPr>
          <w:rFonts w:ascii="Georgia" w:hAnsi="Georgia"/>
          <w:lang w:val="en-GB"/>
        </w:rPr>
        <w:t xml:space="preserve">). </w:t>
      </w:r>
    </w:p>
    <w:p w14:paraId="52B7CED4" w14:textId="3A6AAD9D" w:rsidR="001D4B44" w:rsidRPr="0002056A" w:rsidRDefault="001D4B44" w:rsidP="00CD5BF3">
      <w:pPr>
        <w:spacing w:before="120" w:after="120"/>
        <w:jc w:val="both"/>
        <w:rPr>
          <w:rFonts w:ascii="Georgia" w:hAnsi="Georgia"/>
          <w:lang w:val="en-GB"/>
        </w:rPr>
      </w:pPr>
      <w:r w:rsidRPr="0002056A">
        <w:rPr>
          <w:rFonts w:ascii="Georgia" w:hAnsi="Georgia"/>
          <w:lang w:val="en-GB"/>
        </w:rPr>
        <w:t xml:space="preserve">Within strategic planning, </w:t>
      </w:r>
      <w:r w:rsidRPr="0002056A">
        <w:rPr>
          <w:rFonts w:ascii="Georgia" w:hAnsi="Georgia"/>
          <w:bCs/>
          <w:lang w:val="en-GB"/>
        </w:rPr>
        <w:t>the research puts significant weight on the examination of</w:t>
      </w:r>
      <w:r w:rsidRPr="0002056A">
        <w:rPr>
          <w:rFonts w:ascii="Georgia" w:hAnsi="Georgia"/>
          <w:b/>
          <w:lang w:val="en-GB"/>
        </w:rPr>
        <w:t xml:space="preserve"> monitoring-reporting-evaluation (MRE) activities and systems in adaptation</w:t>
      </w:r>
      <w:r w:rsidR="00E148A3" w:rsidRPr="0002056A">
        <w:rPr>
          <w:rFonts w:ascii="Georgia" w:hAnsi="Georgia"/>
          <w:b/>
          <w:lang w:val="en-GB"/>
        </w:rPr>
        <w:t xml:space="preserve">, </w:t>
      </w:r>
      <w:r w:rsidR="00E148A3" w:rsidRPr="0002056A">
        <w:rPr>
          <w:rFonts w:ascii="Georgia" w:hAnsi="Georgia"/>
          <w:bCs/>
          <w:lang w:val="en-GB"/>
        </w:rPr>
        <w:t>too</w:t>
      </w:r>
      <w:r w:rsidRPr="0002056A">
        <w:rPr>
          <w:rFonts w:ascii="Georgia" w:hAnsi="Georgia"/>
          <w:lang w:val="en-GB"/>
        </w:rPr>
        <w:t xml:space="preserve">. An </w:t>
      </w:r>
      <w:r w:rsidRPr="0002056A">
        <w:rPr>
          <w:rFonts w:ascii="Georgia" w:hAnsi="Georgia"/>
          <w:bCs/>
          <w:lang w:val="en-GB"/>
        </w:rPr>
        <w:t>MRE system means a comprehensive and iterative system of processes and products,</w:t>
      </w:r>
      <w:r w:rsidRPr="0002056A">
        <w:rPr>
          <w:rFonts w:ascii="Georgia" w:hAnsi="Georgia"/>
          <w:lang w:val="en-GB"/>
        </w:rPr>
        <w:t xml:space="preserve"> including the assessment of impacts, vulnerability and risks, </w:t>
      </w:r>
      <w:r w:rsidR="002E4A0B" w:rsidRPr="0002056A">
        <w:rPr>
          <w:rFonts w:ascii="Georgia" w:hAnsi="Georgia"/>
          <w:lang w:val="en-GB"/>
        </w:rPr>
        <w:t xml:space="preserve">effectiveness of </w:t>
      </w:r>
      <w:r w:rsidRPr="0002056A">
        <w:rPr>
          <w:rFonts w:ascii="Georgia" w:hAnsi="Georgia"/>
          <w:lang w:val="en-GB"/>
        </w:rPr>
        <w:t>adaptation planning and implementation activities, focusing on</w:t>
      </w:r>
      <w:r w:rsidR="00BA603D">
        <w:rPr>
          <w:rFonts w:ascii="Georgia" w:hAnsi="Georgia"/>
          <w:lang w:val="en-GB"/>
        </w:rPr>
        <w:t xml:space="preserve"> </w:t>
      </w:r>
      <w:r w:rsidRPr="0002056A">
        <w:rPr>
          <w:rFonts w:ascii="Georgia" w:hAnsi="Georgia"/>
          <w:lang w:val="en-GB"/>
        </w:rPr>
        <w:t>a</w:t>
      </w:r>
      <w:r w:rsidR="002B7A84">
        <w:rPr>
          <w:rFonts w:ascii="Georgia" w:hAnsi="Georgia"/>
          <w:lang w:val="en-GB"/>
        </w:rPr>
        <w:t xml:space="preserve"> </w:t>
      </w:r>
      <w:r w:rsidRPr="0002056A">
        <w:rPr>
          <w:rFonts w:ascii="Georgia" w:hAnsi="Georgia"/>
          <w:lang w:val="en-GB"/>
        </w:rPr>
        <w:t xml:space="preserve">continuous learning. </w:t>
      </w:r>
      <w:r w:rsidR="002E4A0B" w:rsidRPr="0002056A">
        <w:rPr>
          <w:rFonts w:ascii="Georgia" w:hAnsi="Georgia"/>
          <w:lang w:val="en-GB"/>
        </w:rPr>
        <w:t xml:space="preserve">Climate policy </w:t>
      </w:r>
      <w:r w:rsidRPr="0002056A">
        <w:rPr>
          <w:rFonts w:ascii="Georgia" w:hAnsi="Georgia"/>
          <w:lang w:val="en-GB"/>
        </w:rPr>
        <w:t xml:space="preserve">MRE systems can operate at different levels, but </w:t>
      </w:r>
      <w:r w:rsidR="00BA603D">
        <w:rPr>
          <w:rFonts w:ascii="Georgia" w:hAnsi="Georgia"/>
          <w:lang w:val="en-GB"/>
        </w:rPr>
        <w:t xml:space="preserve">their primary sphere is the national level, </w:t>
      </w:r>
      <w:r w:rsidR="00BA603D">
        <w:rPr>
          <w:rFonts w:ascii="Georgia" w:hAnsi="Georgia"/>
          <w:lang w:val="en-GB"/>
        </w:rPr>
        <w:lastRenderedPageBreak/>
        <w:t>where they can apply to a broader scope of sectors, climate hazards and geographic areas</w:t>
      </w:r>
      <w:r w:rsidRPr="0002056A">
        <w:rPr>
          <w:rFonts w:ascii="Georgia" w:hAnsi="Georgia"/>
          <w:lang w:val="en-GB"/>
        </w:rPr>
        <w:t>. At the national level</w:t>
      </w:r>
      <w:r w:rsidR="00BA603D">
        <w:rPr>
          <w:rFonts w:ascii="Georgia" w:hAnsi="Georgia"/>
          <w:lang w:val="en-GB"/>
        </w:rPr>
        <w:t xml:space="preserve">, we </w:t>
      </w:r>
      <w:r w:rsidR="00FB6BCF">
        <w:rPr>
          <w:rFonts w:ascii="Georgia" w:hAnsi="Georgia"/>
          <w:lang w:val="en-GB"/>
        </w:rPr>
        <w:t xml:space="preserve">are </w:t>
      </w:r>
      <w:r w:rsidR="00D84A3F">
        <w:rPr>
          <w:rFonts w:ascii="Georgia" w:hAnsi="Georgia"/>
          <w:lang w:val="en-GB"/>
        </w:rPr>
        <w:t xml:space="preserve">also </w:t>
      </w:r>
      <w:r w:rsidR="00BA603D">
        <w:rPr>
          <w:rFonts w:ascii="Georgia" w:hAnsi="Georgia"/>
          <w:lang w:val="en-GB"/>
        </w:rPr>
        <w:t>able to examine the embeddedness of adaptation aspects into national sectoral policies</w:t>
      </w:r>
      <w:r w:rsidR="00D84A3F">
        <w:rPr>
          <w:rFonts w:ascii="Georgia" w:hAnsi="Georgia"/>
          <w:lang w:val="en-GB"/>
        </w:rPr>
        <w:t>.</w:t>
      </w:r>
      <w:r w:rsidRPr="0002056A">
        <w:rPr>
          <w:rFonts w:ascii="Georgia" w:hAnsi="Georgia"/>
          <w:lang w:val="en-GB"/>
        </w:rPr>
        <w:t xml:space="preserve"> The UNFCCC especially </w:t>
      </w:r>
      <w:r w:rsidR="00BA603D">
        <w:rPr>
          <w:rFonts w:ascii="Georgia" w:hAnsi="Georgia"/>
          <w:lang w:val="en-GB"/>
        </w:rPr>
        <w:t>recognised</w:t>
      </w:r>
      <w:r w:rsidR="00BA603D" w:rsidRPr="0002056A">
        <w:rPr>
          <w:rFonts w:ascii="Georgia" w:hAnsi="Georgia"/>
          <w:lang w:val="en-GB"/>
        </w:rPr>
        <w:t xml:space="preserve"> </w:t>
      </w:r>
      <w:r w:rsidRPr="0002056A">
        <w:rPr>
          <w:rFonts w:ascii="Georgia" w:hAnsi="Georgia"/>
          <w:lang w:val="en-GB"/>
        </w:rPr>
        <w:t>monitoring and evaluation as important tool</w:t>
      </w:r>
      <w:r w:rsidR="002E4A0B" w:rsidRPr="0002056A">
        <w:rPr>
          <w:rFonts w:ascii="Georgia" w:hAnsi="Georgia"/>
          <w:lang w:val="en-GB"/>
        </w:rPr>
        <w:t>s</w:t>
      </w:r>
      <w:r w:rsidRPr="0002056A">
        <w:rPr>
          <w:rFonts w:ascii="Georgia" w:hAnsi="Georgia"/>
          <w:lang w:val="en-GB"/>
        </w:rPr>
        <w:t xml:space="preserve"> in the adaptation to climate change. After the Paris Agreement</w:t>
      </w:r>
      <w:r w:rsidR="00BA603D">
        <w:rPr>
          <w:rFonts w:ascii="Georgia" w:hAnsi="Georgia"/>
          <w:lang w:val="en-GB"/>
        </w:rPr>
        <w:t>, not only were the non-annex parties encouraged to provide information about their national strategies and evaluate their documents, but</w:t>
      </w:r>
      <w:r w:rsidRPr="0002056A">
        <w:rPr>
          <w:rFonts w:ascii="Georgia" w:hAnsi="Georgia"/>
          <w:lang w:val="en-GB"/>
        </w:rPr>
        <w:t xml:space="preserve"> all parties are now requested to do these activities</w:t>
      </w:r>
      <w:r w:rsidR="00695CB9" w:rsidRPr="0002056A">
        <w:rPr>
          <w:rFonts w:ascii="Georgia" w:hAnsi="Georgia"/>
          <w:lang w:val="en-GB"/>
        </w:rPr>
        <w:t>,</w:t>
      </w:r>
      <w:r w:rsidRPr="0002056A">
        <w:rPr>
          <w:rFonts w:ascii="Georgia" w:hAnsi="Georgia"/>
          <w:lang w:val="en-GB"/>
        </w:rPr>
        <w:t xml:space="preserve"> and the COP periodically monitors the collective process. However, it is important that the parties are only requested, not required</w:t>
      </w:r>
      <w:r w:rsidR="00BA603D">
        <w:rPr>
          <w:rFonts w:ascii="Georgia" w:hAnsi="Georgia"/>
          <w:lang w:val="en-GB"/>
        </w:rPr>
        <w:t>,</w:t>
      </w:r>
      <w:r w:rsidRPr="0002056A">
        <w:rPr>
          <w:rFonts w:ascii="Georgia" w:hAnsi="Georgia"/>
          <w:lang w:val="en-GB"/>
        </w:rPr>
        <w:t xml:space="preserve"> to conduct these data provisions (</w:t>
      </w:r>
      <w:r w:rsidRPr="0002056A">
        <w:rPr>
          <w:rFonts w:ascii="Georgia" w:hAnsi="Georgia" w:cstheme="minorHAnsi"/>
          <w:smallCaps/>
          <w:lang w:val="en-GB"/>
        </w:rPr>
        <w:t>Vallejo, 2017</w:t>
      </w:r>
      <w:r w:rsidRPr="0002056A">
        <w:rPr>
          <w:rFonts w:ascii="Georgia" w:hAnsi="Georgia"/>
          <w:lang w:val="en-GB"/>
        </w:rPr>
        <w:t xml:space="preserve">). The </w:t>
      </w:r>
      <w:r w:rsidR="00695CB9" w:rsidRPr="0002056A">
        <w:rPr>
          <w:rFonts w:ascii="Georgia" w:hAnsi="Georgia"/>
          <w:lang w:val="en-GB"/>
        </w:rPr>
        <w:t xml:space="preserve">EU’s </w:t>
      </w:r>
      <w:r w:rsidRPr="0002056A">
        <w:rPr>
          <w:rFonts w:ascii="Georgia" w:hAnsi="Georgia"/>
          <w:lang w:val="en-GB"/>
        </w:rPr>
        <w:t>Monitoring Mechanism Regulation</w:t>
      </w:r>
      <w:r w:rsidR="0081655B" w:rsidRPr="0002056A">
        <w:rPr>
          <w:rFonts w:ascii="Georgia" w:hAnsi="Georgia"/>
          <w:lang w:val="en-GB"/>
        </w:rPr>
        <w:t xml:space="preserve">’s </w:t>
      </w:r>
      <w:r w:rsidRPr="0002056A">
        <w:rPr>
          <w:rFonts w:ascii="Georgia" w:hAnsi="Georgia"/>
          <w:lang w:val="en-GB"/>
        </w:rPr>
        <w:t xml:space="preserve">Article 15 requires Member States to regularly report on their adaptation activities to the European Commission, without setting a mandatory format for such reporting (EEA, 2020). The last </w:t>
      </w:r>
      <w:r w:rsidR="004C5CBD" w:rsidRPr="0002056A">
        <w:rPr>
          <w:rFonts w:ascii="Georgia" w:hAnsi="Georgia"/>
          <w:lang w:val="en-GB"/>
        </w:rPr>
        <w:t xml:space="preserve">rounds of such </w:t>
      </w:r>
      <w:r w:rsidR="00BA603D">
        <w:rPr>
          <w:rFonts w:ascii="Georgia" w:hAnsi="Georgia"/>
          <w:lang w:val="en-GB"/>
        </w:rPr>
        <w:t>adaptation reporting</w:t>
      </w:r>
      <w:r w:rsidRPr="0002056A">
        <w:rPr>
          <w:rFonts w:ascii="Georgia" w:hAnsi="Georgia"/>
          <w:lang w:val="en-GB"/>
        </w:rPr>
        <w:t xml:space="preserve"> took place in 2023 and 2025.</w:t>
      </w:r>
    </w:p>
    <w:p w14:paraId="176592D4" w14:textId="0FAA3D5A" w:rsidR="004E603D" w:rsidRPr="0002056A" w:rsidRDefault="004E603D" w:rsidP="00CD5BF3">
      <w:pPr>
        <w:spacing w:before="120" w:after="120"/>
        <w:jc w:val="both"/>
        <w:rPr>
          <w:rFonts w:ascii="Georgia" w:hAnsi="Georgia" w:cs="Times New Roman"/>
          <w:lang w:val="en-GB"/>
        </w:rPr>
      </w:pPr>
      <w:r w:rsidRPr="0002056A">
        <w:rPr>
          <w:rFonts w:ascii="Georgia" w:hAnsi="Georgia" w:cs="Times New Roman"/>
          <w:b/>
          <w:bCs/>
          <w:color w:val="000000"/>
          <w:lang w:val="en-GB"/>
        </w:rPr>
        <w:t xml:space="preserve">Definitions and emphasis on </w:t>
      </w:r>
      <w:r w:rsidR="004C5CBD" w:rsidRPr="0002056A">
        <w:rPr>
          <w:rFonts w:ascii="Georgia" w:hAnsi="Georgia" w:cs="Times New Roman"/>
          <w:b/>
          <w:bCs/>
          <w:color w:val="000000"/>
          <w:lang w:val="en-GB"/>
        </w:rPr>
        <w:t xml:space="preserve">planning and </w:t>
      </w:r>
      <w:r w:rsidRPr="0002056A">
        <w:rPr>
          <w:rFonts w:ascii="Georgia" w:hAnsi="Georgia" w:cs="Times New Roman"/>
          <w:b/>
          <w:bCs/>
          <w:color w:val="000000"/>
          <w:lang w:val="en-GB"/>
        </w:rPr>
        <w:t>MRE activities</w:t>
      </w:r>
      <w:r w:rsidRPr="0002056A">
        <w:rPr>
          <w:rFonts w:ascii="Georgia" w:hAnsi="Georgia" w:cs="Times New Roman"/>
          <w:color w:val="000000"/>
          <w:lang w:val="en-GB"/>
        </w:rPr>
        <w:t xml:space="preserve"> within </w:t>
      </w:r>
      <w:r w:rsidR="004C5CBD" w:rsidRPr="0002056A">
        <w:rPr>
          <w:rFonts w:ascii="Georgia" w:hAnsi="Georgia" w:cs="Times New Roman"/>
          <w:color w:val="000000"/>
          <w:lang w:val="en-GB"/>
        </w:rPr>
        <w:t xml:space="preserve">the </w:t>
      </w:r>
      <w:r w:rsidRPr="0002056A">
        <w:rPr>
          <w:rFonts w:ascii="Georgia" w:hAnsi="Georgia" w:cs="Times New Roman"/>
          <w:color w:val="000000"/>
          <w:lang w:val="en-GB"/>
        </w:rPr>
        <w:t xml:space="preserve">strategic planning </w:t>
      </w:r>
      <w:r w:rsidR="004C5CBD" w:rsidRPr="0002056A">
        <w:rPr>
          <w:rFonts w:ascii="Georgia" w:hAnsi="Georgia" w:cs="Times New Roman"/>
          <w:color w:val="000000"/>
          <w:lang w:val="en-GB"/>
        </w:rPr>
        <w:t xml:space="preserve">cycle </w:t>
      </w:r>
      <w:r w:rsidRPr="0002056A">
        <w:rPr>
          <w:rFonts w:ascii="Georgia" w:hAnsi="Georgia" w:cs="Times New Roman"/>
          <w:color w:val="000000"/>
          <w:lang w:val="en-GB"/>
        </w:rPr>
        <w:t xml:space="preserve">are quite stable; </w:t>
      </w:r>
      <w:r w:rsidR="00BA603D">
        <w:rPr>
          <w:rFonts w:ascii="Georgia" w:hAnsi="Georgia" w:cs="Times New Roman"/>
          <w:color w:val="000000"/>
          <w:lang w:val="en-GB"/>
        </w:rPr>
        <w:t>uniform</w:t>
      </w:r>
      <w:r w:rsidRPr="0002056A">
        <w:rPr>
          <w:rFonts w:ascii="Georgia" w:hAnsi="Georgia" w:cs="Times New Roman"/>
          <w:color w:val="000000"/>
          <w:lang w:val="en-GB"/>
        </w:rPr>
        <w:t xml:space="preserve">, homogenous concepts </w:t>
      </w:r>
      <w:r w:rsidR="001D3DBE" w:rsidRPr="0002056A">
        <w:rPr>
          <w:rFonts w:ascii="Georgia" w:hAnsi="Georgia" w:cs="Times New Roman"/>
          <w:color w:val="000000"/>
          <w:lang w:val="en-GB"/>
        </w:rPr>
        <w:t>emerge before us</w:t>
      </w:r>
      <w:r w:rsidRPr="0002056A">
        <w:rPr>
          <w:rFonts w:ascii="Georgia" w:hAnsi="Georgia" w:cs="Times New Roman"/>
          <w:color w:val="000000"/>
          <w:lang w:val="en-GB"/>
        </w:rPr>
        <w:t xml:space="preserve">. </w:t>
      </w:r>
      <w:r w:rsidRPr="0002056A">
        <w:rPr>
          <w:rFonts w:ascii="Georgia" w:hAnsi="Georgia" w:cs="Times New Roman"/>
          <w:lang w:val="en-GB"/>
        </w:rPr>
        <w:t xml:space="preserve">Independently from the different concepts, common elements appear in numerous authors’ definitions regarding the elements of the planning cycle. To </w:t>
      </w:r>
      <w:r w:rsidR="00BA603D">
        <w:rPr>
          <w:rFonts w:ascii="Georgia" w:hAnsi="Georgia" w:cs="Times New Roman"/>
          <w:lang w:val="en-GB"/>
        </w:rPr>
        <w:t>synthesise</w:t>
      </w:r>
      <w:r w:rsidR="00BA603D" w:rsidRPr="0002056A">
        <w:rPr>
          <w:rFonts w:ascii="Georgia" w:hAnsi="Georgia" w:cs="Times New Roman"/>
          <w:lang w:val="en-GB"/>
        </w:rPr>
        <w:t xml:space="preserve"> </w:t>
      </w:r>
      <w:r w:rsidRPr="0002056A">
        <w:rPr>
          <w:rFonts w:ascii="Georgia" w:hAnsi="Georgia" w:cs="Times New Roman"/>
          <w:lang w:val="en-GB"/>
        </w:rPr>
        <w:t>the introduced approaches the following definitions can be defined for the planning and MRE (these definitions will be the basis of the research regarding the activities/documents to be analysed):</w:t>
      </w:r>
    </w:p>
    <w:p w14:paraId="2EBE8DF5" w14:textId="1100683C" w:rsidR="004E603D" w:rsidRPr="0002056A" w:rsidRDefault="004E603D" w:rsidP="00CD5BF3">
      <w:pPr>
        <w:pStyle w:val="Listaszerbekezds"/>
        <w:numPr>
          <w:ilvl w:val="0"/>
          <w:numId w:val="1"/>
        </w:numPr>
        <w:tabs>
          <w:tab w:val="left" w:pos="8789"/>
        </w:tabs>
        <w:spacing w:before="120" w:after="120"/>
        <w:ind w:left="284" w:right="142" w:hanging="142"/>
        <w:contextualSpacing w:val="0"/>
        <w:jc w:val="both"/>
        <w:rPr>
          <w:rFonts w:ascii="Georgia" w:hAnsi="Georgia" w:cs="Times New Roman"/>
          <w:b/>
          <w:lang w:val="en-GB"/>
        </w:rPr>
      </w:pPr>
      <w:r w:rsidRPr="0002056A">
        <w:rPr>
          <w:rFonts w:ascii="Georgia" w:hAnsi="Georgia" w:cs="Times New Roman"/>
          <w:b/>
          <w:lang w:val="en-GB"/>
        </w:rPr>
        <w:t xml:space="preserve">(Strategic) planning: </w:t>
      </w:r>
      <w:r w:rsidRPr="0002056A">
        <w:rPr>
          <w:rFonts w:ascii="Georgia" w:hAnsi="Georgia" w:cs="Times New Roman"/>
          <w:lang w:val="en-GB"/>
        </w:rPr>
        <w:t>an effort to develop fundamental decisions, actions, milestones and methods to shape, explain and guide what an organization/sector/settlement/region does in a given time horizon and why it does it to achieve the intended results (</w:t>
      </w:r>
      <w:r w:rsidRPr="0002056A">
        <w:rPr>
          <w:rFonts w:ascii="Georgia" w:hAnsi="Georgia" w:cs="Times New Roman"/>
          <w:smallCaps/>
          <w:lang w:val="en-GB"/>
        </w:rPr>
        <w:t>Fayol, 1916; Vedung</w:t>
      </w:r>
      <w:r w:rsidR="00BA603D">
        <w:rPr>
          <w:rFonts w:ascii="Georgia" w:hAnsi="Georgia" w:cs="Times New Roman"/>
          <w:smallCaps/>
          <w:lang w:val="en-GB"/>
        </w:rPr>
        <w:t>,</w:t>
      </w:r>
      <w:r w:rsidRPr="0002056A">
        <w:rPr>
          <w:rFonts w:ascii="Georgia" w:hAnsi="Georgia" w:cs="Times New Roman"/>
          <w:smallCaps/>
          <w:lang w:val="en-GB"/>
        </w:rPr>
        <w:t xml:space="preserve"> 1997; Bryson et al.</w:t>
      </w:r>
      <w:r w:rsidR="00BA603D">
        <w:rPr>
          <w:rFonts w:ascii="Georgia" w:hAnsi="Georgia" w:cs="Times New Roman"/>
          <w:smallCaps/>
          <w:lang w:val="en-GB"/>
        </w:rPr>
        <w:t>,</w:t>
      </w:r>
      <w:r w:rsidRPr="0002056A">
        <w:rPr>
          <w:rFonts w:ascii="Georgia" w:hAnsi="Georgia" w:cs="Times New Roman"/>
          <w:smallCaps/>
          <w:lang w:val="en-GB"/>
        </w:rPr>
        <w:t xml:space="preserve"> 2004; Dunn</w:t>
      </w:r>
      <w:r w:rsidR="00BA603D">
        <w:rPr>
          <w:rFonts w:ascii="Georgia" w:hAnsi="Georgia" w:cs="Times New Roman"/>
          <w:smallCaps/>
          <w:lang w:val="en-GB"/>
        </w:rPr>
        <w:t>,</w:t>
      </w:r>
      <w:r w:rsidRPr="0002056A">
        <w:rPr>
          <w:rFonts w:ascii="Georgia" w:hAnsi="Georgia" w:cs="Times New Roman"/>
          <w:smallCaps/>
          <w:lang w:val="en-GB"/>
        </w:rPr>
        <w:t xml:space="preserve"> 2004; Kabey, 2019</w:t>
      </w:r>
      <w:r w:rsidRPr="0002056A">
        <w:rPr>
          <w:rFonts w:ascii="Georgia" w:hAnsi="Georgia" w:cs="Times New Roman"/>
          <w:lang w:val="en-GB"/>
        </w:rPr>
        <w:t xml:space="preserve">). If we </w:t>
      </w:r>
      <w:r w:rsidR="00BA603D">
        <w:rPr>
          <w:rFonts w:ascii="Georgia" w:hAnsi="Georgia" w:cs="Times New Roman"/>
          <w:lang w:val="en-GB"/>
        </w:rPr>
        <w:t>were to</w:t>
      </w:r>
      <w:r w:rsidR="00BA603D" w:rsidRPr="0002056A">
        <w:rPr>
          <w:rFonts w:ascii="Georgia" w:hAnsi="Georgia" w:cs="Times New Roman"/>
          <w:lang w:val="en-GB"/>
        </w:rPr>
        <w:t xml:space="preserve"> </w:t>
      </w:r>
      <w:r w:rsidRPr="0002056A">
        <w:rPr>
          <w:rFonts w:ascii="Georgia" w:hAnsi="Georgia" w:cs="Times New Roman"/>
          <w:lang w:val="en-GB"/>
        </w:rPr>
        <w:t>narrow our scope to adaptation planning</w:t>
      </w:r>
      <w:r w:rsidR="00BA603D">
        <w:rPr>
          <w:rFonts w:ascii="Georgia" w:hAnsi="Georgia" w:cs="Times New Roman"/>
          <w:lang w:val="en-GB"/>
        </w:rPr>
        <w:t>,</w:t>
      </w:r>
      <w:r w:rsidRPr="0002056A">
        <w:rPr>
          <w:rFonts w:ascii="Georgia" w:hAnsi="Georgia" w:cs="Times New Roman"/>
          <w:lang w:val="en-GB"/>
        </w:rPr>
        <w:t xml:space="preserve"> we must only modify the definition: an effort to develop fundamental decisions, actions, and methods to shape, explain and guide what a sector/settlement/region does in a given time horizon to adapt to and prepare for climate change impacts and how it does it to achieve the intended results.</w:t>
      </w:r>
    </w:p>
    <w:p w14:paraId="5F58B9A8" w14:textId="57AB84A9" w:rsidR="004E603D" w:rsidRPr="0002056A" w:rsidRDefault="004E603D" w:rsidP="00CD5BF3">
      <w:pPr>
        <w:pStyle w:val="Listaszerbekezds"/>
        <w:numPr>
          <w:ilvl w:val="0"/>
          <w:numId w:val="1"/>
        </w:numPr>
        <w:tabs>
          <w:tab w:val="left" w:pos="8789"/>
        </w:tabs>
        <w:spacing w:before="120" w:after="120"/>
        <w:ind w:left="284" w:right="141" w:hanging="142"/>
        <w:contextualSpacing w:val="0"/>
        <w:jc w:val="both"/>
        <w:rPr>
          <w:rFonts w:ascii="Georgia" w:hAnsi="Georgia" w:cs="Times New Roman"/>
          <w:b/>
          <w:lang w:val="en-GB"/>
        </w:rPr>
      </w:pPr>
      <w:r w:rsidRPr="0002056A">
        <w:rPr>
          <w:rFonts w:ascii="Georgia" w:hAnsi="Georgia" w:cs="Times New Roman"/>
          <w:b/>
          <w:lang w:val="en-GB"/>
        </w:rPr>
        <w:t xml:space="preserve">Monitoring </w:t>
      </w:r>
      <w:r w:rsidRPr="0002056A">
        <w:rPr>
          <w:rFonts w:ascii="Georgia" w:hAnsi="Georgia" w:cs="Times New Roman"/>
          <w:lang w:val="en-GB"/>
        </w:rPr>
        <w:t xml:space="preserve">is a continuous data collection, </w:t>
      </w:r>
      <w:r w:rsidR="00BA603D">
        <w:rPr>
          <w:rFonts w:ascii="Georgia" w:hAnsi="Georgia" w:cs="Times New Roman"/>
          <w:lang w:val="en-GB"/>
        </w:rPr>
        <w:t xml:space="preserve">processing, and provision activity that tracks the achievement of development objectives and the status of their implementation in a </w:t>
      </w:r>
      <w:r w:rsidRPr="0002056A">
        <w:rPr>
          <w:rFonts w:ascii="Georgia" w:hAnsi="Georgia" w:cs="Times New Roman"/>
          <w:lang w:val="en-GB"/>
        </w:rPr>
        <w:t>well</w:t>
      </w:r>
      <w:r w:rsidR="00B44DD2" w:rsidRPr="0002056A">
        <w:rPr>
          <w:rFonts w:ascii="Georgia" w:hAnsi="Georgia" w:cs="Times New Roman"/>
          <w:lang w:val="en-GB"/>
        </w:rPr>
        <w:t>-</w:t>
      </w:r>
      <w:r w:rsidRPr="0002056A">
        <w:rPr>
          <w:rFonts w:ascii="Georgia" w:hAnsi="Georgia" w:cs="Times New Roman"/>
          <w:lang w:val="en-GB"/>
        </w:rPr>
        <w:t>outlined format and responsibilities, regularly documenting the progress of a given planning document / development programme</w:t>
      </w:r>
      <w:r w:rsidR="00F16BC1" w:rsidRPr="0002056A">
        <w:rPr>
          <w:rFonts w:ascii="Georgia" w:hAnsi="Georgia" w:cs="Times New Roman"/>
          <w:lang w:val="en-GB"/>
        </w:rPr>
        <w:t>. In climate policy</w:t>
      </w:r>
      <w:r w:rsidR="00BA603D">
        <w:rPr>
          <w:rFonts w:ascii="Georgia" w:hAnsi="Georgia" w:cs="Times New Roman"/>
          <w:lang w:val="en-GB"/>
        </w:rPr>
        <w:t>,</w:t>
      </w:r>
      <w:r w:rsidR="00F16BC1" w:rsidRPr="0002056A">
        <w:rPr>
          <w:rFonts w:ascii="Georgia" w:hAnsi="Georgia" w:cs="Times New Roman"/>
          <w:lang w:val="en-GB"/>
        </w:rPr>
        <w:t xml:space="preserve"> it can even </w:t>
      </w:r>
      <w:r w:rsidRPr="0002056A">
        <w:rPr>
          <w:rFonts w:ascii="Georgia" w:hAnsi="Georgia" w:cs="Times New Roman"/>
          <w:lang w:val="en-GB"/>
        </w:rPr>
        <w:t xml:space="preserve">map climate </w:t>
      </w:r>
      <w:r w:rsidR="00B40153" w:rsidRPr="0002056A">
        <w:rPr>
          <w:rFonts w:ascii="Georgia" w:hAnsi="Georgia" w:cs="Times New Roman"/>
          <w:lang w:val="en-GB"/>
        </w:rPr>
        <w:t xml:space="preserve">vulnerability and </w:t>
      </w:r>
      <w:r w:rsidRPr="0002056A">
        <w:rPr>
          <w:rFonts w:ascii="Georgia" w:hAnsi="Georgia" w:cs="Times New Roman"/>
          <w:lang w:val="en-GB"/>
        </w:rPr>
        <w:t xml:space="preserve">risks </w:t>
      </w:r>
      <w:r w:rsidR="00B40153" w:rsidRPr="0002056A">
        <w:rPr>
          <w:rFonts w:ascii="Georgia" w:hAnsi="Georgia" w:cs="Times New Roman"/>
          <w:lang w:val="en-GB"/>
        </w:rPr>
        <w:t>as well as</w:t>
      </w:r>
      <w:r w:rsidRPr="0002056A">
        <w:rPr>
          <w:rFonts w:ascii="Georgia" w:hAnsi="Georgia" w:cs="Times New Roman"/>
          <w:lang w:val="en-GB"/>
        </w:rPr>
        <w:t xml:space="preserve"> </w:t>
      </w:r>
      <w:r w:rsidR="00F16BC1" w:rsidRPr="0002056A">
        <w:rPr>
          <w:rFonts w:ascii="Georgia" w:hAnsi="Georgia" w:cs="Times New Roman"/>
          <w:lang w:val="en-GB"/>
        </w:rPr>
        <w:t xml:space="preserve">effectiveness of </w:t>
      </w:r>
      <w:r w:rsidRPr="0002056A">
        <w:rPr>
          <w:rFonts w:ascii="Georgia" w:hAnsi="Georgia" w:cs="Times New Roman"/>
          <w:lang w:val="en-GB"/>
        </w:rPr>
        <w:t>adaptation efforts and tracking financial resources spent on adaptation through indicators (</w:t>
      </w:r>
      <w:r w:rsidRPr="0002056A">
        <w:rPr>
          <w:rFonts w:ascii="Georgia" w:hAnsi="Georgia" w:cs="Times New Roman"/>
          <w:smallCaps/>
          <w:lang w:val="en-GB"/>
        </w:rPr>
        <w:t>Fayol, 1916; Haynes, 1974;</w:t>
      </w:r>
      <w:r w:rsidRPr="0002056A">
        <w:rPr>
          <w:rFonts w:ascii="Georgia" w:hAnsi="Georgia"/>
          <w:iCs/>
          <w:smallCaps/>
          <w:lang w:val="en-GB"/>
        </w:rPr>
        <w:t xml:space="preserve"> Waterman &amp; Wood, 1993; </w:t>
      </w:r>
      <w:r w:rsidRPr="0002056A">
        <w:rPr>
          <w:rFonts w:ascii="Georgia" w:hAnsi="Georgia" w:cs="Times New Roman"/>
          <w:smallCaps/>
          <w:lang w:val="en-GB"/>
        </w:rPr>
        <w:t xml:space="preserve">Harley et al., </w:t>
      </w:r>
      <w:hyperlink r:id="rId19" w:anchor="ref-CR38" w:tooltip="Harley M, Horrocks L, Hodgson N, Minnen J van (2008) Climate change vulnerability and adaptation indicators, European Topic Centre on Air and Climate Change Technical Paper 2008/9. European Environment Agency                      http://air-climate.eionet.euro" w:history="1">
        <w:r w:rsidRPr="0002056A">
          <w:rPr>
            <w:rFonts w:ascii="Georgia" w:hAnsi="Georgia" w:cs="Times New Roman"/>
            <w:smallCaps/>
            <w:lang w:val="en-GB"/>
          </w:rPr>
          <w:t>2008</w:t>
        </w:r>
      </w:hyperlink>
      <w:r w:rsidRPr="0002056A">
        <w:rPr>
          <w:rFonts w:ascii="Georgia" w:hAnsi="Georgia" w:cs="Times New Roman"/>
          <w:smallCaps/>
          <w:lang w:val="en-GB"/>
        </w:rPr>
        <w:t>; Vallejo, 2017; Klostermann et al., 2018; Kabeyi</w:t>
      </w:r>
      <w:r w:rsidRPr="0002056A">
        <w:rPr>
          <w:rFonts w:ascii="Georgia" w:hAnsi="Georgia" w:cs="Times New Roman"/>
          <w:lang w:val="en-GB"/>
        </w:rPr>
        <w:t>, 2019; EEA, 2022).</w:t>
      </w:r>
    </w:p>
    <w:p w14:paraId="69D75113" w14:textId="3546E8CA" w:rsidR="004E603D" w:rsidRPr="0002056A" w:rsidRDefault="004E603D" w:rsidP="00CD5BF3">
      <w:pPr>
        <w:pStyle w:val="Listaszerbekezds"/>
        <w:numPr>
          <w:ilvl w:val="0"/>
          <w:numId w:val="1"/>
        </w:numPr>
        <w:tabs>
          <w:tab w:val="left" w:pos="8789"/>
        </w:tabs>
        <w:spacing w:before="120" w:after="120"/>
        <w:ind w:left="284" w:right="141" w:hanging="142"/>
        <w:contextualSpacing w:val="0"/>
        <w:jc w:val="both"/>
        <w:rPr>
          <w:rFonts w:ascii="Georgia" w:hAnsi="Georgia" w:cs="Times New Roman"/>
          <w:lang w:val="en-GB"/>
        </w:rPr>
      </w:pPr>
      <w:r w:rsidRPr="0002056A">
        <w:rPr>
          <w:rFonts w:ascii="Georgia" w:hAnsi="Georgia" w:cs="Times New Roman"/>
          <w:b/>
          <w:lang w:val="en-GB"/>
        </w:rPr>
        <w:t xml:space="preserve">Reporting </w:t>
      </w:r>
      <w:r w:rsidRPr="0002056A">
        <w:rPr>
          <w:rFonts w:ascii="Georgia" w:hAnsi="Georgia" w:cs="Times New Roman"/>
          <w:lang w:val="en-GB"/>
        </w:rPr>
        <w:t xml:space="preserve">is the regular or ad-hoc dissemination of processed monitoring data and results of assessments for different target groups in the form of special </w:t>
      </w:r>
      <w:r w:rsidR="006C6F91" w:rsidRPr="0002056A">
        <w:rPr>
          <w:rFonts w:ascii="Georgia" w:hAnsi="Georgia" w:cs="Times New Roman"/>
          <w:lang w:val="en-GB"/>
        </w:rPr>
        <w:t>queries/</w:t>
      </w:r>
      <w:r w:rsidR="00B40153" w:rsidRPr="0002056A">
        <w:rPr>
          <w:rFonts w:ascii="Georgia" w:hAnsi="Georgia" w:cs="Times New Roman"/>
          <w:lang w:val="en-GB"/>
        </w:rPr>
        <w:t>studies</w:t>
      </w:r>
      <w:r w:rsidRPr="0002056A">
        <w:rPr>
          <w:rFonts w:ascii="Georgia" w:hAnsi="Georgia" w:cs="Times New Roman"/>
          <w:lang w:val="en-GB"/>
        </w:rPr>
        <w:t>/papers and making lessons learned for decision makers or the broader public available (</w:t>
      </w:r>
      <w:r w:rsidRPr="0002056A">
        <w:rPr>
          <w:rFonts w:ascii="Georgia" w:hAnsi="Georgia" w:cs="Times New Roman"/>
          <w:smallCaps/>
          <w:lang w:val="en-GB"/>
        </w:rPr>
        <w:t>Edmunds-Marchant</w:t>
      </w:r>
      <w:r w:rsidRPr="0002056A">
        <w:rPr>
          <w:rFonts w:ascii="Georgia" w:hAnsi="Georgia" w:cs="Times New Roman"/>
          <w:lang w:val="en-GB"/>
        </w:rPr>
        <w:t>, 2008</w:t>
      </w:r>
      <w:r w:rsidR="00BA603D">
        <w:rPr>
          <w:rFonts w:ascii="Georgia" w:hAnsi="Georgia" w:cs="Times New Roman"/>
          <w:lang w:val="en-GB"/>
        </w:rPr>
        <w:t>; EEA, 2016;</w:t>
      </w:r>
      <w:r w:rsidR="00BA603D" w:rsidRPr="0002056A">
        <w:rPr>
          <w:rFonts w:ascii="Georgia" w:hAnsi="Georgia" w:cs="Times New Roman"/>
          <w:lang w:val="en-GB"/>
        </w:rPr>
        <w:t xml:space="preserve"> </w:t>
      </w:r>
      <w:r w:rsidRPr="0002056A">
        <w:rPr>
          <w:rFonts w:ascii="Georgia" w:hAnsi="Georgia" w:cs="Times New Roman"/>
          <w:lang w:val="en-GB"/>
        </w:rPr>
        <w:t>EEA, 2022).</w:t>
      </w:r>
    </w:p>
    <w:p w14:paraId="044E2717" w14:textId="6CB8445A" w:rsidR="004E603D" w:rsidRPr="0002056A" w:rsidRDefault="004E603D" w:rsidP="00CD5BF3">
      <w:pPr>
        <w:pStyle w:val="Listaszerbekezds"/>
        <w:numPr>
          <w:ilvl w:val="0"/>
          <w:numId w:val="1"/>
        </w:numPr>
        <w:tabs>
          <w:tab w:val="left" w:pos="8789"/>
        </w:tabs>
        <w:spacing w:before="120" w:after="120"/>
        <w:ind w:left="284" w:right="141" w:hanging="142"/>
        <w:contextualSpacing w:val="0"/>
        <w:jc w:val="both"/>
        <w:rPr>
          <w:rFonts w:ascii="Georgia" w:hAnsi="Georgia" w:cs="Times New Roman"/>
          <w:lang w:val="en-GB"/>
        </w:rPr>
      </w:pPr>
      <w:r w:rsidRPr="0002056A">
        <w:rPr>
          <w:rFonts w:ascii="Georgia" w:hAnsi="Georgia" w:cs="Times New Roman"/>
          <w:b/>
          <w:lang w:val="en-GB"/>
        </w:rPr>
        <w:t xml:space="preserve">Evaluation </w:t>
      </w:r>
      <w:r w:rsidRPr="0002056A">
        <w:rPr>
          <w:rFonts w:ascii="Georgia" w:hAnsi="Georgia" w:cs="Times New Roman"/>
          <w:lang w:val="en-GB"/>
        </w:rPr>
        <w:t>is the one-time or periodic analysis of a given planning level’s (policy/concept, programme, project) functioning and/or the related intervention’s results</w:t>
      </w:r>
      <w:r w:rsidR="00BA603D">
        <w:rPr>
          <w:rFonts w:ascii="Georgia" w:hAnsi="Georgia" w:cs="Times New Roman"/>
          <w:lang w:val="en-GB"/>
        </w:rPr>
        <w:t>,</w:t>
      </w:r>
      <w:r w:rsidRPr="0002056A">
        <w:rPr>
          <w:rFonts w:ascii="Georgia" w:hAnsi="Georgia" w:cs="Times New Roman"/>
          <w:lang w:val="en-GB"/>
        </w:rPr>
        <w:t xml:space="preserve"> comparing them with the initial goals/objectives (the original expectations). It identifies the direction of change and </w:t>
      </w:r>
      <w:r w:rsidR="00BA603D">
        <w:rPr>
          <w:rFonts w:ascii="Georgia" w:hAnsi="Georgia" w:cs="Times New Roman"/>
          <w:lang w:val="en-GB"/>
        </w:rPr>
        <w:t xml:space="preserve">is based mostly on monitoring data/information, </w:t>
      </w:r>
      <w:r w:rsidR="00F16BC1" w:rsidRPr="0002056A">
        <w:rPr>
          <w:rFonts w:ascii="Georgia" w:hAnsi="Georgia" w:cs="Times New Roman"/>
          <w:lang w:val="en-GB"/>
        </w:rPr>
        <w:t>even</w:t>
      </w:r>
      <w:r w:rsidRPr="0002056A">
        <w:rPr>
          <w:rFonts w:ascii="Georgia" w:hAnsi="Georgia" w:cs="Times New Roman"/>
          <w:lang w:val="en-GB"/>
        </w:rPr>
        <w:t xml:space="preserve"> qualitative information and on a well-defined methodology. In climate policy</w:t>
      </w:r>
      <w:r w:rsidR="00BA603D">
        <w:rPr>
          <w:rFonts w:ascii="Georgia" w:hAnsi="Georgia" w:cs="Times New Roman"/>
          <w:lang w:val="en-GB"/>
        </w:rPr>
        <w:t xml:space="preserve">, </w:t>
      </w:r>
      <w:r w:rsidR="00C61F53">
        <w:rPr>
          <w:rFonts w:ascii="Georgia" w:hAnsi="Georgia" w:cs="Times New Roman"/>
          <w:lang w:val="en-GB"/>
        </w:rPr>
        <w:t>evaluations</w:t>
      </w:r>
      <w:r w:rsidR="00BA603D">
        <w:rPr>
          <w:rFonts w:ascii="Georgia" w:hAnsi="Georgia" w:cs="Times New Roman"/>
          <w:lang w:val="en-GB"/>
        </w:rPr>
        <w:t xml:space="preserve"> can assess both the changes in climate vulnerability and effectiveness of climate adaptation efforts (</w:t>
      </w:r>
      <w:r w:rsidR="00BA603D" w:rsidRPr="009F4027">
        <w:rPr>
          <w:rFonts w:ascii="Georgia" w:hAnsi="Georgia" w:cs="Times New Roman"/>
          <w:smallCaps/>
          <w:lang w:val="en-GB"/>
        </w:rPr>
        <w:t>Guskey, 2000; Hogan, 2007; Huitema et al., 2011; EEA, 2015; Vallejo, 2017; Klostermann et al.,</w:t>
      </w:r>
      <w:r w:rsidRPr="0002056A">
        <w:rPr>
          <w:rFonts w:ascii="Georgia" w:hAnsi="Georgia" w:cs="Times New Roman"/>
          <w:smallCaps/>
          <w:lang w:val="en-GB"/>
        </w:rPr>
        <w:t xml:space="preserve"> 2018; EEA, 2022</w:t>
      </w:r>
      <w:r w:rsidRPr="0002056A">
        <w:rPr>
          <w:rFonts w:ascii="Georgia" w:hAnsi="Georgia" w:cs="Times New Roman"/>
          <w:lang w:val="en-GB"/>
        </w:rPr>
        <w:t>).</w:t>
      </w:r>
    </w:p>
    <w:p w14:paraId="6DE180AF" w14:textId="6DEA76CA" w:rsidR="004B3C15" w:rsidRPr="0002056A" w:rsidRDefault="00F41851" w:rsidP="00214BD9">
      <w:pPr>
        <w:pStyle w:val="Cmsor2"/>
        <w:numPr>
          <w:ilvl w:val="1"/>
          <w:numId w:val="4"/>
        </w:numPr>
        <w:rPr>
          <w:rFonts w:asciiTheme="minorHAnsi" w:hAnsiTheme="minorHAnsi" w:cstheme="minorHAnsi"/>
          <w:b w:val="0"/>
          <w:bCs w:val="0"/>
          <w:i/>
          <w:iCs/>
          <w:lang w:val="en-GB"/>
        </w:rPr>
      </w:pPr>
      <w:bookmarkStart w:id="15" w:name="_Toc225578838"/>
      <w:r w:rsidRPr="0002056A">
        <w:rPr>
          <w:rFonts w:asciiTheme="minorHAnsi" w:hAnsiTheme="minorHAnsi" w:cstheme="minorHAnsi"/>
          <w:b w:val="0"/>
          <w:bCs w:val="0"/>
          <w:i/>
          <w:iCs/>
          <w:lang w:val="en-GB"/>
        </w:rPr>
        <w:lastRenderedPageBreak/>
        <w:t>Policy</w:t>
      </w:r>
      <w:r w:rsidR="00554206" w:rsidRPr="0002056A">
        <w:rPr>
          <w:rFonts w:asciiTheme="minorHAnsi" w:hAnsiTheme="minorHAnsi" w:cstheme="minorHAnsi"/>
          <w:b w:val="0"/>
          <w:bCs w:val="0"/>
          <w:i/>
          <w:iCs/>
          <w:lang w:val="en-GB"/>
        </w:rPr>
        <w:t>-</w:t>
      </w:r>
      <w:r w:rsidRPr="0002056A">
        <w:rPr>
          <w:rFonts w:asciiTheme="minorHAnsi" w:hAnsiTheme="minorHAnsi" w:cstheme="minorHAnsi"/>
          <w:b w:val="0"/>
          <w:bCs w:val="0"/>
          <w:i/>
          <w:iCs/>
          <w:lang w:val="en-GB"/>
        </w:rPr>
        <w:t xml:space="preserve"> and instrument</w:t>
      </w:r>
      <w:r w:rsidR="00554206" w:rsidRPr="0002056A">
        <w:rPr>
          <w:rFonts w:asciiTheme="minorHAnsi" w:hAnsiTheme="minorHAnsi" w:cstheme="minorHAnsi"/>
          <w:b w:val="0"/>
          <w:bCs w:val="0"/>
          <w:i/>
          <w:iCs/>
          <w:lang w:val="en-GB"/>
        </w:rPr>
        <w:t>al</w:t>
      </w:r>
      <w:r w:rsidRPr="0002056A">
        <w:rPr>
          <w:rFonts w:asciiTheme="minorHAnsi" w:hAnsiTheme="minorHAnsi" w:cstheme="minorHAnsi"/>
          <w:b w:val="0"/>
          <w:bCs w:val="0"/>
          <w:i/>
          <w:iCs/>
          <w:lang w:val="en-GB"/>
        </w:rPr>
        <w:t xml:space="preserve"> context</w:t>
      </w:r>
      <w:bookmarkEnd w:id="15"/>
    </w:p>
    <w:p w14:paraId="0190723B" w14:textId="1A1B7A67" w:rsidR="004E603D" w:rsidRPr="0002056A" w:rsidRDefault="004E603D" w:rsidP="00214BD9">
      <w:pPr>
        <w:pStyle w:val="Cmsor3"/>
        <w:numPr>
          <w:ilvl w:val="2"/>
          <w:numId w:val="4"/>
        </w:numPr>
        <w:rPr>
          <w:rFonts w:ascii="Georgia" w:hAnsi="Georgia" w:cs="Calibri"/>
          <w:color w:val="2F5496" w:themeColor="accent1" w:themeShade="BF"/>
          <w:lang w:val="en-GB"/>
        </w:rPr>
      </w:pPr>
      <w:bookmarkStart w:id="16" w:name="_Toc225578839"/>
      <w:r w:rsidRPr="0002056A">
        <w:rPr>
          <w:rFonts w:ascii="Georgia" w:hAnsi="Georgia" w:cs="Calibri"/>
          <w:color w:val="2F5496" w:themeColor="accent1" w:themeShade="BF"/>
          <w:lang w:val="en-GB"/>
        </w:rPr>
        <w:t>Climate adaptation policy context worldwide and in Europe</w:t>
      </w:r>
      <w:bookmarkEnd w:id="16"/>
    </w:p>
    <w:p w14:paraId="0EAB3BFF" w14:textId="26F27B42" w:rsidR="004E603D" w:rsidRPr="0002056A" w:rsidRDefault="004E603D" w:rsidP="00CD5BF3">
      <w:pPr>
        <w:spacing w:before="120" w:after="120"/>
        <w:jc w:val="both"/>
        <w:rPr>
          <w:rFonts w:ascii="Georgia" w:hAnsi="Georgia"/>
          <w:lang w:val="en-GB"/>
        </w:rPr>
      </w:pPr>
      <w:r w:rsidRPr="0002056A">
        <w:rPr>
          <w:rFonts w:ascii="Georgia" w:hAnsi="Georgia"/>
          <w:lang w:val="en-GB"/>
        </w:rPr>
        <w:t>Climate policy</w:t>
      </w:r>
      <w:r w:rsidR="00096A87" w:rsidRPr="0002056A">
        <w:rPr>
          <w:rFonts w:ascii="Georgia" w:hAnsi="Georgia"/>
          <w:lang w:val="en-GB"/>
        </w:rPr>
        <w:t xml:space="preserve"> could be described</w:t>
      </w:r>
      <w:r w:rsidRPr="0002056A">
        <w:rPr>
          <w:rFonts w:ascii="Georgia" w:hAnsi="Georgia"/>
          <w:lang w:val="en-GB"/>
        </w:rPr>
        <w:t xml:space="preserve"> basically</w:t>
      </w:r>
      <w:r w:rsidR="00096A87" w:rsidRPr="0002056A">
        <w:rPr>
          <w:rFonts w:ascii="Georgia" w:hAnsi="Georgia"/>
          <w:lang w:val="en-GB"/>
        </w:rPr>
        <w:t xml:space="preserve"> as</w:t>
      </w:r>
      <w:r w:rsidRPr="0002056A">
        <w:rPr>
          <w:rFonts w:ascii="Georgia" w:hAnsi="Georgia"/>
          <w:lang w:val="en-GB"/>
        </w:rPr>
        <w:t xml:space="preserve"> the sum </w:t>
      </w:r>
      <w:r w:rsidR="00BA603D">
        <w:rPr>
          <w:rFonts w:ascii="Georgia" w:hAnsi="Georgia"/>
          <w:lang w:val="en-GB"/>
        </w:rPr>
        <w:t xml:space="preserve">of </w:t>
      </w:r>
      <w:r w:rsidRPr="0002056A">
        <w:rPr>
          <w:rFonts w:ascii="Georgia" w:hAnsi="Georgia"/>
          <w:lang w:val="en-GB"/>
        </w:rPr>
        <w:t>policy activities, strategies</w:t>
      </w:r>
      <w:r w:rsidR="00065ED3" w:rsidRPr="0002056A">
        <w:rPr>
          <w:rFonts w:ascii="Georgia" w:hAnsi="Georgia"/>
          <w:lang w:val="en-GB"/>
        </w:rPr>
        <w:t>,</w:t>
      </w:r>
      <w:r w:rsidRPr="0002056A">
        <w:rPr>
          <w:rFonts w:ascii="Georgia" w:hAnsi="Georgia"/>
          <w:lang w:val="en-GB"/>
        </w:rPr>
        <w:t xml:space="preserve"> measures </w:t>
      </w:r>
      <w:r w:rsidR="00065ED3" w:rsidRPr="0002056A">
        <w:rPr>
          <w:rFonts w:ascii="Georgia" w:hAnsi="Georgia"/>
          <w:lang w:val="en-GB"/>
        </w:rPr>
        <w:t xml:space="preserve">and actual interventions </w:t>
      </w:r>
      <w:r w:rsidRPr="0002056A">
        <w:rPr>
          <w:rFonts w:ascii="Georgia" w:hAnsi="Georgia"/>
          <w:lang w:val="en-GB"/>
        </w:rPr>
        <w:t xml:space="preserve">that aim </w:t>
      </w:r>
      <w:r w:rsidR="00750A7E" w:rsidRPr="0002056A">
        <w:rPr>
          <w:rFonts w:ascii="Georgia" w:hAnsi="Georgia"/>
          <w:lang w:val="en-GB"/>
        </w:rPr>
        <w:t xml:space="preserve">either </w:t>
      </w:r>
      <w:r w:rsidRPr="0002056A">
        <w:rPr>
          <w:rFonts w:ascii="Georgia" w:hAnsi="Georgia"/>
          <w:lang w:val="en-GB"/>
        </w:rPr>
        <w:t xml:space="preserve">at mitigating climate change </w:t>
      </w:r>
      <w:r w:rsidR="0094046C" w:rsidRPr="0002056A">
        <w:rPr>
          <w:rFonts w:ascii="Georgia" w:hAnsi="Georgia"/>
          <w:lang w:val="en-GB"/>
        </w:rPr>
        <w:t>through</w:t>
      </w:r>
      <w:r w:rsidRPr="0002056A">
        <w:rPr>
          <w:rFonts w:ascii="Georgia" w:hAnsi="Georgia"/>
          <w:lang w:val="en-GB"/>
        </w:rPr>
        <w:t xml:space="preserve"> minimisation of greenhouse gas (GHG) emissions </w:t>
      </w:r>
      <w:r w:rsidR="00750A7E" w:rsidRPr="0002056A">
        <w:rPr>
          <w:rFonts w:ascii="Georgia" w:hAnsi="Georgia"/>
          <w:lang w:val="en-GB"/>
        </w:rPr>
        <w:t>or at</w:t>
      </w:r>
      <w:r w:rsidRPr="0002056A">
        <w:rPr>
          <w:rFonts w:ascii="Georgia" w:hAnsi="Georgia"/>
          <w:lang w:val="en-GB"/>
        </w:rPr>
        <w:t xml:space="preserve"> adapting to the already existing changes together with the preparation for future, unavoidable changes. Accordingly, both international</w:t>
      </w:r>
      <w:r w:rsidR="00711AD5" w:rsidRPr="0002056A">
        <w:rPr>
          <w:rFonts w:ascii="Georgia" w:hAnsi="Georgia"/>
          <w:lang w:val="en-GB"/>
        </w:rPr>
        <w:t xml:space="preserve"> and</w:t>
      </w:r>
      <w:r w:rsidRPr="0002056A">
        <w:rPr>
          <w:rFonts w:ascii="Georgia" w:hAnsi="Georgia"/>
          <w:lang w:val="en-GB"/>
        </w:rPr>
        <w:t xml:space="preserve"> national </w:t>
      </w:r>
      <w:r w:rsidR="00BA603D">
        <w:rPr>
          <w:rFonts w:ascii="Georgia" w:hAnsi="Georgia"/>
          <w:lang w:val="en-GB"/>
        </w:rPr>
        <w:t xml:space="preserve">climate policies </w:t>
      </w:r>
      <w:r w:rsidR="006C7AA6" w:rsidRPr="0002056A">
        <w:rPr>
          <w:rFonts w:ascii="Georgia" w:hAnsi="Georgia"/>
          <w:lang w:val="en-GB"/>
        </w:rPr>
        <w:t>(and among these</w:t>
      </w:r>
      <w:r w:rsidR="006C7AA6">
        <w:rPr>
          <w:rFonts w:ascii="Georgia" w:hAnsi="Georgia"/>
          <w:lang w:val="en-GB"/>
        </w:rPr>
        <w:t xml:space="preserve">, the Hungarian) </w:t>
      </w:r>
      <w:r w:rsidR="00BA603D">
        <w:rPr>
          <w:rFonts w:ascii="Georgia" w:hAnsi="Georgia"/>
          <w:lang w:val="en-GB"/>
        </w:rPr>
        <w:t>basically comprise the following pillars: decarbonisation (mitigation), adaptation, preparation,</w:t>
      </w:r>
      <w:r w:rsidRPr="0002056A">
        <w:rPr>
          <w:rFonts w:ascii="Georgia" w:hAnsi="Georgia"/>
          <w:lang w:val="en-GB"/>
        </w:rPr>
        <w:t xml:space="preserve"> and awareness raising. As GHG </w:t>
      </w:r>
      <w:r w:rsidR="00BA603D">
        <w:rPr>
          <w:rFonts w:ascii="Georgia" w:hAnsi="Georgia"/>
          <w:lang w:val="en-GB"/>
        </w:rPr>
        <w:t xml:space="preserve">emissions are a global phenomenon, the </w:t>
      </w:r>
      <w:r w:rsidRPr="0002056A">
        <w:rPr>
          <w:rFonts w:ascii="Georgia" w:hAnsi="Georgia"/>
          <w:lang w:val="en-GB"/>
        </w:rPr>
        <w:t xml:space="preserve">climate policy’s mitigation pillar needs </w:t>
      </w:r>
      <w:r w:rsidR="00096A87" w:rsidRPr="0002056A">
        <w:rPr>
          <w:rFonts w:ascii="Georgia" w:hAnsi="Georgia"/>
          <w:lang w:val="en-GB"/>
        </w:rPr>
        <w:t>transnational</w:t>
      </w:r>
      <w:r w:rsidRPr="0002056A">
        <w:rPr>
          <w:rFonts w:ascii="Georgia" w:hAnsi="Georgia"/>
          <w:lang w:val="en-GB"/>
        </w:rPr>
        <w:t xml:space="preserve"> cooperation to cut global emissions. The EU </w:t>
      </w:r>
      <w:r w:rsidR="00BA603D">
        <w:rPr>
          <w:rFonts w:ascii="Georgia" w:hAnsi="Georgia"/>
          <w:lang w:val="en-GB"/>
        </w:rPr>
        <w:t>plays a crucial role in this process, working bilaterally and multilaterally with non-EU countries</w:t>
      </w:r>
      <w:r w:rsidRPr="0002056A">
        <w:rPr>
          <w:rFonts w:ascii="Georgia" w:hAnsi="Georgia"/>
          <w:lang w:val="en-GB"/>
        </w:rPr>
        <w:t>.</w:t>
      </w:r>
      <w:r w:rsidR="000446D2" w:rsidRPr="0002056A">
        <w:rPr>
          <w:rFonts w:ascii="Georgia" w:hAnsi="Georgia"/>
          <w:lang w:val="en-GB"/>
        </w:rPr>
        <w:t xml:space="preserve"> Trad</w:t>
      </w:r>
      <w:r w:rsidR="00FF2B6D" w:rsidRPr="0002056A">
        <w:rPr>
          <w:rFonts w:ascii="Georgia" w:hAnsi="Georgia"/>
          <w:lang w:val="en-GB"/>
        </w:rPr>
        <w:t>i</w:t>
      </w:r>
      <w:r w:rsidR="000446D2" w:rsidRPr="0002056A">
        <w:rPr>
          <w:rFonts w:ascii="Georgia" w:hAnsi="Georgia"/>
          <w:lang w:val="en-GB"/>
        </w:rPr>
        <w:t>tionally, mitigation</w:t>
      </w:r>
      <w:r w:rsidR="00FF2B6D" w:rsidRPr="0002056A">
        <w:rPr>
          <w:rFonts w:ascii="Georgia" w:hAnsi="Georgia"/>
          <w:lang w:val="en-GB"/>
        </w:rPr>
        <w:t xml:space="preserve"> (</w:t>
      </w:r>
      <w:r w:rsidR="000446D2" w:rsidRPr="0002056A">
        <w:rPr>
          <w:rFonts w:ascii="Georgia" w:hAnsi="Georgia"/>
          <w:lang w:val="en-GB"/>
        </w:rPr>
        <w:t>or decarbonisation</w:t>
      </w:r>
      <w:r w:rsidR="00FF2B6D" w:rsidRPr="0002056A">
        <w:rPr>
          <w:rFonts w:ascii="Georgia" w:hAnsi="Georgia"/>
          <w:lang w:val="en-GB"/>
        </w:rPr>
        <w:t>)</w:t>
      </w:r>
      <w:r w:rsidR="000446D2" w:rsidRPr="0002056A">
        <w:rPr>
          <w:rFonts w:ascii="Georgia" w:hAnsi="Georgia"/>
          <w:lang w:val="en-GB"/>
        </w:rPr>
        <w:t xml:space="preserve"> </w:t>
      </w:r>
      <w:r w:rsidR="00E845BE" w:rsidRPr="0002056A">
        <w:rPr>
          <w:rFonts w:ascii="Georgia" w:hAnsi="Georgia"/>
          <w:lang w:val="en-GB"/>
        </w:rPr>
        <w:t>has been</w:t>
      </w:r>
      <w:r w:rsidR="000446D2" w:rsidRPr="0002056A">
        <w:rPr>
          <w:rFonts w:ascii="Georgia" w:hAnsi="Georgia"/>
          <w:lang w:val="en-GB"/>
        </w:rPr>
        <w:t xml:space="preserve"> the main pillar with</w:t>
      </w:r>
      <w:r w:rsidR="00FF2B6D" w:rsidRPr="0002056A">
        <w:rPr>
          <w:rFonts w:ascii="Georgia" w:hAnsi="Georgia"/>
          <w:lang w:val="en-GB"/>
        </w:rPr>
        <w:t>i</w:t>
      </w:r>
      <w:r w:rsidR="000446D2" w:rsidRPr="0002056A">
        <w:rPr>
          <w:rFonts w:ascii="Georgia" w:hAnsi="Georgia"/>
          <w:lang w:val="en-GB"/>
        </w:rPr>
        <w:t xml:space="preserve">n climate policy for decades. Only the last 10-15 years </w:t>
      </w:r>
      <w:r w:rsidR="00BA603D">
        <w:rPr>
          <w:rFonts w:ascii="Georgia" w:hAnsi="Georgia"/>
          <w:lang w:val="en-GB"/>
        </w:rPr>
        <w:t xml:space="preserve">have </w:t>
      </w:r>
      <w:r w:rsidR="006766F6" w:rsidRPr="0002056A">
        <w:rPr>
          <w:rFonts w:ascii="Georgia" w:hAnsi="Georgia"/>
          <w:lang w:val="en-GB"/>
        </w:rPr>
        <w:t xml:space="preserve">started to bring </w:t>
      </w:r>
      <w:r w:rsidR="000446D2" w:rsidRPr="0002056A">
        <w:rPr>
          <w:rFonts w:ascii="Georgia" w:hAnsi="Georgia"/>
          <w:lang w:val="en-GB"/>
        </w:rPr>
        <w:t>changes</w:t>
      </w:r>
      <w:r w:rsidR="00E845BE" w:rsidRPr="0002056A">
        <w:rPr>
          <w:rFonts w:ascii="Georgia" w:hAnsi="Georgia"/>
          <w:lang w:val="en-GB"/>
        </w:rPr>
        <w:t xml:space="preserve"> in this situation</w:t>
      </w:r>
      <w:r w:rsidR="000446D2" w:rsidRPr="0002056A">
        <w:rPr>
          <w:rFonts w:ascii="Georgia" w:hAnsi="Georgia"/>
          <w:lang w:val="en-GB"/>
        </w:rPr>
        <w:t xml:space="preserve">. </w:t>
      </w:r>
    </w:p>
    <w:p w14:paraId="00E33CE9" w14:textId="60A1EA3A" w:rsidR="004E603D" w:rsidRPr="0002056A" w:rsidRDefault="00EF26B5" w:rsidP="00CD5BF3">
      <w:pPr>
        <w:autoSpaceDE w:val="0"/>
        <w:autoSpaceDN w:val="0"/>
        <w:adjustRightInd w:val="0"/>
        <w:spacing w:before="120" w:after="120"/>
        <w:jc w:val="both"/>
        <w:rPr>
          <w:rFonts w:ascii="Georgia" w:hAnsi="Georgia"/>
          <w:lang w:val="en-GB"/>
        </w:rPr>
      </w:pPr>
      <w:r w:rsidRPr="0002056A">
        <w:rPr>
          <w:rFonts w:ascii="Georgia" w:hAnsi="Georgia"/>
          <w:lang w:val="en-GB"/>
        </w:rPr>
        <w:t>Roots of</w:t>
      </w:r>
      <w:r w:rsidRPr="0002056A">
        <w:rPr>
          <w:rFonts w:ascii="Georgia" w:hAnsi="Georgia"/>
          <w:b/>
          <w:bCs/>
          <w:lang w:val="en-GB"/>
        </w:rPr>
        <w:t xml:space="preserve"> c</w:t>
      </w:r>
      <w:r w:rsidR="00E845BE" w:rsidRPr="0002056A">
        <w:rPr>
          <w:rFonts w:ascii="Georgia" w:hAnsi="Georgia"/>
          <w:b/>
          <w:bCs/>
          <w:lang w:val="en-GB"/>
        </w:rPr>
        <w:t>limate a</w:t>
      </w:r>
      <w:r w:rsidR="004E603D" w:rsidRPr="0002056A">
        <w:rPr>
          <w:rFonts w:ascii="Georgia" w:hAnsi="Georgia"/>
          <w:b/>
          <w:bCs/>
          <w:lang w:val="en-GB"/>
        </w:rPr>
        <w:t>daptation policy’s history</w:t>
      </w:r>
      <w:r w:rsidR="004E603D" w:rsidRPr="0002056A">
        <w:rPr>
          <w:rFonts w:ascii="Georgia" w:hAnsi="Georgia"/>
          <w:lang w:val="en-GB"/>
        </w:rPr>
        <w:t xml:space="preserve"> </w:t>
      </w:r>
      <w:r w:rsidR="00BA603D">
        <w:rPr>
          <w:rFonts w:ascii="Georgia" w:hAnsi="Georgia"/>
          <w:lang w:val="en-GB"/>
        </w:rPr>
        <w:t>go</w:t>
      </w:r>
      <w:r w:rsidR="00BA603D" w:rsidRPr="0002056A">
        <w:rPr>
          <w:rFonts w:ascii="Georgia" w:hAnsi="Georgia"/>
          <w:lang w:val="en-GB"/>
        </w:rPr>
        <w:t xml:space="preserve"> </w:t>
      </w:r>
      <w:r w:rsidR="004E603D" w:rsidRPr="0002056A">
        <w:rPr>
          <w:rFonts w:ascii="Georgia" w:hAnsi="Georgia"/>
          <w:lang w:val="en-GB"/>
        </w:rPr>
        <w:t xml:space="preserve">back to the mid-to-late 1990s when local causes and impacts of climate change first attracted attention. </w:t>
      </w:r>
      <w:r w:rsidR="006766F6" w:rsidRPr="0002056A">
        <w:rPr>
          <w:rFonts w:ascii="Georgia" w:hAnsi="Georgia"/>
          <w:lang w:val="en-GB"/>
        </w:rPr>
        <w:t>Of course, t</w:t>
      </w:r>
      <w:r w:rsidR="004E603D" w:rsidRPr="0002056A">
        <w:rPr>
          <w:rFonts w:ascii="Georgia" w:hAnsi="Georgia"/>
          <w:lang w:val="en-GB"/>
        </w:rPr>
        <w:t xml:space="preserve">o get from the recognition of </w:t>
      </w:r>
      <w:r w:rsidRPr="0002056A">
        <w:rPr>
          <w:rFonts w:ascii="Georgia" w:hAnsi="Georgia"/>
          <w:lang w:val="en-GB"/>
        </w:rPr>
        <w:t xml:space="preserve">the importance of </w:t>
      </w:r>
      <w:r w:rsidR="004E603D" w:rsidRPr="0002056A">
        <w:rPr>
          <w:rFonts w:ascii="Georgia" w:hAnsi="Georgia"/>
          <w:lang w:val="en-GB"/>
        </w:rPr>
        <w:t xml:space="preserve">climate change impacts to </w:t>
      </w:r>
      <w:r w:rsidR="00BA603D">
        <w:rPr>
          <w:rFonts w:ascii="Georgia" w:hAnsi="Georgia"/>
          <w:lang w:val="en-GB"/>
        </w:rPr>
        <w:t>systemised</w:t>
      </w:r>
      <w:r w:rsidR="00BA603D" w:rsidRPr="0002056A">
        <w:rPr>
          <w:rFonts w:ascii="Georgia" w:hAnsi="Georgia"/>
          <w:lang w:val="en-GB"/>
        </w:rPr>
        <w:t xml:space="preserve"> </w:t>
      </w:r>
      <w:r w:rsidR="004E603D" w:rsidRPr="0002056A">
        <w:rPr>
          <w:rFonts w:ascii="Georgia" w:hAnsi="Georgia"/>
          <w:lang w:val="en-GB"/>
        </w:rPr>
        <w:t xml:space="preserve">policy, climate adaptation went along a long road. </w:t>
      </w:r>
      <w:r w:rsidR="004E603D" w:rsidRPr="0002056A">
        <w:rPr>
          <w:rFonts w:ascii="Georgia" w:hAnsi="Georgia" w:cs="GrotesqueMTStd"/>
          <w:lang w:val="en-GB"/>
          <w14:ligatures w14:val="standardContextual"/>
        </w:rPr>
        <w:t xml:space="preserve">The </w:t>
      </w:r>
      <w:r w:rsidR="00BA603D">
        <w:rPr>
          <w:rFonts w:ascii="Georgia" w:hAnsi="Georgia" w:cs="GrotesqueMTStd"/>
          <w:lang w:val="en-GB"/>
          <w14:ligatures w14:val="standardContextual"/>
        </w:rPr>
        <w:t>need for international climate research was first raised at the 1979</w:t>
      </w:r>
      <w:r w:rsidR="004E603D" w:rsidRPr="0002056A">
        <w:rPr>
          <w:rFonts w:ascii="Georgia" w:hAnsi="Georgia" w:cs="GrotesqueMTStd"/>
          <w:lang w:val="en-GB"/>
          <w14:ligatures w14:val="standardContextual"/>
        </w:rPr>
        <w:t xml:space="preserve"> World Climate Conference</w:t>
      </w:r>
      <w:r w:rsidR="00C970E1" w:rsidRPr="0002056A">
        <w:rPr>
          <w:rFonts w:ascii="Georgia" w:hAnsi="Georgia" w:cs="GrotesqueMTStd"/>
          <w:lang w:val="en-GB"/>
          <w14:ligatures w14:val="standardContextual"/>
        </w:rPr>
        <w:t xml:space="preserve">. </w:t>
      </w:r>
      <w:r w:rsidR="004E603D" w:rsidRPr="0002056A">
        <w:rPr>
          <w:rFonts w:ascii="Georgia" w:hAnsi="Georgia" w:cs="GrotesqueMTStd"/>
          <w:lang w:val="en-GB"/>
          <w14:ligatures w14:val="standardContextual"/>
        </w:rPr>
        <w:t xml:space="preserve">The World Meteorological Organisation (WMO) and the United Nations Environment Programme (UNEP) jointly founded the </w:t>
      </w:r>
      <w:r w:rsidR="005E6077" w:rsidRPr="0002056A">
        <w:rPr>
          <w:rFonts w:ascii="Georgia" w:hAnsi="Georgia" w:cs="GrotesqueMTStd"/>
          <w:lang w:val="en-GB"/>
          <w14:ligatures w14:val="standardContextual"/>
        </w:rPr>
        <w:t xml:space="preserve">creation of the International Panel on Climate Change (IPCC) </w:t>
      </w:r>
      <w:r w:rsidR="004E603D" w:rsidRPr="0002056A">
        <w:rPr>
          <w:rFonts w:ascii="Georgia" w:hAnsi="Georgia" w:cs="GrotesqueMTStd"/>
          <w:lang w:val="en-GB"/>
          <w14:ligatures w14:val="standardContextual"/>
        </w:rPr>
        <w:t xml:space="preserve">in 1988. </w:t>
      </w:r>
      <w:r w:rsidR="00302DC6" w:rsidRPr="0002056A">
        <w:rPr>
          <w:rFonts w:ascii="Georgia" w:hAnsi="Georgia" w:cs="GrotesqueMTStd"/>
          <w:lang w:val="en-GB"/>
          <w14:ligatures w14:val="standardContextual"/>
        </w:rPr>
        <w:t xml:space="preserve">The Panel’s </w:t>
      </w:r>
      <w:r w:rsidR="004E603D" w:rsidRPr="0002056A">
        <w:rPr>
          <w:rFonts w:ascii="Georgia" w:hAnsi="Georgia" w:cs="GrotesqueMTStd"/>
          <w:lang w:val="en-GB"/>
          <w14:ligatures w14:val="standardContextual"/>
        </w:rPr>
        <w:t>work is shared among three Working Groups. One of these, WG 2</w:t>
      </w:r>
      <w:r w:rsidR="00BA603D">
        <w:rPr>
          <w:rFonts w:ascii="Georgia" w:hAnsi="Georgia" w:cs="GrotesqueMTStd"/>
          <w:lang w:val="en-GB"/>
          <w14:ligatures w14:val="standardContextual"/>
        </w:rPr>
        <w:t>,</w:t>
      </w:r>
      <w:r w:rsidR="004E603D" w:rsidRPr="0002056A">
        <w:rPr>
          <w:rFonts w:ascii="Georgia" w:hAnsi="Georgia" w:cs="GrotesqueMTStd"/>
          <w:lang w:val="en-GB"/>
          <w14:ligatures w14:val="standardContextual"/>
        </w:rPr>
        <w:t xml:space="preserve"> focuses on impacts, adaptation and vulnerability to climate change.</w:t>
      </w:r>
    </w:p>
    <w:p w14:paraId="5BAC43B7" w14:textId="2F0465B0" w:rsidR="00F56293" w:rsidRPr="0002056A" w:rsidRDefault="004E603D" w:rsidP="00CD5BF3">
      <w:pPr>
        <w:spacing w:before="120" w:after="120"/>
        <w:jc w:val="both"/>
        <w:rPr>
          <w:rFonts w:ascii="Georgia" w:hAnsi="Georgia" w:cs="Calibri"/>
          <w:color w:val="000000"/>
          <w:lang w:val="en-GB"/>
          <w14:ligatures w14:val="standardContextual"/>
        </w:rPr>
      </w:pPr>
      <w:r w:rsidRPr="0002056A">
        <w:rPr>
          <w:rFonts w:ascii="Georgia" w:hAnsi="Georgia"/>
          <w:lang w:val="en-GB"/>
        </w:rPr>
        <w:t>Since its establishment</w:t>
      </w:r>
      <w:r w:rsidR="00302DC6" w:rsidRPr="0002056A">
        <w:rPr>
          <w:rFonts w:ascii="Georgia" w:hAnsi="Georgia"/>
          <w:lang w:val="en-GB"/>
        </w:rPr>
        <w:t xml:space="preserve"> at</w:t>
      </w:r>
      <w:r w:rsidRPr="0002056A">
        <w:rPr>
          <w:rFonts w:ascii="Georgia" w:hAnsi="Georgia"/>
          <w:lang w:val="en-GB"/>
        </w:rPr>
        <w:t xml:space="preserve"> the 1992 Rio Conference</w:t>
      </w:r>
      <w:r w:rsidR="00BA603D">
        <w:rPr>
          <w:rFonts w:ascii="Georgia" w:hAnsi="Georgia"/>
          <w:lang w:val="en-GB"/>
        </w:rPr>
        <w:t>,</w:t>
      </w:r>
      <w:r w:rsidRPr="0002056A">
        <w:rPr>
          <w:rFonts w:ascii="Georgia" w:hAnsi="Georgia"/>
          <w:lang w:val="en-GB"/>
        </w:rPr>
        <w:t xml:space="preserve"> the </w:t>
      </w:r>
      <w:r w:rsidR="00302DC6" w:rsidRPr="0002056A">
        <w:rPr>
          <w:rFonts w:ascii="Georgia" w:hAnsi="Georgia"/>
          <w:lang w:val="en-GB"/>
        </w:rPr>
        <w:t>United Nations Framework</w:t>
      </w:r>
      <w:r w:rsidR="00D0273E" w:rsidRPr="0002056A">
        <w:rPr>
          <w:rFonts w:ascii="Georgia" w:hAnsi="Georgia"/>
          <w:lang w:val="en-GB"/>
        </w:rPr>
        <w:t xml:space="preserve"> Convention on</w:t>
      </w:r>
      <w:r w:rsidR="00302DC6" w:rsidRPr="0002056A">
        <w:rPr>
          <w:rFonts w:ascii="Georgia" w:hAnsi="Georgia"/>
          <w:lang w:val="en-GB"/>
        </w:rPr>
        <w:t xml:space="preserve"> Climate Change (</w:t>
      </w:r>
      <w:r w:rsidRPr="0002056A">
        <w:rPr>
          <w:rFonts w:ascii="Georgia" w:hAnsi="Georgia"/>
          <w:lang w:val="en-GB"/>
        </w:rPr>
        <w:t>UNFCCC</w:t>
      </w:r>
      <w:r w:rsidR="00302DC6" w:rsidRPr="0002056A">
        <w:rPr>
          <w:rFonts w:ascii="Georgia" w:hAnsi="Georgia"/>
          <w:lang w:val="en-GB"/>
        </w:rPr>
        <w:t>)</w:t>
      </w:r>
      <w:r w:rsidRPr="0002056A">
        <w:rPr>
          <w:rFonts w:ascii="Georgia" w:hAnsi="Georgia"/>
          <w:lang w:val="en-GB"/>
        </w:rPr>
        <w:t xml:space="preserve"> has been the main international </w:t>
      </w:r>
      <w:r w:rsidR="00BA603D">
        <w:rPr>
          <w:rFonts w:ascii="Georgia" w:hAnsi="Georgia"/>
          <w:lang w:val="en-GB"/>
        </w:rPr>
        <w:t>platform for climate policy cooperation, with the objective of preventing dangerous anthropogenic interference with</w:t>
      </w:r>
      <w:r w:rsidRPr="0002056A">
        <w:rPr>
          <w:rFonts w:ascii="Georgia" w:hAnsi="Georgia"/>
          <w:lang w:val="en-GB"/>
        </w:rPr>
        <w:t xml:space="preserve"> the global climate system</w:t>
      </w:r>
      <w:r w:rsidR="00307963" w:rsidRPr="0002056A">
        <w:rPr>
          <w:rStyle w:val="Lbjegyzet-hivatkozs"/>
          <w:rFonts w:ascii="Georgia" w:hAnsi="Georgia"/>
          <w:lang w:val="en-GB"/>
        </w:rPr>
        <w:footnoteReference w:id="5"/>
      </w:r>
      <w:r w:rsidRPr="0002056A">
        <w:rPr>
          <w:rFonts w:ascii="Georgia" w:hAnsi="Georgia"/>
          <w:lang w:val="en-GB"/>
        </w:rPr>
        <w:t xml:space="preserve">. </w:t>
      </w:r>
      <w:r w:rsidR="00F356BD" w:rsidRPr="0002056A">
        <w:rPr>
          <w:rFonts w:ascii="Georgia" w:hAnsi="Georgia" w:cs="GrotesqueMTStd"/>
          <w:lang w:val="en-GB"/>
          <w14:ligatures w14:val="standardContextual"/>
        </w:rPr>
        <w:t>A</w:t>
      </w:r>
      <w:r w:rsidRPr="0002056A">
        <w:rPr>
          <w:rFonts w:ascii="Georgia" w:hAnsi="Georgia" w:cs="GrotesqueMTStd"/>
          <w:lang w:val="en-GB"/>
          <w14:ligatures w14:val="standardContextual"/>
        </w:rPr>
        <w:t>daptation is referred to specifically in Article 4(1) (e) which provides that all Parties shall “</w:t>
      </w:r>
      <w:r w:rsidRPr="0002056A">
        <w:rPr>
          <w:rFonts w:ascii="Georgia" w:hAnsi="Georgia" w:cs="GrotesqueMTStd"/>
          <w:i/>
          <w:iCs/>
          <w:lang w:val="en-GB"/>
          <w14:ligatures w14:val="standardContextual"/>
        </w:rPr>
        <w:t>cooperate in preparing for adaptation to the impacts of climate change; develop and elaborate appropriate and integrated plans for coastal zone management, water resources and agriculture, and for the protection and rehabilitation of areas, particularly in Africa, affected by drought and desertification, as well as floods</w:t>
      </w:r>
      <w:r w:rsidRPr="0002056A">
        <w:rPr>
          <w:rFonts w:ascii="Georgia" w:hAnsi="Georgia" w:cs="GrotesqueMTStd"/>
          <w:lang w:val="en-GB"/>
          <w14:ligatures w14:val="standardContextual"/>
        </w:rPr>
        <w:t>”</w:t>
      </w:r>
      <w:r w:rsidRPr="0002056A">
        <w:rPr>
          <w:rFonts w:ascii="Georgia" w:hAnsi="Georgia"/>
          <w:lang w:val="en-GB"/>
        </w:rPr>
        <w:t xml:space="preserve">. </w:t>
      </w:r>
      <w:r w:rsidRPr="0002056A">
        <w:rPr>
          <w:rFonts w:ascii="Georgia" w:hAnsi="Georgia" w:cs="Calibri"/>
          <w:lang w:val="en-GB"/>
          <w14:ligatures w14:val="standardContextual"/>
        </w:rPr>
        <w:t>All in all, the</w:t>
      </w:r>
      <w:r w:rsidRPr="0002056A">
        <w:rPr>
          <w:rFonts w:ascii="Georgia" w:hAnsi="Georgia"/>
          <w:lang w:val="en-GB"/>
        </w:rPr>
        <w:t xml:space="preserve"> concept of global climate governance was formally recognised in 1992</w:t>
      </w:r>
      <w:r w:rsidR="00C71793" w:rsidRPr="0002056A">
        <w:rPr>
          <w:rFonts w:ascii="Georgia" w:hAnsi="Georgia"/>
          <w:lang w:val="en-GB"/>
        </w:rPr>
        <w:t xml:space="preserve"> – but mainly with </w:t>
      </w:r>
      <w:r w:rsidR="00BA603D">
        <w:rPr>
          <w:rFonts w:ascii="Georgia" w:hAnsi="Georgia"/>
          <w:lang w:val="en-GB"/>
        </w:rPr>
        <w:t>an emphasis on mitigation</w:t>
      </w:r>
      <w:r w:rsidRPr="0002056A">
        <w:rPr>
          <w:rFonts w:ascii="Georgia" w:hAnsi="Georgia"/>
          <w:lang w:val="en-GB"/>
        </w:rPr>
        <w:t>.</w:t>
      </w:r>
      <w:r w:rsidR="00481336" w:rsidRPr="0002056A">
        <w:rPr>
          <w:rFonts w:ascii="Georgia" w:hAnsi="Georgia"/>
          <w:lang w:val="en-GB"/>
        </w:rPr>
        <w:t xml:space="preserve"> </w:t>
      </w:r>
      <w:r w:rsidR="00363702" w:rsidRPr="0002056A">
        <w:rPr>
          <w:rFonts w:ascii="Georgia" w:hAnsi="Georgia" w:cs="STIX-Regular"/>
          <w:lang w:val="en-GB"/>
        </w:rPr>
        <w:t>Although the norm</w:t>
      </w:r>
      <w:r w:rsidR="00363702" w:rsidRPr="0002056A">
        <w:rPr>
          <w:rStyle w:val="Lbjegyzet-hivatkozs"/>
          <w:rFonts w:ascii="Georgia" w:hAnsi="Georgia" w:cs="STIX-Regular"/>
          <w:lang w:val="en-GB"/>
        </w:rPr>
        <w:footnoteReference w:id="6"/>
      </w:r>
      <w:r w:rsidR="00363702" w:rsidRPr="0002056A">
        <w:rPr>
          <w:rFonts w:ascii="Georgia" w:hAnsi="Georgia" w:cs="STIX-Regular"/>
          <w:lang w:val="en-GB"/>
        </w:rPr>
        <w:t xml:space="preserve"> about climate policy planning has existed since 1992</w:t>
      </w:r>
      <w:r w:rsidR="006B44E2">
        <w:rPr>
          <w:rFonts w:ascii="Georgia" w:hAnsi="Georgia" w:cs="STIX-Regular"/>
          <w:lang w:val="en-GB"/>
        </w:rPr>
        <w:t xml:space="preserve">, it has </w:t>
      </w:r>
      <w:r w:rsidR="00363702" w:rsidRPr="0002056A">
        <w:rPr>
          <w:rFonts w:ascii="Georgia" w:hAnsi="Georgia" w:cs="STIX-Regular"/>
          <w:lang w:val="en-GB"/>
        </w:rPr>
        <w:t>concentrated exclusively on national-level mitigation planning.</w:t>
      </w:r>
    </w:p>
    <w:p w14:paraId="5DDA1EF1" w14:textId="6B7FF947" w:rsidR="00363702" w:rsidRPr="0002056A" w:rsidRDefault="00481336" w:rsidP="00CD5BF3">
      <w:pPr>
        <w:spacing w:before="120" w:after="120"/>
        <w:jc w:val="both"/>
        <w:rPr>
          <w:rFonts w:ascii="Georgia" w:hAnsi="Georgia" w:cs="STIX-Regular"/>
          <w:lang w:val="en-GB"/>
        </w:rPr>
      </w:pPr>
      <w:r w:rsidRPr="0002056A">
        <w:rPr>
          <w:rFonts w:ascii="Georgia" w:hAnsi="Georgia"/>
          <w:lang w:val="en-GB"/>
        </w:rPr>
        <w:t>Nevertheless, only t</w:t>
      </w:r>
      <w:r w:rsidR="004E603D" w:rsidRPr="0002056A">
        <w:rPr>
          <w:rFonts w:ascii="Georgia" w:hAnsi="Georgia"/>
          <w:lang w:val="en-GB"/>
        </w:rPr>
        <w:t xml:space="preserve">he 2001 </w:t>
      </w:r>
      <w:r w:rsidR="004E603D" w:rsidRPr="0002056A">
        <w:rPr>
          <w:rFonts w:ascii="Georgia" w:hAnsi="Georgia"/>
          <w:b/>
          <w:bCs/>
          <w:lang w:val="en-GB"/>
        </w:rPr>
        <w:t>Marrakech Accords</w:t>
      </w:r>
      <w:r w:rsidR="004E603D" w:rsidRPr="0002056A">
        <w:rPr>
          <w:rFonts w:ascii="Georgia" w:hAnsi="Georgia"/>
          <w:lang w:val="en-GB"/>
        </w:rPr>
        <w:t xml:space="preserve"> was the first </w:t>
      </w:r>
      <w:r w:rsidR="009649ED" w:rsidRPr="0002056A">
        <w:rPr>
          <w:rFonts w:ascii="Georgia" w:hAnsi="Georgia"/>
          <w:lang w:val="en-GB"/>
        </w:rPr>
        <w:t>Conference of Parties (</w:t>
      </w:r>
      <w:r w:rsidR="004E603D" w:rsidRPr="0002056A">
        <w:rPr>
          <w:rFonts w:ascii="Georgia" w:hAnsi="Georgia"/>
          <w:lang w:val="en-GB"/>
        </w:rPr>
        <w:t>COP</w:t>
      </w:r>
      <w:r w:rsidR="009649ED" w:rsidRPr="0002056A">
        <w:rPr>
          <w:rFonts w:ascii="Georgia" w:hAnsi="Georgia"/>
          <w:lang w:val="en-GB"/>
        </w:rPr>
        <w:t xml:space="preserve">) </w:t>
      </w:r>
      <w:r w:rsidR="004E603D" w:rsidRPr="0002056A">
        <w:rPr>
          <w:rFonts w:ascii="Georgia" w:hAnsi="Georgia"/>
          <w:lang w:val="en-GB"/>
        </w:rPr>
        <w:t xml:space="preserve">to the UNFCCC that </w:t>
      </w:r>
      <w:r w:rsidR="004E603D" w:rsidRPr="0002056A">
        <w:rPr>
          <w:rFonts w:ascii="Georgia" w:hAnsi="Georgia"/>
          <w:b/>
          <w:bCs/>
          <w:lang w:val="en-GB"/>
        </w:rPr>
        <w:t>recogni</w:t>
      </w:r>
      <w:r w:rsidR="006B44E2">
        <w:rPr>
          <w:rFonts w:ascii="Georgia" w:hAnsi="Georgia"/>
          <w:b/>
          <w:bCs/>
          <w:lang w:val="en-GB"/>
        </w:rPr>
        <w:t>s</w:t>
      </w:r>
      <w:r w:rsidR="004E603D" w:rsidRPr="0002056A">
        <w:rPr>
          <w:rFonts w:ascii="Georgia" w:hAnsi="Georgia"/>
          <w:b/>
          <w:bCs/>
          <w:lang w:val="en-GB"/>
        </w:rPr>
        <w:t>ed adaptation as a possible element of climate policy</w:t>
      </w:r>
      <w:r w:rsidR="004E603D" w:rsidRPr="0002056A">
        <w:rPr>
          <w:rFonts w:ascii="Georgia" w:hAnsi="Georgia"/>
          <w:vertAlign w:val="superscript"/>
          <w:lang w:val="en-GB"/>
        </w:rPr>
        <w:footnoteReference w:id="7"/>
      </w:r>
      <w:r w:rsidR="004E603D" w:rsidRPr="0002056A">
        <w:rPr>
          <w:rFonts w:ascii="Georgia" w:hAnsi="Georgia"/>
          <w:lang w:val="en-GB"/>
        </w:rPr>
        <w:t xml:space="preserve">. </w:t>
      </w:r>
      <w:r w:rsidR="00A20DB8" w:rsidRPr="0002056A">
        <w:rPr>
          <w:rFonts w:ascii="Georgia" w:hAnsi="Georgia" w:cs="STIX-Regular"/>
          <w:lang w:val="en-GB"/>
        </w:rPr>
        <w:t xml:space="preserve">The </w:t>
      </w:r>
      <w:r w:rsidR="00A20DB8" w:rsidRPr="0002056A">
        <w:rPr>
          <w:rFonts w:ascii="Georgia" w:hAnsi="Georgia" w:cs="STIX-Regular"/>
          <w:b/>
          <w:bCs/>
          <w:lang w:val="en-GB"/>
        </w:rPr>
        <w:t xml:space="preserve">first sign of </w:t>
      </w:r>
      <w:r w:rsidR="006B44E2">
        <w:rPr>
          <w:rFonts w:ascii="Georgia" w:hAnsi="Georgia" w:cs="STIX-Regular"/>
          <w:b/>
          <w:bCs/>
          <w:lang w:val="en-GB"/>
        </w:rPr>
        <w:t xml:space="preserve">institutionalisation of adaptation planning </w:t>
      </w:r>
      <w:r w:rsidR="006B44E2" w:rsidRPr="00E5639E">
        <w:rPr>
          <w:rFonts w:ascii="Georgia" w:hAnsi="Georgia" w:cs="STIX-Regular"/>
          <w:lang w:val="en-GB"/>
        </w:rPr>
        <w:t xml:space="preserve">and </w:t>
      </w:r>
      <w:r w:rsidR="006B44E2">
        <w:rPr>
          <w:rFonts w:ascii="Georgia" w:hAnsi="Georgia" w:cs="STIX-Regular"/>
          <w:b/>
          <w:bCs/>
          <w:lang w:val="en-GB"/>
        </w:rPr>
        <w:t xml:space="preserve">development of adaptation regimes </w:t>
      </w:r>
      <w:r w:rsidR="006B44E2" w:rsidRPr="00E5639E">
        <w:rPr>
          <w:rFonts w:ascii="Georgia" w:hAnsi="Georgia" w:cs="STIX-Regular"/>
          <w:lang w:val="en-GB"/>
        </w:rPr>
        <w:t xml:space="preserve">at the national scale was the introduction of National Adaptation Programmes for Action (NAPAs) in 2001, a vehicle by which </w:t>
      </w:r>
      <w:r w:rsidR="005F2B59">
        <w:rPr>
          <w:rFonts w:ascii="Georgia" w:hAnsi="Georgia" w:cs="STIX-Regular"/>
          <w:lang w:val="en-GB"/>
        </w:rPr>
        <w:t xml:space="preserve">the </w:t>
      </w:r>
      <w:r w:rsidR="006B44E2" w:rsidRPr="00E5639E">
        <w:rPr>
          <w:rFonts w:ascii="Georgia" w:hAnsi="Georgia" w:cs="STIX-Regular"/>
          <w:lang w:val="en-GB"/>
        </w:rPr>
        <w:t>Least Developed Countries received financial support in the framework of a work programme to prioritise</w:t>
      </w:r>
      <w:r w:rsidR="00A20DB8" w:rsidRPr="0002056A">
        <w:rPr>
          <w:rFonts w:ascii="Georgia" w:hAnsi="Georgia" w:cs="STIX-Regular"/>
          <w:lang w:val="en-GB"/>
        </w:rPr>
        <w:t xml:space="preserve"> adaptation options</w:t>
      </w:r>
      <w:r w:rsidR="0046019C" w:rsidRPr="0002056A">
        <w:rPr>
          <w:rFonts w:ascii="Georgia" w:hAnsi="Georgia" w:cs="STIX-Regular"/>
          <w:lang w:val="en-GB"/>
        </w:rPr>
        <w:t xml:space="preserve"> to</w:t>
      </w:r>
      <w:r w:rsidR="00A20DB8" w:rsidRPr="0002056A">
        <w:rPr>
          <w:rFonts w:ascii="Georgia" w:eastAsia="AGaramondPro-Regular" w:hAnsi="Georgia" w:cs="AGaramondPro-Regular"/>
          <w:lang w:val="en-GB"/>
          <w14:ligatures w14:val="standardContextual"/>
        </w:rPr>
        <w:t xml:space="preserve"> climate change. N</w:t>
      </w:r>
      <w:r w:rsidR="00A20DB8" w:rsidRPr="0002056A">
        <w:rPr>
          <w:rFonts w:ascii="Georgia" w:hAnsi="Georgia" w:cs="STIX-Regular"/>
          <w:lang w:val="en-GB"/>
        </w:rPr>
        <w:t>APAs were succeeded by NAPs in 2010</w:t>
      </w:r>
      <w:r w:rsidR="0046019C" w:rsidRPr="0002056A">
        <w:rPr>
          <w:rFonts w:ascii="Georgia" w:hAnsi="Georgia" w:cs="STIX-Regular"/>
          <w:lang w:val="en-GB"/>
        </w:rPr>
        <w:t xml:space="preserve">, again </w:t>
      </w:r>
      <w:r w:rsidR="00A20DB8" w:rsidRPr="0002056A">
        <w:rPr>
          <w:rFonts w:ascii="Georgia" w:hAnsi="Georgia" w:cs="STIX-Regular"/>
          <w:lang w:val="en-GB"/>
        </w:rPr>
        <w:t xml:space="preserve">as a vehicle for all </w:t>
      </w:r>
      <w:r w:rsidR="00A20DB8" w:rsidRPr="0002056A">
        <w:rPr>
          <w:rFonts w:ascii="Georgia" w:hAnsi="Georgia" w:cs="STIX-Regular"/>
          <w:lang w:val="en-GB"/>
        </w:rPr>
        <w:lastRenderedPageBreak/>
        <w:t xml:space="preserve">developing countries to plan adaptation </w:t>
      </w:r>
      <w:r w:rsidR="004F385D" w:rsidRPr="0002056A">
        <w:rPr>
          <w:rFonts w:ascii="Georgia" w:hAnsi="Georgia" w:cs="STIX-Regular"/>
          <w:lang w:val="en-GB"/>
        </w:rPr>
        <w:t xml:space="preserve">interventions </w:t>
      </w:r>
      <w:r w:rsidR="00A20DB8" w:rsidRPr="0002056A">
        <w:rPr>
          <w:rFonts w:ascii="Georgia" w:hAnsi="Georgia" w:cs="STIX-Regular"/>
          <w:lang w:val="en-GB"/>
        </w:rPr>
        <w:t xml:space="preserve">and receive financial support for </w:t>
      </w:r>
      <w:r w:rsidR="00C71793" w:rsidRPr="0002056A">
        <w:rPr>
          <w:rFonts w:ascii="Georgia" w:hAnsi="Georgia" w:cs="STIX-Regular"/>
          <w:lang w:val="en-GB"/>
        </w:rPr>
        <w:t>these</w:t>
      </w:r>
      <w:r w:rsidR="00A20DB8" w:rsidRPr="0002056A">
        <w:rPr>
          <w:rFonts w:ascii="Georgia" w:hAnsi="Georgia" w:cs="STIX-Regular"/>
          <w:lang w:val="en-GB"/>
        </w:rPr>
        <w:t xml:space="preserve"> (</w:t>
      </w:r>
      <w:r w:rsidR="00A20DB8" w:rsidRPr="0002056A">
        <w:rPr>
          <w:rFonts w:ascii="Georgia" w:hAnsi="Georgia" w:cs="STIX-Regular"/>
          <w:smallCaps/>
          <w:lang w:val="en-GB"/>
        </w:rPr>
        <w:t>Benzie&amp;Persson, 2019</w:t>
      </w:r>
      <w:r w:rsidR="00A20DB8" w:rsidRPr="0002056A">
        <w:rPr>
          <w:rFonts w:ascii="Georgia" w:hAnsi="Georgia" w:cs="STIX-Regular"/>
          <w:lang w:val="en-GB"/>
        </w:rPr>
        <w:t xml:space="preserve">). </w:t>
      </w:r>
    </w:p>
    <w:p w14:paraId="767607B1" w14:textId="297CD8DA" w:rsidR="004909DF" w:rsidRPr="0002056A" w:rsidRDefault="00A20DB8" w:rsidP="00CD5BF3">
      <w:pPr>
        <w:spacing w:before="120" w:after="120"/>
        <w:jc w:val="both"/>
        <w:rPr>
          <w:rFonts w:ascii="Georgia" w:hAnsi="Georgia" w:cs="Calibri"/>
          <w:lang w:val="en-GB"/>
        </w:rPr>
      </w:pPr>
      <w:r w:rsidRPr="0002056A">
        <w:rPr>
          <w:rFonts w:ascii="Georgia" w:hAnsi="Georgia" w:cs="STIX-Regular"/>
          <w:lang w:val="en-GB"/>
        </w:rPr>
        <w:t>Later</w:t>
      </w:r>
      <w:r w:rsidR="006B44E2">
        <w:rPr>
          <w:rFonts w:ascii="Georgia" w:hAnsi="Georgia" w:cs="STIX-Regular"/>
          <w:lang w:val="en-GB"/>
        </w:rPr>
        <w:t>,</w:t>
      </w:r>
      <w:r w:rsidRPr="0002056A">
        <w:rPr>
          <w:rFonts w:ascii="Georgia" w:hAnsi="Georgia" w:cs="STIX-Regular"/>
          <w:lang w:val="en-GB"/>
        </w:rPr>
        <w:t xml:space="preserve"> this </w:t>
      </w:r>
      <w:r w:rsidR="00C71793" w:rsidRPr="0002056A">
        <w:rPr>
          <w:rFonts w:ascii="Georgia" w:hAnsi="Georgia" w:cs="STIX-Regular"/>
          <w:b/>
          <w:bCs/>
          <w:lang w:val="en-GB"/>
        </w:rPr>
        <w:t xml:space="preserve">planning </w:t>
      </w:r>
      <w:r w:rsidRPr="0002056A">
        <w:rPr>
          <w:rFonts w:ascii="Georgia" w:hAnsi="Georgia" w:cs="STIX-Regular"/>
          <w:b/>
          <w:bCs/>
          <w:lang w:val="en-GB"/>
        </w:rPr>
        <w:t>process reached the developed countries</w:t>
      </w:r>
      <w:r w:rsidRPr="0002056A">
        <w:rPr>
          <w:rFonts w:ascii="Georgia" w:hAnsi="Georgia" w:cs="STIX-Regular"/>
          <w:lang w:val="en-GB"/>
        </w:rPr>
        <w:t>, too.</w:t>
      </w:r>
      <w:r w:rsidR="00363702" w:rsidRPr="0002056A">
        <w:rPr>
          <w:rFonts w:ascii="Georgia" w:hAnsi="Georgia" w:cs="STIX-Regular"/>
          <w:lang w:val="en-GB"/>
        </w:rPr>
        <w:t xml:space="preserve"> </w:t>
      </w:r>
      <w:r w:rsidR="0040642A" w:rsidRPr="0002056A">
        <w:rPr>
          <w:rFonts w:ascii="Georgia" w:hAnsi="Georgia"/>
          <w:lang w:val="en-GB"/>
        </w:rPr>
        <w:t>From 2005 onwards, developed countries have begun writing and adopting comprehensive national climate policy strategies as long-term plans to reduce negative climate impacts (</w:t>
      </w:r>
      <w:r w:rsidR="0040642A" w:rsidRPr="0002056A">
        <w:rPr>
          <w:rFonts w:ascii="Georgia" w:hAnsi="Georgia" w:cstheme="minorHAnsi"/>
          <w:smallCaps/>
          <w:lang w:val="en-GB"/>
        </w:rPr>
        <w:t>Woodruff-Regan</w:t>
      </w:r>
      <w:r w:rsidR="0040642A" w:rsidRPr="0002056A">
        <w:rPr>
          <w:rFonts w:ascii="Georgia" w:hAnsi="Georgia"/>
          <w:lang w:val="en-GB"/>
        </w:rPr>
        <w:t xml:space="preserve">, 2018). International and national programmes to </w:t>
      </w:r>
      <w:r w:rsidR="0050675D" w:rsidRPr="0002056A">
        <w:rPr>
          <w:rFonts w:ascii="Georgia" w:hAnsi="Georgia"/>
          <w:lang w:val="en-GB"/>
        </w:rPr>
        <w:t xml:space="preserve">facilitate the </w:t>
      </w:r>
      <w:r w:rsidR="0040642A" w:rsidRPr="0002056A">
        <w:rPr>
          <w:rFonts w:ascii="Georgia" w:hAnsi="Georgia"/>
          <w:lang w:val="en-GB"/>
        </w:rPr>
        <w:t>develop</w:t>
      </w:r>
      <w:r w:rsidR="0050675D" w:rsidRPr="0002056A">
        <w:rPr>
          <w:rFonts w:ascii="Georgia" w:hAnsi="Georgia"/>
          <w:lang w:val="en-GB"/>
        </w:rPr>
        <w:t>ment of</w:t>
      </w:r>
      <w:r w:rsidR="0040642A" w:rsidRPr="0002056A">
        <w:rPr>
          <w:rFonts w:ascii="Georgia" w:hAnsi="Georgia"/>
          <w:lang w:val="en-GB"/>
        </w:rPr>
        <w:t xml:space="preserve"> local climate action plans and support decision-making appeared, though this first generation of local documents</w:t>
      </w:r>
      <w:r w:rsidR="00627EB9" w:rsidRPr="0002056A">
        <w:rPr>
          <w:rFonts w:ascii="Georgia" w:hAnsi="Georgia"/>
          <w:lang w:val="en-GB"/>
        </w:rPr>
        <w:t xml:space="preserve">, again, </w:t>
      </w:r>
      <w:r w:rsidR="0040642A" w:rsidRPr="0002056A">
        <w:rPr>
          <w:rFonts w:ascii="Georgia" w:hAnsi="Georgia"/>
          <w:lang w:val="en-GB"/>
        </w:rPr>
        <w:t>dealt rather with mitigation than adaptation (</w:t>
      </w:r>
      <w:r w:rsidR="0040642A" w:rsidRPr="0002056A">
        <w:rPr>
          <w:rFonts w:ascii="Georgia" w:hAnsi="Georgia" w:cstheme="minorHAnsi"/>
          <w:smallCaps/>
          <w:lang w:val="en-GB"/>
        </w:rPr>
        <w:t>Baker et al., 2012; Geneletti &amp; Zardo, 2016; Woodruff &amp; Regan, 2018</w:t>
      </w:r>
      <w:r w:rsidR="0040642A" w:rsidRPr="0002056A">
        <w:rPr>
          <w:rFonts w:ascii="Georgia" w:hAnsi="Georgia"/>
          <w:lang w:val="en-GB"/>
        </w:rPr>
        <w:t>)</w:t>
      </w:r>
      <w:r w:rsidR="00CF4CBD" w:rsidRPr="0002056A">
        <w:rPr>
          <w:rStyle w:val="Lbjegyzet-hivatkozs"/>
          <w:rFonts w:ascii="Georgia" w:eastAsia="AGaramondPro-Regular" w:hAnsi="Georgia" w:cs="AGaramondPro-Regular"/>
          <w:lang w:val="en-GB"/>
          <w14:ligatures w14:val="standardContextual"/>
        </w:rPr>
        <w:footnoteReference w:id="8"/>
      </w:r>
      <w:r w:rsidR="00CF4CBD" w:rsidRPr="0002056A">
        <w:rPr>
          <w:rFonts w:ascii="Georgia" w:eastAsia="AGaramondPro-Regular" w:hAnsi="Georgia" w:cs="AGaramondPro-Regular"/>
          <w:lang w:val="en-GB"/>
          <w14:ligatures w14:val="standardContextual"/>
        </w:rPr>
        <w:t>.</w:t>
      </w:r>
      <w:r w:rsidR="004E191D" w:rsidRPr="0002056A">
        <w:rPr>
          <w:rFonts w:ascii="Georgia" w:hAnsi="Georgia" w:cs="Calibri"/>
          <w:lang w:val="en-GB"/>
        </w:rPr>
        <w:t xml:space="preserve"> Meanwhile, a growing number of research projects</w:t>
      </w:r>
      <w:r w:rsidR="004E191D" w:rsidRPr="0002056A">
        <w:rPr>
          <w:rFonts w:ascii="Georgia" w:hAnsi="Georgia" w:cs="GrotesqueMTStd"/>
          <w:color w:val="000000"/>
          <w:lang w:val="en-GB"/>
          <w14:ligatures w14:val="standardContextual"/>
        </w:rPr>
        <w:t xml:space="preserve"> addressing the impacts and adaptive responses to climate change </w:t>
      </w:r>
      <w:r w:rsidR="006B44E2">
        <w:rPr>
          <w:rFonts w:ascii="Georgia" w:hAnsi="Georgia" w:cs="GrotesqueMTStd"/>
          <w:color w:val="000000"/>
          <w:lang w:val="en-GB"/>
          <w14:ligatures w14:val="standardContextual"/>
        </w:rPr>
        <w:t xml:space="preserve">have </w:t>
      </w:r>
      <w:r w:rsidR="004E191D" w:rsidRPr="0002056A">
        <w:rPr>
          <w:rFonts w:ascii="Georgia" w:hAnsi="Georgia" w:cs="GrotesqueMTStd"/>
          <w:color w:val="000000"/>
          <w:lang w:val="en-GB"/>
          <w14:ligatures w14:val="standardContextual"/>
        </w:rPr>
        <w:t xml:space="preserve">emerged internationally. </w:t>
      </w:r>
      <w:r w:rsidR="004E191D" w:rsidRPr="0002056A">
        <w:rPr>
          <w:rFonts w:ascii="Georgia" w:hAnsi="Georgia" w:cs="Calibri"/>
          <w:b/>
          <w:bCs/>
          <w:lang w:val="en-GB"/>
        </w:rPr>
        <w:t>Methodologies for adaptation</w:t>
      </w:r>
      <w:r w:rsidR="0050675D" w:rsidRPr="0002056A">
        <w:rPr>
          <w:rFonts w:ascii="Georgia" w:hAnsi="Georgia" w:cs="Calibri"/>
          <w:b/>
          <w:bCs/>
          <w:lang w:val="en-GB"/>
        </w:rPr>
        <w:t>-oriented</w:t>
      </w:r>
      <w:r w:rsidR="004E191D" w:rsidRPr="0002056A">
        <w:rPr>
          <w:rFonts w:ascii="Georgia" w:hAnsi="Georgia" w:cs="Calibri"/>
          <w:b/>
          <w:bCs/>
          <w:lang w:val="en-GB"/>
        </w:rPr>
        <w:t xml:space="preserve"> strategic planning have been developed</w:t>
      </w:r>
      <w:r w:rsidR="004E191D" w:rsidRPr="0002056A">
        <w:rPr>
          <w:rFonts w:ascii="Georgia" w:hAnsi="Georgia" w:cs="Calibri"/>
          <w:lang w:val="en-GB"/>
        </w:rPr>
        <w:t xml:space="preserve"> by countries (</w:t>
      </w:r>
      <w:r w:rsidR="00E8528C" w:rsidRPr="0002056A">
        <w:rPr>
          <w:rFonts w:ascii="Georgia" w:hAnsi="Georgia" w:cs="Calibri"/>
          <w:lang w:val="en-GB"/>
        </w:rPr>
        <w:t>e.g.</w:t>
      </w:r>
      <w:r w:rsidR="006B44E2">
        <w:rPr>
          <w:rFonts w:ascii="Georgia" w:hAnsi="Georgia" w:cs="Calibri"/>
          <w:lang w:val="en-GB"/>
        </w:rPr>
        <w:t>, the United Kingdom) and by United Nations-related agencies, including the IPCC (1995), UNEP (1998),</w:t>
      </w:r>
      <w:r w:rsidR="004E191D" w:rsidRPr="0002056A">
        <w:rPr>
          <w:rFonts w:ascii="Georgia" w:hAnsi="Georgia" w:cs="Calibri"/>
          <w:lang w:val="en-GB"/>
        </w:rPr>
        <w:t xml:space="preserve"> </w:t>
      </w:r>
      <w:r w:rsidR="00E8528C" w:rsidRPr="0002056A">
        <w:rPr>
          <w:rFonts w:ascii="Georgia" w:hAnsi="Georgia" w:cs="Calibri"/>
          <w:lang w:val="en-GB"/>
        </w:rPr>
        <w:t>and</w:t>
      </w:r>
      <w:r w:rsidR="004E191D" w:rsidRPr="0002056A">
        <w:rPr>
          <w:rFonts w:ascii="Georgia" w:hAnsi="Georgia" w:cs="Calibri"/>
          <w:lang w:val="en-GB"/>
        </w:rPr>
        <w:t xml:space="preserve"> UNDP (2005).</w:t>
      </w:r>
      <w:r w:rsidR="001B23EE" w:rsidRPr="0002056A">
        <w:rPr>
          <w:rFonts w:ascii="Georgia" w:hAnsi="Georgia" w:cs="Calibri"/>
          <w:lang w:val="en-GB"/>
        </w:rPr>
        <w:t xml:space="preserve"> </w:t>
      </w:r>
      <w:r w:rsidR="00D97F0F" w:rsidRPr="0002056A">
        <w:rPr>
          <w:rFonts w:ascii="Georgia" w:hAnsi="Georgia" w:cs="Calibri"/>
          <w:lang w:val="en-GB"/>
        </w:rPr>
        <w:t xml:space="preserve">Since 2004, the European Environment Agency (EEA) has </w:t>
      </w:r>
      <w:r w:rsidR="00D97F0F" w:rsidRPr="0002056A">
        <w:rPr>
          <w:rFonts w:ascii="Georgia" w:hAnsi="Georgia" w:cs="Calibri"/>
          <w:b/>
          <w:bCs/>
          <w:lang w:val="en-GB"/>
        </w:rPr>
        <w:t>regularly published reports</w:t>
      </w:r>
      <w:r w:rsidR="00D97F0F" w:rsidRPr="0002056A">
        <w:rPr>
          <w:rFonts w:ascii="Georgia" w:hAnsi="Georgia" w:cs="Calibri"/>
          <w:lang w:val="en-GB"/>
        </w:rPr>
        <w:t xml:space="preserve"> showing that climate change is already well underway in Europe. These reports conclude that adaptation strategies need to be put in place at European, national, regional and local levels. </w:t>
      </w:r>
      <w:r w:rsidR="001B23EE" w:rsidRPr="0002056A">
        <w:rPr>
          <w:rFonts w:ascii="Georgia" w:hAnsi="Georgia" w:cs="Calibri"/>
          <w:lang w:val="en-GB"/>
        </w:rPr>
        <w:t xml:space="preserve">At the time, </w:t>
      </w:r>
      <w:r w:rsidR="00D97F0F" w:rsidRPr="0002056A">
        <w:rPr>
          <w:rFonts w:ascii="Georgia" w:hAnsi="Georgia" w:cs="Calibri"/>
          <w:lang w:val="en-GB"/>
        </w:rPr>
        <w:t xml:space="preserve">OECD also urged </w:t>
      </w:r>
      <w:r w:rsidR="006B44E2">
        <w:rPr>
          <w:rFonts w:ascii="Georgia" w:hAnsi="Georgia" w:cs="Calibri"/>
          <w:lang w:val="en-GB"/>
        </w:rPr>
        <w:t>taking</w:t>
      </w:r>
      <w:r w:rsidR="00D97F0F" w:rsidRPr="0002056A">
        <w:rPr>
          <w:rFonts w:ascii="Georgia" w:hAnsi="Georgia" w:cs="Calibri"/>
          <w:lang w:val="en-GB"/>
        </w:rPr>
        <w:t xml:space="preserve"> stock of the current state of adaptation to climate change in developed countries. </w:t>
      </w:r>
    </w:p>
    <w:p w14:paraId="628D836F" w14:textId="3597E522" w:rsidR="00A20DB8" w:rsidRPr="0002056A" w:rsidRDefault="00001432" w:rsidP="00CD5BF3">
      <w:pPr>
        <w:spacing w:before="120" w:after="120"/>
        <w:jc w:val="both"/>
        <w:rPr>
          <w:rFonts w:ascii="Georgia" w:hAnsi="Georgia" w:cs="GrotesqueMTStd"/>
          <w:lang w:val="en-GB"/>
          <w14:ligatures w14:val="standardContextual"/>
        </w:rPr>
      </w:pPr>
      <w:r w:rsidRPr="0002056A">
        <w:rPr>
          <w:rFonts w:ascii="Georgia" w:hAnsi="Georgia" w:cs="Calibri"/>
          <w:lang w:val="en-GB"/>
        </w:rPr>
        <w:t xml:space="preserve">Targeting both developed and developing countries, in its communication </w:t>
      </w:r>
      <w:r w:rsidR="00FC6927" w:rsidRPr="0002056A">
        <w:rPr>
          <w:rFonts w:ascii="Georgia" w:hAnsi="Georgia" w:cs="Calibri"/>
          <w:lang w:val="en-GB"/>
        </w:rPr>
        <w:t>“</w:t>
      </w:r>
      <w:r w:rsidRPr="0002056A">
        <w:rPr>
          <w:rFonts w:ascii="Georgia" w:hAnsi="Georgia" w:cs="Calibri"/>
          <w:i/>
          <w:iCs/>
          <w:lang w:val="en-GB"/>
        </w:rPr>
        <w:t>COM (2005) 35 ‘Winning the battle against global climate change’ (February 2005)</w:t>
      </w:r>
      <w:r w:rsidR="00FC6927" w:rsidRPr="0002056A">
        <w:rPr>
          <w:rFonts w:ascii="Georgia" w:hAnsi="Georgia" w:cs="Calibri"/>
          <w:lang w:val="en-GB"/>
        </w:rPr>
        <w:t>”</w:t>
      </w:r>
      <w:r w:rsidRPr="0002056A">
        <w:rPr>
          <w:rFonts w:ascii="Georgia" w:hAnsi="Georgia" w:cs="Calibri"/>
          <w:lang w:val="en-GB"/>
        </w:rPr>
        <w:t xml:space="preserve">, </w:t>
      </w:r>
      <w:r w:rsidRPr="0002056A">
        <w:rPr>
          <w:rFonts w:ascii="Georgia" w:hAnsi="Georgia" w:cs="Calibri"/>
          <w:b/>
          <w:bCs/>
          <w:lang w:val="en-GB"/>
        </w:rPr>
        <w:t>the European Union</w:t>
      </w:r>
      <w:r w:rsidRPr="0002056A">
        <w:rPr>
          <w:rFonts w:ascii="Georgia" w:hAnsi="Georgia" w:cs="Calibri"/>
          <w:lang w:val="en-GB"/>
        </w:rPr>
        <w:t xml:space="preserve"> dedicated a chapter to adaptation and the need to invest in it; and explored the role of the E</w:t>
      </w:r>
      <w:r w:rsidR="00F71541" w:rsidRPr="0002056A">
        <w:rPr>
          <w:rFonts w:ascii="Georgia" w:hAnsi="Georgia" w:cs="Calibri"/>
          <w:lang w:val="en-GB"/>
        </w:rPr>
        <w:t>U in</w:t>
      </w:r>
      <w:r w:rsidRPr="0002056A">
        <w:rPr>
          <w:rFonts w:ascii="Georgia" w:hAnsi="Georgia" w:cs="Calibri"/>
          <w:lang w:val="en-GB"/>
        </w:rPr>
        <w:t xml:space="preserve"> reducing vulnerability and promoting adaptation. Even a </w:t>
      </w:r>
      <w:r w:rsidRPr="0002056A">
        <w:rPr>
          <w:rFonts w:ascii="Georgia" w:hAnsi="Georgia" w:cs="Calibri"/>
          <w:i/>
          <w:lang w:val="en-GB"/>
        </w:rPr>
        <w:t>„European Climate Change Programme - Working Group II - Impacts and Adaptation”</w:t>
      </w:r>
      <w:r w:rsidRPr="0002056A">
        <w:rPr>
          <w:rFonts w:ascii="Georgia" w:hAnsi="Georgia" w:cs="Calibri"/>
          <w:lang w:val="en-GB"/>
        </w:rPr>
        <w:t xml:space="preserve"> was established with the aim of producing a Green Paper by the end of 2006.</w:t>
      </w:r>
      <w:r w:rsidR="00CF4CBD" w:rsidRPr="0002056A">
        <w:rPr>
          <w:rFonts w:ascii="Georgia" w:hAnsi="Georgia" w:cs="Calibri"/>
          <w:lang w:val="en-GB"/>
        </w:rPr>
        <w:t xml:space="preserve"> </w:t>
      </w:r>
      <w:r w:rsidR="004E603D" w:rsidRPr="0002056A">
        <w:rPr>
          <w:rFonts w:ascii="Georgia" w:hAnsi="Georgia" w:cs="STIX-Regular"/>
          <w:lang w:val="en-GB"/>
        </w:rPr>
        <w:t xml:space="preserve">The European Commission encouraged the development of </w:t>
      </w:r>
      <w:r w:rsidR="006B44E2">
        <w:rPr>
          <w:rFonts w:ascii="Georgia" w:hAnsi="Georgia" w:cs="STIX-Regular"/>
          <w:lang w:val="en-GB"/>
        </w:rPr>
        <w:t>national-level</w:t>
      </w:r>
      <w:r w:rsidR="00CF4CBD" w:rsidRPr="0002056A">
        <w:rPr>
          <w:rFonts w:ascii="Georgia" w:hAnsi="Georgia" w:cs="STIX-Regular"/>
          <w:lang w:val="en-GB"/>
        </w:rPr>
        <w:t xml:space="preserve"> adaptation</w:t>
      </w:r>
      <w:r w:rsidR="004E603D" w:rsidRPr="0002056A">
        <w:rPr>
          <w:rFonts w:ascii="Georgia" w:hAnsi="Georgia" w:cs="STIX-Regular"/>
          <w:lang w:val="en-GB"/>
        </w:rPr>
        <w:t xml:space="preserve"> strategies by member states from 2009</w:t>
      </w:r>
      <w:r w:rsidR="00C9070B" w:rsidRPr="0002056A">
        <w:rPr>
          <w:rFonts w:ascii="Georgia" w:hAnsi="Georgia" w:cs="STIX-Regular"/>
          <w:lang w:val="en-GB"/>
        </w:rPr>
        <w:t>, too</w:t>
      </w:r>
      <w:r w:rsidR="004E603D" w:rsidRPr="0002056A">
        <w:rPr>
          <w:rFonts w:ascii="Georgia" w:hAnsi="Georgia" w:cs="STIX-Regular"/>
          <w:lang w:val="en-GB"/>
        </w:rPr>
        <w:t xml:space="preserve"> (</w:t>
      </w:r>
      <w:r w:rsidR="004E603D" w:rsidRPr="0002056A">
        <w:rPr>
          <w:rFonts w:ascii="Georgia" w:hAnsi="Georgia" w:cs="STIX-Regular"/>
          <w:smallCaps/>
          <w:lang w:val="en-GB"/>
        </w:rPr>
        <w:t>Benzie&amp;Persson, 2019</w:t>
      </w:r>
      <w:r w:rsidR="004E603D" w:rsidRPr="0002056A">
        <w:rPr>
          <w:rFonts w:ascii="Georgia" w:hAnsi="Georgia" w:cs="STIX-Regular"/>
          <w:lang w:val="en-GB"/>
        </w:rPr>
        <w:t>).</w:t>
      </w:r>
      <w:r w:rsidR="004E603D" w:rsidRPr="0002056A">
        <w:rPr>
          <w:rFonts w:ascii="Georgia" w:hAnsi="Georgia"/>
          <w:shd w:val="clear" w:color="auto" w:fill="F8F9FA"/>
          <w:lang w:val="en-GB"/>
        </w:rPr>
        <w:t xml:space="preserve"> </w:t>
      </w:r>
      <w:r w:rsidR="00A20DB8" w:rsidRPr="0002056A">
        <w:rPr>
          <w:rFonts w:ascii="Georgia" w:hAnsi="Georgia" w:cs="GrotesqueMTStd"/>
          <w:lang w:val="en-GB"/>
          <w14:ligatures w14:val="standardContextual"/>
        </w:rPr>
        <w:t xml:space="preserve">According to Swart et al (2009) </w:t>
      </w:r>
      <w:r w:rsidR="00A20DB8" w:rsidRPr="0002056A">
        <w:rPr>
          <w:rFonts w:ascii="Georgia" w:hAnsi="Georgia" w:cs="GrotesqueMTStd"/>
          <w:b/>
          <w:bCs/>
          <w:lang w:val="en-GB"/>
          <w14:ligatures w14:val="standardContextual"/>
        </w:rPr>
        <w:t xml:space="preserve">by 2005 the first bigger wave of European national adaptation strategies </w:t>
      </w:r>
      <w:r w:rsidR="00A20DB8" w:rsidRPr="0002056A">
        <w:rPr>
          <w:rFonts w:ascii="Georgia" w:hAnsi="Georgia" w:cs="GrotesqueMTStd"/>
          <w:lang w:val="en-GB"/>
          <w14:ligatures w14:val="standardContextual"/>
        </w:rPr>
        <w:t xml:space="preserve">had started to emerge, triggered by international climate negotiations, related EU policies, growing intensity and frequency of weather extremities and damages, growing available pools of </w:t>
      </w:r>
      <w:r w:rsidR="00216AD0" w:rsidRPr="0002056A">
        <w:rPr>
          <w:rFonts w:ascii="Georgia" w:hAnsi="Georgia" w:cs="GrotesqueMTStd"/>
          <w:lang w:val="en-GB"/>
          <w14:ligatures w14:val="standardContextual"/>
        </w:rPr>
        <w:t>adaptation</w:t>
      </w:r>
      <w:r w:rsidR="00A20DB8" w:rsidRPr="0002056A">
        <w:rPr>
          <w:rFonts w:ascii="Georgia" w:hAnsi="Georgia" w:cs="GrotesqueMTStd"/>
          <w:lang w:val="en-GB"/>
          <w14:ligatures w14:val="standardContextual"/>
        </w:rPr>
        <w:t xml:space="preserve"> actors and related research</w:t>
      </w:r>
      <w:r w:rsidR="004C6E9B" w:rsidRPr="0002056A">
        <w:rPr>
          <w:rFonts w:ascii="Georgia" w:hAnsi="Georgia" w:cs="GrotesqueMTStd"/>
          <w:lang w:val="en-GB"/>
          <w14:ligatures w14:val="standardContextual"/>
        </w:rPr>
        <w:t xml:space="preserve"> project</w:t>
      </w:r>
      <w:r w:rsidR="00A20DB8" w:rsidRPr="0002056A">
        <w:rPr>
          <w:rFonts w:ascii="Georgia" w:hAnsi="Georgia" w:cs="GrotesqueMTStd"/>
          <w:lang w:val="en-GB"/>
          <w14:ligatures w14:val="standardContextual"/>
        </w:rPr>
        <w:t>s, knowledge and political will (</w:t>
      </w:r>
      <w:r w:rsidR="00A20DB8" w:rsidRPr="0002056A">
        <w:rPr>
          <w:rFonts w:ascii="Georgia" w:hAnsi="Georgia" w:cs="GrotesqueMTStd"/>
          <w:smallCaps/>
          <w:lang w:val="en-GB"/>
          <w14:ligatures w14:val="standardContextual"/>
        </w:rPr>
        <w:t>Swart et al, 2009</w:t>
      </w:r>
      <w:r w:rsidR="00A20DB8" w:rsidRPr="0002056A">
        <w:rPr>
          <w:rFonts w:ascii="Georgia" w:hAnsi="Georgia" w:cs="GrotesqueMTStd"/>
          <w:lang w:val="en-GB"/>
          <w14:ligatures w14:val="standardContextual"/>
        </w:rPr>
        <w:t xml:space="preserve">). </w:t>
      </w:r>
    </w:p>
    <w:p w14:paraId="7F8BEE06" w14:textId="0FD16E6B" w:rsidR="004E603D" w:rsidRPr="0002056A" w:rsidRDefault="004E603D" w:rsidP="00CD5BF3">
      <w:pPr>
        <w:spacing w:before="120" w:after="120"/>
        <w:jc w:val="both"/>
        <w:rPr>
          <w:rFonts w:ascii="Georgia" w:eastAsia="AGaramondPro-Regular" w:hAnsi="Georgia" w:cs="AGaramondPro-Regular"/>
          <w:color w:val="262626"/>
          <w:lang w:val="en-GB"/>
          <w14:ligatures w14:val="standardContextual"/>
        </w:rPr>
      </w:pPr>
      <w:r w:rsidRPr="0002056A">
        <w:rPr>
          <w:rFonts w:ascii="Georgia" w:hAnsi="Georgia" w:cs="Calibri"/>
          <w:lang w:val="en-GB"/>
        </w:rPr>
        <w:t xml:space="preserve">In 2007, after a wide-ranging consultation throughout the </w:t>
      </w:r>
      <w:r w:rsidRPr="0002056A">
        <w:rPr>
          <w:rFonts w:ascii="Georgia" w:hAnsi="Georgia" w:cs="Calibri"/>
          <w:b/>
          <w:bCs/>
          <w:lang w:val="en-GB"/>
        </w:rPr>
        <w:t>EU</w:t>
      </w:r>
      <w:r w:rsidR="006B44E2">
        <w:rPr>
          <w:rFonts w:ascii="Georgia" w:hAnsi="Georgia" w:cs="Calibri"/>
          <w:lang w:val="en-GB"/>
        </w:rPr>
        <w:t>, a Green Paper, “</w:t>
      </w:r>
      <w:r w:rsidR="006B44E2" w:rsidRPr="00E5639E">
        <w:rPr>
          <w:rFonts w:ascii="Georgia" w:hAnsi="Georgia" w:cs="Calibri"/>
          <w:i/>
          <w:iCs/>
          <w:lang w:val="en-GB"/>
        </w:rPr>
        <w:t>Adapting to climate change in Europe – options for EU action</w:t>
      </w:r>
      <w:r w:rsidR="006B44E2">
        <w:rPr>
          <w:rFonts w:ascii="Georgia" w:hAnsi="Georgia" w:cs="Calibri"/>
          <w:lang w:val="en-GB"/>
        </w:rPr>
        <w:t>,</w:t>
      </w:r>
      <w:r w:rsidRPr="0002056A">
        <w:rPr>
          <w:rFonts w:ascii="Georgia" w:hAnsi="Georgia" w:cs="Calibri"/>
          <w:lang w:val="en-GB"/>
        </w:rPr>
        <w:t xml:space="preserve">” was published. Following this, in April 2009 the Commission published the </w:t>
      </w:r>
      <w:r w:rsidR="004C6E9B" w:rsidRPr="0002056A">
        <w:rPr>
          <w:rFonts w:ascii="Georgia" w:hAnsi="Georgia" w:cs="Calibri"/>
          <w:b/>
          <w:bCs/>
          <w:lang w:val="en-GB"/>
        </w:rPr>
        <w:t>W</w:t>
      </w:r>
      <w:r w:rsidRPr="0002056A">
        <w:rPr>
          <w:rFonts w:ascii="Georgia" w:hAnsi="Georgia" w:cs="Calibri"/>
          <w:b/>
          <w:bCs/>
          <w:lang w:val="en-GB"/>
        </w:rPr>
        <w:t xml:space="preserve">hite </w:t>
      </w:r>
      <w:r w:rsidR="004C6E9B" w:rsidRPr="0002056A">
        <w:rPr>
          <w:rFonts w:ascii="Georgia" w:hAnsi="Georgia" w:cs="Calibri"/>
          <w:b/>
          <w:bCs/>
          <w:lang w:val="en-GB"/>
        </w:rPr>
        <w:t>P</w:t>
      </w:r>
      <w:r w:rsidRPr="0002056A">
        <w:rPr>
          <w:rFonts w:ascii="Georgia" w:hAnsi="Georgia" w:cs="Calibri"/>
          <w:b/>
          <w:bCs/>
          <w:lang w:val="en-GB"/>
        </w:rPr>
        <w:t>aper</w:t>
      </w:r>
      <w:r w:rsidRPr="0002056A">
        <w:rPr>
          <w:rFonts w:ascii="Georgia" w:hAnsi="Georgia" w:cs="Calibri"/>
          <w:lang w:val="en-GB"/>
        </w:rPr>
        <w:t xml:space="preserve"> “</w:t>
      </w:r>
      <w:r w:rsidRPr="0002056A">
        <w:rPr>
          <w:rFonts w:ascii="Georgia" w:hAnsi="Georgia" w:cs="Calibri"/>
          <w:i/>
          <w:iCs/>
          <w:lang w:val="en-GB"/>
        </w:rPr>
        <w:t>Adapting to climate change: Towards a European framework for action</w:t>
      </w:r>
      <w:r w:rsidRPr="0002056A">
        <w:rPr>
          <w:rFonts w:ascii="Georgia" w:hAnsi="Georgia" w:cs="Calibri"/>
          <w:lang w:val="en-GB"/>
        </w:rPr>
        <w:t>” which encourage</w:t>
      </w:r>
      <w:r w:rsidR="00CA6A02" w:rsidRPr="0002056A">
        <w:rPr>
          <w:rFonts w:ascii="Georgia" w:hAnsi="Georgia" w:cs="Calibri"/>
          <w:lang w:val="en-GB"/>
        </w:rPr>
        <w:t>d</w:t>
      </w:r>
      <w:r w:rsidRPr="0002056A">
        <w:rPr>
          <w:rFonts w:ascii="Georgia" w:hAnsi="Georgia" w:cs="Calibri"/>
          <w:lang w:val="en-GB"/>
        </w:rPr>
        <w:t xml:space="preserve"> the further development of </w:t>
      </w:r>
      <w:r w:rsidR="00CA6A02" w:rsidRPr="0002056A">
        <w:rPr>
          <w:rFonts w:ascii="Georgia" w:hAnsi="Georgia" w:cs="Calibri"/>
          <w:lang w:val="en-GB"/>
        </w:rPr>
        <w:t>n</w:t>
      </w:r>
      <w:r w:rsidRPr="0002056A">
        <w:rPr>
          <w:rFonts w:ascii="Georgia" w:hAnsi="Georgia" w:cs="Calibri"/>
          <w:lang w:val="en-GB"/>
        </w:rPr>
        <w:t xml:space="preserve">ational and </w:t>
      </w:r>
      <w:r w:rsidR="00CA6A02" w:rsidRPr="0002056A">
        <w:rPr>
          <w:rFonts w:ascii="Georgia" w:hAnsi="Georgia" w:cs="Calibri"/>
          <w:lang w:val="en-GB"/>
        </w:rPr>
        <w:t>r</w:t>
      </w:r>
      <w:r w:rsidRPr="0002056A">
        <w:rPr>
          <w:rFonts w:ascii="Georgia" w:hAnsi="Georgia" w:cs="Calibri"/>
          <w:lang w:val="en-GB"/>
        </w:rPr>
        <w:t xml:space="preserve">egional </w:t>
      </w:r>
      <w:r w:rsidR="004C6E9B" w:rsidRPr="0002056A">
        <w:rPr>
          <w:rFonts w:ascii="Georgia" w:hAnsi="Georgia" w:cs="Calibri"/>
          <w:lang w:val="en-GB"/>
        </w:rPr>
        <w:t>a</w:t>
      </w:r>
      <w:r w:rsidRPr="0002056A">
        <w:rPr>
          <w:rFonts w:ascii="Georgia" w:hAnsi="Georgia" w:cs="Calibri"/>
          <w:lang w:val="en-GB"/>
        </w:rPr>
        <w:t xml:space="preserve">daptation </w:t>
      </w:r>
      <w:r w:rsidR="004C6E9B" w:rsidRPr="0002056A">
        <w:rPr>
          <w:rFonts w:ascii="Georgia" w:hAnsi="Georgia" w:cs="Calibri"/>
          <w:lang w:val="en-GB"/>
        </w:rPr>
        <w:t>s</w:t>
      </w:r>
      <w:r w:rsidRPr="0002056A">
        <w:rPr>
          <w:rFonts w:ascii="Georgia" w:hAnsi="Georgia" w:cs="Calibri"/>
          <w:lang w:val="en-GB"/>
        </w:rPr>
        <w:t>trategies with a view to considering mandatory adaptation</w:t>
      </w:r>
      <w:r w:rsidRPr="0002056A">
        <w:rPr>
          <w:rFonts w:ascii="Georgia" w:eastAsia="AGaramondPro-Regular" w:hAnsi="Georgia" w:cs="AGaramondPro-Italic"/>
          <w:lang w:val="en-GB"/>
          <w14:ligatures w14:val="standardContextual"/>
        </w:rPr>
        <w:t xml:space="preserve"> strategies from 2012</w:t>
      </w:r>
      <w:r w:rsidRPr="0002056A">
        <w:rPr>
          <w:rFonts w:ascii="Georgia" w:eastAsia="AGaramondPro-Regular" w:hAnsi="Georgia" w:cs="AGaramondPro-Regular"/>
          <w:lang w:val="en-GB"/>
          <w14:ligatures w14:val="standardContextual"/>
        </w:rPr>
        <w:t xml:space="preserve">. </w:t>
      </w:r>
      <w:r w:rsidRPr="0002056A">
        <w:rPr>
          <w:rFonts w:ascii="Georgia" w:hAnsi="Georgia" w:cs="GrotesqueMTStd"/>
          <w:lang w:val="en-GB"/>
          <w14:ligatures w14:val="standardContextual"/>
        </w:rPr>
        <w:t xml:space="preserve">The White Paper </w:t>
      </w:r>
      <w:r w:rsidR="0044640B" w:rsidRPr="0002056A">
        <w:rPr>
          <w:rFonts w:ascii="Georgia" w:hAnsi="Georgia" w:cs="GrotesqueMTStd"/>
          <w:lang w:val="en-GB"/>
          <w14:ligatures w14:val="standardContextual"/>
        </w:rPr>
        <w:t>showed some spatial awareness</w:t>
      </w:r>
      <w:r w:rsidR="006B44E2">
        <w:rPr>
          <w:rFonts w:ascii="Georgia" w:hAnsi="Georgia" w:cs="GrotesqueMTStd"/>
          <w:lang w:val="en-GB"/>
          <w14:ligatures w14:val="standardContextual"/>
        </w:rPr>
        <w:t>,</w:t>
      </w:r>
      <w:r w:rsidR="0044640B" w:rsidRPr="0002056A">
        <w:rPr>
          <w:rFonts w:ascii="Georgia" w:hAnsi="Georgia" w:cs="GrotesqueMTStd"/>
          <w:lang w:val="en-GB"/>
          <w14:ligatures w14:val="standardContextual"/>
        </w:rPr>
        <w:t xml:space="preserve"> mentioning particularly c</w:t>
      </w:r>
      <w:r w:rsidRPr="0002056A">
        <w:rPr>
          <w:rFonts w:ascii="Georgia" w:hAnsi="Georgia" w:cs="GrotesqueMTStd"/>
          <w:lang w:val="en-GB"/>
          <w14:ligatures w14:val="standardContextual"/>
        </w:rPr>
        <w:t>oastal zones, river flood</w:t>
      </w:r>
      <w:r w:rsidR="004C6E9B" w:rsidRPr="0002056A">
        <w:rPr>
          <w:rFonts w:ascii="Georgia" w:hAnsi="Georgia" w:cs="GrotesqueMTStd"/>
          <w:lang w:val="en-GB"/>
          <w14:ligatures w14:val="standardContextual"/>
        </w:rPr>
        <w:t>-</w:t>
      </w:r>
      <w:r w:rsidRPr="0002056A">
        <w:rPr>
          <w:rFonts w:ascii="Georgia" w:hAnsi="Georgia" w:cs="GrotesqueMTStd"/>
          <w:lang w:val="en-GB"/>
          <w14:ligatures w14:val="standardContextual"/>
        </w:rPr>
        <w:t xml:space="preserve">prone areas, cities and urban areas (among others) to be particularly vulnerable to climatic changes. The document </w:t>
      </w:r>
      <w:r w:rsidRPr="0002056A">
        <w:rPr>
          <w:rFonts w:ascii="Georgia" w:hAnsi="Georgia"/>
          <w:lang w:val="en-GB"/>
        </w:rPr>
        <w:t>explicitly relates to spatial planning and territorial development</w:t>
      </w:r>
      <w:r w:rsidRPr="0002056A">
        <w:rPr>
          <w:rStyle w:val="Lbjegyzet-hivatkozs"/>
          <w:rFonts w:ascii="Georgia" w:hAnsi="Georgia"/>
          <w:lang w:val="en-GB"/>
        </w:rPr>
        <w:footnoteReference w:id="9"/>
      </w:r>
      <w:r w:rsidRPr="0002056A">
        <w:rPr>
          <w:rFonts w:ascii="Georgia" w:hAnsi="Georgia"/>
          <w:lang w:val="en-GB"/>
        </w:rPr>
        <w:t xml:space="preserve"> (</w:t>
      </w:r>
      <w:r w:rsidRPr="0002056A">
        <w:rPr>
          <w:rFonts w:ascii="Georgia" w:hAnsi="Georgia" w:cstheme="minorHAnsi"/>
          <w:smallCaps/>
          <w:lang w:val="en-GB"/>
        </w:rPr>
        <w:t>European Commission, 2009</w:t>
      </w:r>
      <w:r w:rsidRPr="0002056A">
        <w:rPr>
          <w:rFonts w:ascii="Georgia" w:hAnsi="Georgia"/>
          <w:lang w:val="en-GB"/>
        </w:rPr>
        <w:t>).</w:t>
      </w:r>
    </w:p>
    <w:p w14:paraId="5C450675" w14:textId="59901EAD" w:rsidR="004E603D" w:rsidRPr="0002056A" w:rsidRDefault="004E603D" w:rsidP="00CD5BF3">
      <w:pPr>
        <w:spacing w:before="120" w:after="120"/>
        <w:jc w:val="both"/>
        <w:rPr>
          <w:rFonts w:ascii="Georgia" w:hAnsi="Georgia" w:cs="BookAntiqua"/>
          <w:lang w:val="en-GB"/>
          <w14:ligatures w14:val="standardContextual"/>
        </w:rPr>
      </w:pPr>
      <w:r w:rsidRPr="0002056A">
        <w:rPr>
          <w:rFonts w:ascii="Georgia" w:hAnsi="Georgia"/>
          <w:b/>
          <w:bCs/>
          <w:lang w:val="en-GB"/>
        </w:rPr>
        <w:t xml:space="preserve">Adaptation’ recognition, as an essential response to climate change </w:t>
      </w:r>
      <w:r w:rsidR="0044640B" w:rsidRPr="0002056A">
        <w:rPr>
          <w:rFonts w:ascii="Georgia" w:hAnsi="Georgia"/>
          <w:b/>
          <w:bCs/>
          <w:lang w:val="en-GB"/>
        </w:rPr>
        <w:t>complementary to mitigation</w:t>
      </w:r>
      <w:r w:rsidR="000C6EBB">
        <w:rPr>
          <w:rFonts w:ascii="Georgia" w:hAnsi="Georgia"/>
          <w:b/>
          <w:bCs/>
          <w:lang w:val="en-GB"/>
        </w:rPr>
        <w:t>,</w:t>
      </w:r>
      <w:r w:rsidR="0044640B" w:rsidRPr="0002056A">
        <w:rPr>
          <w:rFonts w:ascii="Georgia" w:hAnsi="Georgia"/>
          <w:b/>
          <w:bCs/>
          <w:lang w:val="en-GB"/>
        </w:rPr>
        <w:t xml:space="preserve"> </w:t>
      </w:r>
      <w:r w:rsidRPr="0002056A">
        <w:rPr>
          <w:rFonts w:ascii="Georgia" w:hAnsi="Georgia"/>
          <w:b/>
          <w:bCs/>
          <w:lang w:val="en-GB"/>
        </w:rPr>
        <w:t>only emerged at the beginning of the 2010s</w:t>
      </w:r>
      <w:r w:rsidRPr="0002056A">
        <w:rPr>
          <w:rFonts w:ascii="Georgia" w:hAnsi="Georgia"/>
          <w:lang w:val="en-GB"/>
        </w:rPr>
        <w:t xml:space="preserve"> and </w:t>
      </w:r>
      <w:r w:rsidRPr="0002056A">
        <w:rPr>
          <w:rFonts w:ascii="Georgia" w:hAnsi="Georgia"/>
          <w:lang w:val="en-GB"/>
        </w:rPr>
        <w:lastRenderedPageBreak/>
        <w:t xml:space="preserve">since then it has significantly increased its weight </w:t>
      </w:r>
      <w:r w:rsidR="00DF0C07" w:rsidRPr="0002056A">
        <w:rPr>
          <w:rFonts w:ascii="Georgia" w:hAnsi="Georgia"/>
          <w:lang w:val="en-GB"/>
        </w:rPr>
        <w:t xml:space="preserve">both in developing and </w:t>
      </w:r>
      <w:r w:rsidRPr="0002056A">
        <w:rPr>
          <w:rFonts w:ascii="Georgia" w:hAnsi="Georgia"/>
          <w:lang w:val="en-GB"/>
        </w:rPr>
        <w:t>developed countries</w:t>
      </w:r>
      <w:r w:rsidR="00DF0C07" w:rsidRPr="0002056A">
        <w:rPr>
          <w:rStyle w:val="Lbjegyzet-hivatkozs"/>
          <w:rFonts w:ascii="Georgia" w:hAnsi="Georgia" w:cs="BookAntiqua-Bold"/>
          <w:lang w:val="en-GB"/>
          <w14:ligatures w14:val="standardContextual"/>
        </w:rPr>
        <w:footnoteReference w:id="10"/>
      </w:r>
      <w:r w:rsidRPr="0002056A">
        <w:rPr>
          <w:rFonts w:ascii="Georgia" w:hAnsi="Georgia"/>
          <w:lang w:val="en-GB"/>
        </w:rPr>
        <w:t xml:space="preserve"> (</w:t>
      </w:r>
      <w:r w:rsidR="009F2250" w:rsidRPr="0002056A">
        <w:rPr>
          <w:rFonts w:ascii="Georgia" w:hAnsi="Georgia"/>
          <w:smallCaps/>
          <w:lang w:val="en-GB"/>
        </w:rPr>
        <w:t xml:space="preserve">Velazquez, 2012; </w:t>
      </w:r>
      <w:r w:rsidRPr="0002056A">
        <w:rPr>
          <w:rFonts w:ascii="Georgia" w:hAnsi="Georgia" w:cstheme="minorHAnsi"/>
          <w:smallCaps/>
          <w:lang w:val="en-GB"/>
        </w:rPr>
        <w:t>Baker et al., 2012; Pringle et al., 2017</w:t>
      </w:r>
      <w:r w:rsidRPr="0002056A">
        <w:rPr>
          <w:rFonts w:ascii="Georgia" w:hAnsi="Georgia"/>
          <w:lang w:val="en-GB"/>
        </w:rPr>
        <w:t xml:space="preserve">). </w:t>
      </w:r>
      <w:r w:rsidRPr="0002056A">
        <w:rPr>
          <w:rFonts w:ascii="Georgia" w:hAnsi="Georgia"/>
          <w:b/>
          <w:bCs/>
          <w:lang w:val="en-GB"/>
        </w:rPr>
        <w:t>Many EU countries developed and implemented national adaptation strategies</w:t>
      </w:r>
      <w:r w:rsidRPr="0002056A">
        <w:rPr>
          <w:rFonts w:ascii="Georgia" w:hAnsi="Georgia"/>
          <w:lang w:val="en-GB"/>
        </w:rPr>
        <w:t xml:space="preserve"> to cope with expected climate impacts (</w:t>
      </w:r>
      <w:r w:rsidRPr="0002056A">
        <w:rPr>
          <w:rFonts w:ascii="Georgia" w:hAnsi="Georgia" w:cstheme="minorHAnsi"/>
          <w:smallCaps/>
          <w:lang w:val="en-GB"/>
        </w:rPr>
        <w:t>Swart et al</w:t>
      </w:r>
      <w:r w:rsidRPr="0002056A">
        <w:rPr>
          <w:rFonts w:ascii="Georgia" w:hAnsi="Georgia"/>
          <w:lang w:val="en-GB"/>
        </w:rPr>
        <w:t>., 2009)</w:t>
      </w:r>
      <w:r w:rsidRPr="0002056A">
        <w:rPr>
          <w:rFonts w:ascii="Georgia" w:hAnsi="Georgia" w:cs="BookAntiqua"/>
          <w:lang w:val="en-GB"/>
          <w14:ligatures w14:val="standardContextual"/>
        </w:rPr>
        <w:t>.</w:t>
      </w:r>
      <w:r w:rsidR="009F2250" w:rsidRPr="0002056A">
        <w:rPr>
          <w:rFonts w:ascii="Georgia" w:hAnsi="Georgia" w:cs="BookAntiqua"/>
          <w:lang w:val="en-GB"/>
          <w14:ligatures w14:val="standardContextual"/>
        </w:rPr>
        <w:t xml:space="preserve"> T</w:t>
      </w:r>
      <w:r w:rsidRPr="0002056A">
        <w:rPr>
          <w:rFonts w:ascii="Georgia" w:hAnsi="Georgia" w:cs="BookAntiqua"/>
          <w:lang w:val="en-GB"/>
          <w14:ligatures w14:val="standardContextual"/>
        </w:rPr>
        <w:t>he today well-known differentiation between mitigation and adaptation started to emerge. i.e. mitigation as an international response to a global challenge vs adaptation that seeks locally tailored answers for regionally/locally specific impacts.</w:t>
      </w:r>
    </w:p>
    <w:p w14:paraId="0E98ECC9" w14:textId="7085B591" w:rsidR="00774D3F" w:rsidRPr="0002056A" w:rsidRDefault="004E603D" w:rsidP="00CD5BF3">
      <w:pPr>
        <w:spacing w:before="120" w:after="120"/>
        <w:jc w:val="both"/>
        <w:rPr>
          <w:rFonts w:ascii="Georgia" w:hAnsi="Georgia" w:cs="STIX-Regular"/>
          <w:lang w:val="en-GB"/>
        </w:rPr>
      </w:pPr>
      <w:r w:rsidRPr="0002056A">
        <w:rPr>
          <w:rFonts w:ascii="Georgia" w:eastAsia="AGaramondPro-Regular" w:hAnsi="Georgia" w:cs="AGaramondPro-Regular"/>
          <w:lang w:val="en-GB"/>
          <w14:ligatures w14:val="standardContextual"/>
        </w:rPr>
        <w:t xml:space="preserve">In April </w:t>
      </w:r>
      <w:r w:rsidRPr="0002056A">
        <w:rPr>
          <w:rFonts w:ascii="Georgia" w:eastAsia="AGaramondPro-Regular" w:hAnsi="Georgia" w:cs="AGaramondPro-Regular"/>
          <w:b/>
          <w:bCs/>
          <w:lang w:val="en-GB"/>
          <w14:ligatures w14:val="standardContextual"/>
        </w:rPr>
        <w:t>2013</w:t>
      </w:r>
      <w:r w:rsidRPr="0002056A">
        <w:rPr>
          <w:rFonts w:ascii="Georgia" w:eastAsia="AGaramondPro-Regular" w:hAnsi="Georgia" w:cs="AGaramondPro-Regular"/>
          <w:lang w:val="en-GB"/>
          <w14:ligatures w14:val="standardContextual"/>
        </w:rPr>
        <w:t xml:space="preserve">, the European Commission adopted the </w:t>
      </w:r>
      <w:r w:rsidRPr="0002056A">
        <w:rPr>
          <w:rFonts w:ascii="Georgia" w:eastAsia="AGaramondPro-Regular" w:hAnsi="Georgia" w:cs="AGaramondPro-Regular"/>
          <w:b/>
          <w:bCs/>
          <w:lang w:val="en-GB"/>
          <w14:ligatures w14:val="standardContextual"/>
        </w:rPr>
        <w:t xml:space="preserve">EU </w:t>
      </w:r>
      <w:r w:rsidR="00B33A0E" w:rsidRPr="0002056A">
        <w:rPr>
          <w:rFonts w:ascii="Georgia" w:eastAsia="AGaramondPro-Regular" w:hAnsi="Georgia" w:cs="AGaramondPro-Regular"/>
          <w:b/>
          <w:bCs/>
          <w:lang w:val="en-GB"/>
          <w14:ligatures w14:val="standardContextual"/>
        </w:rPr>
        <w:t>S</w:t>
      </w:r>
      <w:r w:rsidRPr="0002056A">
        <w:rPr>
          <w:rFonts w:ascii="Georgia" w:eastAsia="AGaramondPro-Regular" w:hAnsi="Georgia" w:cs="AGaramondPro-Regular"/>
          <w:b/>
          <w:bCs/>
          <w:lang w:val="en-GB"/>
          <w14:ligatures w14:val="standardContextual"/>
        </w:rPr>
        <w:t xml:space="preserve">trategy on </w:t>
      </w:r>
      <w:r w:rsidR="00B33A0E" w:rsidRPr="0002056A">
        <w:rPr>
          <w:rFonts w:ascii="Georgia" w:eastAsia="AGaramondPro-Regular" w:hAnsi="Georgia" w:cs="AGaramondPro-Regular"/>
          <w:b/>
          <w:bCs/>
          <w:lang w:val="en-GB"/>
          <w14:ligatures w14:val="standardContextual"/>
        </w:rPr>
        <w:t>A</w:t>
      </w:r>
      <w:r w:rsidRPr="0002056A">
        <w:rPr>
          <w:rFonts w:ascii="Georgia" w:eastAsia="AGaramondPro-Regular" w:hAnsi="Georgia" w:cs="AGaramondPro-Regular"/>
          <w:b/>
          <w:bCs/>
          <w:lang w:val="en-GB"/>
          <w14:ligatures w14:val="standardContextual"/>
        </w:rPr>
        <w:t xml:space="preserve">daptation to </w:t>
      </w:r>
      <w:r w:rsidR="00B33A0E" w:rsidRPr="0002056A">
        <w:rPr>
          <w:rFonts w:ascii="Georgia" w:eastAsia="AGaramondPro-Regular" w:hAnsi="Georgia" w:cs="AGaramondPro-Regular"/>
          <w:b/>
          <w:bCs/>
          <w:lang w:val="en-GB"/>
          <w14:ligatures w14:val="standardContextual"/>
        </w:rPr>
        <w:t>C</w:t>
      </w:r>
      <w:r w:rsidRPr="0002056A">
        <w:rPr>
          <w:rFonts w:ascii="Georgia" w:eastAsia="AGaramondPro-Regular" w:hAnsi="Georgia" w:cs="AGaramondPro-Regular"/>
          <w:b/>
          <w:bCs/>
          <w:lang w:val="en-GB"/>
          <w14:ligatures w14:val="standardContextual"/>
        </w:rPr>
        <w:t xml:space="preserve">limate </w:t>
      </w:r>
      <w:r w:rsidR="00B33A0E" w:rsidRPr="0002056A">
        <w:rPr>
          <w:rFonts w:ascii="Georgia" w:eastAsia="AGaramondPro-Regular" w:hAnsi="Georgia" w:cs="AGaramondPro-Regular"/>
          <w:b/>
          <w:bCs/>
          <w:lang w:val="en-GB"/>
          <w14:ligatures w14:val="standardContextual"/>
        </w:rPr>
        <w:t>C</w:t>
      </w:r>
      <w:r w:rsidRPr="0002056A">
        <w:rPr>
          <w:rFonts w:ascii="Georgia" w:eastAsia="AGaramondPro-Regular" w:hAnsi="Georgia" w:cs="AGaramondPro-Regular"/>
          <w:b/>
          <w:bCs/>
          <w:lang w:val="en-GB"/>
          <w14:ligatures w14:val="standardContextual"/>
        </w:rPr>
        <w:t>hange</w:t>
      </w:r>
      <w:r w:rsidRPr="0002056A">
        <w:rPr>
          <w:rFonts w:ascii="Georgia" w:eastAsia="AGaramondPro-Regular" w:hAnsi="Georgia" w:cs="AGaramondPro-Regular"/>
          <w:lang w:val="en-GB"/>
          <w14:ligatures w14:val="standardContextual"/>
        </w:rPr>
        <w:t xml:space="preserve">, </w:t>
      </w:r>
      <w:r w:rsidRPr="0002056A">
        <w:rPr>
          <w:rFonts w:ascii="Georgia" w:hAnsi="Georgia"/>
          <w:lang w:val="en-GB"/>
        </w:rPr>
        <w:t xml:space="preserve">aimed at making Europe more resilient </w:t>
      </w:r>
      <w:r w:rsidR="00B33A0E" w:rsidRPr="0002056A">
        <w:rPr>
          <w:rFonts w:ascii="Georgia" w:hAnsi="Georgia"/>
          <w:lang w:val="en-GB"/>
        </w:rPr>
        <w:t>and</w:t>
      </w:r>
      <w:r w:rsidRPr="0002056A">
        <w:rPr>
          <w:rFonts w:ascii="Georgia" w:hAnsi="Georgia"/>
          <w:lang w:val="en-GB"/>
        </w:rPr>
        <w:t xml:space="preserve"> </w:t>
      </w:r>
      <w:r w:rsidRPr="0002056A">
        <w:rPr>
          <w:rFonts w:ascii="Georgia" w:eastAsia="AGaramondPro-Regular" w:hAnsi="Georgia" w:cs="AGaramondPro-Regular"/>
          <w:lang w:val="en-GB"/>
          <w14:ligatures w14:val="standardContextual"/>
        </w:rPr>
        <w:t xml:space="preserve">setting out </w:t>
      </w:r>
      <w:r w:rsidR="00F729E5" w:rsidRPr="0002056A">
        <w:rPr>
          <w:rFonts w:ascii="Georgia" w:eastAsia="AGaramondPro-Regular" w:hAnsi="Georgia" w:cs="AGaramondPro-Regular"/>
          <w:lang w:val="en-GB"/>
          <w14:ligatures w14:val="standardContextual"/>
        </w:rPr>
        <w:t xml:space="preserve">a </w:t>
      </w:r>
      <w:r w:rsidRPr="0002056A">
        <w:rPr>
          <w:rFonts w:ascii="Georgia" w:eastAsia="AGaramondPro-Regular" w:hAnsi="Georgia" w:cs="AGaramondPro-Regular"/>
          <w:lang w:val="en-GB"/>
          <w14:ligatures w14:val="standardContextual"/>
        </w:rPr>
        <w:t>framework and mechanisms for elevating the EU’s preparedness. In th</w:t>
      </w:r>
      <w:r w:rsidR="00F729E5" w:rsidRPr="0002056A">
        <w:rPr>
          <w:rFonts w:ascii="Georgia" w:eastAsia="AGaramondPro-Regular" w:hAnsi="Georgia" w:cs="AGaramondPro-Regular"/>
          <w:lang w:val="en-GB"/>
          <w14:ligatures w14:val="standardContextual"/>
        </w:rPr>
        <w:t xml:space="preserve">e Strategy </w:t>
      </w:r>
      <w:r w:rsidRPr="0002056A">
        <w:rPr>
          <w:rFonts w:ascii="Georgia" w:eastAsia="AGaramondPro-Regular" w:hAnsi="Georgia" w:cs="AGaramondPro-Regular"/>
          <w:lang w:val="en-GB"/>
          <w14:ligatures w14:val="standardContextual"/>
        </w:rPr>
        <w:t xml:space="preserve">member states are urged to elaborate national </w:t>
      </w:r>
      <w:r w:rsidR="00F729E5" w:rsidRPr="0002056A">
        <w:rPr>
          <w:rFonts w:ascii="Georgia" w:eastAsia="AGaramondPro-Regular" w:hAnsi="Georgia" w:cs="AGaramondPro-Regular"/>
          <w:lang w:val="en-GB"/>
          <w14:ligatures w14:val="standardContextual"/>
        </w:rPr>
        <w:t xml:space="preserve">and lower (regional, municipal) </w:t>
      </w:r>
      <w:r w:rsidRPr="0002056A">
        <w:rPr>
          <w:rFonts w:ascii="Georgia" w:eastAsia="AGaramondPro-Regular" w:hAnsi="Georgia" w:cs="AGaramondPro-Regular"/>
          <w:lang w:val="en-GB"/>
          <w14:ligatures w14:val="standardContextual"/>
        </w:rPr>
        <w:t>level adaptation strategies</w:t>
      </w:r>
      <w:r w:rsidRPr="0002056A">
        <w:rPr>
          <w:rStyle w:val="Lbjegyzet-hivatkozs"/>
          <w:rFonts w:ascii="Georgia" w:hAnsi="Georgia"/>
          <w:lang w:val="en-GB"/>
        </w:rPr>
        <w:footnoteReference w:id="11"/>
      </w:r>
      <w:r w:rsidRPr="0002056A">
        <w:rPr>
          <w:rFonts w:ascii="Georgia" w:hAnsi="Georgia"/>
          <w:lang w:val="en-GB"/>
        </w:rPr>
        <w:t>. Also</w:t>
      </w:r>
      <w:r w:rsidR="00883A3A" w:rsidRPr="0002056A">
        <w:rPr>
          <w:rFonts w:ascii="Georgia" w:hAnsi="Georgia"/>
          <w:lang w:val="en-GB"/>
        </w:rPr>
        <w:t>,</w:t>
      </w:r>
      <w:r w:rsidRPr="0002056A">
        <w:rPr>
          <w:rFonts w:ascii="Georgia" w:hAnsi="Georgia"/>
          <w:lang w:val="en-GB"/>
        </w:rPr>
        <w:t xml:space="preserve"> </w:t>
      </w:r>
      <w:r w:rsidR="00AD4A67" w:rsidRPr="0002056A">
        <w:rPr>
          <w:rFonts w:ascii="Georgia" w:hAnsi="Georgia"/>
          <w:lang w:val="en-GB"/>
        </w:rPr>
        <w:t xml:space="preserve">at the </w:t>
      </w:r>
      <w:r w:rsidR="00AD4A67" w:rsidRPr="00407355">
        <w:rPr>
          <w:rFonts w:ascii="Georgia" w:hAnsi="Georgia"/>
          <w:lang w:val="en-GB"/>
        </w:rPr>
        <w:t xml:space="preserve">time </w:t>
      </w:r>
      <w:r w:rsidR="00966052" w:rsidRPr="00407355">
        <w:rPr>
          <w:rFonts w:ascii="Georgia" w:hAnsi="Georgia"/>
          <w:lang w:val="en-GB"/>
        </w:rPr>
        <w:t xml:space="preserve">the </w:t>
      </w:r>
      <w:r w:rsidRPr="00407355">
        <w:rPr>
          <w:rFonts w:ascii="Georgia" w:eastAsia="AGaramondPro-Regular" w:hAnsi="Georgia" w:cs="AGaramondPro-Semibold"/>
          <w:lang w:val="en-GB"/>
          <w14:ligatures w14:val="standardContextual"/>
        </w:rPr>
        <w:t>525/2013</w:t>
      </w:r>
      <w:r w:rsidR="00966052" w:rsidRPr="00407355">
        <w:rPr>
          <w:rFonts w:ascii="Georgia" w:eastAsia="AGaramondPro-Regular" w:hAnsi="Georgia" w:cs="AGaramondPro-Semibold"/>
          <w:lang w:val="en-GB"/>
          <w14:ligatures w14:val="standardContextual"/>
        </w:rPr>
        <w:t xml:space="preserve"> </w:t>
      </w:r>
      <w:r w:rsidRPr="00407355">
        <w:rPr>
          <w:rFonts w:ascii="Georgia" w:eastAsia="AGaramondPro-Regular" w:hAnsi="Georgia" w:cs="AGaramondPro-Semibold"/>
          <w:lang w:val="en-GB"/>
          <w14:ligatures w14:val="standardContextual"/>
        </w:rPr>
        <w:t>EU regulation s</w:t>
      </w:r>
      <w:r w:rsidR="00966052" w:rsidRPr="00407355">
        <w:rPr>
          <w:rFonts w:ascii="Georgia" w:eastAsia="AGaramondPro-Regular" w:hAnsi="Georgia" w:cs="AGaramondPro-Semibold"/>
          <w:lang w:val="en-GB"/>
          <w14:ligatures w14:val="standardContextual"/>
        </w:rPr>
        <w:t>ign</w:t>
      </w:r>
      <w:r w:rsidR="00407355" w:rsidRPr="00E5639E">
        <w:rPr>
          <w:rFonts w:ascii="Georgia" w:eastAsia="AGaramondPro-Regular" w:hAnsi="Georgia" w:cs="AGaramondPro-Semibold"/>
          <w:lang w:val="en-GB"/>
          <w14:ligatures w14:val="standardContextual"/>
        </w:rPr>
        <w:t>alle</w:t>
      </w:r>
      <w:r w:rsidR="00966052" w:rsidRPr="00407355">
        <w:rPr>
          <w:rFonts w:ascii="Georgia" w:eastAsia="AGaramondPro-Regular" w:hAnsi="Georgia" w:cs="AGaramondPro-Semibold"/>
          <w:lang w:val="en-GB"/>
          <w14:ligatures w14:val="standardContextual"/>
        </w:rPr>
        <w:t>d</w:t>
      </w:r>
      <w:r w:rsidRPr="00407355">
        <w:rPr>
          <w:rFonts w:ascii="Georgia" w:eastAsia="AGaramondPro-Regular" w:hAnsi="Georgia" w:cs="AGaramondPro-Semibold"/>
          <w:lang w:val="en-GB"/>
          <w14:ligatures w14:val="standardContextual"/>
        </w:rPr>
        <w:t xml:space="preserve"> the start of the European Union level gov</w:t>
      </w:r>
      <w:r w:rsidR="00966052" w:rsidRPr="00407355">
        <w:rPr>
          <w:rFonts w:ascii="Georgia" w:eastAsia="AGaramondPro-Regular" w:hAnsi="Georgia" w:cs="AGaramondPro-Semibold"/>
          <w:lang w:val="en-GB"/>
          <w14:ligatures w14:val="standardContextual"/>
        </w:rPr>
        <w:t>ernance</w:t>
      </w:r>
      <w:r w:rsidRPr="0002056A">
        <w:rPr>
          <w:rFonts w:ascii="Georgia" w:eastAsia="AGaramondPro-Regular" w:hAnsi="Georgia" w:cs="AGaramondPro-Semibold"/>
          <w:lang w:val="en-GB"/>
          <w14:ligatures w14:val="standardContextual"/>
        </w:rPr>
        <w:t xml:space="preserve"> reg</w:t>
      </w:r>
      <w:r w:rsidR="00966052" w:rsidRPr="0002056A">
        <w:rPr>
          <w:rFonts w:ascii="Georgia" w:eastAsia="AGaramondPro-Regular" w:hAnsi="Georgia" w:cs="AGaramondPro-Semibold"/>
          <w:lang w:val="en-GB"/>
          <w14:ligatures w14:val="standardContextual"/>
        </w:rPr>
        <w:t>ulation</w:t>
      </w:r>
      <w:r w:rsidRPr="0002056A">
        <w:rPr>
          <w:rFonts w:ascii="Georgia" w:eastAsia="AGaramondPro-Regular" w:hAnsi="Georgia" w:cs="AGaramondPro-Semibold"/>
          <w:lang w:val="en-GB"/>
          <w14:ligatures w14:val="standardContextual"/>
        </w:rPr>
        <w:t xml:space="preserve"> process that began </w:t>
      </w:r>
      <w:r w:rsidR="00216AD0" w:rsidRPr="0002056A">
        <w:rPr>
          <w:rFonts w:ascii="Georgia" w:eastAsia="AGaramondPro-Regular" w:hAnsi="Georgia" w:cs="AGaramondPro-Semibold"/>
          <w:lang w:val="en-GB"/>
          <w14:ligatures w14:val="standardContextual"/>
        </w:rPr>
        <w:t>parallel</w:t>
      </w:r>
      <w:r w:rsidRPr="0002056A">
        <w:rPr>
          <w:rFonts w:ascii="Georgia" w:eastAsia="AGaramondPro-Regular" w:hAnsi="Georgia" w:cs="AGaramondPro-Semibold"/>
          <w:lang w:val="en-GB"/>
          <w14:ligatures w14:val="standardContextual"/>
        </w:rPr>
        <w:t xml:space="preserve"> with UNFCCC </w:t>
      </w:r>
      <w:r w:rsidR="00F17CC6" w:rsidRPr="0002056A">
        <w:rPr>
          <w:rFonts w:ascii="Georgia" w:eastAsia="AGaramondPro-Regular" w:hAnsi="Georgia" w:cs="AGaramondPro-Semibold"/>
          <w:lang w:val="en-GB"/>
          <w14:ligatures w14:val="standardContextual"/>
        </w:rPr>
        <w:t>reporting</w:t>
      </w:r>
      <w:r w:rsidR="00966052" w:rsidRPr="0002056A">
        <w:rPr>
          <w:rFonts w:ascii="Georgia" w:eastAsia="AGaramondPro-Regular" w:hAnsi="Georgia" w:cs="AGaramondPro-Semibold"/>
          <w:lang w:val="en-GB"/>
          <w14:ligatures w14:val="standardContextual"/>
        </w:rPr>
        <w:t xml:space="preserve"> as a </w:t>
      </w:r>
      <w:r w:rsidRPr="0002056A">
        <w:rPr>
          <w:rFonts w:ascii="Georgia" w:eastAsia="AGaramondPro-Regular" w:hAnsi="Georgia" w:cs="AGaramondPro-Semibold"/>
          <w:lang w:val="en-GB"/>
          <w14:ligatures w14:val="standardContextual"/>
        </w:rPr>
        <w:t xml:space="preserve">biannual adaptation reporting </w:t>
      </w:r>
      <w:r w:rsidR="00966052" w:rsidRPr="0002056A">
        <w:rPr>
          <w:rFonts w:ascii="Georgia" w:eastAsia="AGaramondPro-Regular" w:hAnsi="Georgia" w:cs="AGaramondPro-Semibold"/>
          <w:lang w:val="en-GB"/>
          <w14:ligatures w14:val="standardContextual"/>
        </w:rPr>
        <w:t xml:space="preserve">process </w:t>
      </w:r>
      <w:r w:rsidRPr="0002056A">
        <w:rPr>
          <w:rFonts w:ascii="Georgia" w:eastAsia="AGaramondPro-Regular" w:hAnsi="Georgia" w:cs="AGaramondPro-Semibold"/>
          <w:lang w:val="en-GB"/>
          <w14:ligatures w14:val="standardContextual"/>
        </w:rPr>
        <w:t xml:space="preserve">about national </w:t>
      </w:r>
      <w:r w:rsidR="00B44070" w:rsidRPr="0002056A">
        <w:rPr>
          <w:rFonts w:ascii="Georgia" w:eastAsia="AGaramondPro-Regular" w:hAnsi="Georgia" w:cs="AGaramondPro-Semibold"/>
          <w:lang w:val="en-GB"/>
          <w14:ligatures w14:val="standardContextual"/>
        </w:rPr>
        <w:t xml:space="preserve">climate </w:t>
      </w:r>
      <w:r w:rsidRPr="0002056A">
        <w:rPr>
          <w:rFonts w:ascii="Georgia" w:eastAsia="AGaramondPro-Regular" w:hAnsi="Georgia" w:cs="AGaramondPro-Semibold"/>
          <w:lang w:val="en-GB"/>
          <w14:ligatures w14:val="standardContextual"/>
        </w:rPr>
        <w:t xml:space="preserve">impacts, strategic planning </w:t>
      </w:r>
      <w:r w:rsidR="00B44070" w:rsidRPr="0002056A">
        <w:rPr>
          <w:rFonts w:ascii="Georgia" w:eastAsia="AGaramondPro-Regular" w:hAnsi="Georgia" w:cs="AGaramondPro-Semibold"/>
          <w:lang w:val="en-GB"/>
          <w14:ligatures w14:val="standardContextual"/>
        </w:rPr>
        <w:t>activities a</w:t>
      </w:r>
      <w:r w:rsidR="00135FC2" w:rsidRPr="0002056A">
        <w:rPr>
          <w:rFonts w:ascii="Georgia" w:eastAsia="AGaramondPro-Regular" w:hAnsi="Georgia" w:cs="AGaramondPro-Semibold"/>
          <w:lang w:val="en-GB"/>
          <w14:ligatures w14:val="standardContextual"/>
        </w:rPr>
        <w:t>t</w:t>
      </w:r>
      <w:r w:rsidR="00B44070" w:rsidRPr="0002056A">
        <w:rPr>
          <w:rFonts w:ascii="Georgia" w:eastAsia="AGaramondPro-Regular" w:hAnsi="Georgia" w:cs="AGaramondPro-Semibold"/>
          <w:lang w:val="en-GB"/>
          <w14:ligatures w14:val="standardContextual"/>
        </w:rPr>
        <w:t xml:space="preserve"> national and </w:t>
      </w:r>
      <w:r w:rsidRPr="0002056A">
        <w:rPr>
          <w:rFonts w:ascii="Georgia" w:eastAsia="AGaramondPro-Regular" w:hAnsi="Georgia" w:cs="AGaramondPro-Semibold"/>
          <w:lang w:val="en-GB"/>
          <w14:ligatures w14:val="standardContextual"/>
        </w:rPr>
        <w:t xml:space="preserve">lower spatial levels, </w:t>
      </w:r>
      <w:r w:rsidR="00B44070" w:rsidRPr="0002056A">
        <w:rPr>
          <w:rFonts w:ascii="Georgia" w:eastAsia="AGaramondPro-Regular" w:hAnsi="Georgia" w:cs="AGaramondPro-Semibold"/>
          <w:lang w:val="en-GB"/>
          <w14:ligatures w14:val="standardContextual"/>
        </w:rPr>
        <w:t xml:space="preserve">adaptation-oriented </w:t>
      </w:r>
      <w:r w:rsidRPr="0002056A">
        <w:rPr>
          <w:rFonts w:ascii="Georgia" w:eastAsia="AGaramondPro-Regular" w:hAnsi="Georgia" w:cs="AGaramondPro-Semibold"/>
          <w:lang w:val="en-GB"/>
          <w14:ligatures w14:val="standardContextual"/>
        </w:rPr>
        <w:t xml:space="preserve">MRE activities, financing and concrete </w:t>
      </w:r>
      <w:r w:rsidR="00B44070" w:rsidRPr="0002056A">
        <w:rPr>
          <w:rFonts w:ascii="Georgia" w:eastAsia="AGaramondPro-Regular" w:hAnsi="Georgia" w:cs="AGaramondPro-Semibold"/>
          <w:lang w:val="en-GB"/>
          <w14:ligatures w14:val="standardContextual"/>
        </w:rPr>
        <w:t xml:space="preserve">adaptation </w:t>
      </w:r>
      <w:r w:rsidRPr="0002056A">
        <w:rPr>
          <w:rFonts w:ascii="Georgia" w:eastAsia="AGaramondPro-Regular" w:hAnsi="Georgia" w:cs="AGaramondPro-Semibold"/>
          <w:lang w:val="en-GB"/>
          <w14:ligatures w14:val="standardContextual"/>
        </w:rPr>
        <w:t xml:space="preserve">actions. </w:t>
      </w:r>
      <w:r w:rsidR="00216AD0" w:rsidRPr="0002056A">
        <w:rPr>
          <w:rFonts w:ascii="Georgia" w:eastAsia="AGaramondPro-Regular" w:hAnsi="Georgia" w:cs="AGaramondPro-Semibold"/>
          <w:lang w:val="en-GB"/>
          <w14:ligatures w14:val="standardContextual"/>
        </w:rPr>
        <w:t>Parallel</w:t>
      </w:r>
      <w:r w:rsidR="00774D3F" w:rsidRPr="0002056A">
        <w:rPr>
          <w:rFonts w:ascii="Georgia" w:eastAsia="AGaramondPro-Regular" w:hAnsi="Georgia" w:cs="AGaramondPro-Semibold"/>
          <w:lang w:val="en-GB"/>
          <w14:ligatures w14:val="standardContextual"/>
        </w:rPr>
        <w:t xml:space="preserve"> with these developments, t</w:t>
      </w:r>
      <w:r w:rsidR="00774D3F" w:rsidRPr="0002056A">
        <w:rPr>
          <w:rFonts w:ascii="Georgia" w:hAnsi="Georgia" w:cs="STIX-Regular"/>
          <w:lang w:val="en-GB"/>
        </w:rPr>
        <w:t xml:space="preserve">he 2014 Fifth Assessment Report of </w:t>
      </w:r>
      <w:r w:rsidR="00774D3F" w:rsidRPr="0002056A">
        <w:rPr>
          <w:rFonts w:ascii="Georgia" w:hAnsi="Georgia" w:cs="STIX-Regular"/>
          <w:bCs/>
          <w:lang w:val="en-GB"/>
        </w:rPr>
        <w:t>IPCC described adaptation planning as an activity “occur[ring] at a number of spatial sc</w:t>
      </w:r>
      <w:r w:rsidR="00774D3F" w:rsidRPr="0002056A">
        <w:rPr>
          <w:rFonts w:ascii="Georgia" w:hAnsi="Georgia" w:cs="STIX-Regular"/>
          <w:lang w:val="en-GB"/>
        </w:rPr>
        <w:t>ales including at the national, regional, city, district, or local community level” (</w:t>
      </w:r>
      <w:r w:rsidR="00774D3F" w:rsidRPr="0002056A">
        <w:rPr>
          <w:rFonts w:ascii="Georgia" w:hAnsi="Georgia" w:cs="STIX-Regular"/>
          <w:smallCaps/>
          <w:lang w:val="en-GB"/>
        </w:rPr>
        <w:t>IPCC, 2014; Benzie&amp;Persson, 2019</w:t>
      </w:r>
      <w:r w:rsidR="00774D3F" w:rsidRPr="0002056A">
        <w:rPr>
          <w:rFonts w:ascii="Georgia" w:hAnsi="Georgia" w:cs="STIX-Regular"/>
          <w:lang w:val="en-GB"/>
        </w:rPr>
        <w:t>)</w:t>
      </w:r>
      <w:r w:rsidR="000C6EBB">
        <w:rPr>
          <w:rFonts w:ascii="Georgia" w:hAnsi="Georgia" w:cs="STIX-Regular"/>
          <w:lang w:val="en-GB"/>
        </w:rPr>
        <w:t>,</w:t>
      </w:r>
      <w:r w:rsidR="00774D3F" w:rsidRPr="0002056A">
        <w:rPr>
          <w:rFonts w:ascii="Georgia" w:hAnsi="Georgia" w:cs="STIX-Regular"/>
          <w:lang w:val="en-GB"/>
        </w:rPr>
        <w:t xml:space="preserve"> underlining the national/subnational character of adaptation again.</w:t>
      </w:r>
    </w:p>
    <w:p w14:paraId="337592FC" w14:textId="3612FA94" w:rsidR="004E603D" w:rsidRPr="0002056A" w:rsidRDefault="008A1118" w:rsidP="00CD5BF3">
      <w:pPr>
        <w:spacing w:before="60" w:after="60"/>
        <w:jc w:val="both"/>
        <w:rPr>
          <w:rFonts w:ascii="Georgia" w:hAnsi="Georgia"/>
          <w:lang w:val="en-GB"/>
        </w:rPr>
      </w:pPr>
      <w:r w:rsidRPr="0002056A">
        <w:rPr>
          <w:rFonts w:ascii="Georgia" w:eastAsia="Times New Roman" w:hAnsi="Georgia" w:cs="Times New Roman"/>
          <w:lang w:val="en-GB" w:eastAsia="hu-HU"/>
        </w:rPr>
        <w:t>During the period a</w:t>
      </w:r>
      <w:r w:rsidR="004E603D" w:rsidRPr="0002056A">
        <w:rPr>
          <w:rFonts w:ascii="Georgia" w:eastAsia="Times New Roman" w:hAnsi="Georgia" w:cs="Times New Roman"/>
          <w:lang w:val="en-GB" w:eastAsia="hu-HU"/>
        </w:rPr>
        <w:t xml:space="preserve">fter the adoption of the first EU Adaptation Strategy, responding to one of the Strategy’s </w:t>
      </w:r>
      <w:r w:rsidR="007D4D5E" w:rsidRPr="0002056A">
        <w:rPr>
          <w:rFonts w:ascii="Georgia" w:eastAsia="Times New Roman" w:hAnsi="Georgia" w:cs="Times New Roman"/>
          <w:lang w:val="en-GB" w:eastAsia="hu-HU"/>
        </w:rPr>
        <w:t>three</w:t>
      </w:r>
      <w:r w:rsidR="004E603D" w:rsidRPr="0002056A">
        <w:rPr>
          <w:rFonts w:ascii="Georgia" w:eastAsia="Times New Roman" w:hAnsi="Georgia" w:cs="Times New Roman"/>
          <w:lang w:val="en-GB" w:eastAsia="hu-HU"/>
        </w:rPr>
        <w:t xml:space="preserve"> main objectives, all but one EU and EEA countries </w:t>
      </w:r>
      <w:r w:rsidR="00783ECC" w:rsidRPr="0002056A">
        <w:rPr>
          <w:rFonts w:ascii="Georgia" w:eastAsia="Times New Roman" w:hAnsi="Georgia" w:cs="Times New Roman"/>
          <w:lang w:val="en-GB" w:eastAsia="hu-HU"/>
        </w:rPr>
        <w:t>elaborated</w:t>
      </w:r>
      <w:r w:rsidR="004E603D" w:rsidRPr="0002056A">
        <w:rPr>
          <w:rFonts w:ascii="Georgia" w:eastAsia="Times New Roman" w:hAnsi="Georgia" w:cs="Times New Roman"/>
          <w:lang w:val="en-GB" w:eastAsia="hu-HU"/>
        </w:rPr>
        <w:t xml:space="preserve"> their own National Adaptation Strategy</w:t>
      </w:r>
      <w:r w:rsidR="000C6EBB">
        <w:rPr>
          <w:rFonts w:ascii="Georgia" w:eastAsia="Times New Roman" w:hAnsi="Georgia" w:cs="Times New Roman"/>
          <w:lang w:val="en-GB" w:eastAsia="hu-HU"/>
        </w:rPr>
        <w:t>,</w:t>
      </w:r>
      <w:r w:rsidR="004E603D" w:rsidRPr="0002056A">
        <w:rPr>
          <w:rStyle w:val="Lbjegyzet-hivatkozs"/>
          <w:rFonts w:ascii="Georgia" w:eastAsia="Times New Roman" w:hAnsi="Georgia" w:cs="Times New Roman"/>
          <w:lang w:val="en-GB" w:eastAsia="hu-HU"/>
        </w:rPr>
        <w:footnoteReference w:id="12"/>
      </w:r>
      <w:r w:rsidR="004E603D" w:rsidRPr="0002056A">
        <w:rPr>
          <w:rFonts w:ascii="Georgia" w:eastAsia="Times New Roman" w:hAnsi="Georgia" w:cs="Times New Roman"/>
          <w:lang w:val="en-GB" w:eastAsia="hu-HU"/>
        </w:rPr>
        <w:t xml:space="preserve"> and the number of EU member states having a National Adaptation Programme</w:t>
      </w:r>
      <w:r w:rsidR="004D3FAC" w:rsidRPr="0002056A">
        <w:rPr>
          <w:rFonts w:ascii="Georgia" w:eastAsia="Times New Roman" w:hAnsi="Georgia" w:cs="Times New Roman"/>
          <w:lang w:val="en-GB" w:eastAsia="hu-HU"/>
        </w:rPr>
        <w:t xml:space="preserve"> </w:t>
      </w:r>
      <w:r w:rsidR="004E603D" w:rsidRPr="0002056A">
        <w:rPr>
          <w:rFonts w:ascii="Georgia" w:eastAsia="Times New Roman" w:hAnsi="Georgia" w:cs="Times New Roman"/>
          <w:lang w:val="en-GB" w:eastAsia="hu-HU"/>
        </w:rPr>
        <w:t xml:space="preserve">also doubled by the end of the second decade of the new century. Some countries even adopted </w:t>
      </w:r>
      <w:r w:rsidR="007D4D5E" w:rsidRPr="0002056A">
        <w:rPr>
          <w:rFonts w:ascii="Georgia" w:eastAsia="Times New Roman" w:hAnsi="Georgia" w:cs="Times New Roman"/>
          <w:lang w:val="en-GB" w:eastAsia="hu-HU"/>
        </w:rPr>
        <w:t>a</w:t>
      </w:r>
      <w:r w:rsidR="004E603D" w:rsidRPr="0002056A">
        <w:rPr>
          <w:rFonts w:ascii="Georgia" w:eastAsia="Times New Roman" w:hAnsi="Georgia" w:cs="Times New Roman"/>
          <w:lang w:val="en-GB" w:eastAsia="hu-HU"/>
        </w:rPr>
        <w:t xml:space="preserve"> second, revised version of their NAS (</w:t>
      </w:r>
      <w:r w:rsidR="004E603D" w:rsidRPr="0002056A">
        <w:rPr>
          <w:rFonts w:ascii="Georgia" w:eastAsia="Times New Roman" w:hAnsi="Georgia" w:cs="Times New Roman"/>
          <w:smallCaps/>
          <w:lang w:val="en-GB" w:eastAsia="hu-HU"/>
        </w:rPr>
        <w:t>Klostermann et al</w:t>
      </w:r>
      <w:r w:rsidR="004E603D" w:rsidRPr="0002056A">
        <w:rPr>
          <w:rFonts w:ascii="Georgia" w:eastAsia="Times New Roman" w:hAnsi="Georgia" w:cs="Times New Roman"/>
          <w:lang w:val="en-GB" w:eastAsia="hu-HU"/>
        </w:rPr>
        <w:t xml:space="preserve">., 2018; EEA, 2020). Only </w:t>
      </w:r>
      <w:r w:rsidR="000C6EBB">
        <w:rPr>
          <w:rFonts w:ascii="Georgia" w:eastAsia="Times New Roman" w:hAnsi="Georgia" w:cs="Times New Roman"/>
          <w:lang w:val="en-GB" w:eastAsia="hu-HU"/>
        </w:rPr>
        <w:t xml:space="preserve">a few of these first-generation national strategic documents accompanied by MRE programmes, and a </w:t>
      </w:r>
      <w:r w:rsidR="004E603D" w:rsidRPr="0002056A">
        <w:rPr>
          <w:rFonts w:ascii="Georgia" w:eastAsia="Times New Roman" w:hAnsi="Georgia" w:cs="Times New Roman"/>
          <w:lang w:val="en-GB" w:eastAsia="hu-HU"/>
        </w:rPr>
        <w:t>common standard for these activities did not exist then, either (</w:t>
      </w:r>
      <w:r w:rsidR="004E603D" w:rsidRPr="0002056A">
        <w:rPr>
          <w:rFonts w:ascii="Georgia" w:eastAsia="Times New Roman" w:hAnsi="Georgia" w:cs="Times New Roman"/>
          <w:smallCaps/>
          <w:lang w:val="en-GB" w:eastAsia="hu-HU"/>
        </w:rPr>
        <w:t>Klostermann et al</w:t>
      </w:r>
      <w:r w:rsidR="004E603D" w:rsidRPr="0002056A">
        <w:rPr>
          <w:rFonts w:ascii="Georgia" w:eastAsia="Times New Roman" w:hAnsi="Georgia" w:cs="Times New Roman"/>
          <w:lang w:val="en-GB" w:eastAsia="hu-HU"/>
        </w:rPr>
        <w:t>., 2018).</w:t>
      </w:r>
      <w:r w:rsidR="00932196" w:rsidRPr="0002056A">
        <w:rPr>
          <w:rFonts w:ascii="Georgia" w:eastAsia="Times New Roman" w:hAnsi="Georgia" w:cs="Times New Roman"/>
          <w:lang w:val="en-GB" w:eastAsia="hu-HU"/>
        </w:rPr>
        <w:t xml:space="preserve"> </w:t>
      </w:r>
      <w:r w:rsidR="00486D79" w:rsidRPr="0002056A">
        <w:rPr>
          <w:rFonts w:ascii="Georgia" w:eastAsia="Times New Roman" w:hAnsi="Georgia" w:cs="Times New Roman"/>
          <w:lang w:val="en-GB" w:eastAsia="hu-HU"/>
        </w:rPr>
        <w:t>Similarly, w</w:t>
      </w:r>
      <w:r w:rsidR="004E603D" w:rsidRPr="0002056A">
        <w:rPr>
          <w:rFonts w:ascii="Georgia" w:hAnsi="Georgia"/>
          <w:lang w:val="en-GB"/>
        </w:rPr>
        <w:t xml:space="preserve">orldwide, in the middle of the 2010s relative few countries had already </w:t>
      </w:r>
      <w:r w:rsidR="00EA70F7" w:rsidRPr="0002056A">
        <w:rPr>
          <w:rFonts w:ascii="Georgia" w:hAnsi="Georgia"/>
          <w:lang w:val="en-GB"/>
        </w:rPr>
        <w:t>operational</w:t>
      </w:r>
      <w:r w:rsidR="004E603D" w:rsidRPr="0002056A">
        <w:rPr>
          <w:rFonts w:ascii="Georgia" w:hAnsi="Georgia"/>
          <w:lang w:val="en-GB"/>
        </w:rPr>
        <w:t xml:space="preserve"> adaptation MRE system</w:t>
      </w:r>
      <w:r w:rsidR="007F209D" w:rsidRPr="0002056A">
        <w:rPr>
          <w:rFonts w:ascii="Georgia" w:hAnsi="Georgia"/>
          <w:lang w:val="en-GB"/>
        </w:rPr>
        <w:t>.</w:t>
      </w:r>
      <w:r w:rsidR="007F209D" w:rsidRPr="0002056A">
        <w:rPr>
          <w:rFonts w:ascii="Georgia" w:hAnsi="Georgia"/>
          <w:b/>
          <w:bCs/>
          <w:lang w:val="en-GB"/>
        </w:rPr>
        <w:t xml:space="preserve"> </w:t>
      </w:r>
      <w:r w:rsidR="007F209D" w:rsidRPr="0002056A">
        <w:rPr>
          <w:rFonts w:ascii="Georgia" w:hAnsi="Georgia"/>
          <w:lang w:val="en-GB"/>
        </w:rPr>
        <w:t>T</w:t>
      </w:r>
      <w:r w:rsidR="004E603D" w:rsidRPr="0002056A">
        <w:rPr>
          <w:rFonts w:ascii="Georgia" w:hAnsi="Georgia"/>
          <w:lang w:val="en-GB"/>
        </w:rPr>
        <w:t xml:space="preserve">he majority of states were before these </w:t>
      </w:r>
      <w:r w:rsidR="00835DC4" w:rsidRPr="0002056A">
        <w:rPr>
          <w:rFonts w:ascii="Georgia" w:hAnsi="Georgia"/>
          <w:lang w:val="en-GB"/>
        </w:rPr>
        <w:t xml:space="preserve">MRE-development </w:t>
      </w:r>
      <w:r w:rsidR="004E603D" w:rsidRPr="0002056A">
        <w:rPr>
          <w:rFonts w:ascii="Georgia" w:hAnsi="Georgia"/>
          <w:lang w:val="en-GB"/>
        </w:rPr>
        <w:t>processes which situation is also indicated by the then</w:t>
      </w:r>
      <w:r w:rsidR="007F209D" w:rsidRPr="0002056A">
        <w:rPr>
          <w:rFonts w:ascii="Georgia" w:hAnsi="Georgia"/>
          <w:lang w:val="en-GB"/>
        </w:rPr>
        <w:t>-</w:t>
      </w:r>
      <w:r w:rsidR="004E603D" w:rsidRPr="0002056A">
        <w:rPr>
          <w:rFonts w:ascii="Georgia" w:hAnsi="Georgia"/>
          <w:lang w:val="en-GB"/>
        </w:rPr>
        <w:t xml:space="preserve">recent proliferation of related guidelines, synthesis </w:t>
      </w:r>
      <w:r w:rsidR="00835DC4" w:rsidRPr="0002056A">
        <w:rPr>
          <w:rFonts w:ascii="Georgia" w:hAnsi="Georgia"/>
          <w:lang w:val="en-GB"/>
        </w:rPr>
        <w:t xml:space="preserve">documents </w:t>
      </w:r>
      <w:r w:rsidR="004E603D" w:rsidRPr="0002056A">
        <w:rPr>
          <w:rFonts w:ascii="Georgia" w:hAnsi="Georgia"/>
          <w:lang w:val="en-GB"/>
        </w:rPr>
        <w:t>and framework concepts facilitating the intended developments</w:t>
      </w:r>
      <w:r w:rsidR="00893BB1" w:rsidRPr="0002056A">
        <w:rPr>
          <w:rStyle w:val="Lbjegyzet-hivatkozs"/>
          <w:rFonts w:ascii="Georgia" w:hAnsi="Georgia"/>
          <w:lang w:val="en-GB"/>
        </w:rPr>
        <w:footnoteReference w:id="13"/>
      </w:r>
      <w:r w:rsidR="004E603D" w:rsidRPr="0002056A">
        <w:rPr>
          <w:rFonts w:ascii="Georgia" w:hAnsi="Georgia"/>
          <w:lang w:val="en-GB"/>
        </w:rPr>
        <w:t xml:space="preserve">. </w:t>
      </w:r>
    </w:p>
    <w:p w14:paraId="1E40E007" w14:textId="4C391FE4" w:rsidR="004E603D" w:rsidRPr="0002056A" w:rsidRDefault="004E603D" w:rsidP="00CD5BF3">
      <w:pPr>
        <w:spacing w:before="120" w:after="120"/>
        <w:jc w:val="both"/>
        <w:rPr>
          <w:rFonts w:ascii="Georgia" w:hAnsi="Georgia" w:cs="Marianne"/>
          <w:lang w:val="en-GB"/>
          <w14:ligatures w14:val="standardContextual"/>
        </w:rPr>
      </w:pPr>
      <w:r w:rsidRPr="0002056A">
        <w:rPr>
          <w:rFonts w:ascii="Georgia" w:hAnsi="Georgia" w:cs="ArialMT"/>
          <w:b/>
          <w:bCs/>
          <w:lang w:val="en-GB"/>
          <w14:ligatures w14:val="standardContextual"/>
        </w:rPr>
        <w:t>2015 brought the adoption of three important agreements/documents</w:t>
      </w:r>
      <w:r w:rsidRPr="0002056A">
        <w:rPr>
          <w:rFonts w:ascii="Georgia" w:hAnsi="Georgia" w:cs="ArialMT"/>
          <w:lang w:val="en-GB"/>
          <w14:ligatures w14:val="standardContextual"/>
        </w:rPr>
        <w:t xml:space="preserve"> influencing the history of international and n</w:t>
      </w:r>
      <w:r w:rsidR="00087CCC" w:rsidRPr="0002056A">
        <w:rPr>
          <w:rFonts w:ascii="Georgia" w:hAnsi="Georgia" w:cs="ArialMT"/>
          <w:lang w:val="en-GB"/>
          <w14:ligatures w14:val="standardContextual"/>
        </w:rPr>
        <w:t>a</w:t>
      </w:r>
      <w:r w:rsidRPr="0002056A">
        <w:rPr>
          <w:rFonts w:ascii="Georgia" w:hAnsi="Georgia" w:cs="ArialMT"/>
          <w:lang w:val="en-GB"/>
          <w14:ligatures w14:val="standardContextual"/>
        </w:rPr>
        <w:t xml:space="preserve">tional adaptation policies. </w:t>
      </w:r>
      <w:r w:rsidRPr="0002056A">
        <w:rPr>
          <w:rFonts w:ascii="Georgia" w:eastAsia="AGaramondPro-Regular" w:hAnsi="Georgia" w:cs="AGaramondPro-Regular"/>
          <w:lang w:val="en-GB"/>
          <w14:ligatures w14:val="standardContextual"/>
        </w:rPr>
        <w:t xml:space="preserve">The most important of the three was the </w:t>
      </w:r>
      <w:r w:rsidRPr="0002056A">
        <w:rPr>
          <w:rFonts w:ascii="Georgia" w:eastAsia="AGaramondPro-Regular" w:hAnsi="Georgia" w:cs="AGaramondPro-Regular"/>
          <w:b/>
          <w:bCs/>
          <w:lang w:val="en-GB"/>
          <w14:ligatures w14:val="standardContextual"/>
        </w:rPr>
        <w:t>Paris Agreement</w:t>
      </w:r>
      <w:r w:rsidRPr="0002056A">
        <w:rPr>
          <w:rFonts w:ascii="Georgia" w:eastAsia="AGaramondPro-Regular" w:hAnsi="Georgia" w:cs="AGaramondPro-Regular"/>
          <w:lang w:val="en-GB"/>
          <w14:ligatures w14:val="standardContextual"/>
        </w:rPr>
        <w:t xml:space="preserve">, drafted </w:t>
      </w:r>
      <w:r w:rsidRPr="0002056A">
        <w:rPr>
          <w:rFonts w:ascii="Georgia" w:hAnsi="Georgia"/>
          <w:lang w:val="en-GB"/>
        </w:rPr>
        <w:t xml:space="preserve">at the COP21, one of the most important COPs held in Paris. </w:t>
      </w:r>
      <w:r w:rsidR="00DB6E7B" w:rsidRPr="0002056A">
        <w:rPr>
          <w:rFonts w:ascii="Georgia" w:hAnsi="Georgia" w:cs="Baskerville"/>
          <w:lang w:val="en-GB"/>
        </w:rPr>
        <w:t>A</w:t>
      </w:r>
      <w:r w:rsidR="00DB6E7B" w:rsidRPr="0002056A">
        <w:rPr>
          <w:rFonts w:ascii="Georgia" w:hAnsi="Georgia"/>
          <w:lang w:val="en-GB"/>
        </w:rPr>
        <w:t xml:space="preserve">ll UNFCCC Parties </w:t>
      </w:r>
      <w:r w:rsidR="00BB3769" w:rsidRPr="0002056A">
        <w:rPr>
          <w:rFonts w:ascii="Georgia" w:hAnsi="Georgia"/>
          <w:lang w:val="en-GB"/>
        </w:rPr>
        <w:t>considered</w:t>
      </w:r>
      <w:r w:rsidR="00DB6E7B" w:rsidRPr="0002056A">
        <w:rPr>
          <w:rFonts w:ascii="Georgia" w:hAnsi="Georgia"/>
          <w:lang w:val="en-GB"/>
        </w:rPr>
        <w:t xml:space="preserve"> the Agreement as the first ever universal, legally binding global climate agreement. </w:t>
      </w:r>
      <w:r w:rsidR="00F70F6A" w:rsidRPr="0002056A">
        <w:rPr>
          <w:rFonts w:ascii="Georgia" w:hAnsi="Georgia"/>
          <w:b/>
          <w:bCs/>
          <w:lang w:val="en-GB"/>
        </w:rPr>
        <w:t>It</w:t>
      </w:r>
      <w:r w:rsidR="00BB3769" w:rsidRPr="0002056A">
        <w:rPr>
          <w:rFonts w:ascii="Georgia" w:hAnsi="Georgia" w:cs="Calibri"/>
          <w:b/>
          <w:bCs/>
          <w:lang w:val="en-GB"/>
          <w14:ligatures w14:val="standardContextual"/>
        </w:rPr>
        <w:t xml:space="preserve"> elevated the adaptation pillar of climate policy to an </w:t>
      </w:r>
      <w:r w:rsidR="00BB3769" w:rsidRPr="0002056A">
        <w:rPr>
          <w:rFonts w:ascii="Georgia" w:hAnsi="Georgia" w:cs="Calibri"/>
          <w:b/>
          <w:bCs/>
          <w:lang w:val="en-GB"/>
          <w14:ligatures w14:val="standardContextual"/>
        </w:rPr>
        <w:lastRenderedPageBreak/>
        <w:t>equal level with mitigation</w:t>
      </w:r>
      <w:r w:rsidR="00BB3769" w:rsidRPr="0002056A">
        <w:rPr>
          <w:rFonts w:ascii="Georgia" w:hAnsi="Georgia" w:cs="Calibri"/>
          <w:lang w:val="en-GB"/>
          <w14:ligatures w14:val="standardContextual"/>
        </w:rPr>
        <w:t xml:space="preserve">; furthermore, it </w:t>
      </w:r>
      <w:r w:rsidR="00BB3769" w:rsidRPr="0002056A">
        <w:rPr>
          <w:rFonts w:ascii="Georgia" w:hAnsi="Georgia" w:cs="Calibri"/>
          <w:b/>
          <w:bCs/>
          <w:lang w:val="en-GB"/>
          <w14:ligatures w14:val="standardContextual"/>
        </w:rPr>
        <w:t>set the first global goal on adaptation</w:t>
      </w:r>
      <w:r w:rsidR="00BB3769" w:rsidRPr="0002056A">
        <w:rPr>
          <w:rFonts w:ascii="Georgia" w:hAnsi="Georgia" w:cs="Calibri"/>
          <w:lang w:val="en-GB"/>
          <w14:ligatures w14:val="standardContextual"/>
        </w:rPr>
        <w:t xml:space="preserve"> </w:t>
      </w:r>
      <w:r w:rsidR="00BB3769" w:rsidRPr="0002056A">
        <w:rPr>
          <w:rFonts w:ascii="Georgia" w:hAnsi="Georgia"/>
          <w:lang w:val="en-GB"/>
        </w:rPr>
        <w:t>(</w:t>
      </w:r>
      <w:r w:rsidR="00BB3769" w:rsidRPr="0002056A">
        <w:rPr>
          <w:rFonts w:ascii="Georgia" w:hAnsi="Georgia" w:cstheme="minorHAnsi"/>
          <w:smallCaps/>
          <w:lang w:val="en-GB"/>
        </w:rPr>
        <w:t>UNFCCC</w:t>
      </w:r>
      <w:r w:rsidR="00BB3769" w:rsidRPr="0002056A">
        <w:rPr>
          <w:rFonts w:ascii="Georgia" w:hAnsi="Georgia"/>
          <w:lang w:val="en-GB"/>
        </w:rPr>
        <w:t xml:space="preserve">, 2015; </w:t>
      </w:r>
      <w:r w:rsidR="00BB3769" w:rsidRPr="0002056A">
        <w:rPr>
          <w:rFonts w:ascii="Georgia" w:hAnsi="Georgia" w:cstheme="minorHAnsi"/>
          <w:smallCaps/>
          <w:lang w:val="en-GB"/>
        </w:rPr>
        <w:t>Faragó T.</w:t>
      </w:r>
      <w:r w:rsidR="00BB3769" w:rsidRPr="0002056A">
        <w:rPr>
          <w:rFonts w:ascii="Georgia" w:hAnsi="Georgia"/>
          <w:lang w:val="en-GB"/>
        </w:rPr>
        <w:t>, 2015</w:t>
      </w:r>
      <w:r w:rsidR="00FA6869">
        <w:rPr>
          <w:rFonts w:ascii="Georgia" w:hAnsi="Georgia"/>
          <w:lang w:val="en-GB"/>
        </w:rPr>
        <w:t>;</w:t>
      </w:r>
      <w:r w:rsidR="00BB3769" w:rsidRPr="0002056A">
        <w:rPr>
          <w:rFonts w:ascii="Georgia" w:hAnsi="Georgia"/>
          <w:lang w:val="en-GB"/>
        </w:rPr>
        <w:t xml:space="preserve"> EEA, 2020; </w:t>
      </w:r>
      <w:r w:rsidR="00BB3769" w:rsidRPr="0002056A">
        <w:rPr>
          <w:rFonts w:ascii="Georgia" w:hAnsi="Georgia" w:cstheme="minorHAnsi"/>
          <w:smallCaps/>
          <w:lang w:val="en-GB"/>
        </w:rPr>
        <w:t>Wright et al</w:t>
      </w:r>
      <w:r w:rsidR="00BB3769" w:rsidRPr="0002056A">
        <w:rPr>
          <w:rFonts w:ascii="Georgia" w:hAnsi="Georgia"/>
          <w:lang w:val="en-GB"/>
        </w:rPr>
        <w:t xml:space="preserve">., 2021; </w:t>
      </w:r>
      <w:r w:rsidR="00BB3769" w:rsidRPr="0002056A">
        <w:rPr>
          <w:rFonts w:ascii="Georgia" w:hAnsi="Georgia" w:cstheme="minorHAnsi"/>
          <w:smallCaps/>
          <w:lang w:val="en-GB"/>
        </w:rPr>
        <w:t>Fuldauer et al</w:t>
      </w:r>
      <w:r w:rsidR="00BB3769" w:rsidRPr="0002056A">
        <w:rPr>
          <w:rFonts w:ascii="Georgia" w:hAnsi="Georgia"/>
          <w:lang w:val="en-GB"/>
        </w:rPr>
        <w:t>, 2022)</w:t>
      </w:r>
      <w:r w:rsidR="00BB3769" w:rsidRPr="0002056A">
        <w:rPr>
          <w:rFonts w:ascii="Georgia" w:hAnsi="Georgia" w:cs="Calibri"/>
          <w:lang w:val="en-GB"/>
          <w14:ligatures w14:val="standardContextual"/>
        </w:rPr>
        <w:t>. Its importance is indicated by the fact that to date, the Agreement has been ratified by 189 of the 197 parties to the Convention.</w:t>
      </w:r>
      <w:r w:rsidR="002628C0" w:rsidRPr="0002056A">
        <w:rPr>
          <w:rFonts w:ascii="Georgia" w:hAnsi="Georgia" w:cs="Calibri"/>
          <w:lang w:val="en-GB"/>
          <w14:ligatures w14:val="standardContextual"/>
        </w:rPr>
        <w:t xml:space="preserve"> </w:t>
      </w:r>
      <w:r w:rsidR="00DB6E7B" w:rsidRPr="0002056A">
        <w:rPr>
          <w:rFonts w:ascii="Georgia" w:hAnsi="Georgia"/>
          <w:lang w:val="en-GB"/>
        </w:rPr>
        <w:t>The parties agreed to limit the global temperature increase from the industrial revolution to 2100 to 2°C</w:t>
      </w:r>
      <w:r w:rsidR="00FA6869">
        <w:rPr>
          <w:rFonts w:ascii="Georgia" w:hAnsi="Georgia"/>
          <w:lang w:val="en-GB"/>
        </w:rPr>
        <w:t>, while aiming to limit it</w:t>
      </w:r>
      <w:r w:rsidR="00DB6E7B" w:rsidRPr="0002056A">
        <w:rPr>
          <w:rFonts w:ascii="Georgia" w:hAnsi="Georgia"/>
          <w:lang w:val="en-GB"/>
        </w:rPr>
        <w:t xml:space="preserve"> further to 1.5°C.</w:t>
      </w:r>
      <w:r w:rsidR="00DB6E7B" w:rsidRPr="0002056A">
        <w:rPr>
          <w:rFonts w:ascii="Georgia" w:hAnsi="Georgia" w:cs="Calibri"/>
          <w:lang w:val="en-GB"/>
          <w14:ligatures w14:val="standardContextual"/>
        </w:rPr>
        <w:t xml:space="preserve"> </w:t>
      </w:r>
      <w:r w:rsidRPr="0002056A">
        <w:rPr>
          <w:rFonts w:ascii="Georgia" w:hAnsi="Georgia" w:cs="ArialMT"/>
          <w:lang w:val="en-GB"/>
          <w14:ligatures w14:val="standardContextual"/>
        </w:rPr>
        <w:t>The Paris Agreement</w:t>
      </w:r>
      <w:r w:rsidR="00883A3A" w:rsidRPr="0002056A">
        <w:rPr>
          <w:rFonts w:ascii="Georgia" w:hAnsi="Georgia" w:cs="ArialMT"/>
          <w:lang w:val="en-GB"/>
          <w14:ligatures w14:val="standardContextual"/>
        </w:rPr>
        <w:t xml:space="preserve"> </w:t>
      </w:r>
      <w:r w:rsidRPr="0002056A">
        <w:rPr>
          <w:rFonts w:ascii="Georgia" w:hAnsi="Georgia" w:cs="ArialMT"/>
          <w:lang w:val="en-GB"/>
          <w14:ligatures w14:val="standardContextual"/>
        </w:rPr>
        <w:t>emphasis</w:t>
      </w:r>
      <w:r w:rsidR="00302478" w:rsidRPr="0002056A">
        <w:rPr>
          <w:rFonts w:ascii="Georgia" w:hAnsi="Georgia" w:cs="ArialMT"/>
          <w:lang w:val="en-GB"/>
          <w14:ligatures w14:val="standardContextual"/>
        </w:rPr>
        <w:t>es</w:t>
      </w:r>
      <w:r w:rsidRPr="0002056A">
        <w:rPr>
          <w:rFonts w:ascii="Georgia" w:hAnsi="Georgia" w:cs="ArialMT"/>
          <w:lang w:val="en-GB"/>
          <w14:ligatures w14:val="standardContextual"/>
        </w:rPr>
        <w:t xml:space="preserve"> </w:t>
      </w:r>
      <w:r w:rsidR="00FA6869">
        <w:rPr>
          <w:rFonts w:ascii="Georgia" w:hAnsi="Georgia" w:cs="ArialMT"/>
          <w:lang w:val="en-GB"/>
          <w14:ligatures w14:val="standardContextual"/>
        </w:rPr>
        <w:t xml:space="preserve">the </w:t>
      </w:r>
      <w:r w:rsidRPr="0002056A">
        <w:rPr>
          <w:rFonts w:ascii="Georgia" w:hAnsi="Georgia" w:cs="ArialMT"/>
          <w:lang w:val="en-GB"/>
          <w14:ligatures w14:val="standardContextual"/>
        </w:rPr>
        <w:t xml:space="preserve">implications of climate change to local communities and the role </w:t>
      </w:r>
      <w:r w:rsidR="00302478" w:rsidRPr="0002056A">
        <w:rPr>
          <w:rFonts w:ascii="Georgia" w:hAnsi="Georgia" w:cs="ArialMT"/>
          <w:lang w:val="en-GB"/>
          <w14:ligatures w14:val="standardContextual"/>
        </w:rPr>
        <w:t xml:space="preserve">that </w:t>
      </w:r>
      <w:r w:rsidRPr="0002056A">
        <w:rPr>
          <w:rFonts w:ascii="Georgia" w:hAnsi="Georgia" w:cs="ArialMT"/>
          <w:lang w:val="en-GB"/>
          <w14:ligatures w14:val="standardContextual"/>
        </w:rPr>
        <w:t>diffe</w:t>
      </w:r>
      <w:r w:rsidR="00302478" w:rsidRPr="0002056A">
        <w:rPr>
          <w:rFonts w:ascii="Georgia" w:hAnsi="Georgia" w:cs="ArialMT"/>
          <w:lang w:val="en-GB"/>
          <w14:ligatures w14:val="standardContextual"/>
        </w:rPr>
        <w:t>re</w:t>
      </w:r>
      <w:r w:rsidRPr="0002056A">
        <w:rPr>
          <w:rFonts w:ascii="Georgia" w:hAnsi="Georgia" w:cs="ArialMT"/>
          <w:lang w:val="en-GB"/>
          <w14:ligatures w14:val="standardContextual"/>
        </w:rPr>
        <w:t>nt levels of gover</w:t>
      </w:r>
      <w:r w:rsidR="00302478" w:rsidRPr="0002056A">
        <w:rPr>
          <w:rFonts w:ascii="Georgia" w:hAnsi="Georgia" w:cs="ArialMT"/>
          <w:lang w:val="en-GB"/>
          <w14:ligatures w14:val="standardContextual"/>
        </w:rPr>
        <w:t>nmen</w:t>
      </w:r>
      <w:r w:rsidRPr="0002056A">
        <w:rPr>
          <w:rFonts w:ascii="Georgia" w:hAnsi="Georgia" w:cs="ArialMT"/>
          <w:lang w:val="en-GB"/>
          <w14:ligatures w14:val="standardContextual"/>
        </w:rPr>
        <w:t xml:space="preserve">t play in climate policy. </w:t>
      </w:r>
      <w:r w:rsidRPr="0002056A">
        <w:rPr>
          <w:rFonts w:ascii="Georgia" w:eastAsia="AGaramondPro-Regular" w:hAnsi="Georgia" w:cs="AGaramondPro-Regular"/>
          <w:lang w:val="en-GB"/>
          <w14:ligatures w14:val="standardContextual"/>
        </w:rPr>
        <w:t xml:space="preserve">Article 7 </w:t>
      </w:r>
      <w:r w:rsidR="006037C5" w:rsidRPr="0002056A">
        <w:rPr>
          <w:rFonts w:ascii="Georgia" w:eastAsia="AGaramondPro-Regular" w:hAnsi="Georgia" w:cs="AGaramondPro-Regular"/>
          <w:lang w:val="en-GB"/>
          <w14:ligatures w14:val="standardContextual"/>
        </w:rPr>
        <w:t>urges</w:t>
      </w:r>
      <w:r w:rsidRPr="0002056A">
        <w:rPr>
          <w:rFonts w:ascii="Georgia" w:eastAsia="AGaramondPro-Regular" w:hAnsi="Georgia" w:cs="AGaramondPro-Regular"/>
          <w:lang w:val="en-GB"/>
          <w14:ligatures w14:val="standardContextual"/>
        </w:rPr>
        <w:t xml:space="preserve"> Parties to engage, as appropriate, in adaptation planning processes and implement actions of relevant plans, policies and/or contributions</w:t>
      </w:r>
      <w:r w:rsidRPr="0002056A">
        <w:rPr>
          <w:rStyle w:val="Lbjegyzet-hivatkozs"/>
          <w:rFonts w:ascii="Georgia" w:eastAsia="AGaramondPro-Regular" w:hAnsi="Georgia" w:cs="AGaramondPro-Regular"/>
          <w:lang w:val="en-GB"/>
          <w14:ligatures w14:val="standardContextual"/>
        </w:rPr>
        <w:footnoteReference w:id="14"/>
      </w:r>
      <w:r w:rsidR="003A3EFF" w:rsidRPr="0002056A">
        <w:rPr>
          <w:rFonts w:ascii="Georgia" w:eastAsia="AGaramondPro-Regular" w:hAnsi="Georgia" w:cs="AGaramondPro-Regular"/>
          <w:lang w:val="en-GB"/>
          <w14:ligatures w14:val="standardContextual"/>
        </w:rPr>
        <w:t xml:space="preserve">, particularly </w:t>
      </w:r>
      <w:r w:rsidR="00FA6869">
        <w:rPr>
          <w:rFonts w:ascii="Georgia" w:hAnsi="Georgia"/>
          <w:lang w:val="en-GB"/>
        </w:rPr>
        <w:t>noting that</w:t>
      </w:r>
      <w:r w:rsidR="00FA6869" w:rsidRPr="0002056A">
        <w:rPr>
          <w:rFonts w:ascii="Georgia" w:hAnsi="Georgia"/>
          <w:lang w:val="en-GB"/>
        </w:rPr>
        <w:t xml:space="preserve"> </w:t>
      </w:r>
      <w:r w:rsidR="003A3EFF" w:rsidRPr="0002056A">
        <w:rPr>
          <w:rFonts w:ascii="Georgia" w:hAnsi="Georgia"/>
          <w:lang w:val="en-GB"/>
        </w:rPr>
        <w:t xml:space="preserve">the elaboration of a national adaptation plan </w:t>
      </w:r>
      <w:r w:rsidR="00FA6869">
        <w:rPr>
          <w:rFonts w:ascii="Georgia" w:hAnsi="Georgia"/>
          <w:lang w:val="en-GB"/>
        </w:rPr>
        <w:t xml:space="preserve">is required </w:t>
      </w:r>
      <w:r w:rsidR="003A3EFF" w:rsidRPr="0002056A">
        <w:rPr>
          <w:rFonts w:ascii="Georgia" w:hAnsi="Georgia"/>
          <w:lang w:val="en-GB"/>
        </w:rPr>
        <w:t>as a possible part of adaptation planning processes (UNFCCC, 2015, Article 7.9). Here</w:t>
      </w:r>
      <w:r w:rsidR="00FA6869">
        <w:rPr>
          <w:rFonts w:ascii="Georgia" w:hAnsi="Georgia"/>
          <w:lang w:val="en-GB"/>
        </w:rPr>
        <w:t>, the term “national adaptation plan” (NAP) is applicable to all countries, regardless of</w:t>
      </w:r>
      <w:r w:rsidR="003A3EFF" w:rsidRPr="0002056A">
        <w:rPr>
          <w:rFonts w:ascii="Georgia" w:hAnsi="Georgia"/>
          <w:lang w:val="en-GB"/>
        </w:rPr>
        <w:t xml:space="preserve"> differences in countries</w:t>
      </w:r>
      <w:r w:rsidR="003A3EFF" w:rsidRPr="0002056A">
        <w:rPr>
          <w:rFonts w:ascii="Georgia" w:hAnsi="Georgia" w:cs="STIX"/>
          <w:lang w:val="en-GB"/>
        </w:rPr>
        <w:t xml:space="preserve">’ </w:t>
      </w:r>
      <w:r w:rsidR="003A3EFF" w:rsidRPr="0002056A">
        <w:rPr>
          <w:rFonts w:ascii="Georgia" w:hAnsi="Georgia"/>
          <w:lang w:val="en-GB"/>
        </w:rPr>
        <w:t>planning systems</w:t>
      </w:r>
      <w:r w:rsidR="003A3EFF" w:rsidRPr="0002056A">
        <w:rPr>
          <w:rStyle w:val="Lbjegyzet-hivatkozs"/>
          <w:rFonts w:ascii="Georgia" w:hAnsi="Georgia"/>
          <w:lang w:val="en-GB"/>
        </w:rPr>
        <w:footnoteReference w:id="15"/>
      </w:r>
      <w:r w:rsidR="003A3EFF" w:rsidRPr="0002056A">
        <w:rPr>
          <w:rFonts w:ascii="Georgia" w:hAnsi="Georgia"/>
          <w:lang w:val="en-GB"/>
        </w:rPr>
        <w:t xml:space="preserve">. The term NAP is therefore used as an umbrella term </w:t>
      </w:r>
      <w:r w:rsidR="00FA6869">
        <w:rPr>
          <w:rFonts w:ascii="Georgia" w:hAnsi="Georgia"/>
          <w:lang w:val="en-GB"/>
        </w:rPr>
        <w:t xml:space="preserve">for operational planning documents from a national government </w:t>
      </w:r>
      <w:r w:rsidR="003A3EFF" w:rsidRPr="0002056A">
        <w:rPr>
          <w:rFonts w:ascii="Georgia" w:hAnsi="Georgia"/>
          <w:lang w:val="en-GB"/>
        </w:rPr>
        <w:t>explicitly directed at adaptation to climate change</w:t>
      </w:r>
      <w:r w:rsidR="00FA6869">
        <w:rPr>
          <w:rFonts w:ascii="Georgia" w:hAnsi="Georgia"/>
          <w:lang w:val="en-GB"/>
        </w:rPr>
        <w:t>,</w:t>
      </w:r>
      <w:r w:rsidR="003A3EFF" w:rsidRPr="0002056A">
        <w:rPr>
          <w:rFonts w:ascii="Georgia" w:hAnsi="Georgia"/>
          <w:lang w:val="en-GB"/>
        </w:rPr>
        <w:t xml:space="preserve"> consisting of a mix of policies and measures to reduce a</w:t>
      </w:r>
      <w:r w:rsidR="00807522" w:rsidRPr="0002056A">
        <w:rPr>
          <w:rFonts w:ascii="Georgia" w:hAnsi="Georgia"/>
          <w:lang w:val="en-GB"/>
        </w:rPr>
        <w:t xml:space="preserve"> </w:t>
      </w:r>
      <w:r w:rsidR="003A3EFF" w:rsidRPr="0002056A">
        <w:rPr>
          <w:rFonts w:ascii="Georgia" w:hAnsi="Georgia"/>
          <w:lang w:val="en-GB"/>
        </w:rPr>
        <w:t>country</w:t>
      </w:r>
      <w:r w:rsidR="003A3EFF" w:rsidRPr="0002056A">
        <w:rPr>
          <w:rFonts w:ascii="Georgia" w:hAnsi="Georgia" w:cs="STIX"/>
          <w:lang w:val="en-GB"/>
        </w:rPr>
        <w:t>’</w:t>
      </w:r>
      <w:r w:rsidR="003A3EFF" w:rsidRPr="0002056A">
        <w:rPr>
          <w:rFonts w:ascii="Georgia" w:hAnsi="Georgia"/>
          <w:lang w:val="en-GB"/>
        </w:rPr>
        <w:t>s vulnerability</w:t>
      </w:r>
      <w:r w:rsidR="003A3EFF" w:rsidRPr="0002056A">
        <w:rPr>
          <w:rFonts w:ascii="Georgia" w:hAnsi="Georgia" w:cs="STIX"/>
          <w:lang w:val="en-GB"/>
        </w:rPr>
        <w:t>.</w:t>
      </w:r>
      <w:r w:rsidR="008726BA" w:rsidRPr="0002056A">
        <w:rPr>
          <w:rFonts w:ascii="Georgia" w:hAnsi="Georgia" w:cs="STIX"/>
          <w:lang w:val="en-GB"/>
        </w:rPr>
        <w:t xml:space="preserve"> Consequently, s</w:t>
      </w:r>
      <w:r w:rsidR="006654BC" w:rsidRPr="0002056A">
        <w:rPr>
          <w:rFonts w:ascii="Georgia" w:hAnsi="Georgia" w:cs="Charis SIL"/>
          <w:lang w:val="en-GB"/>
          <w14:ligatures w14:val="standardContextual"/>
        </w:rPr>
        <w:t>ince its adoption</w:t>
      </w:r>
      <w:r w:rsidR="00FA6869">
        <w:rPr>
          <w:rFonts w:ascii="Georgia" w:hAnsi="Georgia" w:cs="Charis SIL"/>
          <w:lang w:val="en-GB"/>
          <w14:ligatures w14:val="standardContextual"/>
        </w:rPr>
        <w:t>,</w:t>
      </w:r>
      <w:r w:rsidR="006654BC" w:rsidRPr="0002056A">
        <w:rPr>
          <w:rFonts w:ascii="Georgia" w:hAnsi="Georgia" w:cs="Charis SIL"/>
          <w:lang w:val="en-GB"/>
          <w14:ligatures w14:val="standardContextual"/>
        </w:rPr>
        <w:t xml:space="preserve"> the Paris Agreement has provided additional momentum </w:t>
      </w:r>
      <w:r w:rsidR="00807522" w:rsidRPr="0002056A">
        <w:rPr>
          <w:rFonts w:ascii="Georgia" w:hAnsi="Georgia" w:cs="Charis SIL"/>
          <w:lang w:val="en-GB"/>
          <w14:ligatures w14:val="standardContextual"/>
        </w:rPr>
        <w:t>to</w:t>
      </w:r>
      <w:r w:rsidR="006654BC" w:rsidRPr="0002056A">
        <w:rPr>
          <w:rFonts w:ascii="Georgia" w:hAnsi="Georgia" w:cs="Charis SIL"/>
          <w:lang w:val="en-GB"/>
          <w14:ligatures w14:val="standardContextual"/>
        </w:rPr>
        <w:t xml:space="preserve"> national adaptation planning</w:t>
      </w:r>
      <w:r w:rsidR="006654BC" w:rsidRPr="0002056A">
        <w:rPr>
          <w:rStyle w:val="Lbjegyzet-hivatkozs"/>
          <w:rFonts w:ascii="Georgia" w:hAnsi="Georgia" w:cs="Charis SIL"/>
          <w:lang w:val="en-GB"/>
          <w14:ligatures w14:val="standardContextual"/>
        </w:rPr>
        <w:footnoteReference w:id="16"/>
      </w:r>
      <w:r w:rsidR="006654BC" w:rsidRPr="0002056A">
        <w:rPr>
          <w:rFonts w:ascii="Georgia" w:hAnsi="Georgia" w:cs="Charis SIL"/>
          <w:lang w:val="en-GB"/>
          <w14:ligatures w14:val="standardContextual"/>
        </w:rPr>
        <w:t>.</w:t>
      </w:r>
      <w:r w:rsidR="00807522" w:rsidRPr="0002056A">
        <w:rPr>
          <w:rFonts w:ascii="Georgia" w:hAnsi="Georgia" w:cs="Charis SIL"/>
          <w:lang w:val="en-GB"/>
          <w14:ligatures w14:val="standardContextual"/>
        </w:rPr>
        <w:t xml:space="preserve"> </w:t>
      </w:r>
      <w:r w:rsidR="000329CB" w:rsidRPr="0002056A">
        <w:rPr>
          <w:rFonts w:ascii="Georgia" w:hAnsi="Georgia" w:cs="Baskerville"/>
          <w:lang w:val="en-GB"/>
        </w:rPr>
        <w:t>A</w:t>
      </w:r>
      <w:r w:rsidRPr="0002056A">
        <w:rPr>
          <w:rFonts w:ascii="Georgia" w:hAnsi="Georgia" w:cs="STIX-Regular"/>
          <w:lang w:val="en-GB"/>
        </w:rPr>
        <w:t xml:space="preserve">fter local or national responsibility </w:t>
      </w:r>
      <w:r w:rsidR="00677D66" w:rsidRPr="0002056A">
        <w:rPr>
          <w:rFonts w:ascii="Georgia" w:hAnsi="Georgia" w:cs="STIX-Regular"/>
          <w:lang w:val="en-GB"/>
        </w:rPr>
        <w:t xml:space="preserve">in adaptation </w:t>
      </w:r>
      <w:r w:rsidRPr="0002056A">
        <w:rPr>
          <w:rFonts w:ascii="Georgia" w:hAnsi="Georgia" w:cs="STIX-Regular"/>
          <w:lang w:val="en-GB"/>
        </w:rPr>
        <w:t>ha</w:t>
      </w:r>
      <w:r w:rsidR="000329CB" w:rsidRPr="0002056A">
        <w:rPr>
          <w:rFonts w:ascii="Georgia" w:hAnsi="Georgia" w:cs="STIX-Regular"/>
          <w:lang w:val="en-GB"/>
        </w:rPr>
        <w:t>d</w:t>
      </w:r>
      <w:r w:rsidRPr="0002056A">
        <w:rPr>
          <w:rFonts w:ascii="Georgia" w:hAnsi="Georgia" w:cs="STIX-Regular"/>
          <w:lang w:val="en-GB"/>
        </w:rPr>
        <w:t xml:space="preserve"> been questioned by several scholars pointing to borderless climate risks, the fact that the Paris Agreement included a “global goal” on adaptation (Article 7.1)</w:t>
      </w:r>
      <w:r w:rsidR="00932196" w:rsidRPr="0002056A">
        <w:rPr>
          <w:rStyle w:val="Lbjegyzet-hivatkozs"/>
          <w:rFonts w:ascii="Georgia" w:hAnsi="Georgia" w:cs="STIX-Regular"/>
          <w:lang w:val="en-GB"/>
        </w:rPr>
        <w:footnoteReference w:id="17"/>
      </w:r>
      <w:r w:rsidRPr="0002056A">
        <w:rPr>
          <w:rFonts w:ascii="Georgia" w:hAnsi="Georgia" w:cs="STIX-Regular"/>
          <w:lang w:val="en-GB"/>
        </w:rPr>
        <w:t xml:space="preserve"> and adaptation is for the first time explicitly recognized as a “global challenge</w:t>
      </w:r>
      <w:r w:rsidR="00677D66" w:rsidRPr="0002056A">
        <w:rPr>
          <w:rFonts w:ascii="Georgia" w:hAnsi="Georgia" w:cs="STIX-Regular"/>
          <w:lang w:val="en-GB"/>
        </w:rPr>
        <w:t>”</w:t>
      </w:r>
      <w:r w:rsidRPr="0002056A">
        <w:rPr>
          <w:rFonts w:ascii="Georgia" w:hAnsi="Georgia" w:cs="STIX-Regular"/>
          <w:lang w:val="en-GB"/>
        </w:rPr>
        <w:t xml:space="preserve"> faced by all spatial levels, including the </w:t>
      </w:r>
      <w:r w:rsidRPr="0002056A">
        <w:rPr>
          <w:rFonts w:ascii="Georgia" w:hAnsi="Georgia" w:cs="STIX-Italic"/>
          <w:lang w:val="en-GB"/>
        </w:rPr>
        <w:t>international one</w:t>
      </w:r>
      <w:r w:rsidR="00677D66" w:rsidRPr="0002056A">
        <w:rPr>
          <w:rFonts w:ascii="Georgia" w:hAnsi="Georgia" w:cs="STIX-Italic"/>
          <w:lang w:val="en-GB"/>
        </w:rPr>
        <w:t>, somehow strengthened the emphasis on supranational dimensions in adaptation</w:t>
      </w:r>
      <w:r w:rsidRPr="0002056A">
        <w:rPr>
          <w:rFonts w:ascii="Georgia" w:hAnsi="Georgia" w:cs="STIX-Regular"/>
          <w:lang w:val="en-GB"/>
        </w:rPr>
        <w:t xml:space="preserve"> (</w:t>
      </w:r>
      <w:r w:rsidRPr="0002056A">
        <w:rPr>
          <w:rFonts w:ascii="Georgia" w:hAnsi="Georgia" w:cs="STIX-Regular"/>
          <w:smallCaps/>
          <w:lang w:val="en-GB"/>
        </w:rPr>
        <w:t>Benzie&amp;Persson, 2019</w:t>
      </w:r>
      <w:r w:rsidRPr="0002056A">
        <w:rPr>
          <w:rFonts w:ascii="Georgia" w:hAnsi="Georgia" w:cs="STIX-Regular"/>
          <w:lang w:val="en-GB"/>
        </w:rPr>
        <w:t>).</w:t>
      </w:r>
      <w:r w:rsidR="006654BC" w:rsidRPr="0002056A">
        <w:rPr>
          <w:rFonts w:ascii="Georgia" w:hAnsi="Georgia" w:cs="STIX-Regular"/>
          <w:lang w:val="en-GB"/>
        </w:rPr>
        <w:t xml:space="preserve"> </w:t>
      </w:r>
    </w:p>
    <w:p w14:paraId="3FD391E0" w14:textId="567F1C46" w:rsidR="004E603D" w:rsidRPr="0002056A" w:rsidRDefault="004E603D" w:rsidP="00CD5BF3">
      <w:pPr>
        <w:spacing w:before="120" w:after="120"/>
        <w:jc w:val="both"/>
        <w:rPr>
          <w:rFonts w:ascii="Georgia" w:eastAsia="AGaramondPro-Regular" w:hAnsi="Georgia" w:cs="AGaramondPro-Semibold"/>
          <w:lang w:val="en-GB"/>
          <w14:ligatures w14:val="standardContextual"/>
        </w:rPr>
      </w:pPr>
      <w:r w:rsidRPr="0002056A">
        <w:rPr>
          <w:rFonts w:ascii="Georgia" w:hAnsi="Georgia" w:cs="ArialMT"/>
          <w:lang w:val="en-GB"/>
          <w14:ligatures w14:val="standardContextual"/>
        </w:rPr>
        <w:t xml:space="preserve">The </w:t>
      </w:r>
      <w:r w:rsidR="001345D5" w:rsidRPr="0002056A">
        <w:rPr>
          <w:rFonts w:ascii="Georgia" w:hAnsi="Georgia" w:cs="ArialMT"/>
          <w:lang w:val="en-GB"/>
          <w14:ligatures w14:val="standardContextual"/>
        </w:rPr>
        <w:t xml:space="preserve">other 2015 document, the </w:t>
      </w:r>
      <w:r w:rsidRPr="0002056A">
        <w:rPr>
          <w:rFonts w:ascii="Georgia" w:hAnsi="Georgia" w:cs="ArialMT"/>
          <w:b/>
          <w:bCs/>
          <w:lang w:val="en-GB"/>
          <w14:ligatures w14:val="standardContextual"/>
        </w:rPr>
        <w:t>UN’s 2030 Agenda on Sustainable Development</w:t>
      </w:r>
      <w:r w:rsidR="00FA6869">
        <w:rPr>
          <w:rFonts w:ascii="Georgia" w:hAnsi="Georgia" w:cs="ArialMT"/>
          <w:b/>
          <w:bCs/>
          <w:lang w:val="en-GB"/>
          <w14:ligatures w14:val="standardContextual"/>
        </w:rPr>
        <w:t>,</w:t>
      </w:r>
      <w:r w:rsidRPr="0002056A">
        <w:rPr>
          <w:rFonts w:ascii="Georgia" w:hAnsi="Georgia" w:cs="ArialMT"/>
          <w:lang w:val="en-GB"/>
          <w14:ligatures w14:val="standardContextual"/>
        </w:rPr>
        <w:t xml:space="preserve"> </w:t>
      </w:r>
      <w:r w:rsidRPr="0002056A">
        <w:rPr>
          <w:rFonts w:ascii="Georgia" w:hAnsi="Georgia" w:cs="Baskerville"/>
          <w:lang w:val="en-GB"/>
        </w:rPr>
        <w:t xml:space="preserve">reinforced </w:t>
      </w:r>
      <w:r w:rsidR="001345D5" w:rsidRPr="0002056A">
        <w:rPr>
          <w:rFonts w:ascii="Georgia" w:hAnsi="Georgia" w:cs="Baskerville"/>
          <w:lang w:val="en-GB"/>
        </w:rPr>
        <w:t xml:space="preserve">further </w:t>
      </w:r>
      <w:r w:rsidRPr="0002056A">
        <w:rPr>
          <w:rFonts w:ascii="Georgia" w:hAnsi="Georgia" w:cs="Baskerville"/>
          <w:lang w:val="en-GB"/>
        </w:rPr>
        <w:t>the international objectives on adaptation. It</w:t>
      </w:r>
      <w:r w:rsidRPr="0002056A">
        <w:rPr>
          <w:rFonts w:ascii="Georgia" w:hAnsi="Georgia" w:cs="ArialMT"/>
          <w:lang w:val="en-GB"/>
          <w14:ligatures w14:val="standardContextual"/>
        </w:rPr>
        <w:t xml:space="preserve"> underlined the need for cooperation with regional and local authorities and </w:t>
      </w:r>
      <w:r w:rsidRPr="0002056A">
        <w:rPr>
          <w:rFonts w:ascii="Georgia" w:hAnsi="Georgia" w:cs="Baskerville"/>
          <w:lang w:val="en-GB"/>
        </w:rPr>
        <w:t>encourage</w:t>
      </w:r>
      <w:r w:rsidR="001345D5" w:rsidRPr="0002056A">
        <w:rPr>
          <w:rFonts w:ascii="Georgia" w:hAnsi="Georgia" w:cs="Baskerville"/>
          <w:lang w:val="en-GB"/>
        </w:rPr>
        <w:t>d</w:t>
      </w:r>
      <w:r w:rsidRPr="0002056A">
        <w:rPr>
          <w:rFonts w:ascii="Georgia" w:hAnsi="Georgia" w:cs="Baskerville"/>
          <w:lang w:val="en-GB"/>
        </w:rPr>
        <w:t xml:space="preserve"> countries to implement both mitigation and adaptation actions. Its </w:t>
      </w:r>
      <w:r w:rsidRPr="0002056A">
        <w:rPr>
          <w:rFonts w:ascii="Georgia" w:hAnsi="Georgia" w:cs="Calibri"/>
          <w:lang w:val="en-GB"/>
          <w14:ligatures w14:val="standardContextual"/>
        </w:rPr>
        <w:t>Goal 13</w:t>
      </w:r>
      <w:r w:rsidR="00FA6869">
        <w:rPr>
          <w:rFonts w:ascii="Georgia" w:hAnsi="Georgia" w:cs="Calibri"/>
          <w:lang w:val="en-GB"/>
          <w14:ligatures w14:val="standardContextual"/>
        </w:rPr>
        <w:t xml:space="preserve">, “Climate Action,” calls for urgent interventions to combat the impacts of climate change </w:t>
      </w:r>
      <w:r w:rsidR="00B81691" w:rsidRPr="0002056A">
        <w:rPr>
          <w:rFonts w:ascii="Georgia" w:eastAsia="Times New Roman" w:hAnsi="Georgia" w:cs="Courier New"/>
          <w:lang w:val="en-GB" w:eastAsia="hu-HU"/>
        </w:rPr>
        <w:t>(</w:t>
      </w:r>
      <w:r w:rsidR="00B81691" w:rsidRPr="0002056A">
        <w:rPr>
          <w:rFonts w:ascii="Georgia" w:eastAsia="Times New Roman" w:hAnsi="Georgia" w:cs="Courier New"/>
          <w:smallCaps/>
          <w:lang w:val="en-GB" w:eastAsia="hu-HU"/>
        </w:rPr>
        <w:t>UN General Assembly, 2015</w:t>
      </w:r>
      <w:r w:rsidR="00B81691" w:rsidRPr="0002056A">
        <w:rPr>
          <w:rFonts w:ascii="Georgia" w:eastAsia="Times New Roman" w:hAnsi="Georgia" w:cs="Courier New"/>
          <w:lang w:val="en-GB" w:eastAsia="hu-HU"/>
        </w:rPr>
        <w:t>).</w:t>
      </w:r>
      <w:r w:rsidR="00B60A31" w:rsidRPr="0002056A">
        <w:rPr>
          <w:rFonts w:ascii="Georgia" w:eastAsia="Times New Roman" w:hAnsi="Georgia" w:cs="Courier New"/>
          <w:lang w:val="en-GB" w:eastAsia="hu-HU"/>
        </w:rPr>
        <w:t xml:space="preserve"> The third </w:t>
      </w:r>
      <w:r w:rsidR="00CE200D" w:rsidRPr="0002056A">
        <w:rPr>
          <w:rFonts w:ascii="Georgia" w:eastAsia="Times New Roman" w:hAnsi="Georgia" w:cs="Courier New"/>
          <w:lang w:val="en-GB" w:eastAsia="hu-HU"/>
        </w:rPr>
        <w:t>document</w:t>
      </w:r>
      <w:r w:rsidR="00B60A31" w:rsidRPr="0002056A">
        <w:rPr>
          <w:rFonts w:ascii="Georgia" w:eastAsia="Times New Roman" w:hAnsi="Georgia" w:cs="Courier New"/>
          <w:lang w:val="en-GB" w:eastAsia="hu-HU"/>
        </w:rPr>
        <w:t>, t</w:t>
      </w:r>
      <w:r w:rsidRPr="0002056A">
        <w:rPr>
          <w:rFonts w:ascii="Georgia" w:hAnsi="Georgia" w:cs="ArialMT"/>
          <w:lang w:val="en-GB"/>
          <w14:ligatures w14:val="standardContextual"/>
        </w:rPr>
        <w:t xml:space="preserve">he </w:t>
      </w:r>
      <w:r w:rsidRPr="0002056A">
        <w:rPr>
          <w:rFonts w:ascii="Georgia" w:hAnsi="Georgia" w:cs="ArialMT"/>
          <w:b/>
          <w:bCs/>
          <w:lang w:val="en-GB"/>
          <w14:ligatures w14:val="standardContextual"/>
        </w:rPr>
        <w:t>Sendai Framework for Disaster Risk Reduction 2015-2030</w:t>
      </w:r>
      <w:r w:rsidR="00FA6869">
        <w:rPr>
          <w:rFonts w:ascii="Georgia" w:hAnsi="Georgia" w:cs="ArialMT"/>
          <w:b/>
          <w:bCs/>
          <w:lang w:val="en-GB"/>
          <w14:ligatures w14:val="standardContextual"/>
        </w:rPr>
        <w:t>,</w:t>
      </w:r>
      <w:r w:rsidRPr="0002056A">
        <w:rPr>
          <w:rFonts w:ascii="Georgia" w:hAnsi="Georgia" w:cs="ArialMT"/>
          <w:lang w:val="en-GB"/>
          <w14:ligatures w14:val="standardContextual"/>
        </w:rPr>
        <w:t xml:space="preserve"> </w:t>
      </w:r>
      <w:r w:rsidRPr="0002056A">
        <w:rPr>
          <w:rFonts w:ascii="Georgia" w:hAnsi="Georgia" w:cs="Baskerville"/>
          <w:lang w:val="en-GB"/>
        </w:rPr>
        <w:t>provide</w:t>
      </w:r>
      <w:r w:rsidR="00B60A31" w:rsidRPr="0002056A">
        <w:rPr>
          <w:rFonts w:ascii="Georgia" w:hAnsi="Georgia" w:cs="Baskerville"/>
          <w:lang w:val="en-GB"/>
        </w:rPr>
        <w:t>d</w:t>
      </w:r>
      <w:r w:rsidRPr="0002056A">
        <w:rPr>
          <w:rFonts w:ascii="Georgia" w:hAnsi="Georgia" w:cs="Baskerville"/>
          <w:lang w:val="en-GB"/>
        </w:rPr>
        <w:t xml:space="preserve"> a comprehensive approach to managing disaster risks, including those caused by climate change. </w:t>
      </w:r>
      <w:r w:rsidRPr="0002056A">
        <w:rPr>
          <w:rFonts w:ascii="Georgia" w:hAnsi="Georgia" w:cs="ArialMT"/>
          <w:lang w:val="en-GB"/>
          <w14:ligatures w14:val="standardContextual"/>
        </w:rPr>
        <w:t>It underscored the importance of local actions, international</w:t>
      </w:r>
      <w:r w:rsidR="00F65D14" w:rsidRPr="0002056A">
        <w:rPr>
          <w:rFonts w:ascii="Georgia" w:hAnsi="Georgia" w:cs="ArialMT"/>
          <w:lang w:val="en-GB"/>
          <w14:ligatures w14:val="standardContextual"/>
        </w:rPr>
        <w:t>,</w:t>
      </w:r>
      <w:r w:rsidRPr="0002056A">
        <w:rPr>
          <w:rFonts w:ascii="Georgia" w:hAnsi="Georgia" w:cs="ArialMT"/>
          <w:lang w:val="en-GB"/>
          <w14:ligatures w14:val="standardContextual"/>
        </w:rPr>
        <w:t xml:space="preserve"> regional, subregional and transboundary cooperation, urging the elaboration of local</w:t>
      </w:r>
      <w:r w:rsidR="00F65D14" w:rsidRPr="0002056A">
        <w:rPr>
          <w:rFonts w:ascii="Georgia" w:hAnsi="Georgia" w:cs="ArialMT"/>
          <w:lang w:val="en-GB"/>
          <w14:ligatures w14:val="standardContextual"/>
        </w:rPr>
        <w:t xml:space="preserve"> </w:t>
      </w:r>
      <w:r w:rsidRPr="0002056A">
        <w:rPr>
          <w:rFonts w:ascii="Georgia" w:hAnsi="Georgia" w:cs="ArialMT"/>
          <w:lang w:val="en-GB"/>
          <w14:ligatures w14:val="standardContextual"/>
        </w:rPr>
        <w:t xml:space="preserve">and national disaster risk management strategies, and the need </w:t>
      </w:r>
      <w:r w:rsidR="00FA6869">
        <w:rPr>
          <w:rFonts w:ascii="Georgia" w:hAnsi="Georgia" w:cs="ArialMT"/>
          <w:lang w:val="en-GB"/>
          <w14:ligatures w14:val="standardContextual"/>
        </w:rPr>
        <w:t>to</w:t>
      </w:r>
      <w:r w:rsidRPr="0002056A">
        <w:rPr>
          <w:rFonts w:ascii="Georgia" w:hAnsi="Georgia" w:cs="ArialMT"/>
          <w:lang w:val="en-GB"/>
          <w14:ligatures w14:val="standardContextual"/>
        </w:rPr>
        <w:t xml:space="preserve"> empower local authorities and comm</w:t>
      </w:r>
      <w:r w:rsidR="005E31E7" w:rsidRPr="0002056A">
        <w:rPr>
          <w:rFonts w:ascii="Georgia" w:hAnsi="Georgia" w:cs="ArialMT"/>
          <w:lang w:val="en-GB"/>
          <w14:ligatures w14:val="standardContextual"/>
        </w:rPr>
        <w:t>u</w:t>
      </w:r>
      <w:r w:rsidRPr="0002056A">
        <w:rPr>
          <w:rFonts w:ascii="Georgia" w:hAnsi="Georgia" w:cs="ArialMT"/>
          <w:lang w:val="en-GB"/>
          <w14:ligatures w14:val="standardContextual"/>
        </w:rPr>
        <w:t>nities for action to understand specific local risks better</w:t>
      </w:r>
      <w:r w:rsidR="00B75A27" w:rsidRPr="0002056A">
        <w:rPr>
          <w:rFonts w:ascii="Georgia" w:hAnsi="Georgia" w:cs="ArialMT"/>
          <w:lang w:val="en-GB"/>
          <w14:ligatures w14:val="standardContextual"/>
        </w:rPr>
        <w:t xml:space="preserve"> </w:t>
      </w:r>
      <w:r w:rsidR="00B75A27" w:rsidRPr="0002056A">
        <w:rPr>
          <w:rFonts w:ascii="Georgia" w:eastAsia="Times New Roman" w:hAnsi="Georgia" w:cs="Courier New"/>
          <w:lang w:val="en-GB" w:eastAsia="hu-HU"/>
        </w:rPr>
        <w:t>(UNISDR, 2015)</w:t>
      </w:r>
      <w:r w:rsidR="00B75A27" w:rsidRPr="0002056A">
        <w:rPr>
          <w:rFonts w:ascii="Georgia" w:hAnsi="Georgia" w:cs="Calibri"/>
          <w:lang w:val="en-GB"/>
          <w14:ligatures w14:val="standardContextual"/>
        </w:rPr>
        <w:t>.</w:t>
      </w:r>
      <w:r w:rsidR="00F65D14" w:rsidRPr="0002056A">
        <w:rPr>
          <w:rFonts w:ascii="Georgia" w:hAnsi="Georgia" w:cs="Calibri"/>
          <w:lang w:val="en-GB"/>
          <w14:ligatures w14:val="standardContextual"/>
        </w:rPr>
        <w:t xml:space="preserve"> We can see: all three documents from 2015 </w:t>
      </w:r>
      <w:r w:rsidR="00FA6869">
        <w:rPr>
          <w:rFonts w:ascii="Georgia" w:hAnsi="Georgia" w:cs="Calibri"/>
          <w:lang w:val="en-GB"/>
          <w14:ligatures w14:val="standardContextual"/>
        </w:rPr>
        <w:t>underline</w:t>
      </w:r>
      <w:r w:rsidR="00FA6869" w:rsidRPr="0002056A">
        <w:rPr>
          <w:rFonts w:ascii="Georgia" w:hAnsi="Georgia" w:cs="Calibri"/>
          <w:lang w:val="en-GB"/>
          <w14:ligatures w14:val="standardContextual"/>
        </w:rPr>
        <w:t xml:space="preserve"> </w:t>
      </w:r>
      <w:r w:rsidR="00E13F5F" w:rsidRPr="0002056A">
        <w:rPr>
          <w:rFonts w:ascii="Georgia" w:hAnsi="Georgia" w:cs="Calibri"/>
          <w:lang w:val="en-GB"/>
          <w14:ligatures w14:val="standardContextual"/>
        </w:rPr>
        <w:t>the importance of adaptation planning, especially at national, subnational and local levels</w:t>
      </w:r>
      <w:r w:rsidR="00E13F5F" w:rsidRPr="0002056A">
        <w:rPr>
          <w:rFonts w:ascii="Georgia" w:hAnsi="Georgia" w:cs="ArialMT"/>
          <w:lang w:val="en-GB"/>
          <w14:ligatures w14:val="standardContextual"/>
        </w:rPr>
        <w:t xml:space="preserve">. </w:t>
      </w:r>
      <w:r w:rsidRPr="0002056A">
        <w:rPr>
          <w:rFonts w:ascii="Georgia" w:hAnsi="Georgia" w:cs="ArialMT"/>
          <w:lang w:val="en-GB"/>
          <w14:ligatures w14:val="standardContextual"/>
        </w:rPr>
        <w:t xml:space="preserve">They also emphasised the importance of multi-level governance and active involvement of settlements and regions. NAS and NAP documents from that </w:t>
      </w:r>
      <w:r w:rsidR="00305BD2" w:rsidRPr="0002056A">
        <w:rPr>
          <w:rFonts w:ascii="Georgia" w:hAnsi="Georgia" w:cs="ArialMT"/>
          <w:lang w:val="en-GB"/>
          <w14:ligatures w14:val="standardContextual"/>
        </w:rPr>
        <w:t>period su</w:t>
      </w:r>
      <w:r w:rsidRPr="0002056A">
        <w:rPr>
          <w:rFonts w:ascii="Georgia" w:hAnsi="Georgia" w:cs="ArialMT"/>
          <w:lang w:val="en-GB"/>
          <w14:ligatures w14:val="standardContextual"/>
        </w:rPr>
        <w:t>ggest that national governments increasingly take into consideration local climate action (OECD, 2023).</w:t>
      </w:r>
    </w:p>
    <w:p w14:paraId="079646A2" w14:textId="7F3E288F" w:rsidR="00A46AAE" w:rsidRPr="0002056A" w:rsidRDefault="004E603D" w:rsidP="00CD5BF3">
      <w:pPr>
        <w:spacing w:before="120" w:after="120"/>
        <w:jc w:val="both"/>
        <w:rPr>
          <w:rFonts w:ascii="Georgia" w:hAnsi="Georgia"/>
          <w:lang w:val="en-GB"/>
        </w:rPr>
      </w:pPr>
      <w:r w:rsidRPr="0002056A">
        <w:rPr>
          <w:rFonts w:ascii="Georgia" w:hAnsi="Georgia"/>
          <w:lang w:val="en-GB"/>
        </w:rPr>
        <w:t xml:space="preserve">The last </w:t>
      </w:r>
      <w:r w:rsidR="00D3249C" w:rsidRPr="0002056A">
        <w:rPr>
          <w:rFonts w:ascii="Georgia" w:hAnsi="Georgia"/>
          <w:lang w:val="en-GB"/>
        </w:rPr>
        <w:t>five</w:t>
      </w:r>
      <w:r w:rsidRPr="0002056A">
        <w:rPr>
          <w:rFonts w:ascii="Georgia" w:hAnsi="Georgia"/>
          <w:lang w:val="en-GB"/>
        </w:rPr>
        <w:t xml:space="preserve"> </w:t>
      </w:r>
      <w:r w:rsidR="00D3249C" w:rsidRPr="0002056A">
        <w:rPr>
          <w:rFonts w:ascii="Georgia" w:hAnsi="Georgia"/>
          <w:lang w:val="en-GB"/>
        </w:rPr>
        <w:t xml:space="preserve">UNFCCC </w:t>
      </w:r>
      <w:r w:rsidRPr="0002056A">
        <w:rPr>
          <w:rFonts w:ascii="Georgia" w:hAnsi="Georgia"/>
          <w:lang w:val="en-GB"/>
        </w:rPr>
        <w:t>COPs, after some idle years again tried to bring conclusions</w:t>
      </w:r>
      <w:r w:rsidR="00305BD2" w:rsidRPr="0002056A">
        <w:rPr>
          <w:rFonts w:ascii="Georgia" w:hAnsi="Georgia"/>
          <w:lang w:val="en-GB"/>
        </w:rPr>
        <w:t xml:space="preserve"> </w:t>
      </w:r>
      <w:r w:rsidRPr="0002056A">
        <w:rPr>
          <w:rFonts w:ascii="Georgia" w:hAnsi="Georgia"/>
          <w:lang w:val="en-GB"/>
        </w:rPr>
        <w:t>in some important issues with mixed results</w:t>
      </w:r>
      <w:r w:rsidR="00D3249C" w:rsidRPr="0002056A">
        <w:rPr>
          <w:rFonts w:ascii="Georgia" w:hAnsi="Georgia"/>
          <w:lang w:val="en-GB"/>
        </w:rPr>
        <w:t>. Spatiality, unfortunately,</w:t>
      </w:r>
      <w:r w:rsidRPr="0002056A">
        <w:rPr>
          <w:rFonts w:ascii="Georgia" w:hAnsi="Georgia"/>
          <w:lang w:val="en-GB"/>
        </w:rPr>
        <w:t xml:space="preserve"> emerg</w:t>
      </w:r>
      <w:r w:rsidR="00305BD2" w:rsidRPr="0002056A">
        <w:rPr>
          <w:rFonts w:ascii="Georgia" w:hAnsi="Georgia"/>
          <w:lang w:val="en-GB"/>
        </w:rPr>
        <w:t xml:space="preserve">ed among these issues </w:t>
      </w:r>
      <w:r w:rsidR="006C494D" w:rsidRPr="0002056A">
        <w:rPr>
          <w:rFonts w:ascii="Georgia" w:hAnsi="Georgia"/>
          <w:lang w:val="en-GB"/>
        </w:rPr>
        <w:lastRenderedPageBreak/>
        <w:t xml:space="preserve">only </w:t>
      </w:r>
      <w:r w:rsidRPr="0002056A">
        <w:rPr>
          <w:rFonts w:ascii="Georgia" w:hAnsi="Georgia"/>
          <w:lang w:val="en-GB"/>
        </w:rPr>
        <w:t>on and off</w:t>
      </w:r>
      <w:r w:rsidR="00D3249C" w:rsidRPr="0002056A">
        <w:rPr>
          <w:rFonts w:ascii="Georgia" w:hAnsi="Georgia"/>
          <w:lang w:val="en-GB"/>
        </w:rPr>
        <w:t>,</w:t>
      </w:r>
      <w:r w:rsidRPr="0002056A">
        <w:rPr>
          <w:rFonts w:ascii="Georgia" w:hAnsi="Georgia"/>
          <w:lang w:val="en-GB"/>
        </w:rPr>
        <w:t xml:space="preserve"> as a </w:t>
      </w:r>
      <w:r w:rsidR="00216AD0" w:rsidRPr="0002056A">
        <w:rPr>
          <w:rFonts w:ascii="Georgia" w:hAnsi="Georgia"/>
          <w:lang w:val="en-GB"/>
        </w:rPr>
        <w:t>side topic</w:t>
      </w:r>
      <w:r w:rsidRPr="0002056A">
        <w:rPr>
          <w:rFonts w:ascii="Georgia" w:hAnsi="Georgia"/>
          <w:lang w:val="en-GB"/>
        </w:rPr>
        <w:t xml:space="preserve">. The </w:t>
      </w:r>
      <w:r w:rsidRPr="0002056A">
        <w:rPr>
          <w:rFonts w:ascii="Georgia" w:hAnsi="Georgia"/>
          <w:b/>
          <w:bCs/>
          <w:lang w:val="en-GB"/>
        </w:rPr>
        <w:t>COP26 in Glasgow</w:t>
      </w:r>
      <w:r w:rsidRPr="0002056A">
        <w:rPr>
          <w:rFonts w:ascii="Georgia" w:hAnsi="Georgia"/>
          <w:lang w:val="en-GB"/>
        </w:rPr>
        <w:t xml:space="preserve"> promoted the Paris </w:t>
      </w:r>
      <w:r w:rsidR="006C494D" w:rsidRPr="0002056A">
        <w:rPr>
          <w:rFonts w:ascii="Georgia" w:hAnsi="Georgia"/>
          <w:lang w:val="en-GB"/>
        </w:rPr>
        <w:t>A</w:t>
      </w:r>
      <w:r w:rsidRPr="0002056A">
        <w:rPr>
          <w:rFonts w:ascii="Georgia" w:hAnsi="Georgia"/>
          <w:lang w:val="en-GB"/>
        </w:rPr>
        <w:t xml:space="preserve">greement’s implementation by </w:t>
      </w:r>
      <w:r w:rsidR="00FA6869">
        <w:rPr>
          <w:rFonts w:ascii="Georgia" w:hAnsi="Georgia"/>
          <w:lang w:val="en-GB"/>
        </w:rPr>
        <w:t>finalising</w:t>
      </w:r>
      <w:r w:rsidR="00FA6869" w:rsidRPr="0002056A">
        <w:rPr>
          <w:rFonts w:ascii="Georgia" w:hAnsi="Georgia"/>
          <w:lang w:val="en-GB"/>
        </w:rPr>
        <w:t xml:space="preserve"> </w:t>
      </w:r>
      <w:r w:rsidRPr="0002056A">
        <w:rPr>
          <w:rFonts w:ascii="Georgia" w:hAnsi="Georgia"/>
          <w:lang w:val="en-GB"/>
        </w:rPr>
        <w:t>the outstanding elements of Paris by targeting adaptation finance, technology transfer and capacity building (</w:t>
      </w:r>
      <w:r w:rsidRPr="0002056A">
        <w:rPr>
          <w:rFonts w:ascii="Georgia" w:hAnsi="Georgia" w:cstheme="minorHAnsi"/>
          <w:smallCaps/>
          <w:lang w:val="en-GB"/>
        </w:rPr>
        <w:t>Leiter</w:t>
      </w:r>
      <w:r w:rsidRPr="0002056A">
        <w:rPr>
          <w:rFonts w:ascii="Georgia" w:hAnsi="Georgia"/>
          <w:lang w:val="en-GB"/>
        </w:rPr>
        <w:t xml:space="preserve">, 2021; </w:t>
      </w:r>
      <w:r w:rsidRPr="0002056A">
        <w:rPr>
          <w:rFonts w:ascii="Georgia" w:hAnsi="Georgia" w:cstheme="minorHAnsi"/>
          <w:smallCaps/>
          <w:lang w:val="en-GB"/>
        </w:rPr>
        <w:t>Ottaviani Aalmo</w:t>
      </w:r>
      <w:r w:rsidRPr="0002056A">
        <w:rPr>
          <w:rFonts w:ascii="Georgia" w:hAnsi="Georgia"/>
          <w:smallCaps/>
          <w:lang w:val="en-GB"/>
        </w:rPr>
        <w:t xml:space="preserve"> et al</w:t>
      </w:r>
      <w:r w:rsidRPr="0002056A">
        <w:rPr>
          <w:rFonts w:ascii="Georgia" w:hAnsi="Georgia"/>
          <w:lang w:val="en-GB"/>
        </w:rPr>
        <w:t>., 2022). Several minor issues were solved</w:t>
      </w:r>
      <w:r w:rsidR="00FA6869">
        <w:rPr>
          <w:rFonts w:ascii="Georgia" w:hAnsi="Georgia"/>
          <w:lang w:val="en-GB"/>
        </w:rPr>
        <w:t xml:space="preserve">, but no bigger ones were </w:t>
      </w:r>
      <w:r w:rsidRPr="0002056A">
        <w:rPr>
          <w:rFonts w:ascii="Georgia" w:hAnsi="Georgia"/>
          <w:lang w:val="en-GB"/>
        </w:rPr>
        <w:t xml:space="preserve">managed. </w:t>
      </w:r>
      <w:r w:rsidR="00D977ED" w:rsidRPr="0002056A">
        <w:rPr>
          <w:rFonts w:ascii="Georgia" w:hAnsi="Georgia"/>
          <w:lang w:val="en-GB"/>
        </w:rPr>
        <w:t xml:space="preserve">The main problem was the lack of solutions in specific regulations and financial issues. </w:t>
      </w:r>
      <w:r w:rsidRPr="0002056A">
        <w:rPr>
          <w:rFonts w:ascii="Georgia" w:hAnsi="Georgia"/>
          <w:lang w:val="en-GB"/>
        </w:rPr>
        <w:t xml:space="preserve">The Glasgow Climate Pact was agreed </w:t>
      </w:r>
      <w:r w:rsidR="00FA6869">
        <w:rPr>
          <w:rFonts w:ascii="Georgia" w:hAnsi="Georgia"/>
          <w:lang w:val="en-GB"/>
        </w:rPr>
        <w:t>upon with exclusively mitigation targets, and</w:t>
      </w:r>
      <w:r w:rsidRPr="0002056A">
        <w:rPr>
          <w:rFonts w:ascii="Georgia" w:hAnsi="Georgia"/>
          <w:lang w:val="en-GB"/>
        </w:rPr>
        <w:t xml:space="preserve"> a new ETS framework was adopted</w:t>
      </w:r>
      <w:r w:rsidR="006C494D" w:rsidRPr="0002056A">
        <w:rPr>
          <w:rFonts w:ascii="Georgia" w:hAnsi="Georgia"/>
          <w:lang w:val="en-GB"/>
        </w:rPr>
        <w:t>. In the field of adaptation</w:t>
      </w:r>
      <w:r w:rsidR="00FA6869">
        <w:rPr>
          <w:rFonts w:ascii="Georgia" w:hAnsi="Georgia"/>
          <w:lang w:val="en-GB"/>
        </w:rPr>
        <w:t>,</w:t>
      </w:r>
      <w:r w:rsidR="006C494D" w:rsidRPr="0002056A">
        <w:rPr>
          <w:rFonts w:ascii="Georgia" w:hAnsi="Georgia"/>
          <w:lang w:val="en-GB"/>
        </w:rPr>
        <w:t xml:space="preserve"> </w:t>
      </w:r>
      <w:r w:rsidRPr="0002056A">
        <w:rPr>
          <w:rFonts w:ascii="Georgia" w:hAnsi="Georgia"/>
          <w:lang w:val="en-GB"/>
        </w:rPr>
        <w:t xml:space="preserve">all parties undertook to review and update their NASs. </w:t>
      </w:r>
    </w:p>
    <w:p w14:paraId="0C9CEFAD" w14:textId="2152034D" w:rsidR="004E603D" w:rsidRPr="0002056A" w:rsidRDefault="004E603D" w:rsidP="00CD5BF3">
      <w:pPr>
        <w:spacing w:before="120" w:after="120"/>
        <w:jc w:val="both"/>
        <w:rPr>
          <w:rFonts w:ascii="Georgia" w:hAnsi="Georgia"/>
          <w:lang w:val="en-GB"/>
        </w:rPr>
      </w:pPr>
      <w:r w:rsidRPr="0002056A">
        <w:rPr>
          <w:rFonts w:ascii="Georgia" w:hAnsi="Georgia"/>
          <w:lang w:val="en-GB"/>
        </w:rPr>
        <w:t xml:space="preserve">After Sharm-el-Sheikh, the </w:t>
      </w:r>
      <w:r w:rsidRPr="0002056A">
        <w:rPr>
          <w:rFonts w:ascii="Georgia" w:hAnsi="Georgia"/>
          <w:b/>
          <w:bCs/>
          <w:lang w:val="en-GB"/>
        </w:rPr>
        <w:t>COP 28 took place in Dubai</w:t>
      </w:r>
      <w:r w:rsidRPr="0002056A">
        <w:rPr>
          <w:rFonts w:ascii="Georgia" w:hAnsi="Georgia"/>
          <w:lang w:val="en-GB"/>
        </w:rPr>
        <w:t xml:space="preserve"> at the end of 2023 and closed with an agreement that </w:t>
      </w:r>
      <w:r w:rsidR="00FA6869">
        <w:rPr>
          <w:rFonts w:ascii="Georgia" w:hAnsi="Georgia"/>
          <w:lang w:val="en-GB"/>
        </w:rPr>
        <w:t xml:space="preserve">laid the ground for a swift, just and equitable decarbonisation and transition process, marked by a </w:t>
      </w:r>
      <w:r w:rsidRPr="0002056A">
        <w:rPr>
          <w:rFonts w:ascii="Georgia" w:hAnsi="Georgia"/>
          <w:lang w:val="en-GB"/>
        </w:rPr>
        <w:t>strong cut of emissions and scaled-up finance</w:t>
      </w:r>
      <w:r w:rsidRPr="0002056A">
        <w:rPr>
          <w:rStyle w:val="Lbjegyzet-hivatkozs"/>
          <w:rFonts w:ascii="Georgia" w:hAnsi="Georgia"/>
          <w:lang w:val="en-GB"/>
        </w:rPr>
        <w:footnoteReference w:id="18"/>
      </w:r>
      <w:r w:rsidRPr="0002056A">
        <w:rPr>
          <w:rFonts w:ascii="Georgia" w:hAnsi="Georgia"/>
          <w:lang w:val="en-GB"/>
        </w:rPr>
        <w:t>. The new targets set for 2030 were again exclusively decarbonisation</w:t>
      </w:r>
      <w:r w:rsidR="00D977ED" w:rsidRPr="0002056A">
        <w:rPr>
          <w:rFonts w:ascii="Georgia" w:hAnsi="Georgia"/>
          <w:lang w:val="en-GB"/>
        </w:rPr>
        <w:t>-</w:t>
      </w:r>
      <w:r w:rsidRPr="0002056A">
        <w:rPr>
          <w:rFonts w:ascii="Georgia" w:hAnsi="Georgia"/>
          <w:lang w:val="en-GB"/>
        </w:rPr>
        <w:t>oriented</w:t>
      </w:r>
      <w:r w:rsidR="00FA6869">
        <w:rPr>
          <w:rFonts w:ascii="Georgia" w:hAnsi="Georgia"/>
          <w:lang w:val="en-GB"/>
        </w:rPr>
        <w:t>, but to support the achievement of the still general global goal of adaptation, work on the elaboration of an indicator system started in</w:t>
      </w:r>
      <w:r w:rsidRPr="0002056A">
        <w:rPr>
          <w:rFonts w:ascii="Georgia" w:hAnsi="Georgia"/>
          <w:lang w:val="en-GB"/>
        </w:rPr>
        <w:t xml:space="preserve"> Dubai. The first global review of the Paris Agreement concluded</w:t>
      </w:r>
      <w:r w:rsidR="004A0B29" w:rsidRPr="0002056A">
        <w:rPr>
          <w:rFonts w:ascii="Georgia" w:hAnsi="Georgia"/>
          <w:lang w:val="en-GB"/>
        </w:rPr>
        <w:t xml:space="preserve"> that</w:t>
      </w:r>
      <w:r w:rsidRPr="0002056A">
        <w:rPr>
          <w:rFonts w:ascii="Georgia" w:hAnsi="Georgia"/>
          <w:lang w:val="en-GB"/>
        </w:rPr>
        <w:t xml:space="preserve"> climate adaptation work continued to fail in its implementation, support and evaluation. </w:t>
      </w:r>
      <w:r w:rsidR="00A538D5" w:rsidRPr="0002056A">
        <w:rPr>
          <w:rFonts w:ascii="Georgia" w:hAnsi="Georgia" w:cs="Marianne"/>
          <w:lang w:val="en-GB"/>
          <w14:ligatures w14:val="standardContextual"/>
        </w:rPr>
        <w:t>To improve the situation</w:t>
      </w:r>
      <w:r w:rsidR="00FA6869">
        <w:rPr>
          <w:rFonts w:ascii="Georgia" w:hAnsi="Georgia" w:cs="Marianne"/>
          <w:lang w:val="en-GB"/>
          <w14:ligatures w14:val="standardContextual"/>
        </w:rPr>
        <w:t>,</w:t>
      </w:r>
      <w:r w:rsidR="00A538D5" w:rsidRPr="0002056A">
        <w:rPr>
          <w:rFonts w:ascii="Georgia" w:hAnsi="Georgia" w:cs="Marianne"/>
          <w:lang w:val="en-GB"/>
          <w14:ligatures w14:val="standardContextual"/>
        </w:rPr>
        <w:t xml:space="preserve"> the </w:t>
      </w:r>
      <w:r w:rsidRPr="0002056A">
        <w:rPr>
          <w:rFonts w:ascii="Georgia" w:hAnsi="Georgia" w:cs="Marianne"/>
          <w:lang w:val="en-GB"/>
          <w14:ligatures w14:val="standardContextual"/>
        </w:rPr>
        <w:t xml:space="preserve">Parties must put in place updated impact, vulnerability and risk assessments by 2030; national multi-hazard early warning systems </w:t>
      </w:r>
      <w:r w:rsidR="007E6371" w:rsidRPr="0002056A">
        <w:rPr>
          <w:rFonts w:ascii="Georgia" w:hAnsi="Georgia" w:cs="Marianne"/>
          <w:lang w:val="en-GB"/>
          <w14:ligatures w14:val="standardContextual"/>
        </w:rPr>
        <w:t>by</w:t>
      </w:r>
      <w:r w:rsidRPr="0002056A">
        <w:rPr>
          <w:rFonts w:ascii="Georgia" w:hAnsi="Georgia" w:cs="Marianne"/>
          <w:lang w:val="en-GB"/>
          <w14:ligatures w14:val="standardContextual"/>
        </w:rPr>
        <w:t xml:space="preserve"> 2027; climate information services for risk reduction and systematic observation </w:t>
      </w:r>
      <w:r w:rsidR="007E6371" w:rsidRPr="0002056A">
        <w:rPr>
          <w:rFonts w:ascii="Georgia" w:hAnsi="Georgia" w:cs="Marianne"/>
          <w:lang w:val="en-GB"/>
          <w14:ligatures w14:val="standardContextual"/>
        </w:rPr>
        <w:t>by</w:t>
      </w:r>
      <w:r w:rsidRPr="0002056A">
        <w:rPr>
          <w:rFonts w:ascii="Georgia" w:hAnsi="Georgia" w:cs="Marianne"/>
          <w:lang w:val="en-GB"/>
          <w14:ligatures w14:val="standardContextual"/>
        </w:rPr>
        <w:t xml:space="preserve"> 2027; </w:t>
      </w:r>
      <w:r w:rsidR="007E6371" w:rsidRPr="0002056A">
        <w:rPr>
          <w:rFonts w:ascii="Georgia" w:hAnsi="Georgia" w:cs="Marianne"/>
          <w:lang w:val="en-GB"/>
          <w14:ligatures w14:val="standardContextual"/>
        </w:rPr>
        <w:t xml:space="preserve">and </w:t>
      </w:r>
      <w:r w:rsidRPr="0002056A">
        <w:rPr>
          <w:rFonts w:ascii="Georgia" w:hAnsi="Georgia" w:cs="Marianne"/>
          <w:lang w:val="en-GB"/>
          <w14:ligatures w14:val="standardContextual"/>
        </w:rPr>
        <w:t xml:space="preserve">country-led, gender-sensitive, participatory and transparent national adaptation plans by 2030. </w:t>
      </w:r>
      <w:r w:rsidRPr="0002056A">
        <w:rPr>
          <w:rFonts w:ascii="Georgia" w:hAnsi="Georgia"/>
          <w:lang w:val="en-GB"/>
        </w:rPr>
        <w:t xml:space="preserve">It was </w:t>
      </w:r>
      <w:r w:rsidR="0012174B" w:rsidRPr="0002056A">
        <w:rPr>
          <w:rFonts w:ascii="Georgia" w:hAnsi="Georgia"/>
          <w:lang w:val="en-GB"/>
        </w:rPr>
        <w:t xml:space="preserve">altogether </w:t>
      </w:r>
      <w:r w:rsidRPr="0002056A">
        <w:rPr>
          <w:rFonts w:ascii="Georgia" w:hAnsi="Georgia"/>
          <w:lang w:val="en-GB"/>
        </w:rPr>
        <w:t xml:space="preserve">a really promising COP, </w:t>
      </w:r>
      <w:r w:rsidR="00216AD0" w:rsidRPr="0002056A">
        <w:rPr>
          <w:rFonts w:ascii="Georgia" w:hAnsi="Georgia"/>
          <w:lang w:val="en-GB"/>
        </w:rPr>
        <w:t>explicitly</w:t>
      </w:r>
      <w:r w:rsidRPr="0002056A">
        <w:rPr>
          <w:rFonts w:ascii="Georgia" w:hAnsi="Georgia"/>
          <w:lang w:val="en-GB"/>
        </w:rPr>
        <w:t xml:space="preserve"> underlining the importance of pha</w:t>
      </w:r>
      <w:r w:rsidR="00A538D5" w:rsidRPr="0002056A">
        <w:rPr>
          <w:rFonts w:ascii="Georgia" w:hAnsi="Georgia"/>
          <w:lang w:val="en-GB"/>
        </w:rPr>
        <w:t>s</w:t>
      </w:r>
      <w:r w:rsidRPr="0002056A">
        <w:rPr>
          <w:rFonts w:ascii="Georgia" w:hAnsi="Georgia"/>
          <w:lang w:val="en-GB"/>
        </w:rPr>
        <w:t>ing out fossil fuels</w:t>
      </w:r>
      <w:r w:rsidR="00FA6869">
        <w:rPr>
          <w:rFonts w:ascii="Georgia" w:hAnsi="Georgia"/>
          <w:lang w:val="en-GB"/>
        </w:rPr>
        <w:t>, but operationalisation</w:t>
      </w:r>
      <w:r w:rsidRPr="0002056A">
        <w:rPr>
          <w:rFonts w:ascii="Georgia" w:hAnsi="Georgia"/>
          <w:lang w:val="en-GB"/>
        </w:rPr>
        <w:t xml:space="preserve"> of its decisions has not happened since then (UNFCCC, 2023). In </w:t>
      </w:r>
      <w:r w:rsidRPr="0002056A">
        <w:rPr>
          <w:rFonts w:ascii="Georgia" w:hAnsi="Georgia"/>
          <w:b/>
          <w:bCs/>
          <w:lang w:val="en-GB"/>
        </w:rPr>
        <w:t>Baku at COP 29</w:t>
      </w:r>
      <w:r w:rsidRPr="0002056A">
        <w:rPr>
          <w:rFonts w:ascii="Georgia" w:hAnsi="Georgia"/>
          <w:lang w:val="en-GB"/>
        </w:rPr>
        <w:t xml:space="preserve"> less </w:t>
      </w:r>
      <w:r w:rsidR="00216AD0" w:rsidRPr="0002056A">
        <w:rPr>
          <w:rFonts w:ascii="Georgia" w:hAnsi="Georgia"/>
          <w:lang w:val="en-GB"/>
        </w:rPr>
        <w:t>successful</w:t>
      </w:r>
      <w:r w:rsidRPr="0002056A">
        <w:rPr>
          <w:rFonts w:ascii="Georgia" w:hAnsi="Georgia"/>
          <w:lang w:val="en-GB"/>
        </w:rPr>
        <w:t xml:space="preserve"> discussions </w:t>
      </w:r>
      <w:r w:rsidR="00F17CC6" w:rsidRPr="0002056A">
        <w:rPr>
          <w:rFonts w:ascii="Georgia" w:hAnsi="Georgia"/>
          <w:lang w:val="en-GB"/>
        </w:rPr>
        <w:t>occurred</w:t>
      </w:r>
      <w:r w:rsidRPr="0002056A">
        <w:rPr>
          <w:rFonts w:ascii="Georgia" w:hAnsi="Georgia"/>
          <w:lang w:val="en-GB"/>
        </w:rPr>
        <w:t xml:space="preserve"> in the abse</w:t>
      </w:r>
      <w:r w:rsidR="00A46AAE" w:rsidRPr="0002056A">
        <w:rPr>
          <w:rFonts w:ascii="Georgia" w:hAnsi="Georgia"/>
          <w:lang w:val="en-GB"/>
        </w:rPr>
        <w:t>n</w:t>
      </w:r>
      <w:r w:rsidRPr="0002056A">
        <w:rPr>
          <w:rFonts w:ascii="Georgia" w:hAnsi="Georgia"/>
          <w:lang w:val="en-GB"/>
        </w:rPr>
        <w:t xml:space="preserve">ce of important world leaders </w:t>
      </w:r>
      <w:r w:rsidR="00D33BD2" w:rsidRPr="0002056A">
        <w:rPr>
          <w:rFonts w:ascii="Georgia" w:hAnsi="Georgia"/>
          <w:lang w:val="en-GB"/>
        </w:rPr>
        <w:t xml:space="preserve">and </w:t>
      </w:r>
      <w:r w:rsidRPr="0002056A">
        <w:rPr>
          <w:rFonts w:ascii="Georgia" w:hAnsi="Georgia"/>
          <w:lang w:val="en-GB"/>
        </w:rPr>
        <w:t xml:space="preserve">due to economic and </w:t>
      </w:r>
      <w:r w:rsidR="00216AD0" w:rsidRPr="0002056A">
        <w:rPr>
          <w:rFonts w:ascii="Georgia" w:hAnsi="Georgia"/>
          <w:lang w:val="en-GB"/>
        </w:rPr>
        <w:t>geopolitical</w:t>
      </w:r>
      <w:r w:rsidRPr="0002056A">
        <w:rPr>
          <w:rFonts w:ascii="Georgia" w:hAnsi="Georgia"/>
          <w:lang w:val="en-GB"/>
        </w:rPr>
        <w:t xml:space="preserve"> conflicts. Climate finance was the central topic i</w:t>
      </w:r>
      <w:r w:rsidR="00A46AAE" w:rsidRPr="0002056A">
        <w:rPr>
          <w:rFonts w:ascii="Georgia" w:hAnsi="Georgia"/>
          <w:lang w:val="en-GB"/>
        </w:rPr>
        <w:t>n</w:t>
      </w:r>
      <w:r w:rsidRPr="0002056A">
        <w:rPr>
          <w:rFonts w:ascii="Georgia" w:hAnsi="Georgia"/>
          <w:lang w:val="en-GB"/>
        </w:rPr>
        <w:t xml:space="preserve"> the COP</w:t>
      </w:r>
      <w:r w:rsidR="00FA6869">
        <w:rPr>
          <w:rFonts w:ascii="Georgia" w:hAnsi="Georgia"/>
          <w:lang w:val="en-GB"/>
        </w:rPr>
        <w:t>,</w:t>
      </w:r>
      <w:r w:rsidRPr="0002056A">
        <w:rPr>
          <w:rFonts w:ascii="Georgia" w:hAnsi="Georgia"/>
          <w:lang w:val="en-GB"/>
        </w:rPr>
        <w:t xml:space="preserve"> with dissatisfying results from the developing countries’ point of view. The majority of </w:t>
      </w:r>
      <w:r w:rsidR="00FA6869">
        <w:rPr>
          <w:rFonts w:ascii="Georgia" w:hAnsi="Georgia"/>
          <w:lang w:val="en-GB"/>
        </w:rPr>
        <w:t>the discussed issues have</w:t>
      </w:r>
      <w:r w:rsidRPr="0002056A">
        <w:rPr>
          <w:rFonts w:ascii="Georgia" w:hAnsi="Georgia"/>
          <w:lang w:val="en-GB"/>
        </w:rPr>
        <w:t xml:space="preserve"> remained unsolved</w:t>
      </w:r>
      <w:r w:rsidR="00D33BD2" w:rsidRPr="0002056A">
        <w:rPr>
          <w:rFonts w:ascii="Georgia" w:hAnsi="Georgia"/>
          <w:lang w:val="en-GB"/>
        </w:rPr>
        <w:t xml:space="preserve"> again</w:t>
      </w:r>
      <w:r w:rsidRPr="0002056A">
        <w:rPr>
          <w:rFonts w:ascii="Georgia" w:hAnsi="Georgia"/>
          <w:lang w:val="en-GB"/>
        </w:rPr>
        <w:t>.</w:t>
      </w:r>
      <w:r w:rsidR="00D33BD2" w:rsidRPr="0002056A">
        <w:rPr>
          <w:rFonts w:ascii="Georgia" w:hAnsi="Georgia"/>
          <w:lang w:val="en-GB"/>
        </w:rPr>
        <w:t xml:space="preserve"> </w:t>
      </w:r>
      <w:r w:rsidRPr="0002056A">
        <w:rPr>
          <w:rFonts w:ascii="Georgia" w:hAnsi="Georgia"/>
          <w:lang w:val="en-GB"/>
        </w:rPr>
        <w:t xml:space="preserve">In the </w:t>
      </w:r>
      <w:r w:rsidRPr="0002056A">
        <w:rPr>
          <w:rFonts w:ascii="Georgia" w:hAnsi="Georgia"/>
          <w:b/>
          <w:bCs/>
          <w:lang w:val="en-GB"/>
        </w:rPr>
        <w:t xml:space="preserve">COP30 in 2025 </w:t>
      </w:r>
      <w:r w:rsidR="00A46AAE" w:rsidRPr="0002056A">
        <w:rPr>
          <w:rFonts w:ascii="Georgia" w:hAnsi="Georgia"/>
          <w:b/>
          <w:bCs/>
          <w:lang w:val="en-GB"/>
        </w:rPr>
        <w:t xml:space="preserve">(Belém, </w:t>
      </w:r>
      <w:r w:rsidR="00216AD0" w:rsidRPr="0002056A">
        <w:rPr>
          <w:rFonts w:ascii="Georgia" w:hAnsi="Georgia"/>
          <w:b/>
          <w:bCs/>
          <w:lang w:val="en-GB"/>
        </w:rPr>
        <w:t>Brazil</w:t>
      </w:r>
      <w:r w:rsidR="00A46AAE" w:rsidRPr="0002056A">
        <w:rPr>
          <w:rFonts w:ascii="Georgia" w:hAnsi="Georgia"/>
          <w:b/>
          <w:bCs/>
          <w:lang w:val="en-GB"/>
        </w:rPr>
        <w:t>)</w:t>
      </w:r>
      <w:r w:rsidR="00A46AAE" w:rsidRPr="0002056A">
        <w:rPr>
          <w:rFonts w:ascii="Georgia" w:hAnsi="Georgia"/>
          <w:lang w:val="en-GB"/>
        </w:rPr>
        <w:t xml:space="preserve"> </w:t>
      </w:r>
      <w:r w:rsidRPr="0002056A">
        <w:rPr>
          <w:rFonts w:ascii="Georgia" w:hAnsi="Georgia"/>
          <w:lang w:val="en-GB"/>
        </w:rPr>
        <w:t>as the result of the UAE-Belém Work Programme</w:t>
      </w:r>
      <w:r w:rsidR="00FA6869">
        <w:rPr>
          <w:rFonts w:ascii="Georgia" w:hAnsi="Georgia"/>
          <w:lang w:val="en-GB"/>
        </w:rPr>
        <w:t>,</w:t>
      </w:r>
      <w:r w:rsidRPr="0002056A">
        <w:rPr>
          <w:rFonts w:ascii="Georgia" w:hAnsi="Georgia"/>
          <w:lang w:val="en-GB"/>
        </w:rPr>
        <w:t xml:space="preserve"> 100 indices of the global indicator set for measuring progress to the achievement of the global adaptation goal </w:t>
      </w:r>
      <w:r w:rsidR="00E56254" w:rsidRPr="0002056A">
        <w:rPr>
          <w:rFonts w:ascii="Georgia" w:hAnsi="Georgia"/>
          <w:lang w:val="en-GB"/>
        </w:rPr>
        <w:t>were adopted</w:t>
      </w:r>
      <w:r w:rsidRPr="0002056A">
        <w:rPr>
          <w:rFonts w:ascii="Georgia" w:hAnsi="Georgia"/>
          <w:lang w:val="en-GB"/>
        </w:rPr>
        <w:t xml:space="preserve">. </w:t>
      </w:r>
      <w:r w:rsidR="00E56254" w:rsidRPr="0002056A">
        <w:rPr>
          <w:rFonts w:ascii="Georgia" w:hAnsi="Georgia"/>
          <w:lang w:val="en-GB"/>
        </w:rPr>
        <w:t>It means that the</w:t>
      </w:r>
      <w:r w:rsidRPr="0002056A">
        <w:rPr>
          <w:rFonts w:ascii="Georgia" w:hAnsi="Georgia"/>
          <w:lang w:val="en-GB"/>
        </w:rPr>
        <w:t xml:space="preserve"> COP elevated adaptation MRE at </w:t>
      </w:r>
      <w:r w:rsidR="00FA6869">
        <w:rPr>
          <w:rFonts w:ascii="Georgia" w:hAnsi="Georgia"/>
          <w:lang w:val="en-GB"/>
        </w:rPr>
        <w:t xml:space="preserve">the </w:t>
      </w:r>
      <w:r w:rsidRPr="0002056A">
        <w:rPr>
          <w:rFonts w:ascii="Georgia" w:hAnsi="Georgia"/>
          <w:lang w:val="en-GB"/>
        </w:rPr>
        <w:t xml:space="preserve">international and national level – spatial issues have not been improved by this. </w:t>
      </w:r>
    </w:p>
    <w:p w14:paraId="7BA37CE9" w14:textId="3B562D46" w:rsidR="004E603D" w:rsidRPr="0002056A" w:rsidRDefault="00E34BA5" w:rsidP="00CD5BF3">
      <w:pPr>
        <w:spacing w:before="120" w:after="120"/>
        <w:jc w:val="both"/>
        <w:rPr>
          <w:rFonts w:ascii="Georgia" w:hAnsi="Georgia" w:cs="Calibri"/>
          <w:lang w:val="en-GB"/>
          <w14:ligatures w14:val="standardContextual"/>
        </w:rPr>
      </w:pPr>
      <w:r w:rsidRPr="0002056A">
        <w:rPr>
          <w:rFonts w:ascii="Georgia" w:hAnsi="Georgia"/>
          <w:lang w:val="en-GB"/>
        </w:rPr>
        <w:t>Back to the EU scene, i</w:t>
      </w:r>
      <w:r w:rsidR="004E603D" w:rsidRPr="0002056A">
        <w:rPr>
          <w:rFonts w:ascii="Georgia" w:hAnsi="Georgia"/>
          <w:lang w:val="en-GB"/>
        </w:rPr>
        <w:t>n December 2019</w:t>
      </w:r>
      <w:r w:rsidR="00FA6869">
        <w:rPr>
          <w:rFonts w:ascii="Georgia" w:hAnsi="Georgia"/>
          <w:lang w:val="en-GB"/>
        </w:rPr>
        <w:t>,</w:t>
      </w:r>
      <w:r w:rsidR="004E603D" w:rsidRPr="0002056A">
        <w:rPr>
          <w:rFonts w:ascii="Georgia" w:hAnsi="Georgia"/>
          <w:lang w:val="en-GB"/>
        </w:rPr>
        <w:t xml:space="preserve"> the </w:t>
      </w:r>
      <w:r w:rsidR="004E603D" w:rsidRPr="0002056A">
        <w:rPr>
          <w:rFonts w:ascii="Georgia" w:hAnsi="Georgia"/>
          <w:b/>
          <w:bCs/>
          <w:lang w:val="en-GB"/>
        </w:rPr>
        <w:t xml:space="preserve">EU adopted its </w:t>
      </w:r>
      <w:r w:rsidRPr="0002056A">
        <w:rPr>
          <w:rFonts w:ascii="Georgia" w:hAnsi="Georgia"/>
          <w:b/>
          <w:bCs/>
          <w:lang w:val="en-GB"/>
        </w:rPr>
        <w:t>then-</w:t>
      </w:r>
      <w:r w:rsidR="004E603D" w:rsidRPr="0002056A">
        <w:rPr>
          <w:rFonts w:ascii="Georgia" w:hAnsi="Georgia"/>
          <w:b/>
          <w:bCs/>
          <w:lang w:val="en-GB"/>
        </w:rPr>
        <w:t>current strategic framework, the Green Deal document</w:t>
      </w:r>
      <w:r w:rsidRPr="0002056A">
        <w:rPr>
          <w:rFonts w:ascii="Georgia" w:hAnsi="Georgia"/>
          <w:b/>
          <w:bCs/>
          <w:lang w:val="en-GB"/>
        </w:rPr>
        <w:t xml:space="preserve"> </w:t>
      </w:r>
      <w:r w:rsidR="004E603D" w:rsidRPr="0002056A">
        <w:rPr>
          <w:rFonts w:ascii="Georgia" w:hAnsi="Georgia" w:cs="Calibri"/>
          <w:lang w:val="en-GB"/>
          <w14:ligatures w14:val="standardContextual"/>
        </w:rPr>
        <w:t>- a strategy for achieving the sustainability of the EU economy by turning climate and environmental challenges into opportunities in all policy areas and making the transition just and inclusive</w:t>
      </w:r>
      <w:r w:rsidR="00A04221" w:rsidRPr="0002056A">
        <w:rPr>
          <w:rFonts w:ascii="Georgia" w:hAnsi="Georgia" w:cs="Calibri"/>
          <w:lang w:val="en-GB"/>
          <w14:ligatures w14:val="standardContextual"/>
        </w:rPr>
        <w:t>. I</w:t>
      </w:r>
      <w:r w:rsidR="00540602" w:rsidRPr="0002056A">
        <w:rPr>
          <w:rFonts w:ascii="Georgia" w:hAnsi="Georgia" w:cs="Calibri"/>
          <w:lang w:val="en-GB"/>
          <w14:ligatures w14:val="standardContextual"/>
        </w:rPr>
        <w:t>t describes how, by 2050</w:t>
      </w:r>
      <w:r w:rsidR="00FA6869">
        <w:rPr>
          <w:rFonts w:ascii="Georgia" w:hAnsi="Georgia" w:cs="Calibri"/>
          <w:lang w:val="en-GB"/>
          <w14:ligatures w14:val="standardContextual"/>
        </w:rPr>
        <w:t>,</w:t>
      </w:r>
      <w:r w:rsidR="00540602" w:rsidRPr="0002056A">
        <w:rPr>
          <w:rFonts w:ascii="Georgia" w:hAnsi="Georgia" w:cs="Calibri"/>
          <w:lang w:val="en-GB"/>
          <w14:ligatures w14:val="standardContextual"/>
        </w:rPr>
        <w:t xml:space="preserve"> Europe will become the first climate-neutral continent without neglecting anyone.</w:t>
      </w:r>
      <w:r w:rsidR="004E603D" w:rsidRPr="0002056A">
        <w:rPr>
          <w:rFonts w:ascii="Georgia" w:hAnsi="Georgia" w:cs="Calibri"/>
          <w:lang w:val="en-GB"/>
          <w14:ligatures w14:val="standardContextual"/>
        </w:rPr>
        <w:t xml:space="preserve"> </w:t>
      </w:r>
      <w:r w:rsidR="00540602" w:rsidRPr="0002056A">
        <w:rPr>
          <w:rFonts w:ascii="Georgia" w:hAnsi="Georgia" w:cs="Calibri"/>
          <w:lang w:val="en-GB"/>
          <w14:ligatures w14:val="standardContextual"/>
        </w:rPr>
        <w:t>Meanwhile</w:t>
      </w:r>
      <w:r w:rsidR="00FA6869">
        <w:rPr>
          <w:rFonts w:ascii="Georgia" w:hAnsi="Georgia" w:cs="Calibri"/>
          <w:lang w:val="en-GB"/>
          <w14:ligatures w14:val="standardContextual"/>
        </w:rPr>
        <w:t>, in earlier programming periods, the EU had always had a general development policy strategy (Lisbon Strategy, Gothenburg Strategy, EU 2020 Strategy) and, parallel with these,</w:t>
      </w:r>
      <w:r w:rsidR="00491518" w:rsidRPr="0002056A">
        <w:rPr>
          <w:rFonts w:ascii="Georgia" w:hAnsi="Georgia" w:cs="Calibri"/>
          <w:lang w:val="en-GB"/>
          <w14:ligatures w14:val="standardContextual"/>
        </w:rPr>
        <w:t xml:space="preserve"> it</w:t>
      </w:r>
      <w:r w:rsidR="00540602" w:rsidRPr="0002056A">
        <w:rPr>
          <w:rFonts w:ascii="Georgia" w:hAnsi="Georgia" w:cs="Calibri"/>
          <w:lang w:val="en-GB"/>
          <w14:ligatures w14:val="standardContextual"/>
        </w:rPr>
        <w:t xml:space="preserve"> always elaborated a dedicated energy and climate policy framework</w:t>
      </w:r>
      <w:r w:rsidR="002403BC" w:rsidRPr="0002056A">
        <w:rPr>
          <w:rFonts w:ascii="Georgia" w:hAnsi="Georgia" w:cs="Calibri"/>
          <w:lang w:val="en-GB"/>
          <w14:ligatures w14:val="standardContextual"/>
        </w:rPr>
        <w:t>, too</w:t>
      </w:r>
      <w:r w:rsidR="00540602" w:rsidRPr="0002056A">
        <w:rPr>
          <w:rFonts w:ascii="Georgia" w:hAnsi="Georgia" w:cs="Calibri"/>
          <w:lang w:val="en-GB"/>
          <w14:ligatures w14:val="standardContextual"/>
        </w:rPr>
        <w:t>; the Gre</w:t>
      </w:r>
      <w:r w:rsidR="002403BC" w:rsidRPr="0002056A">
        <w:rPr>
          <w:rFonts w:ascii="Georgia" w:hAnsi="Georgia" w:cs="Calibri"/>
          <w:lang w:val="en-GB"/>
          <w14:ligatures w14:val="standardContextual"/>
        </w:rPr>
        <w:t>e</w:t>
      </w:r>
      <w:r w:rsidR="00540602" w:rsidRPr="0002056A">
        <w:rPr>
          <w:rFonts w:ascii="Georgia" w:hAnsi="Georgia" w:cs="Calibri"/>
          <w:lang w:val="en-GB"/>
          <w14:ligatures w14:val="standardContextual"/>
        </w:rPr>
        <w:t>n Deal merge</w:t>
      </w:r>
      <w:r w:rsidR="002403BC" w:rsidRPr="0002056A">
        <w:rPr>
          <w:rFonts w:ascii="Georgia" w:hAnsi="Georgia" w:cs="Calibri"/>
          <w:lang w:val="en-GB"/>
          <w14:ligatures w14:val="standardContextual"/>
        </w:rPr>
        <w:t>d</w:t>
      </w:r>
      <w:r w:rsidR="00540602" w:rsidRPr="0002056A">
        <w:rPr>
          <w:rFonts w:ascii="Georgia" w:hAnsi="Georgia" w:cs="Calibri"/>
          <w:lang w:val="en-GB"/>
          <w14:ligatures w14:val="standardContextual"/>
        </w:rPr>
        <w:t xml:space="preserve"> these two functions.</w:t>
      </w:r>
      <w:r w:rsidR="002403BC" w:rsidRPr="0002056A">
        <w:rPr>
          <w:rFonts w:ascii="Georgia" w:hAnsi="Georgia" w:cs="Calibri"/>
          <w:lang w:val="en-GB"/>
          <w14:ligatures w14:val="standardContextual"/>
        </w:rPr>
        <w:t xml:space="preserve"> </w:t>
      </w:r>
      <w:r w:rsidR="004E603D" w:rsidRPr="0002056A">
        <w:rPr>
          <w:rFonts w:ascii="Georgia" w:hAnsi="Georgia" w:cs="Calibri"/>
          <w:lang w:val="en-GB"/>
          <w14:ligatures w14:val="standardContextual"/>
        </w:rPr>
        <w:t>I</w:t>
      </w:r>
      <w:r w:rsidR="004E603D" w:rsidRPr="0002056A">
        <w:rPr>
          <w:rFonts w:ascii="Georgia" w:hAnsi="Georgia"/>
          <w:lang w:val="en-GB"/>
        </w:rPr>
        <w:t xml:space="preserve">n </w:t>
      </w:r>
      <w:r w:rsidR="00C52C35" w:rsidRPr="0002056A">
        <w:rPr>
          <w:rFonts w:ascii="Georgia" w:hAnsi="Georgia"/>
          <w:lang w:val="en-GB"/>
        </w:rPr>
        <w:t>the Green Deal’</w:t>
      </w:r>
      <w:r w:rsidR="004E603D" w:rsidRPr="0002056A">
        <w:rPr>
          <w:rFonts w:ascii="Georgia" w:hAnsi="Georgia"/>
          <w:lang w:val="en-GB"/>
        </w:rPr>
        <w:t>s wake</w:t>
      </w:r>
      <w:r w:rsidR="00FA6869">
        <w:rPr>
          <w:rFonts w:ascii="Georgia" w:hAnsi="Georgia"/>
          <w:lang w:val="en-GB"/>
        </w:rPr>
        <w:t xml:space="preserve">, the long-term vision and objectives of European climate policy and clean </w:t>
      </w:r>
      <w:r w:rsidR="00352970">
        <w:rPr>
          <w:rFonts w:ascii="Georgia" w:hAnsi="Georgia"/>
          <w:lang w:val="en-GB"/>
        </w:rPr>
        <w:t xml:space="preserve">economic </w:t>
      </w:r>
      <w:r w:rsidR="00FA6869">
        <w:rPr>
          <w:rFonts w:ascii="Georgia" w:hAnsi="Georgia"/>
          <w:lang w:val="en-GB"/>
        </w:rPr>
        <w:t xml:space="preserve">development were also elaborated, urging even member states to do the same planning at the </w:t>
      </w:r>
      <w:r w:rsidR="004E603D" w:rsidRPr="0002056A">
        <w:rPr>
          <w:rFonts w:ascii="Georgia" w:hAnsi="Georgia"/>
          <w:lang w:val="en-GB"/>
        </w:rPr>
        <w:t>national level. It also prescribed the revision of the first EU Adaptation Strategy.</w:t>
      </w:r>
      <w:r w:rsidR="004E603D" w:rsidRPr="0002056A">
        <w:rPr>
          <w:rFonts w:ascii="Georgia" w:hAnsi="Georgia" w:cs="Calibri"/>
          <w:lang w:val="en-GB"/>
          <w14:ligatures w14:val="standardContextual"/>
        </w:rPr>
        <w:t xml:space="preserve"> </w:t>
      </w:r>
    </w:p>
    <w:p w14:paraId="62705232" w14:textId="4DAAC271" w:rsidR="004E603D" w:rsidRPr="0002056A" w:rsidRDefault="00491518" w:rsidP="00CD5BF3">
      <w:pPr>
        <w:spacing w:before="120" w:after="120"/>
        <w:jc w:val="both"/>
        <w:rPr>
          <w:rFonts w:ascii="Georgia" w:hAnsi="Georgia" w:cs="Calibri"/>
          <w:lang w:val="en-GB"/>
          <w14:ligatures w14:val="standardContextual"/>
        </w:rPr>
      </w:pPr>
      <w:r w:rsidRPr="0002056A">
        <w:rPr>
          <w:rFonts w:ascii="Georgia" w:eastAsia="Times New Roman" w:hAnsi="Georgia" w:cs="Courier New"/>
          <w:lang w:val="en-GB" w:eastAsia="hu-HU"/>
        </w:rPr>
        <w:t xml:space="preserve">As </w:t>
      </w:r>
      <w:r w:rsidR="00311053" w:rsidRPr="0002056A">
        <w:rPr>
          <w:rFonts w:ascii="Georgia" w:eastAsia="Times New Roman" w:hAnsi="Georgia" w:cs="Courier New"/>
          <w:lang w:val="en-GB" w:eastAsia="hu-HU"/>
        </w:rPr>
        <w:t>had been</w:t>
      </w:r>
      <w:r w:rsidRPr="0002056A">
        <w:rPr>
          <w:rFonts w:ascii="Georgia" w:eastAsia="Times New Roman" w:hAnsi="Georgia" w:cs="Courier New"/>
          <w:lang w:val="en-GB" w:eastAsia="hu-HU"/>
        </w:rPr>
        <w:t xml:space="preserve"> said, it </w:t>
      </w:r>
      <w:r w:rsidR="00311053" w:rsidRPr="0002056A">
        <w:rPr>
          <w:rFonts w:ascii="Georgia" w:eastAsia="Times New Roman" w:hAnsi="Georgia" w:cs="Courier New"/>
          <w:lang w:val="en-GB" w:eastAsia="hu-HU"/>
        </w:rPr>
        <w:t>was done</w:t>
      </w:r>
      <w:r w:rsidR="00292A35" w:rsidRPr="0002056A">
        <w:rPr>
          <w:rFonts w:ascii="Georgia" w:eastAsia="Times New Roman" w:hAnsi="Georgia" w:cs="Courier New"/>
          <w:lang w:val="en-GB" w:eastAsia="hu-HU"/>
        </w:rPr>
        <w:t xml:space="preserve"> </w:t>
      </w:r>
      <w:r w:rsidR="0048633F" w:rsidRPr="0002056A">
        <w:rPr>
          <w:rFonts w:ascii="Georgia" w:eastAsia="Times New Roman" w:hAnsi="Georgia" w:cs="Courier New"/>
          <w:lang w:val="en-GB" w:eastAsia="hu-HU"/>
        </w:rPr>
        <w:t xml:space="preserve">- </w:t>
      </w:r>
      <w:r w:rsidR="00292A35" w:rsidRPr="0002056A">
        <w:rPr>
          <w:rFonts w:ascii="Georgia" w:eastAsia="Times New Roman" w:hAnsi="Georgia" w:cs="Courier New"/>
          <w:lang w:val="en-GB" w:eastAsia="hu-HU"/>
        </w:rPr>
        <w:t>i</w:t>
      </w:r>
      <w:r w:rsidR="004E603D" w:rsidRPr="0002056A">
        <w:rPr>
          <w:rFonts w:ascii="Georgia" w:eastAsia="Times New Roman" w:hAnsi="Georgia" w:cs="Courier New"/>
          <w:lang w:val="en-GB" w:eastAsia="hu-HU"/>
        </w:rPr>
        <w:t>n February 2021</w:t>
      </w:r>
      <w:r w:rsidR="00FA6869">
        <w:rPr>
          <w:rFonts w:ascii="Georgia" w:eastAsia="Times New Roman" w:hAnsi="Georgia" w:cs="Courier New"/>
          <w:lang w:val="en-GB" w:eastAsia="hu-HU"/>
        </w:rPr>
        <w:t>,</w:t>
      </w:r>
      <w:r w:rsidR="004E603D" w:rsidRPr="0002056A">
        <w:rPr>
          <w:rFonts w:ascii="Georgia" w:eastAsia="Times New Roman" w:hAnsi="Georgia" w:cs="Courier New"/>
          <w:lang w:val="en-GB" w:eastAsia="hu-HU"/>
        </w:rPr>
        <w:t xml:space="preserve"> the European Commission adopted </w:t>
      </w:r>
      <w:r w:rsidR="00311053" w:rsidRPr="0002056A">
        <w:rPr>
          <w:rFonts w:ascii="Georgia" w:eastAsia="Times New Roman" w:hAnsi="Georgia" w:cs="Courier New"/>
          <w:lang w:val="en-GB" w:eastAsia="hu-HU"/>
        </w:rPr>
        <w:t>its</w:t>
      </w:r>
      <w:r w:rsidR="004E603D" w:rsidRPr="0002056A">
        <w:rPr>
          <w:rFonts w:ascii="Georgia" w:eastAsia="Times New Roman" w:hAnsi="Georgia" w:cs="Courier New"/>
          <w:lang w:val="en-GB" w:eastAsia="hu-HU"/>
        </w:rPr>
        <w:t xml:space="preserve"> </w:t>
      </w:r>
      <w:r w:rsidR="004E603D" w:rsidRPr="0002056A">
        <w:rPr>
          <w:rFonts w:ascii="Georgia" w:eastAsia="Times New Roman" w:hAnsi="Georgia" w:cs="Courier New"/>
          <w:b/>
          <w:bCs/>
          <w:lang w:val="en-GB" w:eastAsia="hu-HU"/>
        </w:rPr>
        <w:t xml:space="preserve">new, reviewed, </w:t>
      </w:r>
      <w:r w:rsidR="004E603D" w:rsidRPr="0002056A">
        <w:rPr>
          <w:rFonts w:ascii="Georgia" w:eastAsia="Times New Roman" w:hAnsi="Georgia" w:cs="Courier New"/>
          <w:lang w:val="en-GB" w:eastAsia="hu-HU"/>
        </w:rPr>
        <w:t>ambitious</w:t>
      </w:r>
      <w:r w:rsidR="004E603D" w:rsidRPr="0002056A">
        <w:rPr>
          <w:rFonts w:ascii="Georgia" w:eastAsia="Times New Roman" w:hAnsi="Georgia" w:cs="Courier New"/>
          <w:b/>
          <w:bCs/>
          <w:lang w:val="en-GB" w:eastAsia="hu-HU"/>
        </w:rPr>
        <w:t xml:space="preserve"> EU Strategy for Adaptation to Climate Change</w:t>
      </w:r>
      <w:r w:rsidR="00292A35" w:rsidRPr="0002056A">
        <w:rPr>
          <w:rFonts w:ascii="Georgia" w:eastAsia="Times New Roman" w:hAnsi="Georgia" w:cs="Courier New"/>
          <w:lang w:val="en-GB" w:eastAsia="hu-HU"/>
        </w:rPr>
        <w:t xml:space="preserve"> </w:t>
      </w:r>
      <w:r w:rsidR="004E603D" w:rsidRPr="0002056A">
        <w:rPr>
          <w:rFonts w:ascii="Georgia" w:hAnsi="Georgia"/>
          <w:lang w:val="en-GB"/>
        </w:rPr>
        <w:t xml:space="preserve">which sequel also indicates the growing </w:t>
      </w:r>
      <w:r w:rsidR="00311053" w:rsidRPr="0002056A">
        <w:rPr>
          <w:rFonts w:ascii="Georgia" w:hAnsi="Georgia"/>
          <w:lang w:val="en-GB"/>
        </w:rPr>
        <w:t xml:space="preserve">general </w:t>
      </w:r>
      <w:r w:rsidR="004E603D" w:rsidRPr="0002056A">
        <w:rPr>
          <w:rFonts w:ascii="Georgia" w:hAnsi="Georgia"/>
          <w:lang w:val="en-GB"/>
        </w:rPr>
        <w:t xml:space="preserve">emphasis on adaptation. The updated strategy outlines the vision </w:t>
      </w:r>
      <w:r w:rsidR="004E603D" w:rsidRPr="0002056A">
        <w:rPr>
          <w:rFonts w:ascii="Georgia" w:hAnsi="Georgia"/>
          <w:lang w:val="en-GB"/>
        </w:rPr>
        <w:lastRenderedPageBreak/>
        <w:t xml:space="preserve">of </w:t>
      </w:r>
      <w:r w:rsidR="00A7127A" w:rsidRPr="0002056A">
        <w:rPr>
          <w:rFonts w:ascii="Georgia" w:hAnsi="Georgia"/>
          <w:lang w:val="en-GB"/>
        </w:rPr>
        <w:t xml:space="preserve">a </w:t>
      </w:r>
      <w:r w:rsidR="00FA6869">
        <w:rPr>
          <w:rFonts w:ascii="Georgia" w:hAnsi="Georgia"/>
          <w:lang w:val="en-GB"/>
        </w:rPr>
        <w:t>climate-resilient</w:t>
      </w:r>
      <w:r w:rsidR="004E603D" w:rsidRPr="0002056A">
        <w:rPr>
          <w:rFonts w:ascii="Georgia" w:hAnsi="Georgia"/>
          <w:lang w:val="en-GB"/>
        </w:rPr>
        <w:t xml:space="preserve"> Europe and comprises more priorities </w:t>
      </w:r>
      <w:r w:rsidR="00A7127A" w:rsidRPr="0002056A">
        <w:rPr>
          <w:rFonts w:ascii="Georgia" w:hAnsi="Georgia"/>
          <w:lang w:val="en-GB"/>
        </w:rPr>
        <w:t>and is a mo</w:t>
      </w:r>
      <w:r w:rsidR="004E603D" w:rsidRPr="0002056A">
        <w:rPr>
          <w:rFonts w:ascii="Georgia" w:hAnsi="Georgia"/>
          <w:lang w:val="en-GB"/>
        </w:rPr>
        <w:t>re solid document th</w:t>
      </w:r>
      <w:r w:rsidR="00A7127A" w:rsidRPr="0002056A">
        <w:rPr>
          <w:rFonts w:ascii="Georgia" w:hAnsi="Georgia"/>
          <w:lang w:val="en-GB"/>
        </w:rPr>
        <w:t>a</w:t>
      </w:r>
      <w:r w:rsidR="004E603D" w:rsidRPr="0002056A">
        <w:rPr>
          <w:rFonts w:ascii="Georgia" w:hAnsi="Georgia"/>
          <w:lang w:val="en-GB"/>
        </w:rPr>
        <w:t xml:space="preserve">n </w:t>
      </w:r>
      <w:r w:rsidR="00A7127A" w:rsidRPr="0002056A">
        <w:rPr>
          <w:rFonts w:ascii="Georgia" w:hAnsi="Georgia"/>
          <w:lang w:val="en-GB"/>
        </w:rPr>
        <w:t>its pred</w:t>
      </w:r>
      <w:r w:rsidR="003638EB" w:rsidRPr="0002056A">
        <w:rPr>
          <w:rFonts w:ascii="Georgia" w:hAnsi="Georgia"/>
          <w:lang w:val="en-GB"/>
        </w:rPr>
        <w:t>ecess</w:t>
      </w:r>
      <w:r w:rsidR="004E603D" w:rsidRPr="0002056A">
        <w:rPr>
          <w:rFonts w:ascii="Georgia" w:hAnsi="Georgia"/>
          <w:lang w:val="en-GB"/>
        </w:rPr>
        <w:t>o</w:t>
      </w:r>
      <w:r w:rsidR="003638EB" w:rsidRPr="0002056A">
        <w:rPr>
          <w:rFonts w:ascii="Georgia" w:hAnsi="Georgia"/>
          <w:lang w:val="en-GB"/>
        </w:rPr>
        <w:t>r</w:t>
      </w:r>
      <w:r w:rsidR="004E603D" w:rsidRPr="0002056A">
        <w:rPr>
          <w:rFonts w:ascii="Georgia" w:hAnsi="Georgia"/>
          <w:lang w:val="en-GB"/>
        </w:rPr>
        <w:t xml:space="preserve"> was.</w:t>
      </w:r>
      <w:r w:rsidR="004E603D" w:rsidRPr="0002056A">
        <w:rPr>
          <w:rFonts w:ascii="Georgia" w:eastAsia="Times New Roman" w:hAnsi="Georgia" w:cs="Courier New"/>
          <w:lang w:val="en-GB" w:eastAsia="hu-HU"/>
        </w:rPr>
        <w:t xml:space="preserve"> </w:t>
      </w:r>
      <w:r w:rsidR="004E603D" w:rsidRPr="0002056A">
        <w:rPr>
          <w:rFonts w:ascii="Georgia" w:hAnsi="Georgia" w:cs="Marianne"/>
          <w:lang w:val="en-GB"/>
          <w14:ligatures w14:val="standardContextual"/>
        </w:rPr>
        <w:t>Based on th</w:t>
      </w:r>
      <w:r w:rsidR="00292A35" w:rsidRPr="0002056A">
        <w:rPr>
          <w:rFonts w:ascii="Georgia" w:hAnsi="Georgia" w:cs="Marianne"/>
          <w:lang w:val="en-GB"/>
          <w14:ligatures w14:val="standardContextual"/>
        </w:rPr>
        <w:t>e S</w:t>
      </w:r>
      <w:r w:rsidR="004E603D" w:rsidRPr="0002056A">
        <w:rPr>
          <w:rFonts w:ascii="Georgia" w:hAnsi="Georgia" w:cs="Marianne"/>
          <w:lang w:val="en-GB"/>
          <w14:ligatures w14:val="standardContextual"/>
        </w:rPr>
        <w:t xml:space="preserve">trategy, Member States are </w:t>
      </w:r>
      <w:r w:rsidR="00BC3472" w:rsidRPr="0002056A">
        <w:rPr>
          <w:rFonts w:ascii="Georgia" w:hAnsi="Georgia" w:cs="Marianne"/>
          <w:lang w:val="en-GB"/>
          <w14:ligatures w14:val="standardContextual"/>
        </w:rPr>
        <w:t xml:space="preserve">again </w:t>
      </w:r>
      <w:r w:rsidR="003638EB" w:rsidRPr="0002056A">
        <w:rPr>
          <w:rFonts w:ascii="Georgia" w:hAnsi="Georgia" w:cs="Marianne"/>
          <w:lang w:val="en-GB"/>
          <w14:ligatures w14:val="standardContextual"/>
        </w:rPr>
        <w:t>suggested</w:t>
      </w:r>
      <w:r w:rsidR="004E603D" w:rsidRPr="0002056A">
        <w:rPr>
          <w:rFonts w:ascii="Georgia" w:hAnsi="Georgia" w:cs="Marianne"/>
          <w:lang w:val="en-GB"/>
          <w14:ligatures w14:val="standardContextual"/>
        </w:rPr>
        <w:t xml:space="preserve"> to develop and implement national adaptation strategies and plans, taking into account the particular vulnerability of the</w:t>
      </w:r>
      <w:r w:rsidR="003638EB" w:rsidRPr="0002056A">
        <w:rPr>
          <w:rFonts w:ascii="Georgia" w:hAnsi="Georgia" w:cs="Marianne"/>
          <w:lang w:val="en-GB"/>
          <w14:ligatures w14:val="standardContextual"/>
        </w:rPr>
        <w:t>ir</w:t>
      </w:r>
      <w:r w:rsidR="004E603D" w:rsidRPr="0002056A">
        <w:rPr>
          <w:rFonts w:ascii="Georgia" w:hAnsi="Georgia" w:cs="Marianne"/>
          <w:lang w:val="en-GB"/>
          <w14:ligatures w14:val="standardContextual"/>
        </w:rPr>
        <w:t xml:space="preserve"> sectors concerned, including agriculture, water and food systems, as well as food security, and to promote nature-based solutions and ecosystem-based adaptation and management</w:t>
      </w:r>
      <w:r w:rsidR="00534220" w:rsidRPr="0002056A">
        <w:rPr>
          <w:rFonts w:ascii="Georgia" w:hAnsi="Georgia" w:cs="Marianne"/>
          <w:lang w:val="en-GB"/>
          <w14:ligatures w14:val="standardContextual"/>
        </w:rPr>
        <w:t xml:space="preserve">. </w:t>
      </w:r>
      <w:r w:rsidR="004E603D" w:rsidRPr="0002056A">
        <w:rPr>
          <w:rFonts w:ascii="Georgia" w:eastAsia="Times New Roman" w:hAnsi="Georgia" w:cs="Courier New"/>
          <w:lang w:val="en-GB" w:eastAsia="hu-HU"/>
        </w:rPr>
        <w:t xml:space="preserve">In June 2021, with the adoption of </w:t>
      </w:r>
      <w:r w:rsidR="004E603D" w:rsidRPr="0002056A">
        <w:rPr>
          <w:rFonts w:ascii="Georgia" w:eastAsia="Times New Roman" w:hAnsi="Georgia" w:cs="Courier New"/>
          <w:b/>
          <w:bCs/>
          <w:lang w:val="en-GB" w:eastAsia="hu-HU"/>
        </w:rPr>
        <w:t>the European Climate Law</w:t>
      </w:r>
      <w:r w:rsidR="004E603D" w:rsidRPr="0002056A">
        <w:rPr>
          <w:rFonts w:ascii="Georgia" w:eastAsia="Times New Roman" w:hAnsi="Georgia" w:cs="Courier New"/>
          <w:lang w:val="en-GB" w:eastAsia="hu-HU"/>
        </w:rPr>
        <w:t xml:space="preserve"> </w:t>
      </w:r>
      <w:r w:rsidR="00C54A07" w:rsidRPr="0002056A">
        <w:rPr>
          <w:rFonts w:ascii="Georgia" w:eastAsia="Times New Roman" w:hAnsi="Georgia" w:cs="Courier New"/>
          <w:lang w:val="en-GB" w:eastAsia="hu-HU"/>
        </w:rPr>
        <w:t>[</w:t>
      </w:r>
      <w:r w:rsidR="004E603D" w:rsidRPr="0002056A">
        <w:rPr>
          <w:rFonts w:ascii="Georgia" w:eastAsia="Times New Roman" w:hAnsi="Georgia" w:cs="Courier New"/>
          <w:lang w:val="en-GB" w:eastAsia="hu-HU"/>
        </w:rPr>
        <w:t>Regulation (EU) 2021/1119 (EC</w:t>
      </w:r>
      <w:r w:rsidR="00FA6869">
        <w:rPr>
          <w:rFonts w:ascii="Georgia" w:eastAsia="Times New Roman" w:hAnsi="Georgia" w:cs="Courier New"/>
          <w:lang w:val="en-GB" w:eastAsia="hu-HU"/>
        </w:rPr>
        <w:t>,</w:t>
      </w:r>
      <w:r w:rsidR="004E603D" w:rsidRPr="0002056A">
        <w:rPr>
          <w:rFonts w:ascii="Georgia" w:eastAsia="Times New Roman" w:hAnsi="Georgia" w:cs="Courier New"/>
          <w:lang w:val="en-GB" w:eastAsia="hu-HU"/>
        </w:rPr>
        <w:t xml:space="preserve"> 2021d)</w:t>
      </w:r>
      <w:r w:rsidR="00C54A07" w:rsidRPr="0002056A">
        <w:rPr>
          <w:rFonts w:ascii="Georgia" w:eastAsia="Times New Roman" w:hAnsi="Georgia" w:cs="Courier New"/>
          <w:lang w:val="en-GB" w:eastAsia="hu-HU"/>
        </w:rPr>
        <w:t>]</w:t>
      </w:r>
      <w:r w:rsidR="004E603D" w:rsidRPr="0002056A">
        <w:rPr>
          <w:rFonts w:ascii="Georgia" w:eastAsia="Times New Roman" w:hAnsi="Georgia" w:cs="Courier New"/>
          <w:lang w:val="en-GB" w:eastAsia="hu-HU"/>
        </w:rPr>
        <w:t xml:space="preserve">, the </w:t>
      </w:r>
      <w:r w:rsidR="00123BAB" w:rsidRPr="0002056A">
        <w:rPr>
          <w:rFonts w:ascii="Georgia" w:eastAsia="Times New Roman" w:hAnsi="Georgia" w:cs="Courier New"/>
          <w:lang w:val="en-GB" w:eastAsia="hu-HU"/>
        </w:rPr>
        <w:t>other</w:t>
      </w:r>
      <w:r w:rsidR="004E603D" w:rsidRPr="0002056A">
        <w:rPr>
          <w:rFonts w:ascii="Georgia" w:eastAsia="Times New Roman" w:hAnsi="Georgia" w:cs="Courier New"/>
          <w:lang w:val="en-GB" w:eastAsia="hu-HU"/>
        </w:rPr>
        <w:t xml:space="preserve"> important climate policy output of the </w:t>
      </w:r>
      <w:r w:rsidR="00C54A07" w:rsidRPr="0002056A">
        <w:rPr>
          <w:rFonts w:ascii="Georgia" w:eastAsia="Times New Roman" w:hAnsi="Georgia" w:cs="Courier New"/>
          <w:lang w:val="en-GB" w:eastAsia="hu-HU"/>
        </w:rPr>
        <w:t>first V</w:t>
      </w:r>
      <w:r w:rsidR="004E603D" w:rsidRPr="0002056A">
        <w:rPr>
          <w:rFonts w:ascii="Georgia" w:eastAsia="Times New Roman" w:hAnsi="Georgia" w:cs="Courier New"/>
          <w:lang w:val="en-GB" w:eastAsia="hu-HU"/>
        </w:rPr>
        <w:t xml:space="preserve">on </w:t>
      </w:r>
      <w:r w:rsidR="00C54A07" w:rsidRPr="0002056A">
        <w:rPr>
          <w:rFonts w:ascii="Georgia" w:eastAsia="Times New Roman" w:hAnsi="Georgia" w:cs="Courier New"/>
          <w:lang w:val="en-GB" w:eastAsia="hu-HU"/>
        </w:rPr>
        <w:t>D</w:t>
      </w:r>
      <w:r w:rsidR="004E603D" w:rsidRPr="0002056A">
        <w:rPr>
          <w:rFonts w:ascii="Georgia" w:eastAsia="Times New Roman" w:hAnsi="Georgia" w:cs="Courier New"/>
          <w:lang w:val="en-GB" w:eastAsia="hu-HU"/>
        </w:rPr>
        <w:t>er Leyen commission w</w:t>
      </w:r>
      <w:r w:rsidR="00123BAB" w:rsidRPr="0002056A">
        <w:rPr>
          <w:rFonts w:ascii="Georgia" w:eastAsia="Times New Roman" w:hAnsi="Georgia" w:cs="Courier New"/>
          <w:lang w:val="en-GB" w:eastAsia="hu-HU"/>
        </w:rPr>
        <w:t>as</w:t>
      </w:r>
      <w:r w:rsidR="004E603D" w:rsidRPr="0002056A">
        <w:rPr>
          <w:rFonts w:ascii="Georgia" w:eastAsia="Times New Roman" w:hAnsi="Georgia" w:cs="Courier New"/>
          <w:lang w:val="en-GB" w:eastAsia="hu-HU"/>
        </w:rPr>
        <w:t xml:space="preserve"> born</w:t>
      </w:r>
      <w:r w:rsidR="00534220" w:rsidRPr="0002056A">
        <w:rPr>
          <w:rFonts w:ascii="Georgia" w:eastAsia="Times New Roman" w:hAnsi="Georgia" w:cs="Courier New"/>
          <w:lang w:val="en-GB" w:eastAsia="hu-HU"/>
        </w:rPr>
        <w:t>, too</w:t>
      </w:r>
      <w:r w:rsidR="004E603D" w:rsidRPr="0002056A">
        <w:rPr>
          <w:rFonts w:ascii="Georgia" w:eastAsia="Times New Roman" w:hAnsi="Georgia" w:cs="Courier New"/>
          <w:lang w:val="en-GB" w:eastAsia="hu-HU"/>
        </w:rPr>
        <w:t>.</w:t>
      </w:r>
      <w:r w:rsidR="006F6835" w:rsidRPr="0002056A">
        <w:rPr>
          <w:rFonts w:ascii="Georgia" w:eastAsia="Times New Roman" w:hAnsi="Georgia" w:cs="Courier New"/>
          <w:lang w:val="en-GB" w:eastAsia="hu-HU"/>
        </w:rPr>
        <w:t xml:space="preserve"> It</w:t>
      </w:r>
      <w:r w:rsidR="00123BAB" w:rsidRPr="0002056A">
        <w:rPr>
          <w:rFonts w:ascii="Georgia" w:hAnsi="Georgia"/>
          <w:lang w:val="en-GB"/>
        </w:rPr>
        <w:t xml:space="preserve"> </w:t>
      </w:r>
      <w:r w:rsidR="004E603D" w:rsidRPr="0002056A">
        <w:rPr>
          <w:rFonts w:ascii="Georgia" w:hAnsi="Georgia"/>
          <w:lang w:val="en-GB"/>
        </w:rPr>
        <w:t xml:space="preserve">requires Member States </w:t>
      </w:r>
      <w:r w:rsidR="004E603D" w:rsidRPr="0002056A">
        <w:rPr>
          <w:rFonts w:ascii="Georgia" w:hAnsi="Georgia" w:cs="Marianne"/>
          <w:lang w:val="en-GB"/>
          <w14:ligatures w14:val="standardContextual"/>
        </w:rPr>
        <w:t>to implement and enforce adaptation strategies</w:t>
      </w:r>
      <w:r w:rsidR="001F7D5D" w:rsidRPr="0002056A">
        <w:rPr>
          <w:rStyle w:val="Lbjegyzet-hivatkozs"/>
          <w:rFonts w:ascii="Georgia" w:hAnsi="Georgia" w:cs="Marianne"/>
          <w:lang w:val="en-GB"/>
          <w14:ligatures w14:val="standardContextual"/>
        </w:rPr>
        <w:footnoteReference w:id="19"/>
      </w:r>
      <w:r w:rsidR="004E603D" w:rsidRPr="0002056A">
        <w:rPr>
          <w:rFonts w:ascii="Georgia" w:hAnsi="Georgia" w:cs="Marianne"/>
          <w:lang w:val="en-GB"/>
          <w14:ligatures w14:val="standardContextual"/>
        </w:rPr>
        <w:t xml:space="preserve"> to increase resilience to the effects of climate change,</w:t>
      </w:r>
      <w:r w:rsidR="004E603D" w:rsidRPr="0002056A">
        <w:rPr>
          <w:rFonts w:ascii="Georgia" w:hAnsi="Georgia"/>
          <w:lang w:val="en-GB"/>
        </w:rPr>
        <w:t xml:space="preserve"> </w:t>
      </w:r>
      <w:r w:rsidR="00FA6869">
        <w:rPr>
          <w:rFonts w:ascii="Georgia" w:hAnsi="Georgia"/>
          <w:lang w:val="en-GB"/>
        </w:rPr>
        <w:t>and to establish</w:t>
      </w:r>
      <w:r w:rsidR="00FA6869" w:rsidRPr="0002056A">
        <w:rPr>
          <w:rFonts w:ascii="Georgia" w:hAnsi="Georgia"/>
          <w:lang w:val="en-GB"/>
        </w:rPr>
        <w:t xml:space="preserve"> </w:t>
      </w:r>
      <w:r w:rsidR="004E603D" w:rsidRPr="0002056A">
        <w:rPr>
          <w:rFonts w:ascii="Georgia" w:hAnsi="Georgia"/>
          <w:lang w:val="en-GB"/>
        </w:rPr>
        <w:t xml:space="preserve">a legislative framework for achieving climate neutrality and adaptation </w:t>
      </w:r>
      <w:r w:rsidR="006F6835" w:rsidRPr="0002056A">
        <w:rPr>
          <w:rFonts w:ascii="Georgia" w:hAnsi="Georgia" w:cs="Marianne"/>
          <w:lang w:val="en-GB"/>
          <w14:ligatures w14:val="standardContextual"/>
        </w:rPr>
        <w:t>(UBA, 2025)</w:t>
      </w:r>
      <w:r w:rsidR="004E603D" w:rsidRPr="0002056A">
        <w:rPr>
          <w:rFonts w:ascii="Georgia" w:hAnsi="Georgia"/>
          <w:lang w:val="en-GB"/>
        </w:rPr>
        <w:t xml:space="preserve">. </w:t>
      </w:r>
      <w:r w:rsidR="004E603D" w:rsidRPr="0002056A">
        <w:rPr>
          <w:rFonts w:ascii="Georgia" w:hAnsi="Georgia" w:cs="Marianne"/>
          <w:lang w:val="en-GB"/>
          <w14:ligatures w14:val="standardContextual"/>
        </w:rPr>
        <w:t xml:space="preserve">The </w:t>
      </w:r>
      <w:r w:rsidR="004E603D" w:rsidRPr="0002056A">
        <w:rPr>
          <w:rFonts w:ascii="Georgia" w:hAnsi="Georgia" w:cs="Marianne"/>
          <w:b/>
          <w:bCs/>
          <w:lang w:val="en-GB"/>
          <w14:ligatures w14:val="standardContextual"/>
        </w:rPr>
        <w:t>EU Mission on Adaptation</w:t>
      </w:r>
      <w:r w:rsidR="004E603D" w:rsidRPr="0002056A">
        <w:rPr>
          <w:rFonts w:ascii="Georgia" w:hAnsi="Georgia" w:cs="Marianne"/>
          <w:lang w:val="en-GB"/>
          <w14:ligatures w14:val="standardContextual"/>
        </w:rPr>
        <w:t xml:space="preserve"> fosters local innovation in adaptation across the whole contine</w:t>
      </w:r>
      <w:r w:rsidR="001F7D5D" w:rsidRPr="0002056A">
        <w:rPr>
          <w:rFonts w:ascii="Georgia" w:hAnsi="Georgia" w:cs="Marianne"/>
          <w:lang w:val="en-GB"/>
          <w14:ligatures w14:val="standardContextual"/>
        </w:rPr>
        <w:t>n</w:t>
      </w:r>
      <w:r w:rsidR="004E603D" w:rsidRPr="0002056A">
        <w:rPr>
          <w:rFonts w:ascii="Georgia" w:hAnsi="Georgia" w:cs="Marianne"/>
          <w:lang w:val="en-GB"/>
          <w14:ligatures w14:val="standardContextual"/>
        </w:rPr>
        <w:t>t. We can see: more and more legislation, str</w:t>
      </w:r>
      <w:r w:rsidR="006F3E1E" w:rsidRPr="0002056A">
        <w:rPr>
          <w:rFonts w:ascii="Georgia" w:hAnsi="Georgia" w:cs="Marianne"/>
          <w:lang w:val="en-GB"/>
          <w14:ligatures w14:val="standardContextual"/>
        </w:rPr>
        <w:t>a</w:t>
      </w:r>
      <w:r w:rsidR="004E603D" w:rsidRPr="0002056A">
        <w:rPr>
          <w:rFonts w:ascii="Georgia" w:hAnsi="Georgia" w:cs="Marianne"/>
          <w:lang w:val="en-GB"/>
          <w14:ligatures w14:val="standardContextual"/>
        </w:rPr>
        <w:t xml:space="preserve">tegies, initiatives </w:t>
      </w:r>
      <w:r w:rsidR="008C09C6" w:rsidRPr="0002056A">
        <w:rPr>
          <w:rFonts w:ascii="Georgia" w:hAnsi="Georgia" w:cs="Marianne"/>
          <w:lang w:val="en-GB"/>
          <w14:ligatures w14:val="standardContextual"/>
        </w:rPr>
        <w:t>concentrate</w:t>
      </w:r>
      <w:r w:rsidR="004E603D" w:rsidRPr="0002056A">
        <w:rPr>
          <w:rFonts w:ascii="Georgia" w:hAnsi="Georgia" w:cs="Marianne"/>
          <w:lang w:val="en-GB"/>
          <w14:ligatures w14:val="standardContextual"/>
        </w:rPr>
        <w:t xml:space="preserve"> directly on climate adaptation already at </w:t>
      </w:r>
      <w:r w:rsidR="00FA6869">
        <w:rPr>
          <w:rFonts w:ascii="Georgia" w:hAnsi="Georgia" w:cs="Marianne"/>
          <w:lang w:val="en-GB"/>
          <w14:ligatures w14:val="standardContextual"/>
        </w:rPr>
        <w:t xml:space="preserve">the </w:t>
      </w:r>
      <w:r w:rsidR="004E603D" w:rsidRPr="0002056A">
        <w:rPr>
          <w:rFonts w:ascii="Georgia" w:hAnsi="Georgia" w:cs="Marianne"/>
          <w:lang w:val="en-GB"/>
          <w14:ligatures w14:val="standardContextual"/>
        </w:rPr>
        <w:t xml:space="preserve">EU level, making the recent </w:t>
      </w:r>
      <w:r w:rsidR="006F3E1E" w:rsidRPr="0002056A">
        <w:rPr>
          <w:rFonts w:ascii="Georgia" w:hAnsi="Georgia" w:cs="Marianne"/>
          <w:lang w:val="en-GB"/>
          <w14:ligatures w14:val="standardContextual"/>
        </w:rPr>
        <w:t>period</w:t>
      </w:r>
      <w:r w:rsidR="004E603D" w:rsidRPr="0002056A">
        <w:rPr>
          <w:rFonts w:ascii="Georgia" w:hAnsi="Georgia" w:cs="Marianne"/>
          <w:lang w:val="en-GB"/>
          <w14:ligatures w14:val="standardContextual"/>
        </w:rPr>
        <w:t xml:space="preserve"> a proper era for elaborating effective, multi-level adaptation framework</w:t>
      </w:r>
      <w:r w:rsidR="00D938B7" w:rsidRPr="0002056A">
        <w:rPr>
          <w:rFonts w:ascii="Georgia" w:hAnsi="Georgia" w:cs="Marianne"/>
          <w:lang w:val="en-GB"/>
          <w14:ligatures w14:val="standardContextual"/>
        </w:rPr>
        <w:t>s</w:t>
      </w:r>
      <w:r w:rsidR="004E603D" w:rsidRPr="0002056A">
        <w:rPr>
          <w:rFonts w:ascii="Georgia" w:hAnsi="Georgia" w:cs="Marianne"/>
          <w:lang w:val="en-GB"/>
          <w14:ligatures w14:val="standardContextual"/>
        </w:rPr>
        <w:t xml:space="preserve"> in the EU and in Member States</w:t>
      </w:r>
      <w:r w:rsidR="00D938B7" w:rsidRPr="0002056A">
        <w:rPr>
          <w:rFonts w:ascii="Georgia" w:hAnsi="Georgia" w:cs="Marianne"/>
          <w:lang w:val="en-GB"/>
          <w14:ligatures w14:val="standardContextual"/>
        </w:rPr>
        <w:t xml:space="preserve"> and</w:t>
      </w:r>
      <w:r w:rsidR="004E603D" w:rsidRPr="0002056A">
        <w:rPr>
          <w:rFonts w:ascii="Georgia" w:hAnsi="Georgia" w:cs="Marianne"/>
          <w:lang w:val="en-GB"/>
          <w14:ligatures w14:val="standardContextual"/>
        </w:rPr>
        <w:t xml:space="preserve"> putting greater emphasis within this process on the spatial aspects of adaptation policy.</w:t>
      </w:r>
    </w:p>
    <w:p w14:paraId="0A0E2DEC" w14:textId="2CFF7F5A" w:rsidR="004E603D" w:rsidRPr="0002056A" w:rsidRDefault="004E603D" w:rsidP="00CD5BF3">
      <w:pPr>
        <w:spacing w:before="120" w:after="120"/>
        <w:jc w:val="both"/>
        <w:rPr>
          <w:rFonts w:ascii="Georgia" w:hAnsi="Georgia" w:cs="Marianne"/>
          <w:lang w:val="en-GB"/>
          <w14:ligatures w14:val="standardContextual"/>
        </w:rPr>
      </w:pPr>
      <w:r w:rsidRPr="0002056A">
        <w:rPr>
          <w:rFonts w:ascii="Georgia" w:hAnsi="Georgia" w:cs="Marianne"/>
          <w:lang w:val="en-GB"/>
          <w14:ligatures w14:val="standardContextual"/>
        </w:rPr>
        <w:t>In addition to the European Commission, the European Environment Agency (EEA) is also strongly participat</w:t>
      </w:r>
      <w:r w:rsidR="008C09C6" w:rsidRPr="0002056A">
        <w:rPr>
          <w:rFonts w:ascii="Georgia" w:hAnsi="Georgia" w:cs="Marianne"/>
          <w:lang w:val="en-GB"/>
          <w14:ligatures w14:val="standardContextual"/>
        </w:rPr>
        <w:t>ing</w:t>
      </w:r>
      <w:r w:rsidRPr="0002056A">
        <w:rPr>
          <w:rFonts w:ascii="Georgia" w:hAnsi="Georgia" w:cs="Marianne"/>
          <w:lang w:val="en-GB"/>
          <w14:ligatures w14:val="standardContextual"/>
        </w:rPr>
        <w:t xml:space="preserve"> in </w:t>
      </w:r>
      <w:r w:rsidR="00D938B7" w:rsidRPr="0002056A">
        <w:rPr>
          <w:rFonts w:ascii="Georgia" w:hAnsi="Georgia" w:cs="Marianne"/>
          <w:lang w:val="en-GB"/>
          <w14:ligatures w14:val="standardContextual"/>
        </w:rPr>
        <w:t xml:space="preserve">developing </w:t>
      </w:r>
      <w:r w:rsidR="00FA6869">
        <w:rPr>
          <w:rFonts w:ascii="Georgia" w:hAnsi="Georgia" w:cs="Marianne"/>
          <w:lang w:val="en-GB"/>
          <w14:ligatures w14:val="standardContextual"/>
        </w:rPr>
        <w:t>the climate adaptation</w:t>
      </w:r>
      <w:r w:rsidR="00D938B7" w:rsidRPr="0002056A">
        <w:rPr>
          <w:rFonts w:ascii="Georgia" w:hAnsi="Georgia" w:cs="Marianne"/>
          <w:lang w:val="en-GB"/>
          <w14:ligatures w14:val="standardContextual"/>
        </w:rPr>
        <w:t xml:space="preserve"> knowledge base</w:t>
      </w:r>
      <w:r w:rsidR="00123692" w:rsidRPr="0002056A">
        <w:rPr>
          <w:rFonts w:ascii="Georgia" w:hAnsi="Georgia" w:cs="Marianne"/>
          <w:lang w:val="en-GB"/>
          <w14:ligatures w14:val="standardContextual"/>
        </w:rPr>
        <w:t>,</w:t>
      </w:r>
      <w:r w:rsidRPr="0002056A">
        <w:rPr>
          <w:rFonts w:ascii="Georgia" w:hAnsi="Georgia" w:cs="Marianne"/>
          <w:lang w:val="en-GB"/>
          <w14:ligatures w14:val="standardContextual"/>
        </w:rPr>
        <w:t xml:space="preserve"> regularly publish</w:t>
      </w:r>
      <w:r w:rsidR="00123692" w:rsidRPr="0002056A">
        <w:rPr>
          <w:rFonts w:ascii="Georgia" w:hAnsi="Georgia" w:cs="Marianne"/>
          <w:lang w:val="en-GB"/>
          <w14:ligatures w14:val="standardContextual"/>
        </w:rPr>
        <w:t>ing</w:t>
      </w:r>
      <w:r w:rsidRPr="0002056A">
        <w:rPr>
          <w:rFonts w:ascii="Georgia" w:hAnsi="Georgia" w:cs="Marianne"/>
          <w:lang w:val="en-GB"/>
          <w14:ligatures w14:val="standardContextual"/>
        </w:rPr>
        <w:t xml:space="preserve"> reports on relevant topics, such as monitoring and evaluating adaptation in Europe (</w:t>
      </w:r>
      <w:r w:rsidRPr="0002056A">
        <w:rPr>
          <w:rFonts w:ascii="Georgia" w:hAnsi="Georgia" w:cs="Marianne"/>
          <w:smallCaps/>
          <w:lang w:val="en-GB"/>
          <w14:ligatures w14:val="standardContextual"/>
        </w:rPr>
        <w:t>E</w:t>
      </w:r>
      <w:r w:rsidR="00CD1F99" w:rsidRPr="0002056A">
        <w:rPr>
          <w:rFonts w:ascii="Georgia" w:hAnsi="Georgia" w:cs="Marianne"/>
          <w:smallCaps/>
          <w:lang w:val="en-GB"/>
          <w14:ligatures w14:val="standardContextual"/>
        </w:rPr>
        <w:t>EA,</w:t>
      </w:r>
      <w:r w:rsidRPr="0002056A">
        <w:rPr>
          <w:rFonts w:ascii="Georgia" w:hAnsi="Georgia" w:cs="Marianne"/>
          <w:smallCaps/>
          <w:lang w:val="en-GB"/>
          <w14:ligatures w14:val="standardContextual"/>
        </w:rPr>
        <w:t xml:space="preserve"> 2020</w:t>
      </w:r>
      <w:r w:rsidRPr="0002056A">
        <w:rPr>
          <w:rFonts w:ascii="Georgia" w:hAnsi="Georgia" w:cs="Marianne"/>
          <w:lang w:val="en-GB"/>
          <w14:ligatures w14:val="standardContextual"/>
        </w:rPr>
        <w:t xml:space="preserve">). In a 2022 report, the EEA examined national adaptation policy processes in 28 European countries. This study shows that all EU member states and </w:t>
      </w:r>
      <w:r w:rsidR="00A21DC2" w:rsidRPr="0002056A">
        <w:rPr>
          <w:rFonts w:ascii="Georgia" w:hAnsi="Georgia" w:cs="Marianne"/>
          <w:lang w:val="en-GB"/>
          <w14:ligatures w14:val="standardContextual"/>
        </w:rPr>
        <w:t>Türkiye</w:t>
      </w:r>
      <w:r w:rsidRPr="0002056A">
        <w:rPr>
          <w:rFonts w:ascii="Georgia" w:hAnsi="Georgia" w:cs="Marianne"/>
          <w:lang w:val="en-GB"/>
          <w14:ligatures w14:val="standardContextual"/>
        </w:rPr>
        <w:t xml:space="preserve"> have climate risk analysis and national </w:t>
      </w:r>
      <w:r w:rsidR="002E665F" w:rsidRPr="0002056A">
        <w:rPr>
          <w:rFonts w:ascii="Georgia" w:hAnsi="Georgia" w:cs="Marianne"/>
          <w:lang w:val="en-GB"/>
          <w14:ligatures w14:val="standardContextual"/>
        </w:rPr>
        <w:t xml:space="preserve">adaptation </w:t>
      </w:r>
      <w:r w:rsidRPr="0002056A">
        <w:rPr>
          <w:rFonts w:ascii="Georgia" w:hAnsi="Georgia" w:cs="Marianne"/>
          <w:lang w:val="en-GB"/>
          <w14:ligatures w14:val="standardContextual"/>
        </w:rPr>
        <w:t>strategy (NAS) or action plan (NAP)</w:t>
      </w:r>
      <w:r w:rsidR="002E665F" w:rsidRPr="0002056A">
        <w:rPr>
          <w:rFonts w:ascii="Georgia" w:hAnsi="Georgia" w:cs="Marianne"/>
          <w:lang w:val="en-GB"/>
          <w14:ligatures w14:val="standardContextual"/>
        </w:rPr>
        <w:t xml:space="preserve"> </w:t>
      </w:r>
      <w:r w:rsidRPr="0002056A">
        <w:rPr>
          <w:rFonts w:ascii="Georgia" w:hAnsi="Georgia" w:cs="Marianne"/>
          <w:lang w:val="en-GB"/>
          <w14:ligatures w14:val="standardContextual"/>
        </w:rPr>
        <w:t>and are addressing the issue of climate change adaptation (E</w:t>
      </w:r>
      <w:r w:rsidR="00D1387B" w:rsidRPr="0002056A">
        <w:rPr>
          <w:rFonts w:ascii="Georgia" w:hAnsi="Georgia" w:cs="Marianne"/>
          <w:lang w:val="en-GB"/>
          <w14:ligatures w14:val="standardContextual"/>
        </w:rPr>
        <w:t>EA,</w:t>
      </w:r>
      <w:r w:rsidRPr="0002056A">
        <w:rPr>
          <w:rFonts w:ascii="Georgia" w:hAnsi="Georgia" w:cs="Marianne"/>
          <w:lang w:val="en-GB"/>
          <w14:ligatures w14:val="standardContextual"/>
        </w:rPr>
        <w:t xml:space="preserve"> 2022). </w:t>
      </w:r>
    </w:p>
    <w:p w14:paraId="5D045D79" w14:textId="30A271B6" w:rsidR="004E603D" w:rsidRPr="0002056A" w:rsidRDefault="004E603D" w:rsidP="00CD5BF3">
      <w:pPr>
        <w:spacing w:before="120" w:after="120"/>
        <w:jc w:val="both"/>
        <w:rPr>
          <w:rFonts w:ascii="Georgia" w:hAnsi="Georgia"/>
          <w:lang w:val="en-GB"/>
        </w:rPr>
      </w:pPr>
      <w:r w:rsidRPr="0002056A">
        <w:rPr>
          <w:rFonts w:ascii="Georgia" w:hAnsi="Georgia"/>
          <w:lang w:val="en-GB"/>
        </w:rPr>
        <w:t xml:space="preserve">In 2023, the first continent-wide climate risk assessment was carried out in Europe. The </w:t>
      </w:r>
      <w:r w:rsidRPr="0002056A">
        <w:rPr>
          <w:rFonts w:ascii="Georgia" w:hAnsi="Georgia"/>
          <w:b/>
          <w:bCs/>
          <w:lang w:val="en-GB"/>
        </w:rPr>
        <w:t>European Climate Risk Assessment (EUCRA)</w:t>
      </w:r>
      <w:r w:rsidRPr="0002056A">
        <w:rPr>
          <w:rFonts w:ascii="Georgia" w:hAnsi="Georgia"/>
          <w:lang w:val="en-GB"/>
        </w:rPr>
        <w:t xml:space="preserve"> document, published in March </w:t>
      </w:r>
      <w:r w:rsidR="008C09C6" w:rsidRPr="0002056A">
        <w:rPr>
          <w:rFonts w:ascii="Georgia" w:hAnsi="Georgia"/>
          <w:lang w:val="en-GB"/>
        </w:rPr>
        <w:t>2024, identified</w:t>
      </w:r>
      <w:r w:rsidRPr="0002056A">
        <w:rPr>
          <w:rFonts w:ascii="Georgia" w:hAnsi="Georgia"/>
          <w:lang w:val="en-GB"/>
        </w:rPr>
        <w:t xml:space="preserve"> 36 climate risks that threaten Europe's energy and food security, ecosystems, infrastructure, water resources, financial stability</w:t>
      </w:r>
      <w:r w:rsidR="00FA6869">
        <w:rPr>
          <w:rFonts w:ascii="Georgia" w:hAnsi="Georgia"/>
          <w:lang w:val="en-GB"/>
        </w:rPr>
        <w:t>, and human health, with serious consequences and possibly requiring</w:t>
      </w:r>
      <w:r w:rsidRPr="0002056A">
        <w:rPr>
          <w:rFonts w:ascii="Georgia" w:hAnsi="Georgia"/>
          <w:lang w:val="en-GB"/>
        </w:rPr>
        <w:t xml:space="preserve"> coordination at the European or transnational level. The report points out that many of these risks have already reached critical levels, requiring urgent and decisive action. The assessment calls for </w:t>
      </w:r>
      <w:r w:rsidR="00FA6869">
        <w:rPr>
          <w:rFonts w:ascii="Georgia" w:hAnsi="Georgia"/>
          <w:lang w:val="en-GB"/>
        </w:rPr>
        <w:t>identifying European policy priorities, types of adaptation interventions,</w:t>
      </w:r>
      <w:r w:rsidR="009C5348" w:rsidRPr="0002056A">
        <w:rPr>
          <w:rFonts w:ascii="Georgia" w:hAnsi="Georgia"/>
          <w:lang w:val="en-GB"/>
        </w:rPr>
        <w:t xml:space="preserve"> and </w:t>
      </w:r>
      <w:r w:rsidRPr="0002056A">
        <w:rPr>
          <w:rFonts w:ascii="Georgia" w:hAnsi="Georgia"/>
          <w:lang w:val="en-GB"/>
        </w:rPr>
        <w:t>regions/sectors/population groups that are particularly affected</w:t>
      </w:r>
      <w:r w:rsidR="00747AC3" w:rsidRPr="0002056A">
        <w:rPr>
          <w:rFonts w:ascii="Georgia" w:hAnsi="Georgia"/>
          <w:lang w:val="en-GB"/>
        </w:rPr>
        <w:t xml:space="preserve">. </w:t>
      </w:r>
      <w:r w:rsidRPr="0002056A">
        <w:rPr>
          <w:rFonts w:ascii="Georgia" w:hAnsi="Georgia"/>
          <w:lang w:val="en-GB"/>
        </w:rPr>
        <w:t>Although basically a sectoral/thematic approach prevails in the document, it classified the continent</w:t>
      </w:r>
      <w:r w:rsidR="00747AC3" w:rsidRPr="0002056A">
        <w:rPr>
          <w:rFonts w:ascii="Georgia" w:hAnsi="Georgia"/>
          <w:lang w:val="en-GB"/>
        </w:rPr>
        <w:t xml:space="preserve"> into</w:t>
      </w:r>
      <w:r w:rsidRPr="0002056A">
        <w:rPr>
          <w:rFonts w:ascii="Georgia" w:hAnsi="Georgia"/>
          <w:lang w:val="en-GB"/>
        </w:rPr>
        <w:t xml:space="preserve"> 4 </w:t>
      </w:r>
      <w:r w:rsidR="00216AD0" w:rsidRPr="0002056A">
        <w:rPr>
          <w:rFonts w:ascii="Georgia" w:hAnsi="Georgia"/>
          <w:lang w:val="en-GB"/>
        </w:rPr>
        <w:t>macro regions</w:t>
      </w:r>
      <w:r w:rsidRPr="0002056A">
        <w:rPr>
          <w:rFonts w:ascii="Georgia" w:hAnsi="Georgia"/>
          <w:lang w:val="en-GB"/>
        </w:rPr>
        <w:t xml:space="preserve"> (West, North, South and East) and highlights three regions (</w:t>
      </w:r>
      <w:r w:rsidR="000E740A" w:rsidRPr="0002056A">
        <w:rPr>
          <w:rFonts w:ascii="Georgia" w:hAnsi="Georgia"/>
          <w:lang w:val="en-GB"/>
        </w:rPr>
        <w:t>S</w:t>
      </w:r>
      <w:r w:rsidRPr="0002056A">
        <w:rPr>
          <w:rFonts w:ascii="Georgia" w:hAnsi="Georgia"/>
          <w:lang w:val="en-GB"/>
        </w:rPr>
        <w:t>outhern Europe</w:t>
      </w:r>
      <w:r w:rsidR="000E740A" w:rsidRPr="0002056A">
        <w:rPr>
          <w:rFonts w:ascii="Georgia" w:hAnsi="Georgia"/>
          <w:lang w:val="en-GB"/>
        </w:rPr>
        <w:t>;</w:t>
      </w:r>
      <w:r w:rsidRPr="0002056A">
        <w:rPr>
          <w:rFonts w:ascii="Georgia" w:hAnsi="Georgia"/>
          <w:lang w:val="en-GB"/>
        </w:rPr>
        <w:t xml:space="preserve"> low-lying coastal regions along the Baltic, Black Sea and West-Atlantic coasts</w:t>
      </w:r>
      <w:r w:rsidR="000E740A" w:rsidRPr="0002056A">
        <w:rPr>
          <w:rFonts w:ascii="Georgia" w:hAnsi="Georgia"/>
          <w:lang w:val="en-GB"/>
        </w:rPr>
        <w:t>;</w:t>
      </w:r>
      <w:r w:rsidRPr="0002056A">
        <w:rPr>
          <w:rFonts w:ascii="Georgia" w:hAnsi="Georgia"/>
          <w:lang w:val="en-GB"/>
        </w:rPr>
        <w:t xml:space="preserve"> </w:t>
      </w:r>
      <w:r w:rsidR="009C5348" w:rsidRPr="0002056A">
        <w:rPr>
          <w:rFonts w:ascii="Georgia" w:hAnsi="Georgia"/>
          <w:lang w:val="en-GB"/>
        </w:rPr>
        <w:t>O</w:t>
      </w:r>
      <w:r w:rsidRPr="0002056A">
        <w:rPr>
          <w:rFonts w:ascii="Georgia" w:hAnsi="Georgia"/>
          <w:lang w:val="en-GB"/>
        </w:rPr>
        <w:t>verseas regions) as climat</w:t>
      </w:r>
      <w:r w:rsidR="00122EFB" w:rsidRPr="0002056A">
        <w:rPr>
          <w:rFonts w:ascii="Georgia" w:hAnsi="Georgia"/>
          <w:lang w:val="en-GB"/>
        </w:rPr>
        <w:t>ic</w:t>
      </w:r>
      <w:r w:rsidRPr="0002056A">
        <w:rPr>
          <w:rFonts w:ascii="Georgia" w:hAnsi="Georgia"/>
          <w:lang w:val="en-GB"/>
        </w:rPr>
        <w:t xml:space="preserve"> hotspots</w:t>
      </w:r>
      <w:r w:rsidR="000E740A" w:rsidRPr="0002056A">
        <w:rPr>
          <w:rFonts w:ascii="Georgia" w:hAnsi="Georgia"/>
          <w:lang w:val="en-GB"/>
        </w:rPr>
        <w:t>. Nevertheless</w:t>
      </w:r>
      <w:r w:rsidRPr="0002056A">
        <w:rPr>
          <w:rFonts w:ascii="Georgia" w:hAnsi="Georgia"/>
          <w:lang w:val="en-GB"/>
        </w:rPr>
        <w:t>, this spatial logic is not reflected by the bigger part of the EUCRA</w:t>
      </w:r>
      <w:r w:rsidR="009C5348" w:rsidRPr="0002056A">
        <w:rPr>
          <w:rFonts w:ascii="Georgia" w:hAnsi="Georgia"/>
          <w:lang w:val="en-GB"/>
        </w:rPr>
        <w:t>: i</w:t>
      </w:r>
      <w:r w:rsidRPr="0002056A">
        <w:rPr>
          <w:rFonts w:ascii="Georgia" w:hAnsi="Georgia"/>
          <w:lang w:val="en-GB"/>
        </w:rPr>
        <w:t>ntroduction of vulnerability situations, as the backbone of the report, after th</w:t>
      </w:r>
      <w:r w:rsidR="00780498" w:rsidRPr="0002056A">
        <w:rPr>
          <w:rFonts w:ascii="Georgia" w:hAnsi="Georgia"/>
          <w:lang w:val="en-GB"/>
        </w:rPr>
        <w:t>i</w:t>
      </w:r>
      <w:r w:rsidRPr="0002056A">
        <w:rPr>
          <w:rFonts w:ascii="Georgia" w:hAnsi="Georgia"/>
          <w:lang w:val="en-GB"/>
        </w:rPr>
        <w:t xml:space="preserve">s spatially sensitive start, goes through sectors/themes, in a classic thematic </w:t>
      </w:r>
      <w:r w:rsidR="00122EFB" w:rsidRPr="0002056A">
        <w:rPr>
          <w:rFonts w:ascii="Georgia" w:hAnsi="Georgia"/>
          <w:lang w:val="en-GB"/>
        </w:rPr>
        <w:t>logic</w:t>
      </w:r>
      <w:r w:rsidRPr="0002056A">
        <w:rPr>
          <w:rFonts w:ascii="Georgia" w:hAnsi="Georgia"/>
          <w:lang w:val="en-GB"/>
        </w:rPr>
        <w:t>. But at least, a sign of spatial thinking emerges.</w:t>
      </w:r>
    </w:p>
    <w:p w14:paraId="0B82C147" w14:textId="6E899213" w:rsidR="004E603D" w:rsidRPr="0002056A" w:rsidRDefault="004E603D" w:rsidP="00CD5BF3">
      <w:pPr>
        <w:spacing w:before="120" w:after="120"/>
        <w:jc w:val="both"/>
        <w:rPr>
          <w:rFonts w:ascii="Georgia" w:hAnsi="Georgia"/>
          <w:lang w:val="en-GB"/>
        </w:rPr>
      </w:pPr>
      <w:r w:rsidRPr="0002056A">
        <w:rPr>
          <w:rFonts w:ascii="Georgia" w:hAnsi="Georgia"/>
          <w:lang w:val="en-GB"/>
        </w:rPr>
        <w:t xml:space="preserve">As a current sequel, </w:t>
      </w:r>
      <w:r w:rsidR="00FA6869">
        <w:rPr>
          <w:rFonts w:ascii="Georgia" w:hAnsi="Georgia"/>
          <w:lang w:val="en-GB"/>
        </w:rPr>
        <w:t>th</w:t>
      </w:r>
      <w:r w:rsidRPr="0002056A">
        <w:rPr>
          <w:rFonts w:ascii="Georgia" w:hAnsi="Georgia"/>
          <w:lang w:val="en-GB"/>
        </w:rPr>
        <w:t xml:space="preserve">e European Commission is working on an operational action plan-like document, </w:t>
      </w:r>
      <w:r w:rsidRPr="0002056A">
        <w:rPr>
          <w:rFonts w:ascii="Georgia" w:hAnsi="Georgia"/>
          <w:b/>
          <w:bCs/>
          <w:lang w:val="en-GB"/>
        </w:rPr>
        <w:t xml:space="preserve">the </w:t>
      </w:r>
      <w:r w:rsidR="00DE3CC1" w:rsidRPr="0002056A">
        <w:rPr>
          <w:rFonts w:ascii="Georgia" w:hAnsi="Georgia"/>
          <w:b/>
          <w:bCs/>
          <w:lang w:val="en-GB"/>
        </w:rPr>
        <w:t xml:space="preserve">European </w:t>
      </w:r>
      <w:r w:rsidR="009C5348" w:rsidRPr="0002056A">
        <w:rPr>
          <w:rFonts w:ascii="Georgia" w:hAnsi="Georgia"/>
          <w:b/>
          <w:bCs/>
          <w:lang w:val="en-GB"/>
        </w:rPr>
        <w:t>I</w:t>
      </w:r>
      <w:r w:rsidR="00DE3CC1" w:rsidRPr="0002056A">
        <w:rPr>
          <w:rFonts w:ascii="Georgia" w:hAnsi="Georgia"/>
          <w:b/>
          <w:bCs/>
          <w:lang w:val="en-GB"/>
        </w:rPr>
        <w:t xml:space="preserve">ntegrated </w:t>
      </w:r>
      <w:r w:rsidR="009C5348" w:rsidRPr="0002056A">
        <w:rPr>
          <w:rFonts w:ascii="Georgia" w:hAnsi="Georgia"/>
          <w:b/>
          <w:bCs/>
          <w:lang w:val="en-GB"/>
        </w:rPr>
        <w:t>F</w:t>
      </w:r>
      <w:r w:rsidR="00DE3CC1" w:rsidRPr="0002056A">
        <w:rPr>
          <w:rFonts w:ascii="Georgia" w:hAnsi="Georgia"/>
          <w:b/>
          <w:bCs/>
          <w:lang w:val="en-GB"/>
        </w:rPr>
        <w:t xml:space="preserve">ramework for </w:t>
      </w:r>
      <w:r w:rsidR="009C5348" w:rsidRPr="0002056A">
        <w:rPr>
          <w:rFonts w:ascii="Georgia" w:hAnsi="Georgia"/>
          <w:b/>
          <w:bCs/>
          <w:lang w:val="en-GB"/>
        </w:rPr>
        <w:t>C</w:t>
      </w:r>
      <w:r w:rsidR="00DE3CC1" w:rsidRPr="0002056A">
        <w:rPr>
          <w:rFonts w:ascii="Georgia" w:hAnsi="Georgia"/>
          <w:b/>
          <w:bCs/>
          <w:lang w:val="en-GB"/>
        </w:rPr>
        <w:t xml:space="preserve">limate </w:t>
      </w:r>
      <w:r w:rsidR="009C5348" w:rsidRPr="0002056A">
        <w:rPr>
          <w:rFonts w:ascii="Georgia" w:hAnsi="Georgia"/>
          <w:b/>
          <w:bCs/>
          <w:lang w:val="en-GB"/>
        </w:rPr>
        <w:t>R</w:t>
      </w:r>
      <w:r w:rsidR="00DE3CC1" w:rsidRPr="0002056A">
        <w:rPr>
          <w:rFonts w:ascii="Georgia" w:hAnsi="Georgia"/>
          <w:b/>
          <w:bCs/>
          <w:lang w:val="en-GB"/>
        </w:rPr>
        <w:t xml:space="preserve">esilience </w:t>
      </w:r>
      <w:r w:rsidRPr="0002056A">
        <w:rPr>
          <w:rFonts w:ascii="Georgia" w:hAnsi="Georgia"/>
          <w:b/>
          <w:bCs/>
          <w:lang w:val="en-GB"/>
        </w:rPr>
        <w:t>(E</w:t>
      </w:r>
      <w:r w:rsidR="00DE3CC1" w:rsidRPr="0002056A">
        <w:rPr>
          <w:rFonts w:ascii="Georgia" w:hAnsi="Georgia"/>
          <w:b/>
          <w:bCs/>
          <w:lang w:val="en-GB"/>
        </w:rPr>
        <w:t>IFCR</w:t>
      </w:r>
      <w:r w:rsidRPr="0002056A">
        <w:rPr>
          <w:rFonts w:ascii="Georgia" w:hAnsi="Georgia"/>
          <w:b/>
          <w:bCs/>
          <w:lang w:val="en-GB"/>
        </w:rPr>
        <w:t>)</w:t>
      </w:r>
      <w:r w:rsidRPr="0002056A">
        <w:rPr>
          <w:rFonts w:ascii="Georgia" w:hAnsi="Georgia"/>
          <w:lang w:val="en-GB"/>
        </w:rPr>
        <w:t xml:space="preserve"> to ensure resilience and preparedness across Europe by systematically embed</w:t>
      </w:r>
      <w:r w:rsidR="00A35347" w:rsidRPr="0002056A">
        <w:rPr>
          <w:rFonts w:ascii="Georgia" w:hAnsi="Georgia"/>
          <w:lang w:val="en-GB"/>
        </w:rPr>
        <w:t xml:space="preserve">ding </w:t>
      </w:r>
      <w:r w:rsidRPr="0002056A">
        <w:rPr>
          <w:rFonts w:ascii="Georgia" w:hAnsi="Georgia"/>
          <w:lang w:val="en-GB"/>
        </w:rPr>
        <w:t>adaptation into policies, governance</w:t>
      </w:r>
      <w:r w:rsidR="00A35347" w:rsidRPr="0002056A">
        <w:rPr>
          <w:rFonts w:ascii="Georgia" w:hAnsi="Georgia"/>
          <w:lang w:val="en-GB"/>
        </w:rPr>
        <w:t xml:space="preserve"> activities</w:t>
      </w:r>
      <w:r w:rsidRPr="0002056A">
        <w:rPr>
          <w:rFonts w:ascii="Georgia" w:hAnsi="Georgia"/>
          <w:lang w:val="en-GB"/>
        </w:rPr>
        <w:t xml:space="preserve"> and investments both at EU and </w:t>
      </w:r>
      <w:r w:rsidR="009C5348" w:rsidRPr="0002056A">
        <w:rPr>
          <w:rFonts w:ascii="Georgia" w:hAnsi="Georgia"/>
          <w:lang w:val="en-GB"/>
        </w:rPr>
        <w:t xml:space="preserve">member state </w:t>
      </w:r>
      <w:r w:rsidRPr="0002056A">
        <w:rPr>
          <w:rFonts w:ascii="Georgia" w:hAnsi="Georgia"/>
          <w:lang w:val="en-GB"/>
        </w:rPr>
        <w:t>levels</w:t>
      </w:r>
      <w:r w:rsidR="00A35347" w:rsidRPr="0002056A">
        <w:rPr>
          <w:rFonts w:ascii="Georgia" w:hAnsi="Georgia"/>
          <w:lang w:val="en-GB"/>
        </w:rPr>
        <w:t>. Furthermore</w:t>
      </w:r>
      <w:r w:rsidR="00C56098" w:rsidRPr="0002056A">
        <w:rPr>
          <w:rFonts w:ascii="Georgia" w:hAnsi="Georgia"/>
          <w:lang w:val="en-GB"/>
        </w:rPr>
        <w:t>,</w:t>
      </w:r>
      <w:r w:rsidR="00A35347" w:rsidRPr="0002056A">
        <w:rPr>
          <w:rFonts w:ascii="Georgia" w:hAnsi="Georgia"/>
          <w:lang w:val="en-GB"/>
        </w:rPr>
        <w:t xml:space="preserve"> it </w:t>
      </w:r>
      <w:r w:rsidR="00FA6869">
        <w:rPr>
          <w:rFonts w:ascii="Georgia" w:hAnsi="Georgia"/>
          <w:lang w:val="en-GB"/>
        </w:rPr>
        <w:t xml:space="preserve">aims to improve consideration of adaptation across all relevant EU and national sectoral decisions and to further encourage member states to elaborate/update their </w:t>
      </w:r>
      <w:r w:rsidRPr="0002056A">
        <w:rPr>
          <w:rFonts w:ascii="Georgia" w:hAnsi="Georgia"/>
          <w:lang w:val="en-GB"/>
        </w:rPr>
        <w:t xml:space="preserve">national adaptation strategies and action plans (UBA, 2025). </w:t>
      </w:r>
      <w:r w:rsidR="00701F88" w:rsidRPr="0002056A">
        <w:rPr>
          <w:rFonts w:ascii="Georgia" w:hAnsi="Georgia"/>
          <w:lang w:val="en-GB"/>
        </w:rPr>
        <w:t xml:space="preserve">Regarding its planned </w:t>
      </w:r>
      <w:r w:rsidR="009C5348" w:rsidRPr="0002056A">
        <w:rPr>
          <w:rFonts w:ascii="Georgia" w:hAnsi="Georgia"/>
          <w:lang w:val="en-GB"/>
        </w:rPr>
        <w:t>f</w:t>
      </w:r>
      <w:r w:rsidR="00D40BFD" w:rsidRPr="0002056A">
        <w:rPr>
          <w:rFonts w:ascii="Georgia" w:hAnsi="Georgia"/>
          <w:lang w:val="en-GB"/>
        </w:rPr>
        <w:t xml:space="preserve">ive </w:t>
      </w:r>
      <w:r w:rsidR="00701F88" w:rsidRPr="0002056A">
        <w:rPr>
          <w:rFonts w:ascii="Georgia" w:hAnsi="Georgia"/>
          <w:lang w:val="en-GB"/>
        </w:rPr>
        <w:lastRenderedPageBreak/>
        <w:t>priorities, issues of spatial thinking appear only implicitly, mostly in the form o</w:t>
      </w:r>
      <w:r w:rsidR="00D40BFD" w:rsidRPr="0002056A">
        <w:rPr>
          <w:rFonts w:ascii="Georgia" w:hAnsi="Georgia"/>
          <w:lang w:val="en-GB"/>
        </w:rPr>
        <w:t>f</w:t>
      </w:r>
      <w:r w:rsidR="00701F88" w:rsidRPr="0002056A">
        <w:rPr>
          <w:rFonts w:ascii="Georgia" w:hAnsi="Georgia"/>
          <w:lang w:val="en-GB"/>
        </w:rPr>
        <w:t xml:space="preserve"> facilitating </w:t>
      </w:r>
      <w:r w:rsidR="00FA6869">
        <w:rPr>
          <w:rFonts w:ascii="Georgia" w:hAnsi="Georgia"/>
          <w:lang w:val="en-GB"/>
        </w:rPr>
        <w:t>the creation of GIS-based decision-supporting</w:t>
      </w:r>
      <w:r w:rsidR="00701F88" w:rsidRPr="0002056A">
        <w:rPr>
          <w:rFonts w:ascii="Georgia" w:hAnsi="Georgia"/>
          <w:lang w:val="en-GB"/>
        </w:rPr>
        <w:t xml:space="preserve"> systems </w:t>
      </w:r>
      <w:r w:rsidR="005A57D6" w:rsidRPr="0002056A">
        <w:rPr>
          <w:rFonts w:ascii="Georgia" w:hAnsi="Georgia"/>
          <w:lang w:val="en-GB"/>
        </w:rPr>
        <w:t>and the improvement of MRE activities</w:t>
      </w:r>
      <w:r w:rsidR="005A57D6" w:rsidRPr="0002056A">
        <w:rPr>
          <w:rStyle w:val="Lbjegyzet-hivatkozs"/>
          <w:rFonts w:ascii="Georgia" w:hAnsi="Georgia"/>
          <w:lang w:val="en-GB"/>
        </w:rPr>
        <w:footnoteReference w:id="20"/>
      </w:r>
      <w:r w:rsidR="005A57D6" w:rsidRPr="0002056A">
        <w:rPr>
          <w:rFonts w:ascii="Georgia" w:hAnsi="Georgia"/>
          <w:lang w:val="en-GB"/>
        </w:rPr>
        <w:t xml:space="preserve">. </w:t>
      </w:r>
    </w:p>
    <w:p w14:paraId="323D7DDC" w14:textId="5046D150" w:rsidR="004E603D" w:rsidRPr="0002056A" w:rsidRDefault="003723A8" w:rsidP="00CD5BF3">
      <w:pPr>
        <w:spacing w:before="120" w:after="120"/>
        <w:jc w:val="both"/>
        <w:rPr>
          <w:rFonts w:ascii="Georgia" w:hAnsi="Georgia" w:cs="Baskerville"/>
          <w:lang w:val="en-GB"/>
        </w:rPr>
      </w:pPr>
      <w:r w:rsidRPr="0002056A">
        <w:rPr>
          <w:rFonts w:ascii="Georgia" w:hAnsi="Georgia" w:cs="Baskerville"/>
          <w:lang w:val="en-GB"/>
        </w:rPr>
        <w:t>If we take a look at the evolution of adaptation policies at international, EU</w:t>
      </w:r>
      <w:r w:rsidR="00D40BFD" w:rsidRPr="0002056A">
        <w:rPr>
          <w:rFonts w:ascii="Georgia" w:hAnsi="Georgia" w:cs="Baskerville"/>
          <w:lang w:val="en-GB"/>
        </w:rPr>
        <w:t>,</w:t>
      </w:r>
      <w:r w:rsidRPr="0002056A">
        <w:rPr>
          <w:rFonts w:ascii="Georgia" w:hAnsi="Georgia" w:cs="Baskerville"/>
          <w:lang w:val="en-GB"/>
        </w:rPr>
        <w:t xml:space="preserve"> national and subnational levels</w:t>
      </w:r>
      <w:r w:rsidR="008E19CE" w:rsidRPr="0002056A">
        <w:rPr>
          <w:rFonts w:ascii="Georgia" w:hAnsi="Georgia" w:cs="Baskerville"/>
          <w:lang w:val="en-GB"/>
        </w:rPr>
        <w:t xml:space="preserve"> during the last one and a half </w:t>
      </w:r>
      <w:r w:rsidR="00FA6869">
        <w:rPr>
          <w:rFonts w:ascii="Georgia" w:hAnsi="Georgia" w:cs="Baskerville"/>
          <w:lang w:val="en-GB"/>
        </w:rPr>
        <w:t>decades</w:t>
      </w:r>
      <w:r w:rsidR="008E19CE" w:rsidRPr="0002056A">
        <w:rPr>
          <w:rFonts w:ascii="Georgia" w:hAnsi="Georgia" w:cs="Baskerville"/>
          <w:lang w:val="en-GB"/>
        </w:rPr>
        <w:t>, we</w:t>
      </w:r>
      <w:r w:rsidR="004E603D" w:rsidRPr="0002056A">
        <w:rPr>
          <w:rFonts w:ascii="Georgia" w:hAnsi="Georgia" w:cs="Baskerville"/>
          <w:lang w:val="en-GB"/>
        </w:rPr>
        <w:t xml:space="preserve"> can observe that </w:t>
      </w:r>
      <w:r w:rsidR="00FA6869">
        <w:rPr>
          <w:rFonts w:ascii="Georgia" w:hAnsi="Georgia" w:cs="Baskerville"/>
          <w:lang w:val="en-GB"/>
        </w:rPr>
        <w:t xml:space="preserve">the </w:t>
      </w:r>
      <w:r w:rsidR="008E19CE" w:rsidRPr="0002056A">
        <w:rPr>
          <w:rFonts w:ascii="Georgia" w:hAnsi="Georgia" w:cs="Baskerville"/>
          <w:lang w:val="en-GB"/>
        </w:rPr>
        <w:t xml:space="preserve">number and depth of </w:t>
      </w:r>
      <w:r w:rsidR="004E603D" w:rsidRPr="0002056A">
        <w:rPr>
          <w:rFonts w:ascii="Georgia" w:hAnsi="Georgia" w:cs="Baskerville"/>
          <w:lang w:val="en-GB"/>
        </w:rPr>
        <w:t xml:space="preserve">adaptation actions to address climate change have increased steadily across the world, with adaptation policies gaining momentum beside mitigation </w:t>
      </w:r>
      <w:r w:rsidR="001D7482" w:rsidRPr="0002056A">
        <w:rPr>
          <w:rFonts w:ascii="Georgia" w:hAnsi="Georgia" w:cs="Baskerville"/>
          <w:lang w:val="en-GB"/>
        </w:rPr>
        <w:t>both i</w:t>
      </w:r>
      <w:r w:rsidR="004E603D" w:rsidRPr="0002056A">
        <w:rPr>
          <w:rFonts w:ascii="Georgia" w:hAnsi="Georgia" w:cs="Baskerville"/>
          <w:lang w:val="en-GB"/>
        </w:rPr>
        <w:t>n national planning and international agreements.</w:t>
      </w:r>
      <w:r w:rsidR="00E639EC" w:rsidRPr="0002056A">
        <w:rPr>
          <w:rFonts w:ascii="Georgia" w:hAnsi="Georgia" w:cs="Baskerville"/>
          <w:lang w:val="en-GB"/>
        </w:rPr>
        <w:t xml:space="preserve"> The number of elaborated, adopted adaptation strategic documents</w:t>
      </w:r>
      <w:r w:rsidR="00FA6869">
        <w:rPr>
          <w:rFonts w:ascii="Georgia" w:hAnsi="Georgia" w:cs="Baskerville"/>
          <w:lang w:val="en-GB"/>
        </w:rPr>
        <w:t>, as well as finalised adaptation planning cycles (particularly in Europe) with monitoring and evaluation outputs, ha</w:t>
      </w:r>
      <w:r w:rsidR="00E5639E">
        <w:rPr>
          <w:rFonts w:ascii="Georgia" w:hAnsi="Georgia" w:cs="Baskerville"/>
          <w:lang w:val="en-GB"/>
        </w:rPr>
        <w:t>ve</w:t>
      </w:r>
      <w:r w:rsidR="00E639EC" w:rsidRPr="0002056A">
        <w:rPr>
          <w:rFonts w:ascii="Georgia" w:hAnsi="Georgia" w:cs="Baskerville"/>
          <w:lang w:val="en-GB"/>
        </w:rPr>
        <w:t xml:space="preserve"> grown significantly. </w:t>
      </w:r>
      <w:r w:rsidR="00770609" w:rsidRPr="0002056A">
        <w:rPr>
          <w:rFonts w:ascii="Georgia" w:hAnsi="Georgia" w:cs="Baskerville"/>
          <w:lang w:val="en-GB"/>
        </w:rPr>
        <w:t>It is now the proper time to analyse these strategic documents</w:t>
      </w:r>
      <w:r w:rsidR="001E1991" w:rsidRPr="0002056A">
        <w:rPr>
          <w:rFonts w:ascii="Georgia" w:hAnsi="Georgia" w:cs="Baskerville"/>
          <w:lang w:val="en-GB"/>
        </w:rPr>
        <w:t>.</w:t>
      </w:r>
    </w:p>
    <w:p w14:paraId="02717502" w14:textId="5B6A3FCB" w:rsidR="00BA01DB" w:rsidRPr="0002056A" w:rsidRDefault="00BA01DB" w:rsidP="00214BD9">
      <w:pPr>
        <w:pStyle w:val="Cmsor3"/>
        <w:numPr>
          <w:ilvl w:val="2"/>
          <w:numId w:val="4"/>
        </w:numPr>
        <w:rPr>
          <w:rFonts w:ascii="Calibri" w:hAnsi="Calibri" w:cs="Calibri"/>
          <w:color w:val="2F5496" w:themeColor="accent1" w:themeShade="BF"/>
          <w:lang w:val="en-GB"/>
        </w:rPr>
      </w:pPr>
      <w:bookmarkStart w:id="17" w:name="_Toc225578840"/>
      <w:r w:rsidRPr="0002056A">
        <w:rPr>
          <w:rFonts w:ascii="Calibri" w:hAnsi="Calibri" w:cs="Calibri"/>
          <w:color w:val="2F5496" w:themeColor="accent1" w:themeShade="BF"/>
          <w:lang w:val="en-GB"/>
        </w:rPr>
        <w:t xml:space="preserve">Instruments of </w:t>
      </w:r>
      <w:r w:rsidR="00554206" w:rsidRPr="0002056A">
        <w:rPr>
          <w:rFonts w:ascii="Calibri" w:hAnsi="Calibri" w:cs="Calibri"/>
          <w:color w:val="2F5496" w:themeColor="accent1" w:themeShade="BF"/>
          <w:lang w:val="en-GB"/>
        </w:rPr>
        <w:t xml:space="preserve">strategic planning in general and in </w:t>
      </w:r>
      <w:r w:rsidRPr="0002056A">
        <w:rPr>
          <w:rFonts w:ascii="Calibri" w:hAnsi="Calibri" w:cs="Calibri"/>
          <w:color w:val="2F5496" w:themeColor="accent1" w:themeShade="BF"/>
          <w:lang w:val="en-GB"/>
        </w:rPr>
        <w:t>adaptation policies</w:t>
      </w:r>
      <w:bookmarkEnd w:id="17"/>
    </w:p>
    <w:p w14:paraId="65722195" w14:textId="396DB315" w:rsidR="003133AB" w:rsidRPr="0002056A" w:rsidRDefault="003133AB" w:rsidP="00CD5BF3">
      <w:pPr>
        <w:autoSpaceDE w:val="0"/>
        <w:autoSpaceDN w:val="0"/>
        <w:adjustRightInd w:val="0"/>
        <w:spacing w:before="120" w:after="120"/>
        <w:jc w:val="both"/>
        <w:rPr>
          <w:rFonts w:ascii="Georgia" w:hAnsi="Georgia"/>
          <w:lang w:val="en-GB"/>
        </w:rPr>
      </w:pPr>
      <w:r w:rsidRPr="0002056A">
        <w:rPr>
          <w:rFonts w:ascii="Georgia" w:hAnsi="Georgia"/>
          <w:lang w:val="en-GB"/>
        </w:rPr>
        <w:t xml:space="preserve">Generally, the adaptation governance-related literature </w:t>
      </w:r>
      <w:r w:rsidR="00FA6869">
        <w:rPr>
          <w:rFonts w:ascii="Georgia" w:hAnsi="Georgia"/>
          <w:lang w:val="en-GB"/>
        </w:rPr>
        <w:t xml:space="preserve">examines </w:t>
      </w:r>
      <w:r w:rsidRPr="0002056A">
        <w:rPr>
          <w:rFonts w:ascii="Georgia" w:hAnsi="Georgia"/>
          <w:lang w:val="en-GB"/>
        </w:rPr>
        <w:t>adaptation planning and mainstreaming rather than a</w:t>
      </w:r>
      <w:r w:rsidR="00AB0BE9">
        <w:rPr>
          <w:rFonts w:ascii="Georgia" w:hAnsi="Georgia"/>
          <w:lang w:val="en-GB"/>
        </w:rPr>
        <w:t>ctual a</w:t>
      </w:r>
      <w:r w:rsidRPr="0002056A">
        <w:rPr>
          <w:rFonts w:ascii="Georgia" w:hAnsi="Georgia"/>
          <w:lang w:val="en-GB"/>
        </w:rPr>
        <w:t>daptation actions (</w:t>
      </w:r>
      <w:r w:rsidRPr="0002056A">
        <w:rPr>
          <w:rFonts w:ascii="Georgia" w:hAnsi="Georgia" w:cstheme="minorHAnsi"/>
          <w:smallCaps/>
          <w:lang w:val="en-GB"/>
        </w:rPr>
        <w:t>Leiter, 2015; Klostermann et al., 2018</w:t>
      </w:r>
      <w:r w:rsidRPr="0002056A">
        <w:rPr>
          <w:rFonts w:ascii="Georgia" w:hAnsi="Georgia"/>
          <w:lang w:val="en-GB"/>
        </w:rPr>
        <w:t xml:space="preserve">). The Fifth Assessment Report of the IPCC observed that only a minority of academic literature provides information on the implementation of adaptation plans, in contrast with the large number of literature items discussing concepts, strategies, and plans of adaptation (IPCC, 2014). </w:t>
      </w:r>
    </w:p>
    <w:p w14:paraId="115700D2" w14:textId="407C0E43" w:rsidR="00D8464C" w:rsidRPr="0002056A" w:rsidRDefault="00911C32" w:rsidP="00CD5BF3">
      <w:pPr>
        <w:spacing w:before="120" w:after="120"/>
        <w:jc w:val="both"/>
        <w:rPr>
          <w:rFonts w:ascii="Georgia" w:hAnsi="Georgia"/>
          <w:lang w:val="en-GB"/>
        </w:rPr>
      </w:pPr>
      <w:r w:rsidRPr="0002056A">
        <w:rPr>
          <w:rFonts w:ascii="Georgia" w:hAnsi="Georgia" w:cs="Times New Roman"/>
          <w:lang w:val="en-GB"/>
        </w:rPr>
        <w:t>A</w:t>
      </w:r>
      <w:r w:rsidR="00A10FF1" w:rsidRPr="0002056A">
        <w:rPr>
          <w:rFonts w:ascii="Georgia" w:hAnsi="Georgia" w:cs="Times New Roman"/>
          <w:lang w:val="en-GB"/>
        </w:rPr>
        <w:t>fter reviewing the related literature</w:t>
      </w:r>
      <w:r w:rsidR="00131E42" w:rsidRPr="0002056A">
        <w:rPr>
          <w:rFonts w:ascii="Georgia" w:hAnsi="Georgia" w:cs="Times New Roman"/>
          <w:lang w:val="en-GB"/>
        </w:rPr>
        <w:t>,</w:t>
      </w:r>
      <w:r w:rsidR="00A10FF1" w:rsidRPr="0002056A">
        <w:rPr>
          <w:rFonts w:ascii="Georgia" w:hAnsi="Georgia" w:cs="Times New Roman"/>
          <w:lang w:val="en-GB"/>
        </w:rPr>
        <w:t xml:space="preserve"> </w:t>
      </w:r>
      <w:r w:rsidR="00F209F0" w:rsidRPr="0002056A">
        <w:rPr>
          <w:rFonts w:ascii="Georgia" w:hAnsi="Georgia" w:cs="Times New Roman"/>
          <w:lang w:val="en-GB"/>
        </w:rPr>
        <w:t>the</w:t>
      </w:r>
      <w:r w:rsidR="00A10FF1" w:rsidRPr="0002056A">
        <w:rPr>
          <w:rFonts w:ascii="Georgia" w:hAnsi="Georgia" w:cs="Times New Roman"/>
          <w:lang w:val="en-GB"/>
        </w:rPr>
        <w:t xml:space="preserve"> conclusion can be </w:t>
      </w:r>
      <w:r w:rsidR="00F209F0" w:rsidRPr="0002056A">
        <w:rPr>
          <w:rFonts w:ascii="Georgia" w:hAnsi="Georgia" w:cs="Times New Roman"/>
          <w:lang w:val="en-GB"/>
        </w:rPr>
        <w:t>d</w:t>
      </w:r>
      <w:r w:rsidR="00A10FF1" w:rsidRPr="0002056A">
        <w:rPr>
          <w:rFonts w:ascii="Georgia" w:hAnsi="Georgia" w:cs="Times New Roman"/>
          <w:lang w:val="en-GB"/>
        </w:rPr>
        <w:t>rawn th</w:t>
      </w:r>
      <w:r w:rsidRPr="0002056A">
        <w:rPr>
          <w:rFonts w:ascii="Georgia" w:hAnsi="Georgia" w:cs="Times New Roman"/>
          <w:lang w:val="en-GB"/>
        </w:rPr>
        <w:t>a</w:t>
      </w:r>
      <w:r w:rsidR="00A10FF1" w:rsidRPr="0002056A">
        <w:rPr>
          <w:rFonts w:ascii="Georgia" w:hAnsi="Georgia" w:cs="Times New Roman"/>
          <w:lang w:val="en-GB"/>
        </w:rPr>
        <w:t>t</w:t>
      </w:r>
      <w:r w:rsidRPr="0002056A">
        <w:rPr>
          <w:rFonts w:ascii="Georgia" w:hAnsi="Georgia" w:cs="Times New Roman"/>
          <w:lang w:val="en-GB"/>
        </w:rPr>
        <w:t xml:space="preserve"> </w:t>
      </w:r>
      <w:r w:rsidR="00F209F0" w:rsidRPr="0002056A">
        <w:rPr>
          <w:rFonts w:ascii="Georgia" w:hAnsi="Georgia" w:cs="Times New Roman"/>
          <w:lang w:val="en-GB"/>
        </w:rPr>
        <w:t xml:space="preserve">a </w:t>
      </w:r>
      <w:r w:rsidRPr="0002056A">
        <w:rPr>
          <w:rFonts w:ascii="Georgia" w:hAnsi="Georgia" w:cs="Times New Roman"/>
          <w:lang w:val="en-GB"/>
        </w:rPr>
        <w:t xml:space="preserve">linear development can be observed </w:t>
      </w:r>
      <w:r w:rsidR="00131E42" w:rsidRPr="0002056A">
        <w:rPr>
          <w:rFonts w:ascii="Georgia" w:hAnsi="Georgia" w:cs="Times New Roman"/>
          <w:lang w:val="en-GB"/>
        </w:rPr>
        <w:t xml:space="preserve">both </w:t>
      </w:r>
      <w:r w:rsidRPr="0002056A">
        <w:rPr>
          <w:rFonts w:ascii="Georgia" w:hAnsi="Georgia" w:cs="Times New Roman"/>
          <w:lang w:val="en-GB"/>
        </w:rPr>
        <w:t xml:space="preserve">in the </w:t>
      </w:r>
      <w:r w:rsidR="00962CDB" w:rsidRPr="0002056A">
        <w:rPr>
          <w:rFonts w:ascii="Georgia" w:hAnsi="Georgia" w:cs="Times New Roman"/>
          <w:lang w:val="en-GB"/>
        </w:rPr>
        <w:t xml:space="preserve">evolution of </w:t>
      </w:r>
      <w:r w:rsidRPr="0002056A">
        <w:rPr>
          <w:rFonts w:ascii="Georgia" w:hAnsi="Georgia" w:cs="Times New Roman"/>
          <w:lang w:val="en-GB"/>
        </w:rPr>
        <w:t>monitoring</w:t>
      </w:r>
      <w:r w:rsidR="00131E42" w:rsidRPr="0002056A">
        <w:rPr>
          <w:rFonts w:ascii="Georgia" w:hAnsi="Georgia" w:cs="Times New Roman"/>
          <w:lang w:val="en-GB"/>
        </w:rPr>
        <w:t>/</w:t>
      </w:r>
      <w:r w:rsidRPr="0002056A">
        <w:rPr>
          <w:rFonts w:ascii="Georgia" w:hAnsi="Georgia" w:cs="Times New Roman"/>
          <w:lang w:val="en-GB"/>
        </w:rPr>
        <w:t xml:space="preserve">evaluation </w:t>
      </w:r>
      <w:r w:rsidR="00F209F0" w:rsidRPr="0002056A">
        <w:rPr>
          <w:rFonts w:ascii="Georgia" w:hAnsi="Georgia" w:cs="Times New Roman"/>
          <w:lang w:val="en-GB"/>
        </w:rPr>
        <w:t>activities</w:t>
      </w:r>
      <w:r w:rsidRPr="0002056A">
        <w:rPr>
          <w:rFonts w:ascii="Georgia" w:hAnsi="Georgia" w:cs="Times New Roman"/>
          <w:lang w:val="en-GB"/>
        </w:rPr>
        <w:t xml:space="preserve"> and in the weight of MRE within project management</w:t>
      </w:r>
      <w:r w:rsidR="00FA6869">
        <w:rPr>
          <w:rFonts w:ascii="Georgia" w:hAnsi="Georgia" w:cs="Times New Roman"/>
          <w:lang w:val="en-GB"/>
        </w:rPr>
        <w:t>,</w:t>
      </w:r>
      <w:r w:rsidRPr="0002056A">
        <w:rPr>
          <w:rFonts w:ascii="Georgia" w:hAnsi="Georgia" w:cs="Times New Roman"/>
          <w:lang w:val="en-GB"/>
        </w:rPr>
        <w:t xml:space="preserve"> both in general and especially in </w:t>
      </w:r>
      <w:r w:rsidR="00EA421B" w:rsidRPr="0002056A">
        <w:rPr>
          <w:rFonts w:ascii="Georgia" w:hAnsi="Georgia" w:cs="Times New Roman"/>
          <w:lang w:val="en-GB"/>
        </w:rPr>
        <w:t xml:space="preserve">climate </w:t>
      </w:r>
      <w:r w:rsidRPr="0002056A">
        <w:rPr>
          <w:rFonts w:ascii="Georgia" w:hAnsi="Georgia" w:cs="Times New Roman"/>
          <w:lang w:val="en-GB"/>
        </w:rPr>
        <w:t>adaptation</w:t>
      </w:r>
      <w:r w:rsidR="00C2031E" w:rsidRPr="0002056A">
        <w:rPr>
          <w:rFonts w:ascii="Georgia" w:hAnsi="Georgia" w:cs="Times New Roman"/>
          <w:lang w:val="en-GB"/>
        </w:rPr>
        <w:t xml:space="preserve"> policy</w:t>
      </w:r>
      <w:r w:rsidRPr="0002056A">
        <w:rPr>
          <w:rFonts w:ascii="Georgia" w:hAnsi="Georgia" w:cs="Times New Roman"/>
          <w:lang w:val="en-GB"/>
        </w:rPr>
        <w:t xml:space="preserve">. </w:t>
      </w:r>
      <w:r w:rsidR="00D8464C" w:rsidRPr="0002056A">
        <w:rPr>
          <w:rFonts w:ascii="Georgia" w:hAnsi="Georgia"/>
          <w:lang w:val="en-GB"/>
        </w:rPr>
        <w:t xml:space="preserve">In Europe, the </w:t>
      </w:r>
      <w:r w:rsidR="00D8464C" w:rsidRPr="0002056A">
        <w:rPr>
          <w:rFonts w:ascii="Georgia" w:hAnsi="Georgia"/>
          <w:b/>
          <w:lang w:val="en-GB"/>
        </w:rPr>
        <w:t>types, methodologies and t</w:t>
      </w:r>
      <w:r w:rsidR="005E2E9E" w:rsidRPr="0002056A">
        <w:rPr>
          <w:rFonts w:ascii="Georgia" w:hAnsi="Georgia"/>
          <w:b/>
          <w:lang w:val="en-GB"/>
        </w:rPr>
        <w:t>opics</w:t>
      </w:r>
      <w:r w:rsidR="00D8464C" w:rsidRPr="0002056A">
        <w:rPr>
          <w:rFonts w:ascii="Georgia" w:hAnsi="Georgia"/>
          <w:b/>
          <w:lang w:val="en-GB"/>
        </w:rPr>
        <w:t xml:space="preserve"> of development policy-related planning and MRE have basically developed</w:t>
      </w:r>
      <w:r w:rsidR="00D8464C" w:rsidRPr="0002056A">
        <w:rPr>
          <w:rFonts w:ascii="Georgia" w:hAnsi="Georgia"/>
          <w:lang w:val="en-GB"/>
        </w:rPr>
        <w:t xml:space="preserve"> </w:t>
      </w:r>
      <w:r w:rsidR="00FA6869">
        <w:rPr>
          <w:rFonts w:ascii="Georgia" w:hAnsi="Georgia"/>
          <w:lang w:val="en-GB"/>
        </w:rPr>
        <w:t>over</w:t>
      </w:r>
      <w:r w:rsidR="00FA6869" w:rsidRPr="0002056A">
        <w:rPr>
          <w:rFonts w:ascii="Georgia" w:hAnsi="Georgia"/>
          <w:lang w:val="en-GB"/>
        </w:rPr>
        <w:t xml:space="preserve"> </w:t>
      </w:r>
      <w:r w:rsidR="00D8464C" w:rsidRPr="0002056A">
        <w:rPr>
          <w:rFonts w:ascii="Georgia" w:hAnsi="Georgia"/>
          <w:lang w:val="en-GB"/>
        </w:rPr>
        <w:t>the recent decades. Regarding the</w:t>
      </w:r>
      <w:r w:rsidR="00EA421B" w:rsidRPr="0002056A">
        <w:rPr>
          <w:rFonts w:ascii="Georgia" w:hAnsi="Georgia"/>
          <w:lang w:val="en-GB"/>
        </w:rPr>
        <w:t xml:space="preserve"> enli</w:t>
      </w:r>
      <w:r w:rsidR="00D8464C" w:rsidRPr="0002056A">
        <w:rPr>
          <w:rFonts w:ascii="Georgia" w:hAnsi="Georgia"/>
          <w:lang w:val="en-GB"/>
        </w:rPr>
        <w:t>s</w:t>
      </w:r>
      <w:r w:rsidR="00EA421B" w:rsidRPr="0002056A">
        <w:rPr>
          <w:rFonts w:ascii="Georgia" w:hAnsi="Georgia"/>
          <w:lang w:val="en-GB"/>
        </w:rPr>
        <w:t>t</w:t>
      </w:r>
      <w:r w:rsidR="00D8464C" w:rsidRPr="0002056A">
        <w:rPr>
          <w:rFonts w:ascii="Georgia" w:hAnsi="Georgia"/>
          <w:lang w:val="en-GB"/>
        </w:rPr>
        <w:t>e</w:t>
      </w:r>
      <w:r w:rsidR="00EA421B" w:rsidRPr="0002056A">
        <w:rPr>
          <w:rFonts w:ascii="Georgia" w:hAnsi="Georgia"/>
          <w:lang w:val="en-GB"/>
        </w:rPr>
        <w:t>d</w:t>
      </w:r>
      <w:r w:rsidR="00D8464C" w:rsidRPr="0002056A">
        <w:rPr>
          <w:rFonts w:ascii="Georgia" w:hAnsi="Georgia"/>
          <w:lang w:val="en-GB"/>
        </w:rPr>
        <w:t xml:space="preserve"> aspects, there are no obvious differences between the states</w:t>
      </w:r>
      <w:r w:rsidR="00D8464C" w:rsidRPr="0002056A">
        <w:rPr>
          <w:rStyle w:val="Lbjegyzet-hivatkozs"/>
          <w:rFonts w:ascii="Georgia" w:hAnsi="Georgia"/>
          <w:lang w:val="en-GB"/>
        </w:rPr>
        <w:footnoteReference w:id="21"/>
      </w:r>
      <w:r w:rsidR="00D8464C" w:rsidRPr="0002056A">
        <w:rPr>
          <w:rFonts w:ascii="Georgia" w:hAnsi="Georgia"/>
          <w:lang w:val="en-GB"/>
        </w:rPr>
        <w:t xml:space="preserve">. The main purpose of these </w:t>
      </w:r>
      <w:r w:rsidRPr="0002056A">
        <w:rPr>
          <w:rFonts w:ascii="Georgia" w:hAnsi="Georgia"/>
          <w:lang w:val="en-GB"/>
        </w:rPr>
        <w:t xml:space="preserve">national </w:t>
      </w:r>
      <w:r w:rsidR="00C2031E" w:rsidRPr="0002056A">
        <w:rPr>
          <w:rFonts w:ascii="Georgia" w:hAnsi="Georgia"/>
          <w:lang w:val="en-GB"/>
        </w:rPr>
        <w:t xml:space="preserve">planning, </w:t>
      </w:r>
      <w:r w:rsidR="00D8464C" w:rsidRPr="0002056A">
        <w:rPr>
          <w:rFonts w:ascii="Georgia" w:hAnsi="Georgia"/>
          <w:lang w:val="en-GB"/>
        </w:rPr>
        <w:t>monitoring and evaluation frameworks is to promote the efficient use of Community aid, while helping to improve the implementation of national operational programmes by providing feedback on their effectiveness (</w:t>
      </w:r>
      <w:r w:rsidR="00D8464C" w:rsidRPr="0002056A">
        <w:rPr>
          <w:rFonts w:ascii="Georgia" w:hAnsi="Georgia"/>
          <w:smallCaps/>
          <w:lang w:val="en-GB"/>
        </w:rPr>
        <w:t>Sütő, 2017; Sütő ed. 2020</w:t>
      </w:r>
      <w:r w:rsidR="00D8464C" w:rsidRPr="0002056A">
        <w:rPr>
          <w:rFonts w:ascii="Georgia" w:hAnsi="Georgia"/>
          <w:lang w:val="en-GB"/>
        </w:rPr>
        <w:t>).</w:t>
      </w:r>
    </w:p>
    <w:p w14:paraId="5F34C367" w14:textId="2D83DDA8" w:rsidR="00D8464C" w:rsidRPr="0002056A" w:rsidRDefault="00D8464C" w:rsidP="00CD5BF3">
      <w:pPr>
        <w:spacing w:before="120" w:after="120"/>
        <w:jc w:val="both"/>
        <w:rPr>
          <w:rFonts w:ascii="Georgia" w:hAnsi="Georgia" w:cs="Times New Roman"/>
          <w:lang w:val="en-GB"/>
        </w:rPr>
      </w:pPr>
      <w:r w:rsidRPr="0002056A">
        <w:rPr>
          <w:rFonts w:ascii="Georgia" w:hAnsi="Georgia" w:cs="Times New Roman"/>
          <w:lang w:val="en-GB"/>
        </w:rPr>
        <w:t xml:space="preserve">Regarding the current situation, standards and methodologies </w:t>
      </w:r>
      <w:r w:rsidR="00457174" w:rsidRPr="0002056A">
        <w:rPr>
          <w:rFonts w:ascii="Georgia" w:hAnsi="Georgia" w:cs="Times New Roman"/>
          <w:lang w:val="en-GB"/>
        </w:rPr>
        <w:t xml:space="preserve">of </w:t>
      </w:r>
      <w:r w:rsidRPr="0002056A">
        <w:rPr>
          <w:rFonts w:ascii="Georgia" w:hAnsi="Georgia" w:cs="Times New Roman"/>
          <w:lang w:val="en-GB"/>
        </w:rPr>
        <w:t xml:space="preserve">the </w:t>
      </w:r>
      <w:r w:rsidR="00911C32" w:rsidRPr="0002056A">
        <w:rPr>
          <w:rFonts w:ascii="Georgia" w:hAnsi="Georgia" w:cs="Times New Roman"/>
          <w:b/>
          <w:bCs/>
          <w:lang w:val="en-GB"/>
        </w:rPr>
        <w:t>planning and</w:t>
      </w:r>
      <w:r w:rsidR="00911C32" w:rsidRPr="0002056A">
        <w:rPr>
          <w:rFonts w:ascii="Georgia" w:hAnsi="Georgia" w:cs="Times New Roman"/>
          <w:lang w:val="en-GB"/>
        </w:rPr>
        <w:t xml:space="preserve"> </w:t>
      </w:r>
      <w:r w:rsidRPr="0002056A">
        <w:rPr>
          <w:rFonts w:ascii="Georgia" w:hAnsi="Georgia" w:cs="Times New Roman"/>
          <w:b/>
          <w:lang w:val="en-GB"/>
        </w:rPr>
        <w:t>monitoring, reporting</w:t>
      </w:r>
      <w:r w:rsidR="00FA6869">
        <w:rPr>
          <w:rFonts w:ascii="Georgia" w:hAnsi="Georgia" w:cs="Times New Roman"/>
          <w:b/>
          <w:lang w:val="en-GB"/>
        </w:rPr>
        <w:t xml:space="preserve">, </w:t>
      </w:r>
      <w:r w:rsidR="00FA6869" w:rsidRPr="001F7A00">
        <w:rPr>
          <w:rFonts w:ascii="Georgia" w:hAnsi="Georgia" w:cs="Times New Roman"/>
          <w:bCs/>
          <w:lang w:val="en-GB"/>
        </w:rPr>
        <w:t>and especially</w:t>
      </w:r>
      <w:r w:rsidR="00FA6869">
        <w:rPr>
          <w:rFonts w:ascii="Georgia" w:hAnsi="Georgia" w:cs="Times New Roman"/>
          <w:b/>
          <w:lang w:val="en-GB"/>
        </w:rPr>
        <w:t xml:space="preserve"> evaluation activities in European climate policy show a significantly slower development </w:t>
      </w:r>
      <w:r w:rsidR="00FA6869" w:rsidRPr="001F7A00">
        <w:rPr>
          <w:rFonts w:ascii="Georgia" w:hAnsi="Georgia" w:cs="Times New Roman"/>
          <w:bCs/>
          <w:lang w:val="en-GB"/>
        </w:rPr>
        <w:t>compared to other sectors with greater traditions in these activities (e.g., regional development, environmental</w:t>
      </w:r>
      <w:r w:rsidRPr="00AB0BE9">
        <w:rPr>
          <w:rFonts w:ascii="Georgia" w:hAnsi="Georgia" w:cs="Times New Roman"/>
          <w:bCs/>
          <w:lang w:val="en-GB"/>
        </w:rPr>
        <w:t xml:space="preserve"> protection, spatial planning).</w:t>
      </w:r>
      <w:r w:rsidRPr="0002056A">
        <w:rPr>
          <w:rFonts w:ascii="Georgia" w:hAnsi="Georgia" w:cs="Times New Roman"/>
          <w:lang w:val="en-GB"/>
        </w:rPr>
        <w:t xml:space="preserve"> To make the situation even more interesting, </w:t>
      </w:r>
      <w:r w:rsidRPr="0002056A">
        <w:rPr>
          <w:rFonts w:ascii="Georgia" w:hAnsi="Georgia" w:cs="Times New Roman"/>
          <w:b/>
          <w:lang w:val="en-GB"/>
        </w:rPr>
        <w:t>within climate policy</w:t>
      </w:r>
      <w:r w:rsidR="00FA6869">
        <w:rPr>
          <w:rFonts w:ascii="Georgia" w:hAnsi="Georgia" w:cs="Times New Roman"/>
          <w:b/>
          <w:lang w:val="en-GB"/>
        </w:rPr>
        <w:t>,</w:t>
      </w:r>
      <w:r w:rsidRPr="0002056A">
        <w:rPr>
          <w:rFonts w:ascii="Georgia" w:hAnsi="Georgia" w:cs="Times New Roman"/>
          <w:lang w:val="en-GB"/>
        </w:rPr>
        <w:t xml:space="preserve"> a similar dual picture stands out: </w:t>
      </w:r>
      <w:r w:rsidR="00911C32" w:rsidRPr="0002056A">
        <w:rPr>
          <w:rFonts w:ascii="Georgia" w:hAnsi="Georgia" w:cs="Times New Roman"/>
          <w:lang w:val="en-GB"/>
        </w:rPr>
        <w:t xml:space="preserve">planning and </w:t>
      </w:r>
      <w:r w:rsidRPr="0002056A">
        <w:rPr>
          <w:rFonts w:ascii="Georgia" w:hAnsi="Georgia" w:cs="Times New Roman"/>
          <w:lang w:val="en-GB"/>
        </w:rPr>
        <w:t xml:space="preserve">MRE of </w:t>
      </w:r>
      <w:r w:rsidRPr="0002056A">
        <w:rPr>
          <w:rFonts w:ascii="Georgia" w:hAnsi="Georgia" w:cs="Times New Roman"/>
          <w:b/>
          <w:lang w:val="en-GB"/>
        </w:rPr>
        <w:t>adaptation</w:t>
      </w:r>
      <w:r w:rsidRPr="0002056A">
        <w:rPr>
          <w:rFonts w:ascii="Georgia" w:hAnsi="Georgia" w:cs="Times New Roman"/>
          <w:lang w:val="en-GB"/>
        </w:rPr>
        <w:t xml:space="preserve"> </w:t>
      </w:r>
      <w:r w:rsidRPr="0002056A">
        <w:rPr>
          <w:rFonts w:ascii="Georgia" w:hAnsi="Georgia" w:cs="Times New Roman"/>
          <w:b/>
          <w:lang w:val="en-GB"/>
        </w:rPr>
        <w:t xml:space="preserve">is even less developed/refined compared to that of mitigation </w:t>
      </w:r>
      <w:r w:rsidRPr="0002056A">
        <w:rPr>
          <w:rFonts w:ascii="Georgia" w:hAnsi="Georgia" w:cs="Times New Roman"/>
          <w:lang w:val="en-GB"/>
        </w:rPr>
        <w:t xml:space="preserve">(both in Europe and in Hungary). </w:t>
      </w:r>
      <w:r w:rsidR="00A96886" w:rsidRPr="0002056A">
        <w:rPr>
          <w:rFonts w:ascii="Georgia" w:hAnsi="Georgia" w:cs="Times New Roman"/>
          <w:lang w:val="en-GB"/>
        </w:rPr>
        <w:t>A</w:t>
      </w:r>
      <w:r w:rsidRPr="0002056A">
        <w:rPr>
          <w:rFonts w:ascii="Georgia" w:hAnsi="Georgia" w:cs="Times New Roman"/>
          <w:lang w:val="en-GB"/>
        </w:rPr>
        <w:t xml:space="preserve">mong the causes </w:t>
      </w:r>
      <w:r w:rsidR="007E43B2" w:rsidRPr="0002056A">
        <w:rPr>
          <w:rFonts w:ascii="Georgia" w:hAnsi="Georgia" w:cs="Times New Roman"/>
          <w:lang w:val="en-GB"/>
        </w:rPr>
        <w:t>we can identify</w:t>
      </w:r>
      <w:r w:rsidR="00A96886" w:rsidRPr="0002056A">
        <w:rPr>
          <w:rFonts w:ascii="Georgia" w:hAnsi="Georgia" w:cs="Times New Roman"/>
          <w:lang w:val="en-GB"/>
        </w:rPr>
        <w:t xml:space="preserve">, based on the results of the literature review, </w:t>
      </w:r>
      <w:r w:rsidR="007E43B2" w:rsidRPr="0002056A">
        <w:rPr>
          <w:rFonts w:ascii="Georgia" w:hAnsi="Georgia" w:cs="Times New Roman"/>
          <w:lang w:val="en-GB"/>
        </w:rPr>
        <w:t xml:space="preserve">both </w:t>
      </w:r>
      <w:r w:rsidRPr="0002056A">
        <w:rPr>
          <w:rFonts w:ascii="Georgia" w:hAnsi="Georgia" w:cs="Times New Roman"/>
          <w:lang w:val="en-GB"/>
        </w:rPr>
        <w:t>the more difficult quantification of adaptation impacts, outcomes and benefits</w:t>
      </w:r>
      <w:r w:rsidR="00911C32" w:rsidRPr="0002056A">
        <w:rPr>
          <w:rFonts w:ascii="Georgia" w:hAnsi="Georgia" w:cs="Times New Roman"/>
          <w:lang w:val="en-GB"/>
        </w:rPr>
        <w:t xml:space="preserve"> (the reasons are methodological uncertainties and differences in conceptual approaches)</w:t>
      </w:r>
      <w:r w:rsidRPr="0002056A">
        <w:rPr>
          <w:rFonts w:ascii="Georgia" w:hAnsi="Georgia" w:cs="Times New Roman"/>
          <w:lang w:val="en-GB"/>
        </w:rPr>
        <w:t xml:space="preserve">; and the </w:t>
      </w:r>
      <w:r w:rsidR="007E43B2" w:rsidRPr="0002056A">
        <w:rPr>
          <w:rFonts w:ascii="Georgia" w:hAnsi="Georgia" w:cs="Times New Roman"/>
          <w:lang w:val="en-GB"/>
        </w:rPr>
        <w:t>delayed</w:t>
      </w:r>
      <w:r w:rsidRPr="0002056A">
        <w:rPr>
          <w:rFonts w:ascii="Georgia" w:hAnsi="Georgia" w:cs="Times New Roman"/>
          <w:lang w:val="en-GB"/>
        </w:rPr>
        <w:t xml:space="preserve"> institutionalization of adaptation compared to mitigation (</w:t>
      </w:r>
      <w:r w:rsidRPr="0002056A">
        <w:rPr>
          <w:rFonts w:ascii="Georgia" w:hAnsi="Georgia" w:cs="Times New Roman"/>
          <w:smallCaps/>
          <w:lang w:val="en-GB"/>
        </w:rPr>
        <w:t xml:space="preserve">Füssel H.M. &amp; Klein, R.J.T., 2006;, Harley M. &amp; van Minnen, 2009; Haug, C., et al. 2010; Huitema, D. et al., 2011; Pringle, P. 2011; Bours D., et al., 2013; EEA 2015 and 2016; </w:t>
      </w:r>
      <w:r w:rsidR="00275C90" w:rsidRPr="0002056A">
        <w:rPr>
          <w:rFonts w:ascii="Georgia" w:hAnsi="Georgia" w:cs="Times New Roman"/>
          <w:smallCaps/>
          <w:lang w:val="en-GB"/>
        </w:rPr>
        <w:t xml:space="preserve">Davidse et. al., 2015; </w:t>
      </w:r>
      <w:r w:rsidRPr="0002056A">
        <w:rPr>
          <w:rFonts w:ascii="Georgia" w:hAnsi="Georgia" w:cs="Times New Roman"/>
          <w:smallCaps/>
          <w:lang w:val="en-GB"/>
        </w:rPr>
        <w:t>Pringle, P. et al., 2017, Klostermann, J., et al., 2018; Meijs, S., et al. 2018</w:t>
      </w:r>
      <w:r w:rsidRPr="0002056A">
        <w:rPr>
          <w:rFonts w:ascii="Georgia" w:hAnsi="Georgia" w:cs="Times New Roman"/>
          <w:lang w:val="en-GB"/>
        </w:rPr>
        <w:t xml:space="preserve">). </w:t>
      </w:r>
    </w:p>
    <w:p w14:paraId="13A3FFEB" w14:textId="423E520D" w:rsidR="00016639" w:rsidRPr="0002056A" w:rsidRDefault="00D8464C" w:rsidP="00CD5BF3">
      <w:pPr>
        <w:autoSpaceDE w:val="0"/>
        <w:autoSpaceDN w:val="0"/>
        <w:adjustRightInd w:val="0"/>
        <w:spacing w:before="120" w:after="120"/>
        <w:jc w:val="both"/>
        <w:rPr>
          <w:sz w:val="16"/>
          <w:szCs w:val="16"/>
          <w:lang w:val="en-GB"/>
        </w:rPr>
      </w:pPr>
      <w:r w:rsidRPr="0002056A">
        <w:rPr>
          <w:rFonts w:ascii="Georgia" w:hAnsi="Georgia" w:cs="Times New Roman"/>
          <w:b/>
          <w:lang w:val="en-GB"/>
        </w:rPr>
        <w:lastRenderedPageBreak/>
        <w:t>However,</w:t>
      </w:r>
      <w:r w:rsidRPr="0002056A">
        <w:rPr>
          <w:rFonts w:ascii="Georgia" w:hAnsi="Georgia" w:cs="Times New Roman"/>
          <w:lang w:val="en-GB"/>
        </w:rPr>
        <w:t xml:space="preserve"> having overviewed the historical development and the characteristics of </w:t>
      </w:r>
      <w:r w:rsidR="00911C32" w:rsidRPr="0002056A">
        <w:rPr>
          <w:rFonts w:ascii="Georgia" w:hAnsi="Georgia" w:cs="Times New Roman"/>
          <w:lang w:val="en-GB"/>
        </w:rPr>
        <w:t>these activities</w:t>
      </w:r>
      <w:r w:rsidRPr="0002056A">
        <w:rPr>
          <w:rFonts w:ascii="Georgia" w:hAnsi="Georgia" w:cs="Times New Roman"/>
          <w:lang w:val="en-GB"/>
        </w:rPr>
        <w:t>, we can see</w:t>
      </w:r>
      <w:r w:rsidRPr="0002056A">
        <w:rPr>
          <w:rFonts w:ascii="Georgia" w:hAnsi="Georgia" w:cs="Times New Roman"/>
          <w:bCs/>
          <w:lang w:val="en-GB"/>
        </w:rPr>
        <w:t xml:space="preserve"> that</w:t>
      </w:r>
      <w:r w:rsidRPr="0002056A">
        <w:rPr>
          <w:rFonts w:ascii="Georgia" w:hAnsi="Georgia" w:cs="Times New Roman"/>
          <w:b/>
          <w:lang w:val="en-GB"/>
        </w:rPr>
        <w:t xml:space="preserve"> MRE have </w:t>
      </w:r>
      <w:r w:rsidR="001E100C" w:rsidRPr="0002056A">
        <w:rPr>
          <w:rFonts w:ascii="Georgia" w:hAnsi="Georgia" w:cs="Times New Roman"/>
          <w:b/>
          <w:lang w:val="en-GB"/>
        </w:rPr>
        <w:t xml:space="preserve">at least </w:t>
      </w:r>
      <w:r w:rsidRPr="0002056A">
        <w:rPr>
          <w:rFonts w:ascii="Georgia" w:hAnsi="Georgia" w:cs="Times New Roman"/>
          <w:b/>
          <w:lang w:val="en-GB"/>
        </w:rPr>
        <w:t xml:space="preserve">started to become an important part of the adaptation </w:t>
      </w:r>
      <w:r w:rsidR="001E100C" w:rsidRPr="0002056A">
        <w:rPr>
          <w:rFonts w:ascii="Georgia" w:hAnsi="Georgia" w:cs="Times New Roman"/>
          <w:b/>
          <w:lang w:val="en-GB"/>
        </w:rPr>
        <w:t>cycle</w:t>
      </w:r>
      <w:r w:rsidRPr="0002056A">
        <w:rPr>
          <w:rFonts w:ascii="Georgia" w:hAnsi="Georgia" w:cs="Times New Roman"/>
          <w:b/>
          <w:lang w:val="en-GB"/>
        </w:rPr>
        <w:t>.</w:t>
      </w:r>
      <w:r w:rsidRPr="0002056A">
        <w:rPr>
          <w:rFonts w:ascii="Georgia" w:hAnsi="Georgia" w:cs="Times New Roman"/>
          <w:lang w:val="en-GB"/>
        </w:rPr>
        <w:t xml:space="preserve"> According to most authors (</w:t>
      </w:r>
      <w:r w:rsidR="00143407" w:rsidRPr="0002056A">
        <w:rPr>
          <w:rFonts w:ascii="Georgia" w:hAnsi="Georgia" w:cs="Times New Roman"/>
          <w:smallCaps/>
          <w:lang w:val="en-GB"/>
        </w:rPr>
        <w:t>Leiter, 201</w:t>
      </w:r>
      <w:r w:rsidR="004030E7" w:rsidRPr="0002056A">
        <w:rPr>
          <w:rFonts w:ascii="Georgia" w:hAnsi="Georgia" w:cs="Times New Roman"/>
          <w:smallCaps/>
          <w:lang w:val="en-GB"/>
        </w:rPr>
        <w:t>3</w:t>
      </w:r>
      <w:r w:rsidR="00143407" w:rsidRPr="0002056A">
        <w:rPr>
          <w:rFonts w:ascii="Georgia" w:hAnsi="Georgia" w:cs="Times New Roman"/>
          <w:smallCaps/>
          <w:lang w:val="en-GB"/>
        </w:rPr>
        <w:t xml:space="preserve">; </w:t>
      </w:r>
      <w:r w:rsidRPr="0002056A">
        <w:rPr>
          <w:rFonts w:ascii="Georgia" w:hAnsi="Georgia" w:cs="Times New Roman"/>
          <w:smallCaps/>
          <w:lang w:val="en-GB"/>
        </w:rPr>
        <w:t>Villanueva, 2012; Bours et al, 2013; EEA, 2016; Klostermann et al. 2018</w:t>
      </w:r>
      <w:r w:rsidR="00E31241" w:rsidRPr="0002056A">
        <w:rPr>
          <w:rFonts w:ascii="Georgia" w:hAnsi="Georgia" w:cs="Times New Roman"/>
          <w:smallCaps/>
          <w:lang w:val="en-GB"/>
        </w:rPr>
        <w:t xml:space="preserve">, EEA, 2022 </w:t>
      </w:r>
      <w:r w:rsidR="00E31241" w:rsidRPr="0002056A">
        <w:rPr>
          <w:rFonts w:ascii="Georgia" w:hAnsi="Georgia" w:cs="Times New Roman"/>
          <w:lang w:val="en-GB"/>
        </w:rPr>
        <w:t>and</w:t>
      </w:r>
      <w:r w:rsidR="00E31241" w:rsidRPr="0002056A">
        <w:rPr>
          <w:rFonts w:ascii="Georgia" w:hAnsi="Georgia" w:cs="Times New Roman"/>
          <w:smallCaps/>
          <w:lang w:val="en-GB"/>
        </w:rPr>
        <w:t xml:space="preserve"> 2024</w:t>
      </w:r>
      <w:r w:rsidRPr="0002056A">
        <w:rPr>
          <w:rFonts w:ascii="Georgia" w:hAnsi="Georgia" w:cs="Times New Roman"/>
          <w:smallCaps/>
          <w:lang w:val="en-GB"/>
        </w:rPr>
        <w:t>),</w:t>
      </w:r>
      <w:r w:rsidRPr="0002056A">
        <w:rPr>
          <w:rFonts w:ascii="Georgia" w:hAnsi="Georgia" w:cs="Times New Roman"/>
          <w:lang w:val="en-GB"/>
        </w:rPr>
        <w:t xml:space="preserve"> the implementation of adaptation (</w:t>
      </w:r>
      <w:r w:rsidR="003C626C" w:rsidRPr="0002056A">
        <w:rPr>
          <w:rFonts w:ascii="Georgia" w:hAnsi="Georgia" w:cs="Times New Roman"/>
          <w:lang w:val="en-GB"/>
        </w:rPr>
        <w:t xml:space="preserve">more exactly: </w:t>
      </w:r>
      <w:r w:rsidRPr="0002056A">
        <w:rPr>
          <w:rFonts w:ascii="Georgia" w:hAnsi="Georgia" w:cs="Times New Roman"/>
          <w:lang w:val="en-GB"/>
        </w:rPr>
        <w:t xml:space="preserve">adaptation actions’ effectiveness, efficiency and overall utility) </w:t>
      </w:r>
      <w:r w:rsidR="00284282" w:rsidRPr="0002056A">
        <w:rPr>
          <w:rFonts w:ascii="Georgia" w:hAnsi="Georgia" w:cs="Times New Roman"/>
          <w:lang w:val="en-GB"/>
        </w:rPr>
        <w:t>must</w:t>
      </w:r>
      <w:r w:rsidRPr="0002056A">
        <w:rPr>
          <w:rFonts w:ascii="Georgia" w:hAnsi="Georgia" w:cs="Times New Roman"/>
          <w:lang w:val="en-GB"/>
        </w:rPr>
        <w:t xml:space="preserve"> be monitored, regularly evaluated and revised in terms of the appropriateness of projects and programmes. </w:t>
      </w:r>
      <w:r w:rsidR="006C72F0" w:rsidRPr="0002056A">
        <w:rPr>
          <w:rFonts w:ascii="Georgia" w:hAnsi="Georgia"/>
          <w:lang w:val="en-GB"/>
        </w:rPr>
        <w:t xml:space="preserve">Leiter </w:t>
      </w:r>
      <w:r w:rsidR="00FA6869">
        <w:rPr>
          <w:rFonts w:ascii="Georgia" w:hAnsi="Georgia"/>
          <w:lang w:val="en-GB"/>
        </w:rPr>
        <w:t>specifically mentioned that Europe is the only continent where adaptation MRE had become part of the regular adaptation planning cycle by the beginning of the 2010s, especially in Western and Northern European</w:t>
      </w:r>
      <w:r w:rsidR="006C72F0" w:rsidRPr="0002056A">
        <w:rPr>
          <w:rFonts w:ascii="Georgia" w:hAnsi="Georgia"/>
          <w:lang w:val="en-GB"/>
        </w:rPr>
        <w:t xml:space="preserve"> countries (</w:t>
      </w:r>
      <w:r w:rsidR="006C72F0" w:rsidRPr="0002056A">
        <w:rPr>
          <w:rFonts w:ascii="Georgia" w:hAnsi="Georgia" w:cstheme="minorHAnsi"/>
          <w:smallCaps/>
          <w:lang w:val="en-GB"/>
        </w:rPr>
        <w:t>Leiter</w:t>
      </w:r>
      <w:r w:rsidR="006C72F0" w:rsidRPr="0002056A">
        <w:rPr>
          <w:rFonts w:ascii="Georgia" w:hAnsi="Georgia"/>
          <w:lang w:val="en-GB"/>
        </w:rPr>
        <w:t xml:space="preserve">, 2013). However, at the national level, evaluations in Europe </w:t>
      </w:r>
      <w:r w:rsidR="008D77A7" w:rsidRPr="0002056A">
        <w:rPr>
          <w:rFonts w:ascii="Georgia" w:hAnsi="Georgia"/>
          <w:lang w:val="en-GB"/>
        </w:rPr>
        <w:t xml:space="preserve">still find nowadays </w:t>
      </w:r>
      <w:r w:rsidR="006C72F0" w:rsidRPr="0002056A">
        <w:rPr>
          <w:rFonts w:ascii="Georgia" w:hAnsi="Georgia"/>
          <w:lang w:val="en-GB"/>
        </w:rPr>
        <w:t>that less than half of the countries that had planned a periodic review of their NAP were actually monitoring its implementation (</w:t>
      </w:r>
      <w:r w:rsidR="006C72F0" w:rsidRPr="0002056A">
        <w:rPr>
          <w:rFonts w:ascii="Georgia" w:hAnsi="Georgia" w:cstheme="minorHAnsi"/>
          <w:smallCaps/>
          <w:lang w:val="en-GB"/>
        </w:rPr>
        <w:t>European Commission, 2018, Leiter, 2021</w:t>
      </w:r>
      <w:r w:rsidR="006C72F0" w:rsidRPr="0002056A">
        <w:rPr>
          <w:rFonts w:ascii="Georgia" w:hAnsi="Georgia"/>
          <w:lang w:val="en-GB"/>
        </w:rPr>
        <w:t>).</w:t>
      </w:r>
      <w:r w:rsidR="006C72F0" w:rsidRPr="0002056A">
        <w:rPr>
          <w:sz w:val="16"/>
          <w:szCs w:val="16"/>
          <w:lang w:val="en-GB"/>
        </w:rPr>
        <w:t xml:space="preserve"> </w:t>
      </w:r>
    </w:p>
    <w:p w14:paraId="3B5EBC44" w14:textId="54E10DE5" w:rsidR="006A3257" w:rsidRPr="0002056A" w:rsidRDefault="006A3257" w:rsidP="00CD5BF3">
      <w:pPr>
        <w:autoSpaceDE w:val="0"/>
        <w:autoSpaceDN w:val="0"/>
        <w:adjustRightInd w:val="0"/>
        <w:spacing w:before="120" w:after="120"/>
        <w:jc w:val="both"/>
        <w:rPr>
          <w:rFonts w:ascii="Georgia" w:hAnsi="Georgia"/>
          <w:lang w:val="en-GB"/>
        </w:rPr>
      </w:pPr>
      <w:r w:rsidRPr="0002056A">
        <w:rPr>
          <w:rFonts w:ascii="Georgia" w:hAnsi="Georgia"/>
          <w:lang w:val="en-GB"/>
        </w:rPr>
        <w:t xml:space="preserve">Several literature items emphasise the </w:t>
      </w:r>
      <w:r w:rsidRPr="0002056A">
        <w:rPr>
          <w:rFonts w:ascii="Georgia" w:hAnsi="Georgia"/>
          <w:b/>
          <w:lang w:val="en-GB"/>
        </w:rPr>
        <w:t xml:space="preserve">numerous </w:t>
      </w:r>
      <w:r w:rsidR="009F5412" w:rsidRPr="0002056A">
        <w:rPr>
          <w:rFonts w:ascii="Georgia" w:hAnsi="Georgia"/>
          <w:b/>
          <w:lang w:val="en-GB"/>
        </w:rPr>
        <w:t xml:space="preserve">reasons / </w:t>
      </w:r>
      <w:r w:rsidRPr="0002056A">
        <w:rPr>
          <w:rFonts w:ascii="Georgia" w:hAnsi="Georgia"/>
          <w:b/>
          <w:lang w:val="en-GB"/>
        </w:rPr>
        <w:t>demands for MRE in adaptation</w:t>
      </w:r>
      <w:r w:rsidRPr="0002056A">
        <w:rPr>
          <w:rFonts w:ascii="Georgia" w:hAnsi="Georgia"/>
          <w:lang w:val="en-GB"/>
        </w:rPr>
        <w:t>. Because of the increasing number of adaptation actions</w:t>
      </w:r>
      <w:r w:rsidR="00995974" w:rsidRPr="0002056A">
        <w:rPr>
          <w:rFonts w:ascii="Georgia" w:hAnsi="Georgia"/>
          <w:lang w:val="en-GB"/>
        </w:rPr>
        <w:t>,</w:t>
      </w:r>
      <w:r w:rsidRPr="0002056A">
        <w:rPr>
          <w:rFonts w:ascii="Georgia" w:hAnsi="Georgia"/>
          <w:lang w:val="en-GB"/>
        </w:rPr>
        <w:t xml:space="preserve"> continuous monitoring is needed to </w:t>
      </w:r>
      <w:r w:rsidR="00FA6869">
        <w:rPr>
          <w:rFonts w:ascii="Georgia" w:hAnsi="Georgia"/>
          <w:lang w:val="en-GB"/>
        </w:rPr>
        <w:t>follow up on adaptation policy objectives’ achievement and implementation of policy measures/actions to strengthen accountability and gain a better understanding of</w:t>
      </w:r>
      <w:r w:rsidRPr="0002056A">
        <w:rPr>
          <w:rFonts w:ascii="Georgia" w:hAnsi="Georgia"/>
          <w:lang w:val="en-GB"/>
        </w:rPr>
        <w:t xml:space="preserve"> </w:t>
      </w:r>
      <w:r w:rsidR="00A80101" w:rsidRPr="0002056A">
        <w:rPr>
          <w:rFonts w:ascii="Georgia" w:hAnsi="Georgia"/>
          <w:lang w:val="en-GB"/>
        </w:rPr>
        <w:t xml:space="preserve">the intended results </w:t>
      </w:r>
      <w:r w:rsidRPr="0002056A">
        <w:rPr>
          <w:rFonts w:ascii="Georgia" w:hAnsi="Georgia"/>
          <w:lang w:val="en-GB"/>
        </w:rPr>
        <w:t xml:space="preserve">and improve the effectiveness of policy implementation. Identifying climate risks, strengthening climate resilience and </w:t>
      </w:r>
      <w:r w:rsidR="00FA6869">
        <w:rPr>
          <w:rFonts w:ascii="Georgia" w:hAnsi="Georgia"/>
          <w:lang w:val="en-GB"/>
        </w:rPr>
        <w:t>avoiding maladaptation (negative consequences of inadequate adaptation measures) as well as improving awareness of</w:t>
      </w:r>
      <w:r w:rsidRPr="0002056A">
        <w:rPr>
          <w:rFonts w:ascii="Georgia" w:hAnsi="Georgia"/>
          <w:lang w:val="en-GB"/>
        </w:rPr>
        <w:t xml:space="preserve"> the necessity of adaptation</w:t>
      </w:r>
      <w:r w:rsidR="00C2153C" w:rsidRPr="0002056A">
        <w:rPr>
          <w:rFonts w:ascii="Georgia" w:hAnsi="Georgia"/>
          <w:lang w:val="en-GB"/>
        </w:rPr>
        <w:t xml:space="preserve"> are other causes of MRE activities</w:t>
      </w:r>
      <w:r w:rsidRPr="0002056A">
        <w:rPr>
          <w:rFonts w:ascii="Georgia" w:hAnsi="Georgia"/>
          <w:lang w:val="en-GB"/>
        </w:rPr>
        <w:t xml:space="preserve">. </w:t>
      </w:r>
      <w:r w:rsidR="00C2153C" w:rsidRPr="0002056A">
        <w:rPr>
          <w:rFonts w:ascii="Georgia" w:hAnsi="Georgia"/>
          <w:lang w:val="en-GB"/>
        </w:rPr>
        <w:t>States</w:t>
      </w:r>
      <w:r w:rsidRPr="0002056A">
        <w:rPr>
          <w:rFonts w:ascii="Georgia" w:hAnsi="Georgia"/>
          <w:lang w:val="en-GB"/>
        </w:rPr>
        <w:t xml:space="preserve"> should meet international reporting requirements, which also </w:t>
      </w:r>
      <w:r w:rsidR="00FA6869">
        <w:rPr>
          <w:rFonts w:ascii="Georgia" w:hAnsi="Georgia"/>
          <w:lang w:val="en-GB"/>
        </w:rPr>
        <w:t>demand</w:t>
      </w:r>
      <w:r w:rsidR="00FA6869" w:rsidRPr="0002056A">
        <w:rPr>
          <w:rFonts w:ascii="Georgia" w:hAnsi="Georgia"/>
          <w:lang w:val="en-GB"/>
        </w:rPr>
        <w:t xml:space="preserve"> </w:t>
      </w:r>
      <w:r w:rsidRPr="0002056A">
        <w:rPr>
          <w:rFonts w:ascii="Georgia" w:hAnsi="Georgia"/>
          <w:lang w:val="en-GB"/>
        </w:rPr>
        <w:t>exact evidence, provided by national MRE</w:t>
      </w:r>
      <w:r w:rsidR="00A80101" w:rsidRPr="0002056A">
        <w:rPr>
          <w:rFonts w:ascii="Georgia" w:hAnsi="Georgia"/>
          <w:lang w:val="en-GB"/>
        </w:rPr>
        <w:t xml:space="preserve"> activities</w:t>
      </w:r>
      <w:r w:rsidRPr="0002056A">
        <w:rPr>
          <w:rFonts w:ascii="Georgia" w:hAnsi="Georgia"/>
          <w:lang w:val="en-GB"/>
        </w:rPr>
        <w:t xml:space="preserve">. Integration </w:t>
      </w:r>
      <w:r w:rsidR="006C72F0" w:rsidRPr="0002056A">
        <w:rPr>
          <w:rFonts w:ascii="Georgia" w:hAnsi="Georgia"/>
          <w:lang w:val="en-GB"/>
        </w:rPr>
        <w:t xml:space="preserve">of </w:t>
      </w:r>
      <w:r w:rsidRPr="0002056A">
        <w:rPr>
          <w:rFonts w:ascii="Georgia" w:hAnsi="Georgia"/>
          <w:lang w:val="en-GB"/>
        </w:rPr>
        <w:t>climate adaptation aspects into spatial development</w:t>
      </w:r>
      <w:r w:rsidR="006C72F0" w:rsidRPr="0002056A">
        <w:rPr>
          <w:rFonts w:ascii="Georgia" w:hAnsi="Georgia"/>
          <w:lang w:val="en-GB"/>
        </w:rPr>
        <w:t xml:space="preserve"> and other sectoral</w:t>
      </w:r>
      <w:r w:rsidRPr="0002056A">
        <w:rPr>
          <w:rFonts w:ascii="Georgia" w:hAnsi="Georgia"/>
          <w:lang w:val="en-GB"/>
        </w:rPr>
        <w:t xml:space="preserve"> planning can also be tracked/controlled via MRE activities. Outputs of MRE </w:t>
      </w:r>
      <w:r w:rsidR="005A14DE" w:rsidRPr="0002056A">
        <w:rPr>
          <w:rFonts w:ascii="Georgia" w:hAnsi="Georgia"/>
          <w:lang w:val="en-GB"/>
        </w:rPr>
        <w:t>su</w:t>
      </w:r>
      <w:r w:rsidRPr="0002056A">
        <w:rPr>
          <w:rFonts w:ascii="Georgia" w:hAnsi="Georgia"/>
          <w:lang w:val="en-GB"/>
        </w:rPr>
        <w:t xml:space="preserve">pport adaptation at all spatial governmental levels and influence decision making, allowing better distribution of resources (EEA, 2015; </w:t>
      </w:r>
      <w:r w:rsidRPr="0002056A">
        <w:rPr>
          <w:rFonts w:ascii="Georgia" w:hAnsi="Georgia" w:cstheme="minorHAnsi"/>
          <w:smallCaps/>
          <w:lang w:val="en-GB"/>
        </w:rPr>
        <w:t>Christiansen et al</w:t>
      </w:r>
      <w:r w:rsidRPr="0002056A">
        <w:rPr>
          <w:rFonts w:ascii="Georgia" w:hAnsi="Georgia"/>
          <w:lang w:val="en-GB"/>
        </w:rPr>
        <w:t xml:space="preserve">., 2016; </w:t>
      </w:r>
      <w:r w:rsidRPr="0002056A">
        <w:rPr>
          <w:rFonts w:ascii="Georgia" w:hAnsi="Georgia" w:cstheme="minorHAnsi"/>
          <w:smallCaps/>
          <w:lang w:val="en-GB"/>
        </w:rPr>
        <w:t>Vallejo</w:t>
      </w:r>
      <w:r w:rsidRPr="0002056A">
        <w:rPr>
          <w:rFonts w:ascii="Georgia" w:hAnsi="Georgia"/>
          <w:lang w:val="en-GB"/>
        </w:rPr>
        <w:t>, 2017</w:t>
      </w:r>
      <w:r w:rsidR="00FA6869">
        <w:rPr>
          <w:rFonts w:ascii="Georgia" w:hAnsi="Georgia"/>
          <w:lang w:val="en-GB"/>
        </w:rPr>
        <w:t>;</w:t>
      </w:r>
      <w:r w:rsidR="00FA6869" w:rsidRPr="0002056A">
        <w:rPr>
          <w:rFonts w:ascii="Georgia" w:hAnsi="Georgia"/>
          <w:lang w:val="en-GB"/>
        </w:rPr>
        <w:t xml:space="preserve"> </w:t>
      </w:r>
      <w:r w:rsidRPr="0002056A">
        <w:rPr>
          <w:rFonts w:ascii="Georgia" w:hAnsi="Georgia" w:cstheme="minorHAnsi"/>
          <w:smallCaps/>
          <w:lang w:val="en-GB"/>
        </w:rPr>
        <w:t>Klostermann et al</w:t>
      </w:r>
      <w:r w:rsidRPr="0002056A">
        <w:rPr>
          <w:rFonts w:ascii="Georgia" w:hAnsi="Georgia"/>
          <w:lang w:val="en-GB"/>
        </w:rPr>
        <w:t>., 2018; EEA</w:t>
      </w:r>
      <w:r w:rsidR="00FA6869">
        <w:rPr>
          <w:rFonts w:ascii="Georgia" w:hAnsi="Georgia"/>
          <w:lang w:val="en-GB"/>
        </w:rPr>
        <w:t>,</w:t>
      </w:r>
      <w:r w:rsidRPr="0002056A">
        <w:rPr>
          <w:rFonts w:ascii="Georgia" w:hAnsi="Georgia"/>
          <w:lang w:val="en-GB"/>
        </w:rPr>
        <w:t xml:space="preserve"> 2020; </w:t>
      </w:r>
      <w:r w:rsidRPr="0002056A">
        <w:rPr>
          <w:rFonts w:ascii="Georgia" w:hAnsi="Georgia" w:cstheme="minorHAnsi"/>
          <w:smallCaps/>
          <w:lang w:val="en-GB"/>
        </w:rPr>
        <w:t>Leiter</w:t>
      </w:r>
      <w:r w:rsidRPr="0002056A">
        <w:rPr>
          <w:rFonts w:ascii="Georgia" w:hAnsi="Georgia"/>
          <w:lang w:val="en-GB"/>
        </w:rPr>
        <w:t xml:space="preserve">, 2021). </w:t>
      </w:r>
    </w:p>
    <w:p w14:paraId="59CAE7CF" w14:textId="3BCF9D61" w:rsidR="00D8464C" w:rsidRPr="0002056A" w:rsidRDefault="00D8464C" w:rsidP="00CD5BF3">
      <w:pPr>
        <w:autoSpaceDE w:val="0"/>
        <w:autoSpaceDN w:val="0"/>
        <w:adjustRightInd w:val="0"/>
        <w:spacing w:before="120" w:after="120"/>
        <w:jc w:val="both"/>
        <w:rPr>
          <w:rFonts w:ascii="Georgia" w:hAnsi="Georgia" w:cs="Times New Roman"/>
          <w:lang w:val="en-GB"/>
        </w:rPr>
      </w:pPr>
      <w:r w:rsidRPr="0002056A">
        <w:rPr>
          <w:rFonts w:ascii="Georgia" w:hAnsi="Georgia" w:cs="Times New Roman"/>
          <w:b/>
          <w:lang w:val="en-GB"/>
        </w:rPr>
        <w:t>MRE activities have their own special challenges/requirements</w:t>
      </w:r>
      <w:r w:rsidRPr="0002056A">
        <w:rPr>
          <w:rFonts w:ascii="Georgia" w:hAnsi="Georgia" w:cs="Times New Roman"/>
          <w:lang w:val="en-GB"/>
        </w:rPr>
        <w:t xml:space="preserve"> in </w:t>
      </w:r>
      <w:r w:rsidR="002D0E08">
        <w:rPr>
          <w:rFonts w:ascii="Georgia" w:hAnsi="Georgia" w:cs="Times New Roman"/>
          <w:lang w:val="en-GB"/>
        </w:rPr>
        <w:t xml:space="preserve">the </w:t>
      </w:r>
      <w:r w:rsidRPr="0002056A">
        <w:rPr>
          <w:rFonts w:ascii="Georgia" w:hAnsi="Georgia" w:cs="Times New Roman"/>
          <w:lang w:val="en-GB"/>
        </w:rPr>
        <w:t>general development policy</w:t>
      </w:r>
      <w:r w:rsidR="00143407" w:rsidRPr="0002056A">
        <w:rPr>
          <w:rStyle w:val="Lbjegyzet-hivatkozs"/>
          <w:rFonts w:ascii="Georgia" w:hAnsi="Georgia" w:cs="Times New Roman"/>
          <w:lang w:val="en-GB"/>
        </w:rPr>
        <w:footnoteReference w:id="22"/>
      </w:r>
      <w:r w:rsidRPr="0002056A">
        <w:rPr>
          <w:rFonts w:ascii="Georgia" w:hAnsi="Georgia" w:cs="Times New Roman"/>
          <w:lang w:val="en-GB"/>
        </w:rPr>
        <w:t xml:space="preserve">. Added to these, </w:t>
      </w:r>
      <w:r w:rsidRPr="0002056A">
        <w:rPr>
          <w:rFonts w:ascii="Georgia" w:hAnsi="Georgia" w:cs="Times New Roman"/>
          <w:b/>
          <w:lang w:val="en-GB"/>
        </w:rPr>
        <w:t>climate change adaptation poses several further challenges</w:t>
      </w:r>
      <w:r w:rsidR="00911C32" w:rsidRPr="0002056A">
        <w:rPr>
          <w:rFonts w:ascii="Georgia" w:hAnsi="Georgia" w:cs="Times New Roman"/>
          <w:b/>
          <w:lang w:val="en-GB"/>
        </w:rPr>
        <w:t xml:space="preserve"> to MRE</w:t>
      </w:r>
      <w:r w:rsidR="00171395" w:rsidRPr="0002056A">
        <w:rPr>
          <w:rFonts w:ascii="Georgia" w:hAnsi="Georgia" w:cs="Times New Roman"/>
          <w:b/>
          <w:lang w:val="en-GB"/>
        </w:rPr>
        <w:t xml:space="preserve"> </w:t>
      </w:r>
      <w:r w:rsidR="00171395" w:rsidRPr="0002056A">
        <w:rPr>
          <w:rFonts w:ascii="Georgia" w:hAnsi="Georgia" w:cs="Times New Roman"/>
          <w:lang w:val="en-GB"/>
        </w:rPr>
        <w:t>(</w:t>
      </w:r>
      <w:r w:rsidR="00171395" w:rsidRPr="0002056A">
        <w:rPr>
          <w:rFonts w:ascii="Georgia" w:hAnsi="Georgia" w:cs="Times New Roman"/>
          <w:smallCaps/>
          <w:lang w:val="en-GB"/>
        </w:rPr>
        <w:t>Klostermann et al</w:t>
      </w:r>
      <w:r w:rsidR="00171395" w:rsidRPr="0002056A">
        <w:rPr>
          <w:rFonts w:ascii="Georgia" w:hAnsi="Georgia" w:cs="Times New Roman"/>
          <w:lang w:val="en-GB"/>
        </w:rPr>
        <w:t>., 2018</w:t>
      </w:r>
      <w:r w:rsidR="002D0E08">
        <w:rPr>
          <w:rFonts w:ascii="Georgia" w:hAnsi="Georgia" w:cs="Times New Roman"/>
          <w:lang w:val="en-GB"/>
        </w:rPr>
        <w:t>;</w:t>
      </w:r>
      <w:r w:rsidR="002D0E08" w:rsidRPr="0002056A">
        <w:rPr>
          <w:rFonts w:ascii="Georgia" w:hAnsi="Georgia" w:cs="Times New Roman"/>
          <w:lang w:val="en-GB"/>
        </w:rPr>
        <w:t xml:space="preserve"> </w:t>
      </w:r>
      <w:r w:rsidR="00171395" w:rsidRPr="0002056A">
        <w:rPr>
          <w:rFonts w:ascii="Georgia" w:hAnsi="Georgia" w:cs="Times New Roman"/>
          <w:smallCaps/>
          <w:lang w:val="en-GB"/>
        </w:rPr>
        <w:t>Goonesekera-Olazabal</w:t>
      </w:r>
      <w:r w:rsidR="00171395" w:rsidRPr="0002056A">
        <w:rPr>
          <w:rFonts w:ascii="Georgia" w:hAnsi="Georgia" w:cs="Times New Roman"/>
          <w:lang w:val="en-GB"/>
        </w:rPr>
        <w:t>, 2022)</w:t>
      </w:r>
      <w:r w:rsidRPr="0002056A">
        <w:rPr>
          <w:rFonts w:ascii="Georgia" w:hAnsi="Georgia" w:cs="Times New Roman"/>
          <w:b/>
          <w:lang w:val="en-GB"/>
        </w:rPr>
        <w:t>.</w:t>
      </w:r>
      <w:r w:rsidRPr="0002056A">
        <w:rPr>
          <w:rFonts w:ascii="Georgia" w:hAnsi="Georgia" w:cs="Times New Roman"/>
          <w:lang w:val="en-GB"/>
        </w:rPr>
        <w:t xml:space="preserve"> Adaptation itself cuts across sectors (involving </w:t>
      </w:r>
      <w:r w:rsidR="002D0E08">
        <w:rPr>
          <w:rFonts w:ascii="Georgia" w:hAnsi="Georgia" w:cs="Times New Roman"/>
          <w:lang w:val="en-GB"/>
        </w:rPr>
        <w:t xml:space="preserve">a </w:t>
      </w:r>
      <w:r w:rsidRPr="0002056A">
        <w:rPr>
          <w:rFonts w:ascii="Georgia" w:hAnsi="Georgia" w:cs="Times New Roman"/>
          <w:lang w:val="en-GB"/>
        </w:rPr>
        <w:t>large number of responsible parties with different objectives,</w:t>
      </w:r>
      <w:r w:rsidRPr="0002056A">
        <w:rPr>
          <w:rFonts w:ascii="Georgia" w:hAnsi="Georgia"/>
          <w:lang w:val="en-GB"/>
        </w:rPr>
        <w:t xml:space="preserve"> norms</w:t>
      </w:r>
      <w:r w:rsidR="00213213" w:rsidRPr="0002056A">
        <w:rPr>
          <w:rFonts w:ascii="Georgia" w:hAnsi="Georgia"/>
          <w:lang w:val="en-GB"/>
        </w:rPr>
        <w:t>,</w:t>
      </w:r>
      <w:r w:rsidRPr="0002056A">
        <w:rPr>
          <w:rFonts w:ascii="Georgia" w:hAnsi="Georgia"/>
          <w:lang w:val="en-GB"/>
        </w:rPr>
        <w:t xml:space="preserve"> interests</w:t>
      </w:r>
      <w:r w:rsidR="00213213" w:rsidRPr="0002056A">
        <w:rPr>
          <w:rFonts w:ascii="Georgia" w:hAnsi="Georgia"/>
          <w:lang w:val="en-GB"/>
        </w:rPr>
        <w:t xml:space="preserve"> and</w:t>
      </w:r>
      <w:r w:rsidRPr="0002056A">
        <w:rPr>
          <w:rFonts w:ascii="Georgia" w:hAnsi="Georgia"/>
          <w:lang w:val="en-GB"/>
        </w:rPr>
        <w:t xml:space="preserve"> specific governance institutions</w:t>
      </w:r>
      <w:r w:rsidRPr="0002056A">
        <w:rPr>
          <w:rFonts w:ascii="Georgia" w:hAnsi="Georgia" w:cs="Times New Roman"/>
          <w:lang w:val="en-GB"/>
        </w:rPr>
        <w:t>), levels of intervention and timeframes (actions become measurable only after a long time</w:t>
      </w:r>
      <w:r w:rsidR="00911C32" w:rsidRPr="0002056A">
        <w:rPr>
          <w:rFonts w:ascii="Georgia" w:hAnsi="Georgia" w:cs="Times New Roman"/>
          <w:lang w:val="en-GB"/>
        </w:rPr>
        <w:t>,</w:t>
      </w:r>
      <w:r w:rsidRPr="0002056A">
        <w:rPr>
          <w:rFonts w:ascii="Georgia" w:hAnsi="Georgia" w:cs="Times New Roman"/>
          <w:lang w:val="en-GB"/>
        </w:rPr>
        <w:t xml:space="preserve"> stretching far beyond common programme cycles</w:t>
      </w:r>
      <w:r w:rsidR="00911C32" w:rsidRPr="0002056A">
        <w:rPr>
          <w:rFonts w:ascii="Georgia" w:hAnsi="Georgia" w:cs="Times New Roman"/>
          <w:lang w:val="en-GB"/>
        </w:rPr>
        <w:t>, c</w:t>
      </w:r>
      <w:r w:rsidRPr="0002056A">
        <w:rPr>
          <w:rFonts w:ascii="Georgia" w:hAnsi="Georgia" w:cs="Times New Roman"/>
          <w:lang w:val="en-GB"/>
        </w:rPr>
        <w:t>aus</w:t>
      </w:r>
      <w:r w:rsidR="00911C32" w:rsidRPr="0002056A">
        <w:rPr>
          <w:rFonts w:ascii="Georgia" w:hAnsi="Georgia" w:cs="Times New Roman"/>
          <w:lang w:val="en-GB"/>
        </w:rPr>
        <w:t>ing</w:t>
      </w:r>
      <w:r w:rsidRPr="0002056A">
        <w:rPr>
          <w:rFonts w:ascii="Georgia" w:hAnsi="Georgia" w:cs="Times New Roman"/>
          <w:lang w:val="en-GB"/>
        </w:rPr>
        <w:t xml:space="preserve"> conflicting interests and time scales). </w:t>
      </w:r>
      <w:r w:rsidRPr="0002056A">
        <w:rPr>
          <w:rFonts w:ascii="Georgia" w:hAnsi="Georgia"/>
          <w:lang w:val="en-GB"/>
        </w:rPr>
        <w:t>Adaptation measures are frequently integrated into other sectoral policies rather than being a stand-alone intervention.</w:t>
      </w:r>
      <w:r w:rsidRPr="0002056A">
        <w:rPr>
          <w:rFonts w:ascii="Georgia" w:hAnsi="Georgia" w:cs="Times New Roman"/>
          <w:lang w:val="en-GB"/>
        </w:rPr>
        <w:t xml:space="preserve"> Unclear division of tasks and responsibilities, uncertain social costs and future benefits are also problems. </w:t>
      </w:r>
      <w:r w:rsidRPr="0002056A">
        <w:rPr>
          <w:rFonts w:ascii="Georgia" w:hAnsi="Georgia"/>
          <w:lang w:val="en-GB"/>
        </w:rPr>
        <w:t>As opposed to mitigation, measuring progress in adaptation activities is always context</w:t>
      </w:r>
      <w:r w:rsidR="002D0E08">
        <w:rPr>
          <w:rFonts w:ascii="Georgia" w:hAnsi="Georgia"/>
          <w:lang w:val="en-GB"/>
        </w:rPr>
        <w:t>-</w:t>
      </w:r>
      <w:r w:rsidRPr="0002056A">
        <w:rPr>
          <w:rFonts w:ascii="Georgia" w:hAnsi="Georgia"/>
          <w:lang w:val="en-GB"/>
        </w:rPr>
        <w:t>specific</w:t>
      </w:r>
      <w:r w:rsidRPr="0002056A">
        <w:rPr>
          <w:rFonts w:ascii="Georgia" w:hAnsi="Georgia" w:cs="Times New Roman"/>
          <w:lang w:val="en-GB"/>
        </w:rPr>
        <w:t xml:space="preserve">; there </w:t>
      </w:r>
      <w:r w:rsidR="0000065F" w:rsidRPr="0002056A">
        <w:rPr>
          <w:rFonts w:ascii="Georgia" w:hAnsi="Georgia" w:cs="Times New Roman"/>
          <w:lang w:val="en-GB"/>
        </w:rPr>
        <w:t>are no</w:t>
      </w:r>
      <w:r w:rsidRPr="0002056A">
        <w:rPr>
          <w:rFonts w:ascii="Georgia" w:hAnsi="Georgia" w:cs="Times New Roman"/>
          <w:lang w:val="en-GB"/>
        </w:rPr>
        <w:t xml:space="preserve"> one-size-fits-all solution</w:t>
      </w:r>
      <w:r w:rsidR="00911C32" w:rsidRPr="0002056A">
        <w:rPr>
          <w:rFonts w:ascii="Georgia" w:hAnsi="Georgia" w:cs="Times New Roman"/>
          <w:lang w:val="en-GB"/>
        </w:rPr>
        <w:t>s</w:t>
      </w:r>
      <w:r w:rsidRPr="0002056A">
        <w:rPr>
          <w:rFonts w:ascii="Georgia" w:hAnsi="Georgia" w:cs="Times New Roman"/>
          <w:lang w:val="en-GB"/>
        </w:rPr>
        <w:t xml:space="preserve"> and off-the-shelf methods</w:t>
      </w:r>
      <w:r w:rsidR="0000065F" w:rsidRPr="0002056A">
        <w:rPr>
          <w:rFonts w:ascii="Georgia" w:hAnsi="Georgia" w:cs="Times New Roman"/>
          <w:lang w:val="en-GB"/>
        </w:rPr>
        <w:t>. C</w:t>
      </w:r>
      <w:r w:rsidRPr="0002056A">
        <w:rPr>
          <w:rFonts w:ascii="Georgia" w:hAnsi="Georgia" w:cs="Times New Roman"/>
          <w:lang w:val="en-GB"/>
        </w:rPr>
        <w:t xml:space="preserve">onsequently, there is a lack of standardised </w:t>
      </w:r>
      <w:r w:rsidR="0000065F" w:rsidRPr="0002056A">
        <w:rPr>
          <w:rFonts w:ascii="Georgia" w:hAnsi="Georgia" w:cs="Times New Roman"/>
          <w:lang w:val="en-GB"/>
        </w:rPr>
        <w:t xml:space="preserve">adaptation monitoring </w:t>
      </w:r>
      <w:r w:rsidRPr="0002056A">
        <w:rPr>
          <w:rFonts w:ascii="Georgia" w:hAnsi="Georgia" w:cs="Times New Roman"/>
          <w:lang w:val="en-GB"/>
        </w:rPr>
        <w:t>methodology. Further challenges are the lack of consensus on key concepts and definitions, the lack of clarity on what constitutes successful achievement of adaptation goals (adaptation policies often lack measurable targets or defined outcomes</w:t>
      </w:r>
      <w:r w:rsidR="002D0E08">
        <w:rPr>
          <w:rFonts w:ascii="Georgia" w:hAnsi="Georgia" w:cs="Times New Roman"/>
          <w:lang w:val="en-GB"/>
        </w:rPr>
        <w:t>,</w:t>
      </w:r>
      <w:r w:rsidRPr="0002056A">
        <w:rPr>
          <w:rFonts w:ascii="Georgia" w:hAnsi="Georgia" w:cs="Times New Roman"/>
          <w:lang w:val="en-GB"/>
        </w:rPr>
        <w:t xml:space="preserve"> which makes evaluation more difficult)</w:t>
      </w:r>
      <w:r w:rsidR="008C256D" w:rsidRPr="0002056A">
        <w:rPr>
          <w:rFonts w:ascii="Georgia" w:hAnsi="Georgia" w:cs="Times New Roman"/>
          <w:lang w:val="en-GB"/>
        </w:rPr>
        <w:t xml:space="preserve"> and </w:t>
      </w:r>
      <w:r w:rsidRPr="0002056A">
        <w:rPr>
          <w:rFonts w:ascii="Georgia" w:hAnsi="Georgia" w:cs="Times New Roman"/>
          <w:lang w:val="en-GB"/>
        </w:rPr>
        <w:t xml:space="preserve">the lack of common metrics and </w:t>
      </w:r>
      <w:r w:rsidR="002D0E08">
        <w:rPr>
          <w:rFonts w:ascii="Georgia" w:hAnsi="Georgia" w:cs="Times New Roman"/>
          <w:lang w:val="en-GB"/>
        </w:rPr>
        <w:t xml:space="preserve">a </w:t>
      </w:r>
      <w:r w:rsidRPr="0002056A">
        <w:rPr>
          <w:rFonts w:ascii="Georgia" w:hAnsi="Georgia" w:cs="Times New Roman"/>
          <w:lang w:val="en-GB"/>
        </w:rPr>
        <w:t xml:space="preserve">universal set of indicators (adaptation cannot be monitored by </w:t>
      </w:r>
      <w:r w:rsidR="002D0E08">
        <w:rPr>
          <w:rFonts w:ascii="Georgia" w:hAnsi="Georgia" w:cs="Times New Roman"/>
          <w:lang w:val="en-GB"/>
        </w:rPr>
        <w:t xml:space="preserve">a </w:t>
      </w:r>
      <w:r w:rsidRPr="0002056A">
        <w:rPr>
          <w:rFonts w:ascii="Georgia" w:hAnsi="Georgia" w:cs="Times New Roman"/>
          <w:lang w:val="en-GB"/>
        </w:rPr>
        <w:t>single or limited indic</w:t>
      </w:r>
      <w:r w:rsidR="001C35A1" w:rsidRPr="0002056A">
        <w:rPr>
          <w:rFonts w:ascii="Georgia" w:hAnsi="Georgia" w:cs="Times New Roman"/>
          <w:lang w:val="en-GB"/>
        </w:rPr>
        <w:t>es</w:t>
      </w:r>
      <w:r w:rsidRPr="0002056A">
        <w:rPr>
          <w:rFonts w:ascii="Georgia" w:hAnsi="Georgia" w:cs="Times New Roman"/>
          <w:lang w:val="en-GB"/>
        </w:rPr>
        <w:t xml:space="preserve">). The frequent case of maladaptation is another challenge. </w:t>
      </w:r>
      <w:r w:rsidRPr="0002056A">
        <w:rPr>
          <w:rFonts w:ascii="Georgia" w:hAnsi="Georgia"/>
          <w:lang w:val="en-GB"/>
        </w:rPr>
        <w:t xml:space="preserve">Adaptation interventions’ another feature is the uncertainty/unpredictability about the magnitude of climatic changes and probability of extremities. </w:t>
      </w:r>
      <w:r w:rsidRPr="0002056A">
        <w:rPr>
          <w:rFonts w:ascii="Georgia" w:hAnsi="Georgia" w:cs="Times New Roman"/>
          <w:lang w:val="en-GB"/>
        </w:rPr>
        <w:t xml:space="preserve">The problem of attribution (identification of </w:t>
      </w:r>
      <w:r w:rsidRPr="0002056A">
        <w:rPr>
          <w:rFonts w:ascii="Georgia" w:hAnsi="Georgia" w:cs="Times New Roman"/>
          <w:lang w:val="en-GB"/>
        </w:rPr>
        <w:lastRenderedPageBreak/>
        <w:t xml:space="preserve">factors which may shape adaptation outcomes) is also a frequent challenge. </w:t>
      </w:r>
      <w:r w:rsidRPr="0002056A">
        <w:rPr>
          <w:rFonts w:ascii="Georgia" w:hAnsi="Georgia"/>
          <w:lang w:val="en-GB"/>
        </w:rPr>
        <w:t>Particularly at the local level</w:t>
      </w:r>
      <w:r w:rsidR="002D0E08">
        <w:rPr>
          <w:rFonts w:ascii="Georgia" w:hAnsi="Georgia"/>
          <w:lang w:val="en-GB"/>
        </w:rPr>
        <w:t>,</w:t>
      </w:r>
      <w:r w:rsidRPr="0002056A">
        <w:rPr>
          <w:rFonts w:ascii="Georgia" w:hAnsi="Georgia" w:cs="Times New Roman"/>
          <w:lang w:val="en-GB"/>
        </w:rPr>
        <w:t xml:space="preserve"> the lack of </w:t>
      </w:r>
      <w:r w:rsidR="00911C32" w:rsidRPr="0002056A">
        <w:rPr>
          <w:rFonts w:ascii="Georgia" w:hAnsi="Georgia" w:cs="Times New Roman"/>
          <w:lang w:val="en-GB"/>
        </w:rPr>
        <w:t xml:space="preserve">both </w:t>
      </w:r>
      <w:r w:rsidRPr="0002056A">
        <w:rPr>
          <w:rFonts w:ascii="Georgia" w:hAnsi="Georgia" w:cs="Times New Roman"/>
          <w:lang w:val="en-GB"/>
        </w:rPr>
        <w:t>political commitment, scientific evidence base</w:t>
      </w:r>
      <w:r w:rsidR="00911C32" w:rsidRPr="0002056A">
        <w:rPr>
          <w:rFonts w:ascii="Georgia" w:hAnsi="Georgia" w:cs="Times New Roman"/>
          <w:lang w:val="en-GB"/>
        </w:rPr>
        <w:t>,</w:t>
      </w:r>
      <w:r w:rsidRPr="0002056A">
        <w:rPr>
          <w:rFonts w:ascii="Georgia" w:hAnsi="Georgia" w:cs="Times New Roman"/>
          <w:lang w:val="en-GB"/>
        </w:rPr>
        <w:t xml:space="preserve"> and planning experience or related professional capacit</w:t>
      </w:r>
      <w:r w:rsidR="00E4718F" w:rsidRPr="0002056A">
        <w:rPr>
          <w:rFonts w:ascii="Georgia" w:hAnsi="Georgia" w:cs="Times New Roman"/>
          <w:lang w:val="en-GB"/>
        </w:rPr>
        <w:t>ies</w:t>
      </w:r>
      <w:r w:rsidRPr="0002056A">
        <w:rPr>
          <w:rFonts w:ascii="Georgia" w:hAnsi="Georgia" w:cs="Times New Roman"/>
          <w:lang w:val="en-GB"/>
        </w:rPr>
        <w:t xml:space="preserve"> also causes problems, resulting in weak prioritisation of adaptation interventions. At </w:t>
      </w:r>
      <w:r w:rsidR="002D0E08">
        <w:rPr>
          <w:rFonts w:ascii="Georgia" w:hAnsi="Georgia" w:cs="Times New Roman"/>
          <w:lang w:val="en-GB"/>
        </w:rPr>
        <w:t>the urban level,</w:t>
      </w:r>
      <w:r w:rsidRPr="0002056A">
        <w:rPr>
          <w:rFonts w:ascii="Georgia" w:hAnsi="Georgia" w:cs="Times New Roman"/>
          <w:lang w:val="en-GB"/>
        </w:rPr>
        <w:t xml:space="preserve"> risk and vulnerability assessments </w:t>
      </w:r>
      <w:r w:rsidR="006412E8" w:rsidRPr="0002056A">
        <w:rPr>
          <w:rFonts w:ascii="Georgia" w:hAnsi="Georgia" w:cs="Times New Roman"/>
          <w:lang w:val="en-GB"/>
        </w:rPr>
        <w:t xml:space="preserve">are </w:t>
      </w:r>
      <w:r w:rsidRPr="0002056A">
        <w:rPr>
          <w:rFonts w:ascii="Georgia" w:hAnsi="Georgia" w:cs="Times New Roman"/>
          <w:lang w:val="en-GB"/>
        </w:rPr>
        <w:t xml:space="preserve">rarely used by / connect with adaptation decision making. Furthermore, adaptation represents a new focus of development programming. Due to its newness the implementation of adaptation measures has been limited to date, so </w:t>
      </w:r>
      <w:r w:rsidR="006412E8" w:rsidRPr="0002056A">
        <w:rPr>
          <w:rFonts w:ascii="Georgia" w:hAnsi="Georgia" w:cs="Times New Roman"/>
          <w:lang w:val="en-GB"/>
        </w:rPr>
        <w:t>there are</w:t>
      </w:r>
      <w:r w:rsidRPr="0002056A">
        <w:rPr>
          <w:rFonts w:ascii="Georgia" w:hAnsi="Georgia" w:cs="Times New Roman"/>
          <w:lang w:val="en-GB"/>
        </w:rPr>
        <w:t xml:space="preserve"> less experience in adaptation evaluation than adaptation </w:t>
      </w:r>
      <w:r w:rsidR="007A5168" w:rsidRPr="0002056A">
        <w:rPr>
          <w:rFonts w:ascii="Georgia" w:hAnsi="Georgia" w:cs="Times New Roman"/>
          <w:lang w:val="en-GB"/>
        </w:rPr>
        <w:t xml:space="preserve">planning and </w:t>
      </w:r>
      <w:r w:rsidRPr="0002056A">
        <w:rPr>
          <w:rFonts w:ascii="Georgia" w:hAnsi="Georgia" w:cs="Times New Roman"/>
          <w:lang w:val="en-GB"/>
        </w:rPr>
        <w:t>monitoring</w:t>
      </w:r>
      <w:r w:rsidR="00981B6F" w:rsidRPr="0002056A">
        <w:rPr>
          <w:rFonts w:ascii="Georgia" w:hAnsi="Georgia" w:cs="Times New Roman"/>
          <w:lang w:val="en-GB"/>
        </w:rPr>
        <w:t xml:space="preserve"> (these latter activities</w:t>
      </w:r>
      <w:r w:rsidRPr="0002056A">
        <w:rPr>
          <w:rFonts w:ascii="Georgia" w:hAnsi="Georgia" w:cs="Times New Roman"/>
          <w:lang w:val="en-GB"/>
        </w:rPr>
        <w:t xml:space="preserve"> have already started in numerous countries (</w:t>
      </w:r>
      <w:r w:rsidRPr="0002056A">
        <w:rPr>
          <w:rFonts w:ascii="Georgia" w:hAnsi="Georgia" w:cs="Times New Roman"/>
          <w:smallCaps/>
          <w:lang w:val="en-GB"/>
        </w:rPr>
        <w:t>van Minnen et al. 2014</w:t>
      </w:r>
      <w:r w:rsidR="00C61E4C" w:rsidRPr="0002056A">
        <w:rPr>
          <w:rFonts w:ascii="Georgia" w:hAnsi="Georgia" w:cs="Times New Roman"/>
          <w:smallCaps/>
          <w:lang w:val="en-GB"/>
        </w:rPr>
        <w:t xml:space="preserve"> </w:t>
      </w:r>
      <w:r w:rsidR="00C61E4C" w:rsidRPr="0002056A">
        <w:rPr>
          <w:rFonts w:ascii="Georgia" w:hAnsi="Georgia" w:cs="Times New Roman"/>
          <w:lang w:val="en-GB"/>
        </w:rPr>
        <w:t xml:space="preserve">and </w:t>
      </w:r>
      <w:r w:rsidR="00C61E4C" w:rsidRPr="0002056A">
        <w:rPr>
          <w:rFonts w:ascii="Georgia" w:hAnsi="Georgia" w:cs="Times New Roman"/>
          <w:smallCaps/>
          <w:lang w:val="en-GB"/>
        </w:rPr>
        <w:t>2018</w:t>
      </w:r>
      <w:r w:rsidRPr="0002056A">
        <w:rPr>
          <w:rFonts w:ascii="Georgia" w:hAnsi="Georgia" w:cs="Times New Roman"/>
          <w:smallCaps/>
          <w:lang w:val="en-GB"/>
        </w:rPr>
        <w:t>, Schönthaler</w:t>
      </w:r>
      <w:r w:rsidR="00CE2BE0" w:rsidRPr="0002056A">
        <w:rPr>
          <w:rFonts w:ascii="Georgia" w:hAnsi="Georgia" w:cs="Times New Roman"/>
          <w:smallCaps/>
          <w:lang w:val="en-GB"/>
        </w:rPr>
        <w:t>&amp;</w:t>
      </w:r>
      <w:r w:rsidRPr="0002056A">
        <w:rPr>
          <w:rFonts w:ascii="Georgia" w:hAnsi="Georgia" w:cs="Times New Roman"/>
          <w:smallCaps/>
          <w:lang w:val="en-GB"/>
        </w:rPr>
        <w:t>von Andrian-Werburg 2015</w:t>
      </w:r>
      <w:r w:rsidR="00496354" w:rsidRPr="0002056A">
        <w:rPr>
          <w:rFonts w:ascii="Georgia" w:hAnsi="Georgia" w:cs="Times New Roman"/>
          <w:smallCaps/>
          <w:lang w:val="en-GB"/>
        </w:rPr>
        <w:t>;</w:t>
      </w:r>
      <w:r w:rsidRPr="0002056A">
        <w:rPr>
          <w:rFonts w:ascii="Georgia" w:hAnsi="Georgia" w:cs="Times New Roman"/>
          <w:smallCaps/>
          <w:lang w:val="en-GB"/>
        </w:rPr>
        <w:t xml:space="preserve"> </w:t>
      </w:r>
      <w:r w:rsidR="00496354" w:rsidRPr="0002056A">
        <w:rPr>
          <w:rFonts w:ascii="Georgia" w:hAnsi="Georgia" w:cs="Times New Roman"/>
          <w:smallCaps/>
          <w:lang w:val="en-GB"/>
        </w:rPr>
        <w:t xml:space="preserve">EEA, 2015, 2020 </w:t>
      </w:r>
      <w:r w:rsidR="00496354" w:rsidRPr="0002056A">
        <w:rPr>
          <w:rFonts w:ascii="Georgia" w:hAnsi="Georgia" w:cs="Times New Roman"/>
          <w:lang w:val="en-GB"/>
        </w:rPr>
        <w:t>and</w:t>
      </w:r>
      <w:r w:rsidR="00496354" w:rsidRPr="0002056A">
        <w:rPr>
          <w:rFonts w:ascii="Georgia" w:hAnsi="Georgia" w:cs="Times New Roman"/>
          <w:smallCaps/>
          <w:lang w:val="en-GB"/>
        </w:rPr>
        <w:t xml:space="preserve"> 2022; Heidrich et al., 2016; </w:t>
      </w:r>
      <w:r w:rsidRPr="0002056A">
        <w:rPr>
          <w:rFonts w:ascii="Georgia" w:hAnsi="Georgia" w:cs="Times New Roman"/>
          <w:smallCaps/>
          <w:lang w:val="en-GB"/>
        </w:rPr>
        <w:t>Ligtvoet</w:t>
      </w:r>
      <w:r w:rsidR="00C61E4C" w:rsidRPr="0002056A">
        <w:rPr>
          <w:rFonts w:ascii="Georgia" w:hAnsi="Georgia" w:cs="Times New Roman"/>
          <w:smallCaps/>
          <w:lang w:val="en-GB"/>
        </w:rPr>
        <w:t xml:space="preserve"> et al</w:t>
      </w:r>
      <w:r w:rsidRPr="0002056A">
        <w:rPr>
          <w:rFonts w:ascii="Georgia" w:hAnsi="Georgia" w:cs="Times New Roman"/>
          <w:smallCaps/>
          <w:lang w:val="en-GB"/>
        </w:rPr>
        <w:t xml:space="preserve">., 2016; Sütő, A. </w:t>
      </w:r>
      <w:r w:rsidR="00640F7C" w:rsidRPr="0002056A">
        <w:rPr>
          <w:rFonts w:ascii="Georgia" w:hAnsi="Georgia" w:cs="Times New Roman"/>
          <w:smallCaps/>
          <w:lang w:val="en-GB"/>
        </w:rPr>
        <w:t xml:space="preserve">(ed.) </w:t>
      </w:r>
      <w:r w:rsidRPr="0002056A">
        <w:rPr>
          <w:rFonts w:ascii="Georgia" w:hAnsi="Georgia" w:cs="Times New Roman"/>
          <w:smallCaps/>
          <w:lang w:val="en-GB"/>
        </w:rPr>
        <w:t>2017; Vallejo, 2017; Kind</w:t>
      </w:r>
      <w:r w:rsidR="00496354" w:rsidRPr="0002056A">
        <w:rPr>
          <w:rFonts w:ascii="Georgia" w:hAnsi="Georgia" w:cs="Times New Roman"/>
          <w:smallCaps/>
          <w:lang w:val="en-GB"/>
        </w:rPr>
        <w:t xml:space="preserve"> et al.,</w:t>
      </w:r>
      <w:r w:rsidRPr="0002056A">
        <w:rPr>
          <w:rFonts w:ascii="Georgia" w:hAnsi="Georgia" w:cs="Times New Roman"/>
          <w:smallCaps/>
          <w:lang w:val="en-GB"/>
        </w:rPr>
        <w:t xml:space="preserve"> 2019; Sütő, A. (ed.) 2020</w:t>
      </w:r>
      <w:r w:rsidR="00496354" w:rsidRPr="0002056A">
        <w:rPr>
          <w:rFonts w:ascii="Georgia" w:hAnsi="Georgia" w:cs="Times New Roman"/>
          <w:smallCaps/>
          <w:lang w:val="en-GB"/>
        </w:rPr>
        <w:t>;</w:t>
      </w:r>
      <w:r w:rsidRPr="0002056A">
        <w:rPr>
          <w:rFonts w:ascii="Georgia" w:hAnsi="Georgia" w:cs="Times New Roman"/>
          <w:smallCaps/>
          <w:lang w:val="en-GB"/>
        </w:rPr>
        <w:t xml:space="preserve"> Wright et al., 2021; Goonesekera-Olazabal, 2022</w:t>
      </w:r>
      <w:r w:rsidRPr="0002056A">
        <w:rPr>
          <w:rFonts w:ascii="Georgia" w:hAnsi="Georgia" w:cs="Times New Roman"/>
          <w:lang w:val="en-GB"/>
        </w:rPr>
        <w:t xml:space="preserve">). </w:t>
      </w:r>
      <w:r w:rsidR="003F3AC1" w:rsidRPr="0002056A">
        <w:rPr>
          <w:rFonts w:ascii="Georgia" w:hAnsi="Georgia" w:cs="Times New Roman"/>
          <w:lang w:val="en-GB"/>
        </w:rPr>
        <w:t>These enlisted s</w:t>
      </w:r>
      <w:r w:rsidRPr="0002056A">
        <w:rPr>
          <w:rFonts w:ascii="Georgia" w:hAnsi="Georgia" w:cs="Times New Roman"/>
          <w:lang w:val="en-GB"/>
        </w:rPr>
        <w:t>hortcomings should be addressed</w:t>
      </w:r>
      <w:r w:rsidR="004541FE" w:rsidRPr="0002056A">
        <w:rPr>
          <w:rFonts w:ascii="Georgia" w:hAnsi="Georgia" w:cs="Times New Roman"/>
          <w:bCs/>
          <w:lang w:val="en-GB"/>
        </w:rPr>
        <w:t xml:space="preserve"> in</w:t>
      </w:r>
      <w:r w:rsidR="004541FE" w:rsidRPr="0002056A">
        <w:rPr>
          <w:rFonts w:ascii="Georgia" w:hAnsi="Georgia" w:cs="Times New Roman"/>
          <w:lang w:val="en-GB"/>
        </w:rPr>
        <w:t xml:space="preserve"> the future</w:t>
      </w:r>
      <w:r w:rsidRPr="0002056A">
        <w:rPr>
          <w:rFonts w:ascii="Georgia" w:hAnsi="Georgia" w:cs="Times New Roman"/>
          <w:lang w:val="en-GB"/>
        </w:rPr>
        <w:t xml:space="preserve">. </w:t>
      </w:r>
    </w:p>
    <w:p w14:paraId="4F6C3710" w14:textId="30EF4DBE" w:rsidR="00D8464C" w:rsidRPr="0002056A" w:rsidRDefault="00D8464C" w:rsidP="00CD5BF3">
      <w:pPr>
        <w:spacing w:before="120" w:after="120"/>
        <w:jc w:val="both"/>
        <w:rPr>
          <w:rFonts w:ascii="Georgia" w:hAnsi="Georgia"/>
          <w:lang w:val="en-GB"/>
        </w:rPr>
      </w:pPr>
      <w:r w:rsidRPr="0002056A">
        <w:rPr>
          <w:rFonts w:ascii="Georgia" w:hAnsi="Georgia" w:cs="Times New Roman"/>
          <w:lang w:val="en-GB"/>
        </w:rPr>
        <w:t xml:space="preserve">All in all, we can </w:t>
      </w:r>
      <w:r w:rsidR="002D0E08">
        <w:rPr>
          <w:rFonts w:ascii="Georgia" w:hAnsi="Georgia" w:cs="Times New Roman"/>
          <w:lang w:val="en-GB"/>
        </w:rPr>
        <w:t>summarise our findings that the establishment of main conceptual and definitional frameworks (that already exist in development policy planning and MRE in general) seems</w:t>
      </w:r>
      <w:r w:rsidRPr="0002056A">
        <w:rPr>
          <w:rFonts w:ascii="Georgia" w:hAnsi="Georgia" w:cs="Times New Roman"/>
          <w:lang w:val="en-GB"/>
        </w:rPr>
        <w:t xml:space="preserve"> to have started </w:t>
      </w:r>
      <w:r w:rsidR="002E04D2" w:rsidRPr="0002056A">
        <w:rPr>
          <w:rFonts w:ascii="Georgia" w:hAnsi="Georgia" w:cs="Times New Roman"/>
          <w:lang w:val="en-GB"/>
        </w:rPr>
        <w:t>i</w:t>
      </w:r>
      <w:r w:rsidRPr="0002056A">
        <w:rPr>
          <w:rFonts w:ascii="Georgia" w:hAnsi="Georgia" w:cs="Times New Roman"/>
          <w:lang w:val="en-GB"/>
        </w:rPr>
        <w:t>n climate adaptation planning and MRE</w:t>
      </w:r>
      <w:r w:rsidR="00173D96" w:rsidRPr="0002056A">
        <w:rPr>
          <w:rFonts w:ascii="Georgia" w:hAnsi="Georgia" w:cs="Times New Roman"/>
          <w:lang w:val="en-GB"/>
        </w:rPr>
        <w:t>, too</w:t>
      </w:r>
      <w:r w:rsidRPr="0002056A">
        <w:rPr>
          <w:rFonts w:ascii="Georgia" w:hAnsi="Georgia" w:cs="Times New Roman"/>
          <w:lang w:val="en-GB"/>
        </w:rPr>
        <w:t>. However, institutionali</w:t>
      </w:r>
      <w:r w:rsidR="002D0E08">
        <w:rPr>
          <w:rFonts w:ascii="Georgia" w:hAnsi="Georgia" w:cs="Times New Roman"/>
          <w:lang w:val="en-GB"/>
        </w:rPr>
        <w:t>s</w:t>
      </w:r>
      <w:r w:rsidRPr="0002056A">
        <w:rPr>
          <w:rFonts w:ascii="Georgia" w:hAnsi="Georgia" w:cs="Times New Roman"/>
          <w:lang w:val="en-GB"/>
        </w:rPr>
        <w:t xml:space="preserve">ation of these activities as well as their general methodological requirements </w:t>
      </w:r>
      <w:r w:rsidR="002E04D2" w:rsidRPr="0002056A">
        <w:rPr>
          <w:rFonts w:ascii="Georgia" w:hAnsi="Georgia" w:cs="Times New Roman"/>
          <w:lang w:val="en-GB"/>
        </w:rPr>
        <w:t>are</w:t>
      </w:r>
      <w:r w:rsidRPr="0002056A">
        <w:rPr>
          <w:rFonts w:ascii="Georgia" w:hAnsi="Georgia" w:cs="Times New Roman"/>
          <w:lang w:val="en-GB"/>
        </w:rPr>
        <w:t xml:space="preserve"> </w:t>
      </w:r>
      <w:r w:rsidR="002E04D2" w:rsidRPr="0002056A">
        <w:rPr>
          <w:rFonts w:ascii="Georgia" w:hAnsi="Georgia" w:cs="Times New Roman"/>
          <w:lang w:val="en-GB"/>
        </w:rPr>
        <w:t>still</w:t>
      </w:r>
      <w:r w:rsidRPr="0002056A">
        <w:rPr>
          <w:rFonts w:ascii="Georgia" w:hAnsi="Georgia" w:cs="Times New Roman"/>
          <w:lang w:val="en-GB"/>
        </w:rPr>
        <w:t xml:space="preserve"> being formed</w:t>
      </w:r>
      <w:r w:rsidR="0025167F" w:rsidRPr="0002056A">
        <w:rPr>
          <w:rFonts w:ascii="Georgia" w:hAnsi="Georgia" w:cs="Times New Roman"/>
          <w:lang w:val="en-GB"/>
        </w:rPr>
        <w:t>. O</w:t>
      </w:r>
      <w:r w:rsidR="00911C32" w:rsidRPr="0002056A">
        <w:rPr>
          <w:rFonts w:ascii="Georgia" w:hAnsi="Georgia" w:cs="Times New Roman"/>
          <w:lang w:val="en-GB"/>
        </w:rPr>
        <w:t xml:space="preserve">nly </w:t>
      </w:r>
      <w:r w:rsidR="002D0E08">
        <w:rPr>
          <w:rFonts w:ascii="Georgia" w:hAnsi="Georgia" w:cs="Times New Roman"/>
          <w:lang w:val="en-GB"/>
        </w:rPr>
        <w:t xml:space="preserve">a </w:t>
      </w:r>
      <w:r w:rsidR="00911C32" w:rsidRPr="0002056A">
        <w:rPr>
          <w:rFonts w:ascii="Georgia" w:hAnsi="Georgia" w:cs="Times New Roman"/>
          <w:lang w:val="en-GB"/>
        </w:rPr>
        <w:t>limited number of countries show advanced results in this field</w:t>
      </w:r>
      <w:r w:rsidRPr="0002056A">
        <w:rPr>
          <w:rFonts w:ascii="Georgia" w:hAnsi="Georgia" w:cs="Times New Roman"/>
          <w:lang w:val="en-GB"/>
        </w:rPr>
        <w:t xml:space="preserve">. </w:t>
      </w:r>
      <w:r w:rsidR="00911C32" w:rsidRPr="0002056A">
        <w:rPr>
          <w:rFonts w:ascii="Georgia" w:hAnsi="Georgia" w:cs="Times New Roman"/>
          <w:lang w:val="en-GB"/>
        </w:rPr>
        <w:t>Moreover</w:t>
      </w:r>
      <w:r w:rsidRPr="0002056A">
        <w:rPr>
          <w:rFonts w:ascii="Georgia" w:hAnsi="Georgia" w:cs="Times New Roman"/>
          <w:lang w:val="en-GB"/>
        </w:rPr>
        <w:t xml:space="preserve">, there are </w:t>
      </w:r>
      <w:r w:rsidR="003F3AC1" w:rsidRPr="0002056A">
        <w:rPr>
          <w:rFonts w:ascii="Georgia" w:hAnsi="Georgia" w:cs="Times New Roman"/>
          <w:lang w:val="en-GB"/>
        </w:rPr>
        <w:t>several</w:t>
      </w:r>
      <w:r w:rsidRPr="0002056A">
        <w:rPr>
          <w:rFonts w:ascii="Georgia" w:hAnsi="Georgia" w:cs="Times New Roman"/>
          <w:lang w:val="en-GB"/>
        </w:rPr>
        <w:t xml:space="preserve"> challenges </w:t>
      </w:r>
      <w:r w:rsidR="002D0E08">
        <w:rPr>
          <w:rFonts w:ascii="Georgia" w:hAnsi="Georgia" w:cs="Times New Roman"/>
          <w:lang w:val="en-GB"/>
        </w:rPr>
        <w:t xml:space="preserve">arising from adaptation’s own characteristics that must be addressed with proper, locally tailored yet generally </w:t>
      </w:r>
      <w:r w:rsidRPr="0002056A">
        <w:rPr>
          <w:rFonts w:ascii="Georgia" w:hAnsi="Georgia" w:cs="Times New Roman"/>
          <w:lang w:val="en-GB"/>
        </w:rPr>
        <w:t xml:space="preserve">accepted methodological frameworks. </w:t>
      </w:r>
    </w:p>
    <w:p w14:paraId="4320AFD0" w14:textId="5CBED1BB" w:rsidR="00F0190F" w:rsidRPr="0002056A" w:rsidRDefault="00BA01DB" w:rsidP="00214BD9">
      <w:pPr>
        <w:pStyle w:val="Cmsor2"/>
        <w:numPr>
          <w:ilvl w:val="1"/>
          <w:numId w:val="4"/>
        </w:numPr>
        <w:rPr>
          <w:rFonts w:asciiTheme="minorHAnsi" w:hAnsiTheme="minorHAnsi" w:cstheme="minorHAnsi"/>
          <w:b w:val="0"/>
          <w:bCs w:val="0"/>
          <w:i/>
          <w:iCs/>
          <w:lang w:val="en-GB"/>
        </w:rPr>
      </w:pPr>
      <w:bookmarkStart w:id="18" w:name="_Toc225578841"/>
      <w:r w:rsidRPr="0002056A">
        <w:rPr>
          <w:rFonts w:asciiTheme="minorHAnsi" w:hAnsiTheme="minorHAnsi" w:cstheme="minorHAnsi"/>
          <w:b w:val="0"/>
          <w:bCs w:val="0"/>
          <w:i/>
          <w:iCs/>
          <w:lang w:val="en-GB"/>
        </w:rPr>
        <w:t xml:space="preserve">Spatiality </w:t>
      </w:r>
      <w:r w:rsidR="00E47EF6" w:rsidRPr="0002056A">
        <w:rPr>
          <w:rFonts w:asciiTheme="minorHAnsi" w:hAnsiTheme="minorHAnsi" w:cstheme="minorHAnsi"/>
          <w:b w:val="0"/>
          <w:bCs w:val="0"/>
          <w:i/>
          <w:iCs/>
          <w:lang w:val="en-GB"/>
        </w:rPr>
        <w:t xml:space="preserve">and </w:t>
      </w:r>
      <w:r w:rsidRPr="0002056A">
        <w:rPr>
          <w:rFonts w:asciiTheme="minorHAnsi" w:hAnsiTheme="minorHAnsi" w:cstheme="minorHAnsi"/>
          <w:b w:val="0"/>
          <w:bCs w:val="0"/>
          <w:i/>
          <w:iCs/>
          <w:lang w:val="en-GB"/>
        </w:rPr>
        <w:t>adaptation policies</w:t>
      </w:r>
      <w:bookmarkEnd w:id="18"/>
    </w:p>
    <w:p w14:paraId="5701B0EE" w14:textId="6C27FABA" w:rsidR="005D6916" w:rsidRPr="0002056A" w:rsidRDefault="00984F04" w:rsidP="00CD5BF3">
      <w:pPr>
        <w:spacing w:before="120" w:after="120"/>
        <w:jc w:val="both"/>
        <w:rPr>
          <w:rFonts w:ascii="Georgia" w:hAnsi="Georgia" w:cs="Segoe UI"/>
          <w:lang w:val="en-GB"/>
        </w:rPr>
      </w:pPr>
      <w:r w:rsidRPr="0002056A">
        <w:rPr>
          <w:rFonts w:ascii="Georgia" w:hAnsi="Georgia" w:cs="Times New Roman"/>
          <w:lang w:val="en-GB"/>
        </w:rPr>
        <w:t xml:space="preserve">Already </w:t>
      </w:r>
      <w:r w:rsidR="00F07EF8" w:rsidRPr="0002056A">
        <w:rPr>
          <w:rFonts w:ascii="Georgia" w:hAnsi="Georgia" w:cs="Times New Roman"/>
          <w:lang w:val="en-GB"/>
        </w:rPr>
        <w:t>Chapter</w:t>
      </w:r>
      <w:r w:rsidRPr="0002056A">
        <w:rPr>
          <w:rFonts w:ascii="Georgia" w:hAnsi="Georgia" w:cs="Times New Roman"/>
          <w:lang w:val="en-GB"/>
        </w:rPr>
        <w:t xml:space="preserve"> </w:t>
      </w:r>
      <w:r w:rsidR="0056711F" w:rsidRPr="0002056A">
        <w:rPr>
          <w:rFonts w:ascii="Georgia" w:hAnsi="Georgia" w:cs="Times New Roman"/>
          <w:lang w:val="en-GB"/>
        </w:rPr>
        <w:t>#1 (</w:t>
      </w:r>
      <w:r w:rsidRPr="0002056A">
        <w:rPr>
          <w:rFonts w:ascii="Georgia" w:hAnsi="Georgia" w:cs="Times New Roman"/>
          <w:lang w:val="en-GB"/>
        </w:rPr>
        <w:t>Introduction</w:t>
      </w:r>
      <w:r w:rsidR="0056711F" w:rsidRPr="0002056A">
        <w:rPr>
          <w:rFonts w:ascii="Georgia" w:hAnsi="Georgia" w:cs="Times New Roman"/>
          <w:lang w:val="en-GB"/>
        </w:rPr>
        <w:t>)</w:t>
      </w:r>
      <w:r w:rsidRPr="0002056A">
        <w:rPr>
          <w:rFonts w:ascii="Georgia" w:hAnsi="Georgia" w:cs="Times New Roman"/>
          <w:lang w:val="en-GB"/>
        </w:rPr>
        <w:t xml:space="preserve"> and</w:t>
      </w:r>
      <w:r w:rsidR="0056711F" w:rsidRPr="0002056A">
        <w:rPr>
          <w:rFonts w:ascii="Georgia" w:hAnsi="Georgia" w:cs="Times New Roman"/>
          <w:lang w:val="en-GB"/>
        </w:rPr>
        <w:t xml:space="preserve"> </w:t>
      </w:r>
      <w:r w:rsidR="00F07EF8" w:rsidRPr="0002056A">
        <w:rPr>
          <w:rFonts w:ascii="Georgia" w:hAnsi="Georgia" w:cs="Times New Roman"/>
          <w:lang w:val="en-GB"/>
        </w:rPr>
        <w:t>Chapter</w:t>
      </w:r>
      <w:r w:rsidR="0056711F" w:rsidRPr="0002056A">
        <w:rPr>
          <w:rFonts w:ascii="Georgia" w:hAnsi="Georgia" w:cs="Times New Roman"/>
          <w:lang w:val="en-GB"/>
        </w:rPr>
        <w:t>#</w:t>
      </w:r>
      <w:r w:rsidR="002D0E08">
        <w:rPr>
          <w:rFonts w:ascii="Georgia" w:hAnsi="Georgia" w:cs="Times New Roman"/>
          <w:lang w:val="en-GB"/>
        </w:rPr>
        <w:t>3’s contextual parts referred to the fact that climate policy, especially its adaptation pillar,</w:t>
      </w:r>
      <w:r w:rsidRPr="0002056A">
        <w:rPr>
          <w:rFonts w:ascii="Georgia" w:hAnsi="Georgia" w:cs="Times New Roman"/>
          <w:lang w:val="en-GB"/>
        </w:rPr>
        <w:t xml:space="preserve"> cannot be handled separately from the </w:t>
      </w:r>
      <w:r w:rsidR="00AF1E19" w:rsidRPr="0002056A">
        <w:rPr>
          <w:rFonts w:ascii="Georgia" w:hAnsi="Georgia" w:cs="Times New Roman"/>
          <w:lang w:val="en-GB"/>
        </w:rPr>
        <w:t>(</w:t>
      </w:r>
      <w:r w:rsidRPr="0002056A">
        <w:rPr>
          <w:rFonts w:ascii="Georgia" w:hAnsi="Georgia" w:cs="Times New Roman"/>
          <w:lang w:val="en-GB"/>
        </w:rPr>
        <w:t>geographical</w:t>
      </w:r>
      <w:r w:rsidR="00AF1E19" w:rsidRPr="0002056A">
        <w:rPr>
          <w:rFonts w:ascii="Georgia" w:hAnsi="Georgia" w:cs="Times New Roman"/>
          <w:lang w:val="en-GB"/>
        </w:rPr>
        <w:t>)</w:t>
      </w:r>
      <w:r w:rsidRPr="0002056A">
        <w:rPr>
          <w:rFonts w:ascii="Georgia" w:hAnsi="Georgia" w:cs="Times New Roman"/>
          <w:lang w:val="en-GB"/>
        </w:rPr>
        <w:t xml:space="preserve"> space. </w:t>
      </w:r>
      <w:r w:rsidR="005913E0" w:rsidRPr="0002056A">
        <w:rPr>
          <w:rFonts w:ascii="Georgia" w:hAnsi="Georgia" w:cs="Times New Roman"/>
          <w:lang w:val="en-GB"/>
        </w:rPr>
        <w:t>Th</w:t>
      </w:r>
      <w:r w:rsidR="00940192" w:rsidRPr="0002056A">
        <w:rPr>
          <w:rFonts w:ascii="Georgia" w:hAnsi="Georgia" w:cs="Times New Roman"/>
          <w:lang w:val="en-GB"/>
        </w:rPr>
        <w:t>us</w:t>
      </w:r>
      <w:r w:rsidR="002D0E08">
        <w:rPr>
          <w:rFonts w:ascii="Georgia" w:hAnsi="Georgia" w:cs="Times New Roman"/>
          <w:lang w:val="en-GB"/>
        </w:rPr>
        <w:t>,</w:t>
      </w:r>
      <w:r w:rsidR="00940192" w:rsidRPr="0002056A">
        <w:rPr>
          <w:rFonts w:ascii="Georgia" w:hAnsi="Georgia" w:cs="Times New Roman"/>
          <w:lang w:val="en-GB"/>
        </w:rPr>
        <w:t xml:space="preserve"> th</w:t>
      </w:r>
      <w:r w:rsidR="005913E0" w:rsidRPr="0002056A">
        <w:rPr>
          <w:rFonts w:ascii="Georgia" w:hAnsi="Georgia" w:cs="Times New Roman"/>
          <w:lang w:val="en-GB"/>
        </w:rPr>
        <w:t>eoretically</w:t>
      </w:r>
      <w:r w:rsidRPr="0002056A">
        <w:rPr>
          <w:rFonts w:ascii="Georgia" w:hAnsi="Georgia" w:cs="Times New Roman"/>
          <w:lang w:val="en-GB"/>
        </w:rPr>
        <w:t xml:space="preserve">, integrating </w:t>
      </w:r>
      <w:r w:rsidR="00CB41A6" w:rsidRPr="0002056A">
        <w:rPr>
          <w:rFonts w:ascii="Georgia" w:hAnsi="Georgia" w:cs="Times New Roman"/>
          <w:lang w:val="en-GB"/>
        </w:rPr>
        <w:t>spatial/</w:t>
      </w:r>
      <w:r w:rsidRPr="0002056A">
        <w:rPr>
          <w:rFonts w:ascii="Georgia" w:hAnsi="Georgia" w:cs="Times New Roman"/>
          <w:lang w:val="en-GB"/>
        </w:rPr>
        <w:t xml:space="preserve">territorial aspects into adaptation policy making </w:t>
      </w:r>
      <w:r w:rsidR="00C40280" w:rsidRPr="0002056A">
        <w:rPr>
          <w:rFonts w:ascii="Georgia" w:hAnsi="Georgia" w:cs="Times New Roman"/>
          <w:lang w:val="en-GB"/>
        </w:rPr>
        <w:t xml:space="preserve">is </w:t>
      </w:r>
      <w:r w:rsidR="00940192" w:rsidRPr="0002056A">
        <w:rPr>
          <w:rFonts w:ascii="Georgia" w:hAnsi="Georgia" w:cs="Times New Roman"/>
          <w:lang w:val="en-GB"/>
        </w:rPr>
        <w:t>of key importance</w:t>
      </w:r>
      <w:r w:rsidRPr="0002056A">
        <w:rPr>
          <w:rFonts w:ascii="Georgia" w:hAnsi="Georgia" w:cs="Times New Roman"/>
          <w:lang w:val="en-GB"/>
        </w:rPr>
        <w:t>.</w:t>
      </w:r>
      <w:r w:rsidR="005C0273" w:rsidRPr="0002056A">
        <w:rPr>
          <w:rFonts w:ascii="Georgia" w:hAnsi="Georgia" w:cs="Times New Roman"/>
          <w:lang w:val="en-GB"/>
        </w:rPr>
        <w:t xml:space="preserve"> </w:t>
      </w:r>
      <w:r w:rsidR="005D6916" w:rsidRPr="0002056A">
        <w:rPr>
          <w:rFonts w:ascii="Georgia" w:hAnsi="Georgia" w:cs="Segoe UI"/>
          <w:lang w:val="en-GB"/>
        </w:rPr>
        <w:t xml:space="preserve">However, </w:t>
      </w:r>
      <w:r w:rsidR="00B01230" w:rsidRPr="0002056A">
        <w:rPr>
          <w:rFonts w:ascii="Georgia" w:hAnsi="Georgia" w:cs="Segoe UI"/>
          <w:lang w:val="en-GB"/>
        </w:rPr>
        <w:t xml:space="preserve">neither </w:t>
      </w:r>
      <w:r w:rsidR="005D6916" w:rsidRPr="0002056A">
        <w:rPr>
          <w:rFonts w:ascii="Georgia" w:hAnsi="Georgia" w:cs="Segoe UI"/>
          <w:lang w:val="en-GB"/>
        </w:rPr>
        <w:t xml:space="preserve">the role </w:t>
      </w:r>
      <w:r w:rsidR="00B01230" w:rsidRPr="0002056A">
        <w:rPr>
          <w:rFonts w:ascii="Georgia" w:hAnsi="Georgia" w:cs="Segoe UI"/>
          <w:lang w:val="en-GB"/>
        </w:rPr>
        <w:t xml:space="preserve">of </w:t>
      </w:r>
      <w:r w:rsidR="005D6916" w:rsidRPr="0002056A">
        <w:rPr>
          <w:rFonts w:ascii="Georgia" w:hAnsi="Georgia" w:cs="Segoe UI"/>
          <w:lang w:val="en-GB"/>
        </w:rPr>
        <w:t xml:space="preserve">spatial aspects in climate policy, </w:t>
      </w:r>
      <w:r w:rsidR="00B01230" w:rsidRPr="0002056A">
        <w:rPr>
          <w:rFonts w:ascii="Georgia" w:hAnsi="Georgia" w:cs="Segoe UI"/>
          <w:lang w:val="en-GB"/>
        </w:rPr>
        <w:t xml:space="preserve">nor </w:t>
      </w:r>
      <w:r w:rsidR="005D6916" w:rsidRPr="0002056A">
        <w:rPr>
          <w:rFonts w:ascii="Georgia" w:hAnsi="Georgia" w:cs="Segoe UI"/>
          <w:lang w:val="en-GB"/>
        </w:rPr>
        <w:t>the importance of spatial</w:t>
      </w:r>
      <w:r w:rsidR="00940192" w:rsidRPr="0002056A">
        <w:rPr>
          <w:rFonts w:ascii="Georgia" w:hAnsi="Georgia" w:cs="Segoe UI"/>
          <w:lang w:val="en-GB"/>
        </w:rPr>
        <w:t>ly specific</w:t>
      </w:r>
      <w:r w:rsidR="005D6916" w:rsidRPr="0002056A">
        <w:rPr>
          <w:rFonts w:ascii="Georgia" w:hAnsi="Georgia" w:cs="Segoe UI"/>
          <w:lang w:val="en-GB"/>
        </w:rPr>
        <w:t xml:space="preserve"> planning in </w:t>
      </w:r>
      <w:r w:rsidR="00940192" w:rsidRPr="0002056A">
        <w:rPr>
          <w:rFonts w:ascii="Georgia" w:hAnsi="Georgia" w:cs="Segoe UI"/>
          <w:lang w:val="en-GB"/>
        </w:rPr>
        <w:t xml:space="preserve">climate </w:t>
      </w:r>
      <w:r w:rsidR="005D6916" w:rsidRPr="0002056A">
        <w:rPr>
          <w:rFonts w:ascii="Georgia" w:hAnsi="Georgia" w:cs="Segoe UI"/>
          <w:lang w:val="en-GB"/>
        </w:rPr>
        <w:t>adaptation</w:t>
      </w:r>
      <w:r w:rsidR="00940192" w:rsidRPr="0002056A">
        <w:rPr>
          <w:rFonts w:ascii="Georgia" w:hAnsi="Georgia" w:cs="Segoe UI"/>
          <w:lang w:val="en-GB"/>
        </w:rPr>
        <w:t xml:space="preserve"> seem</w:t>
      </w:r>
      <w:r w:rsidR="002D0E08">
        <w:rPr>
          <w:rFonts w:ascii="Georgia" w:hAnsi="Georgia" w:cs="Segoe UI"/>
          <w:lang w:val="en-GB"/>
        </w:rPr>
        <w:t>s</w:t>
      </w:r>
      <w:r w:rsidR="00940192" w:rsidRPr="0002056A">
        <w:rPr>
          <w:rFonts w:ascii="Georgia" w:hAnsi="Georgia" w:cs="Segoe UI"/>
          <w:lang w:val="en-GB"/>
        </w:rPr>
        <w:t xml:space="preserve"> to </w:t>
      </w:r>
      <w:r w:rsidR="00820492" w:rsidRPr="0002056A">
        <w:rPr>
          <w:rFonts w:ascii="Georgia" w:hAnsi="Georgia" w:cs="Segoe UI"/>
          <w:lang w:val="en-GB"/>
        </w:rPr>
        <w:t>get</w:t>
      </w:r>
      <w:r w:rsidR="005D6916" w:rsidRPr="0002056A">
        <w:rPr>
          <w:rFonts w:ascii="Georgia" w:hAnsi="Georgia" w:cs="Segoe UI"/>
          <w:lang w:val="en-GB"/>
        </w:rPr>
        <w:t xml:space="preserve"> adequate focus in </w:t>
      </w:r>
      <w:r w:rsidR="00E64FA4" w:rsidRPr="0002056A">
        <w:rPr>
          <w:rFonts w:ascii="Georgia" w:hAnsi="Georgia" w:cs="Segoe UI"/>
          <w:lang w:val="en-GB"/>
        </w:rPr>
        <w:t xml:space="preserve">relevant </w:t>
      </w:r>
      <w:r w:rsidR="005D6916" w:rsidRPr="0002056A">
        <w:rPr>
          <w:rFonts w:ascii="Georgia" w:hAnsi="Georgia" w:cs="Segoe UI"/>
          <w:lang w:val="en-GB"/>
        </w:rPr>
        <w:t xml:space="preserve">research activities. The following </w:t>
      </w:r>
      <w:r w:rsidR="00216AD0" w:rsidRPr="0002056A">
        <w:rPr>
          <w:rFonts w:ascii="Georgia" w:hAnsi="Georgia" w:cs="Segoe UI"/>
          <w:lang w:val="en-GB"/>
        </w:rPr>
        <w:t>subchapter</w:t>
      </w:r>
      <w:r w:rsidR="00216AD0">
        <w:rPr>
          <w:rFonts w:ascii="Georgia" w:hAnsi="Georgia" w:cs="Segoe UI"/>
          <w:lang w:val="en-GB"/>
        </w:rPr>
        <w:t>s</w:t>
      </w:r>
      <w:r w:rsidR="005D6916" w:rsidRPr="0002056A">
        <w:rPr>
          <w:rFonts w:ascii="Georgia" w:hAnsi="Georgia" w:cs="Segoe UI"/>
          <w:lang w:val="en-GB"/>
        </w:rPr>
        <w:t xml:space="preserve"> go through the </w:t>
      </w:r>
      <w:r w:rsidR="00820492" w:rsidRPr="0002056A">
        <w:rPr>
          <w:rFonts w:ascii="Georgia" w:hAnsi="Georgia" w:cs="Segoe UI"/>
          <w:lang w:val="en-GB"/>
        </w:rPr>
        <w:t>issue</w:t>
      </w:r>
      <w:r w:rsidR="005D6916" w:rsidRPr="0002056A">
        <w:rPr>
          <w:rFonts w:ascii="Georgia" w:hAnsi="Georgia" w:cs="Segoe UI"/>
          <w:lang w:val="en-GB"/>
        </w:rPr>
        <w:t xml:space="preserve"> of geographical</w:t>
      </w:r>
      <w:r w:rsidR="00820492" w:rsidRPr="0002056A">
        <w:rPr>
          <w:rFonts w:ascii="Georgia" w:hAnsi="Georgia" w:cs="Segoe UI"/>
          <w:lang w:val="en-GB"/>
        </w:rPr>
        <w:t xml:space="preserve"> and spatial </w:t>
      </w:r>
      <w:r w:rsidR="005D6916" w:rsidRPr="0002056A">
        <w:rPr>
          <w:rFonts w:ascii="Georgia" w:hAnsi="Georgia" w:cs="Segoe UI"/>
          <w:lang w:val="en-GB"/>
        </w:rPr>
        <w:t>characteristic</w:t>
      </w:r>
      <w:r w:rsidR="00820492" w:rsidRPr="0002056A">
        <w:rPr>
          <w:rFonts w:ascii="Georgia" w:hAnsi="Georgia" w:cs="Segoe UI"/>
          <w:lang w:val="en-GB"/>
        </w:rPr>
        <w:t>s and</w:t>
      </w:r>
      <w:r w:rsidR="005D6916" w:rsidRPr="0002056A">
        <w:rPr>
          <w:rFonts w:ascii="Georgia" w:hAnsi="Georgia" w:cs="Segoe UI"/>
          <w:lang w:val="en-GB"/>
        </w:rPr>
        <w:t xml:space="preserve"> dimensions</w:t>
      </w:r>
      <w:r w:rsidR="00820492" w:rsidRPr="0002056A">
        <w:rPr>
          <w:rFonts w:ascii="Georgia" w:hAnsi="Georgia" w:cs="Segoe UI"/>
          <w:lang w:val="en-GB"/>
        </w:rPr>
        <w:t>/</w:t>
      </w:r>
      <w:r w:rsidR="005D6916" w:rsidRPr="0002056A">
        <w:rPr>
          <w:rFonts w:ascii="Georgia" w:hAnsi="Georgia" w:cs="Segoe UI"/>
          <w:lang w:val="en-GB"/>
        </w:rPr>
        <w:t xml:space="preserve">aspects in adaptation </w:t>
      </w:r>
      <w:r w:rsidR="00773C98" w:rsidRPr="0002056A">
        <w:rPr>
          <w:rFonts w:ascii="Georgia" w:hAnsi="Georgia" w:cs="Segoe UI"/>
          <w:lang w:val="en-GB"/>
        </w:rPr>
        <w:t>policy</w:t>
      </w:r>
      <w:r w:rsidR="00773C98">
        <w:rPr>
          <w:rFonts w:ascii="Georgia" w:hAnsi="Georgia" w:cs="Segoe UI"/>
          <w:lang w:val="en-GB"/>
        </w:rPr>
        <w:t>making</w:t>
      </w:r>
      <w:r w:rsidR="005D6916" w:rsidRPr="0002056A">
        <w:rPr>
          <w:rFonts w:ascii="Georgia" w:hAnsi="Georgia" w:cs="Segoe UI"/>
          <w:lang w:val="en-GB"/>
        </w:rPr>
        <w:t>, planning and MRE activities, to shed some light on the importance of spatiality in this strong geographic space-oriented policy field.</w:t>
      </w:r>
    </w:p>
    <w:p w14:paraId="2DF0787C" w14:textId="71B2D6E6" w:rsidR="00695906" w:rsidRPr="0002056A" w:rsidRDefault="0034326D" w:rsidP="00214BD9">
      <w:pPr>
        <w:pStyle w:val="Cmsor3"/>
        <w:numPr>
          <w:ilvl w:val="2"/>
          <w:numId w:val="4"/>
        </w:numPr>
        <w:rPr>
          <w:lang w:val="en-GB"/>
        </w:rPr>
      </w:pPr>
      <w:bookmarkStart w:id="19" w:name="_Toc225578842"/>
      <w:r w:rsidRPr="0002056A">
        <w:rPr>
          <w:lang w:val="en-GB"/>
        </w:rPr>
        <w:t xml:space="preserve">The </w:t>
      </w:r>
      <w:r w:rsidR="005D6916" w:rsidRPr="0002056A">
        <w:rPr>
          <w:lang w:val="en-GB"/>
        </w:rPr>
        <w:t>importance of geographical</w:t>
      </w:r>
      <w:r w:rsidR="007433C6" w:rsidRPr="0002056A">
        <w:rPr>
          <w:lang w:val="en-GB"/>
        </w:rPr>
        <w:t>/spatial as</w:t>
      </w:r>
      <w:r w:rsidRPr="0002056A">
        <w:rPr>
          <w:lang w:val="en-GB"/>
        </w:rPr>
        <w:t>pects in climate adaptation</w:t>
      </w:r>
      <w:r w:rsidR="00695906" w:rsidRPr="0002056A">
        <w:rPr>
          <w:lang w:val="en-GB"/>
        </w:rPr>
        <w:t xml:space="preserve"> policy</w:t>
      </w:r>
      <w:bookmarkEnd w:id="19"/>
    </w:p>
    <w:p w14:paraId="69ED95BF" w14:textId="1E65E2B0" w:rsidR="00782515" w:rsidRPr="0002056A" w:rsidRDefault="003632E2" w:rsidP="00CD5BF3">
      <w:pPr>
        <w:spacing w:before="120" w:after="120"/>
        <w:jc w:val="both"/>
        <w:rPr>
          <w:rFonts w:ascii="Georgia" w:hAnsi="Georgia" w:cstheme="minorHAnsi"/>
          <w:lang w:val="en-GB"/>
        </w:rPr>
      </w:pPr>
      <w:r w:rsidRPr="0002056A">
        <w:rPr>
          <w:rFonts w:ascii="Georgia" w:hAnsi="Georgia" w:cstheme="minorHAnsi"/>
          <w:lang w:val="en-GB"/>
        </w:rPr>
        <w:t>To</w:t>
      </w:r>
      <w:r w:rsidR="00160565" w:rsidRPr="0002056A">
        <w:rPr>
          <w:rFonts w:ascii="Georgia" w:hAnsi="Georgia" w:cstheme="minorHAnsi"/>
          <w:lang w:val="en-GB"/>
        </w:rPr>
        <w:t xml:space="preserve"> examin</w:t>
      </w:r>
      <w:r w:rsidRPr="0002056A">
        <w:rPr>
          <w:rFonts w:ascii="Georgia" w:hAnsi="Georgia" w:cstheme="minorHAnsi"/>
          <w:lang w:val="en-GB"/>
        </w:rPr>
        <w:t>e</w:t>
      </w:r>
      <w:r w:rsidR="00160565" w:rsidRPr="0002056A">
        <w:rPr>
          <w:rFonts w:ascii="Georgia" w:hAnsi="Georgia" w:cstheme="minorHAnsi"/>
          <w:lang w:val="en-GB"/>
        </w:rPr>
        <w:t xml:space="preserve"> the issue of spatiality in adaptation</w:t>
      </w:r>
      <w:r w:rsidRPr="0002056A">
        <w:rPr>
          <w:rFonts w:ascii="Georgia" w:hAnsi="Georgia" w:cstheme="minorHAnsi"/>
          <w:lang w:val="en-GB"/>
        </w:rPr>
        <w:t xml:space="preserve">, the starting point </w:t>
      </w:r>
      <w:r w:rsidR="00B0477D" w:rsidRPr="0002056A">
        <w:rPr>
          <w:rFonts w:ascii="Georgia" w:hAnsi="Georgia" w:cstheme="minorHAnsi"/>
          <w:lang w:val="en-GB"/>
        </w:rPr>
        <w:t>could be</w:t>
      </w:r>
      <w:r w:rsidR="002D0E08">
        <w:rPr>
          <w:rFonts w:ascii="Georgia" w:hAnsi="Georgia" w:cstheme="minorHAnsi"/>
          <w:lang w:val="en-GB"/>
        </w:rPr>
        <w:t>,</w:t>
      </w:r>
      <w:r w:rsidR="00160565" w:rsidRPr="0002056A">
        <w:rPr>
          <w:rFonts w:ascii="Georgia" w:hAnsi="Georgia" w:cstheme="minorHAnsi"/>
          <w:lang w:val="en-GB"/>
        </w:rPr>
        <w:t xml:space="preserve"> </w:t>
      </w:r>
      <w:r w:rsidR="00404B52" w:rsidRPr="0002056A">
        <w:rPr>
          <w:rFonts w:ascii="Georgia" w:hAnsi="Georgia" w:cstheme="minorHAnsi"/>
          <w:lang w:val="en-GB"/>
        </w:rPr>
        <w:t>on the one hand</w:t>
      </w:r>
      <w:r w:rsidR="002D0E08">
        <w:rPr>
          <w:rFonts w:ascii="Georgia" w:hAnsi="Georgia" w:cstheme="minorHAnsi"/>
          <w:lang w:val="en-GB"/>
        </w:rPr>
        <w:t>,</w:t>
      </w:r>
      <w:r w:rsidR="003A3AF0">
        <w:rPr>
          <w:rFonts w:ascii="Georgia" w:hAnsi="Georgia" w:cstheme="minorHAnsi"/>
          <w:lang w:val="en-GB"/>
        </w:rPr>
        <w:t xml:space="preserve"> </w:t>
      </w:r>
      <w:r w:rsidR="00404B52" w:rsidRPr="0002056A">
        <w:rPr>
          <w:rFonts w:ascii="Georgia" w:hAnsi="Georgia" w:cstheme="minorHAnsi"/>
          <w:lang w:val="en-GB"/>
        </w:rPr>
        <w:t xml:space="preserve">the nature of changing climatic factors as part of </w:t>
      </w:r>
      <w:r w:rsidR="002D0E08">
        <w:rPr>
          <w:rFonts w:ascii="Georgia" w:hAnsi="Georgia" w:cstheme="minorHAnsi"/>
          <w:lang w:val="en-GB"/>
        </w:rPr>
        <w:t>a region's basic geographical characteristics</w:t>
      </w:r>
      <w:r w:rsidR="00240A01" w:rsidRPr="0002056A">
        <w:rPr>
          <w:rFonts w:ascii="Georgia" w:hAnsi="Georgia" w:cstheme="minorHAnsi"/>
          <w:lang w:val="en-GB"/>
        </w:rPr>
        <w:t>; on the other hand</w:t>
      </w:r>
      <w:r w:rsidR="005F2DB8" w:rsidRPr="0002056A">
        <w:rPr>
          <w:rFonts w:ascii="Georgia" w:hAnsi="Georgia" w:cstheme="minorHAnsi"/>
          <w:lang w:val="en-GB"/>
        </w:rPr>
        <w:t>,</w:t>
      </w:r>
      <w:r w:rsidR="00240A01" w:rsidRPr="0002056A">
        <w:rPr>
          <w:rFonts w:ascii="Georgia" w:hAnsi="Georgia" w:cstheme="minorHAnsi"/>
          <w:lang w:val="en-GB"/>
        </w:rPr>
        <w:t xml:space="preserve"> </w:t>
      </w:r>
      <w:r w:rsidR="00160565" w:rsidRPr="0002056A">
        <w:rPr>
          <w:rFonts w:ascii="Georgia" w:hAnsi="Georgia" w:cstheme="minorHAnsi"/>
          <w:lang w:val="en-GB"/>
        </w:rPr>
        <w:t xml:space="preserve">the special feature of the adaptation pillar of climate policy. </w:t>
      </w:r>
      <w:r w:rsidR="005F2DB8" w:rsidRPr="0002056A">
        <w:rPr>
          <w:rFonts w:ascii="Georgia" w:hAnsi="Georgia" w:cstheme="minorHAnsi"/>
          <w:lang w:val="en-GB"/>
        </w:rPr>
        <w:t>As for the latter, c</w:t>
      </w:r>
      <w:r w:rsidR="00D708AA" w:rsidRPr="0002056A">
        <w:rPr>
          <w:rFonts w:ascii="Georgia" w:hAnsi="Georgia" w:cstheme="minorHAnsi"/>
          <w:lang w:val="en-GB"/>
        </w:rPr>
        <w:t xml:space="preserve">limate change is now widely perceived as one of the most important challenges mankind </w:t>
      </w:r>
      <w:r w:rsidR="002D0E08">
        <w:rPr>
          <w:rFonts w:ascii="Georgia" w:hAnsi="Georgia" w:cstheme="minorHAnsi"/>
          <w:lang w:val="en-GB"/>
        </w:rPr>
        <w:t xml:space="preserve">is </w:t>
      </w:r>
      <w:r w:rsidR="00D708AA" w:rsidRPr="0002056A">
        <w:rPr>
          <w:rFonts w:ascii="Georgia" w:hAnsi="Georgia" w:cstheme="minorHAnsi"/>
          <w:lang w:val="en-GB"/>
        </w:rPr>
        <w:t xml:space="preserve">facing; and this statement is particularly true for the second pillar of climate policy: adaptation. </w:t>
      </w:r>
      <w:r w:rsidR="005C348E" w:rsidRPr="0002056A">
        <w:rPr>
          <w:rFonts w:ascii="Georgia" w:hAnsi="Georgia" w:cstheme="minorHAnsi"/>
          <w:lang w:val="en-GB"/>
        </w:rPr>
        <w:t>As opposed to the first pillar (mitigation), which area is handled basically through international agreements and mutually arranged emission restriction quotas; adaptation depends on spatially different climate impacts, consequences and adaptive capacities varying from region to region</w:t>
      </w:r>
      <w:r w:rsidR="00AB5D72" w:rsidRPr="0002056A">
        <w:rPr>
          <w:rFonts w:ascii="Georgia" w:hAnsi="Georgia" w:cstheme="minorHAnsi"/>
          <w:lang w:val="en-GB"/>
        </w:rPr>
        <w:t xml:space="preserve"> (</w:t>
      </w:r>
      <w:r w:rsidR="00AB5D72" w:rsidRPr="0002056A">
        <w:rPr>
          <w:rFonts w:ascii="Georgia" w:hAnsi="Georgia" w:cstheme="minorHAnsi"/>
          <w:smallCaps/>
          <w:lang w:val="en-GB"/>
        </w:rPr>
        <w:t>Birchall et al., 2022; Sütő et al 2023</w:t>
      </w:r>
      <w:r w:rsidR="00AB5D72" w:rsidRPr="0002056A">
        <w:rPr>
          <w:rFonts w:ascii="Georgia" w:hAnsi="Georgia" w:cstheme="minorHAnsi"/>
          <w:lang w:val="en-GB"/>
        </w:rPr>
        <w:t>)</w:t>
      </w:r>
      <w:r w:rsidR="00782515" w:rsidRPr="0002056A">
        <w:rPr>
          <w:rFonts w:ascii="Georgia" w:hAnsi="Georgia" w:cstheme="minorHAnsi"/>
          <w:lang w:val="en-GB"/>
        </w:rPr>
        <w:t>.</w:t>
      </w:r>
    </w:p>
    <w:p w14:paraId="531AFAA7" w14:textId="79F8185D" w:rsidR="00B10293" w:rsidRPr="0002056A" w:rsidRDefault="0034326D" w:rsidP="00CD5BF3">
      <w:pPr>
        <w:spacing w:before="120" w:after="120"/>
        <w:jc w:val="both"/>
        <w:rPr>
          <w:rFonts w:ascii="Georgia" w:hAnsi="Georgia"/>
          <w:lang w:val="en-GB"/>
        </w:rPr>
      </w:pPr>
      <w:r w:rsidRPr="0002056A">
        <w:rPr>
          <w:rFonts w:ascii="Georgia" w:hAnsi="Georgia"/>
          <w:b/>
          <w:bCs/>
          <w:lang w:val="en-GB"/>
        </w:rPr>
        <w:t>Climat</w:t>
      </w:r>
      <w:r w:rsidR="00160565" w:rsidRPr="0002056A">
        <w:rPr>
          <w:rFonts w:ascii="Georgia" w:hAnsi="Georgia"/>
          <w:b/>
          <w:bCs/>
          <w:lang w:val="en-GB"/>
        </w:rPr>
        <w:t>ic</w:t>
      </w:r>
      <w:r w:rsidRPr="0002056A">
        <w:rPr>
          <w:rFonts w:ascii="Georgia" w:hAnsi="Georgia"/>
          <w:b/>
          <w:bCs/>
          <w:lang w:val="en-GB"/>
        </w:rPr>
        <w:t xml:space="preserve"> factors are ab ovo</w:t>
      </w:r>
      <w:r w:rsidRPr="0002056A">
        <w:rPr>
          <w:rFonts w:ascii="Georgia" w:hAnsi="Georgia"/>
          <w:lang w:val="en-GB"/>
        </w:rPr>
        <w:t xml:space="preserve"> </w:t>
      </w:r>
      <w:r w:rsidR="00484E75" w:rsidRPr="0002056A">
        <w:rPr>
          <w:rFonts w:ascii="Georgia" w:hAnsi="Georgia"/>
          <w:lang w:val="en-GB"/>
        </w:rPr>
        <w:t>among</w:t>
      </w:r>
      <w:r w:rsidRPr="0002056A">
        <w:rPr>
          <w:rFonts w:ascii="Georgia" w:hAnsi="Georgia"/>
          <w:lang w:val="en-GB"/>
        </w:rPr>
        <w:t xml:space="preserve"> the most important elements of </w:t>
      </w:r>
      <w:r w:rsidRPr="0002056A">
        <w:rPr>
          <w:rFonts w:ascii="Georgia" w:hAnsi="Georgia"/>
          <w:b/>
          <w:bCs/>
          <w:lang w:val="en-GB"/>
        </w:rPr>
        <w:t>geographic endowments</w:t>
      </w:r>
      <w:r w:rsidRPr="0002056A">
        <w:rPr>
          <w:rFonts w:ascii="Georgia" w:hAnsi="Georgia"/>
          <w:lang w:val="en-GB"/>
        </w:rPr>
        <w:t xml:space="preserve"> together with geomorphologic, </w:t>
      </w:r>
      <w:r w:rsidR="00782515" w:rsidRPr="0002056A">
        <w:rPr>
          <w:rFonts w:ascii="Georgia" w:hAnsi="Georgia"/>
          <w:lang w:val="en-GB"/>
        </w:rPr>
        <w:t xml:space="preserve">topographic, </w:t>
      </w:r>
      <w:r w:rsidRPr="0002056A">
        <w:rPr>
          <w:rFonts w:ascii="Georgia" w:hAnsi="Georgia"/>
          <w:lang w:val="en-GB"/>
        </w:rPr>
        <w:t xml:space="preserve">ecologic, hydrographic and soil characteristics. They frequently influence </w:t>
      </w:r>
      <w:r w:rsidR="002D0E08">
        <w:rPr>
          <w:rFonts w:ascii="Georgia" w:hAnsi="Georgia"/>
          <w:lang w:val="en-GB"/>
        </w:rPr>
        <w:t xml:space="preserve">the </w:t>
      </w:r>
      <w:r w:rsidR="00015D43" w:rsidRPr="0002056A">
        <w:rPr>
          <w:rFonts w:ascii="Georgia" w:hAnsi="Georgia"/>
          <w:lang w:val="en-GB"/>
        </w:rPr>
        <w:t>social</w:t>
      </w:r>
      <w:r w:rsidRPr="0002056A">
        <w:rPr>
          <w:rFonts w:ascii="Georgia" w:hAnsi="Georgia"/>
          <w:lang w:val="en-GB"/>
        </w:rPr>
        <w:t xml:space="preserve"> and economic conditions of a given area. </w:t>
      </w:r>
      <w:r w:rsidR="00484E75" w:rsidRPr="0002056A">
        <w:rPr>
          <w:rFonts w:ascii="Georgia" w:hAnsi="Georgia"/>
          <w:lang w:val="en-GB"/>
        </w:rPr>
        <w:t>T</w:t>
      </w:r>
      <w:r w:rsidRPr="0002056A">
        <w:rPr>
          <w:rFonts w:ascii="Georgia" w:hAnsi="Georgia"/>
          <w:lang w:val="en-GB"/>
        </w:rPr>
        <w:t>emperature, precipitation, humidity, wind conditions</w:t>
      </w:r>
      <w:r w:rsidR="002D0E08">
        <w:rPr>
          <w:rFonts w:ascii="Georgia" w:hAnsi="Georgia"/>
          <w:lang w:val="en-GB"/>
        </w:rPr>
        <w:t>,</w:t>
      </w:r>
      <w:r w:rsidRPr="0002056A">
        <w:rPr>
          <w:rFonts w:ascii="Georgia" w:hAnsi="Georgia"/>
          <w:lang w:val="en-GB"/>
        </w:rPr>
        <w:t xml:space="preserve"> etc. define the locally</w:t>
      </w:r>
      <w:r w:rsidR="00D5699D" w:rsidRPr="0002056A">
        <w:rPr>
          <w:rFonts w:ascii="Georgia" w:hAnsi="Georgia"/>
          <w:lang w:val="en-GB"/>
        </w:rPr>
        <w:t xml:space="preserve"> </w:t>
      </w:r>
      <w:r w:rsidRPr="0002056A">
        <w:rPr>
          <w:rFonts w:ascii="Georgia" w:hAnsi="Georgia"/>
          <w:lang w:val="en-GB"/>
        </w:rPr>
        <w:t>/</w:t>
      </w:r>
      <w:r w:rsidR="00D5699D" w:rsidRPr="0002056A">
        <w:rPr>
          <w:rFonts w:ascii="Georgia" w:hAnsi="Georgia"/>
          <w:lang w:val="en-GB"/>
        </w:rPr>
        <w:t xml:space="preserve"> </w:t>
      </w:r>
      <w:r w:rsidRPr="0002056A">
        <w:rPr>
          <w:rFonts w:ascii="Georgia" w:hAnsi="Georgia"/>
          <w:lang w:val="en-GB"/>
        </w:rPr>
        <w:t>regionally</w:t>
      </w:r>
      <w:r w:rsidR="00D5699D" w:rsidRPr="0002056A">
        <w:rPr>
          <w:rFonts w:ascii="Georgia" w:hAnsi="Georgia"/>
          <w:lang w:val="en-GB"/>
        </w:rPr>
        <w:t xml:space="preserve"> </w:t>
      </w:r>
      <w:r w:rsidRPr="0002056A">
        <w:rPr>
          <w:rFonts w:ascii="Georgia" w:hAnsi="Georgia"/>
          <w:lang w:val="en-GB"/>
        </w:rPr>
        <w:t>/</w:t>
      </w:r>
      <w:r w:rsidR="00D5699D" w:rsidRPr="0002056A">
        <w:rPr>
          <w:rFonts w:ascii="Georgia" w:hAnsi="Georgia"/>
          <w:lang w:val="en-GB"/>
        </w:rPr>
        <w:t xml:space="preserve"> </w:t>
      </w:r>
      <w:r w:rsidRPr="0002056A">
        <w:rPr>
          <w:rFonts w:ascii="Georgia" w:hAnsi="Georgia"/>
          <w:lang w:val="en-GB"/>
        </w:rPr>
        <w:t>nationally</w:t>
      </w:r>
      <w:r w:rsidR="00D5699D" w:rsidRPr="0002056A">
        <w:rPr>
          <w:rFonts w:ascii="Georgia" w:hAnsi="Georgia"/>
          <w:lang w:val="en-GB"/>
        </w:rPr>
        <w:t xml:space="preserve"> </w:t>
      </w:r>
      <w:r w:rsidRPr="0002056A">
        <w:rPr>
          <w:rFonts w:ascii="Georgia" w:hAnsi="Georgia"/>
          <w:lang w:val="en-GB"/>
        </w:rPr>
        <w:t>/</w:t>
      </w:r>
      <w:r w:rsidR="00D5699D" w:rsidRPr="0002056A">
        <w:rPr>
          <w:rFonts w:ascii="Georgia" w:hAnsi="Georgia"/>
          <w:lang w:val="en-GB"/>
        </w:rPr>
        <w:t xml:space="preserve"> </w:t>
      </w:r>
      <w:r w:rsidR="00216AD0" w:rsidRPr="0002056A">
        <w:rPr>
          <w:rFonts w:ascii="Georgia" w:hAnsi="Georgia"/>
          <w:lang w:val="en-GB"/>
        </w:rPr>
        <w:t>macro regionally</w:t>
      </w:r>
      <w:r w:rsidRPr="0002056A">
        <w:rPr>
          <w:rFonts w:ascii="Georgia" w:hAnsi="Georgia"/>
          <w:lang w:val="en-GB"/>
        </w:rPr>
        <w:t xml:space="preserve"> different impacts and consequences of climatic processes and </w:t>
      </w:r>
      <w:r w:rsidRPr="0002056A">
        <w:rPr>
          <w:rFonts w:ascii="Georgia" w:hAnsi="Georgia"/>
          <w:lang w:val="en-GB"/>
        </w:rPr>
        <w:lastRenderedPageBreak/>
        <w:t>climate change</w:t>
      </w:r>
      <w:r w:rsidR="00EB5520" w:rsidRPr="0002056A">
        <w:rPr>
          <w:rFonts w:ascii="Georgia" w:hAnsi="Georgia"/>
          <w:lang w:val="en-GB"/>
        </w:rPr>
        <w:t xml:space="preserve"> (</w:t>
      </w:r>
      <w:r w:rsidR="00EB5520" w:rsidRPr="0002056A">
        <w:rPr>
          <w:rFonts w:ascii="Georgia" w:hAnsi="Georgia"/>
          <w:smallCaps/>
          <w:lang w:val="en-GB"/>
        </w:rPr>
        <w:t>Sütő et al, 2023</w:t>
      </w:r>
      <w:r w:rsidR="002D0E08">
        <w:rPr>
          <w:rFonts w:ascii="Georgia" w:hAnsi="Georgia"/>
          <w:smallCaps/>
          <w:lang w:val="en-GB"/>
        </w:rPr>
        <w:t>;</w:t>
      </w:r>
      <w:r w:rsidR="002D0E08" w:rsidRPr="0002056A">
        <w:rPr>
          <w:rFonts w:ascii="Georgia" w:hAnsi="Georgia"/>
          <w:smallCaps/>
          <w:lang w:val="en-GB"/>
        </w:rPr>
        <w:t xml:space="preserve"> </w:t>
      </w:r>
      <w:r w:rsidR="00EB5520" w:rsidRPr="0002056A">
        <w:rPr>
          <w:rFonts w:ascii="Georgia" w:hAnsi="Georgia"/>
          <w:smallCaps/>
          <w:lang w:val="en-GB"/>
        </w:rPr>
        <w:t>OECD, 2023).</w:t>
      </w:r>
      <w:r w:rsidR="006762BC" w:rsidRPr="0002056A">
        <w:rPr>
          <w:rFonts w:ascii="Georgia" w:hAnsi="Georgia"/>
          <w:smallCaps/>
          <w:lang w:val="en-GB"/>
        </w:rPr>
        <w:t xml:space="preserve"> </w:t>
      </w:r>
      <w:r w:rsidR="00F60057" w:rsidRPr="0002056A">
        <w:rPr>
          <w:rFonts w:ascii="Georgia" w:hAnsi="Georgia"/>
          <w:lang w:val="en-GB"/>
        </w:rPr>
        <w:t>T</w:t>
      </w:r>
      <w:r w:rsidR="00F60057" w:rsidRPr="0002056A">
        <w:rPr>
          <w:rFonts w:ascii="Georgia" w:eastAsia="Times New Roman" w:hAnsi="Georgia" w:cs="Times New Roman"/>
          <w:lang w:val="en-GB" w:eastAsia="hu-HU"/>
        </w:rPr>
        <w:t>he IPCC a</w:t>
      </w:r>
      <w:r w:rsidR="006B7D40" w:rsidRPr="0002056A">
        <w:rPr>
          <w:rFonts w:ascii="Georgia" w:eastAsia="Times New Roman" w:hAnsi="Georgia" w:cs="Times New Roman"/>
          <w:lang w:val="en-GB" w:eastAsia="hu-HU"/>
        </w:rPr>
        <w:t>l</w:t>
      </w:r>
      <w:r w:rsidR="00F60057" w:rsidRPr="0002056A">
        <w:rPr>
          <w:rFonts w:ascii="Georgia" w:eastAsia="Times New Roman" w:hAnsi="Georgia" w:cs="Times New Roman"/>
          <w:lang w:val="en-GB" w:eastAsia="hu-HU"/>
        </w:rPr>
        <w:t xml:space="preserve">ready at the beginning of the 2010s acknowledged the </w:t>
      </w:r>
      <w:r w:rsidR="00D5699D" w:rsidRPr="0002056A">
        <w:rPr>
          <w:rFonts w:ascii="Georgia" w:eastAsia="Times New Roman" w:hAnsi="Georgia" w:cs="Times New Roman"/>
          <w:lang w:val="en-GB" w:eastAsia="hu-HU"/>
        </w:rPr>
        <w:t>severity</w:t>
      </w:r>
      <w:r w:rsidR="00F60057" w:rsidRPr="0002056A">
        <w:rPr>
          <w:rFonts w:ascii="Georgia" w:eastAsia="Times New Roman" w:hAnsi="Georgia" w:cs="Times New Roman"/>
          <w:lang w:val="en-GB" w:eastAsia="hu-HU"/>
        </w:rPr>
        <w:t xml:space="preserve"> of understanding and managing the risks related to climate change, stating that while changes in the frequency and </w:t>
      </w:r>
      <w:r w:rsidR="00D5699D" w:rsidRPr="0002056A">
        <w:rPr>
          <w:rFonts w:ascii="Georgia" w:eastAsia="Times New Roman" w:hAnsi="Georgia" w:cs="Times New Roman"/>
          <w:lang w:val="en-GB" w:eastAsia="hu-HU"/>
        </w:rPr>
        <w:t>inten</w:t>
      </w:r>
      <w:r w:rsidR="00F60057" w:rsidRPr="0002056A">
        <w:rPr>
          <w:rFonts w:ascii="Georgia" w:eastAsia="Times New Roman" w:hAnsi="Georgia" w:cs="Times New Roman"/>
          <w:lang w:val="en-GB" w:eastAsia="hu-HU"/>
        </w:rPr>
        <w:t xml:space="preserve">sity of the physical events generated by climate change will affect risk, the </w:t>
      </w:r>
      <w:r w:rsidR="00F60057" w:rsidRPr="0002056A">
        <w:rPr>
          <w:rFonts w:ascii="Georgia" w:eastAsia="Times New Roman" w:hAnsi="Georgia" w:cs="Times New Roman"/>
          <w:b/>
          <w:bCs/>
          <w:lang w:val="en-GB" w:eastAsia="hu-HU"/>
        </w:rPr>
        <w:t>spatially diverse and temporally dynamic patterns of exposure and vulnerability</w:t>
      </w:r>
      <w:r w:rsidR="00F60057" w:rsidRPr="0002056A">
        <w:rPr>
          <w:rFonts w:ascii="Georgia" w:eastAsia="Times New Roman" w:hAnsi="Georgia" w:cs="Times New Roman"/>
          <w:lang w:val="en-GB" w:eastAsia="hu-HU"/>
        </w:rPr>
        <w:t xml:space="preserve"> also need to be considered</w:t>
      </w:r>
      <w:r w:rsidR="00D720BA" w:rsidRPr="0002056A">
        <w:rPr>
          <w:rFonts w:ascii="Georgia" w:eastAsia="Times New Roman" w:hAnsi="Georgia" w:cs="Times New Roman"/>
          <w:lang w:val="en-GB" w:eastAsia="hu-HU"/>
        </w:rPr>
        <w:t xml:space="preserve"> </w:t>
      </w:r>
      <w:r w:rsidR="00F60057" w:rsidRPr="0002056A">
        <w:rPr>
          <w:rFonts w:ascii="Georgia" w:eastAsia="Times New Roman" w:hAnsi="Georgia" w:cs="Times New Roman"/>
          <w:lang w:val="en-GB" w:eastAsia="hu-HU"/>
        </w:rPr>
        <w:t>(IPCC, 2012).</w:t>
      </w:r>
      <w:r w:rsidR="00B10293" w:rsidRPr="0002056A">
        <w:rPr>
          <w:rFonts w:ascii="Georgia" w:eastAsia="Times New Roman" w:hAnsi="Georgia" w:cs="Times New Roman"/>
          <w:lang w:val="en-GB" w:eastAsia="hu-HU"/>
        </w:rPr>
        <w:t xml:space="preserve"> </w:t>
      </w:r>
      <w:r w:rsidRPr="0002056A">
        <w:rPr>
          <w:rFonts w:ascii="Georgia" w:hAnsi="Georgia"/>
          <w:lang w:val="en-GB"/>
        </w:rPr>
        <w:t>Robust geographical patterns of many variables can be identified at a given level of global warming, common to all scenarios considered</w:t>
      </w:r>
      <w:r w:rsidR="00084397" w:rsidRPr="0002056A">
        <w:rPr>
          <w:rFonts w:ascii="Georgia" w:hAnsi="Georgia"/>
          <w:lang w:val="en-GB"/>
        </w:rPr>
        <w:t>, as the most recent IPCC materials conclude</w:t>
      </w:r>
      <w:r w:rsidRPr="0002056A">
        <w:rPr>
          <w:rFonts w:ascii="Georgia" w:hAnsi="Georgia"/>
          <w:lang w:val="en-GB"/>
        </w:rPr>
        <w:t xml:space="preserve"> (IPCC</w:t>
      </w:r>
      <w:r w:rsidR="00270ADE" w:rsidRPr="0002056A">
        <w:rPr>
          <w:rFonts w:ascii="Georgia" w:hAnsi="Georgia"/>
          <w:lang w:val="en-GB"/>
        </w:rPr>
        <w:t>,</w:t>
      </w:r>
      <w:r w:rsidRPr="0002056A">
        <w:rPr>
          <w:rFonts w:ascii="Georgia" w:hAnsi="Georgia"/>
          <w:lang w:val="en-GB"/>
        </w:rPr>
        <w:t xml:space="preserve"> 2022). </w:t>
      </w:r>
    </w:p>
    <w:p w14:paraId="63C20A6B" w14:textId="77777777" w:rsidR="00AD2AC8" w:rsidRPr="00391AC7" w:rsidRDefault="00084397" w:rsidP="00AD2AC8">
      <w:pPr>
        <w:pStyle w:val="NormlWeb"/>
        <w:shd w:val="clear" w:color="auto" w:fill="FFFFFF"/>
        <w:spacing w:before="120" w:beforeAutospacing="0" w:after="120" w:afterAutospacing="0" w:line="276" w:lineRule="auto"/>
        <w:jc w:val="both"/>
        <w:rPr>
          <w:rFonts w:ascii="Georgia" w:hAnsi="Georgia"/>
          <w:sz w:val="22"/>
          <w:szCs w:val="22"/>
          <w:lang w:val="en-GB"/>
        </w:rPr>
      </w:pPr>
      <w:r w:rsidRPr="00391AC7">
        <w:rPr>
          <w:rFonts w:ascii="Georgia" w:hAnsi="Georgia"/>
          <w:b/>
          <w:bCs/>
          <w:sz w:val="22"/>
          <w:szCs w:val="22"/>
          <w:lang w:val="en-GB"/>
        </w:rPr>
        <w:t>As a consequence, e</w:t>
      </w:r>
      <w:r w:rsidR="0034326D" w:rsidRPr="00391AC7">
        <w:rPr>
          <w:rFonts w:ascii="Georgia" w:hAnsi="Georgia"/>
          <w:b/>
          <w:bCs/>
          <w:sz w:val="22"/>
          <w:szCs w:val="22"/>
          <w:lang w:val="en-GB"/>
        </w:rPr>
        <w:t>ach continent</w:t>
      </w:r>
      <w:r w:rsidR="0034326D" w:rsidRPr="00391AC7">
        <w:rPr>
          <w:rFonts w:ascii="Georgia" w:hAnsi="Georgia"/>
          <w:sz w:val="22"/>
          <w:szCs w:val="22"/>
          <w:lang w:val="en-GB"/>
        </w:rPr>
        <w:t xml:space="preserve"> (among them Europe, too), and </w:t>
      </w:r>
      <w:r w:rsidR="0034326D" w:rsidRPr="00391AC7">
        <w:rPr>
          <w:rFonts w:ascii="Georgia" w:hAnsi="Georgia"/>
          <w:b/>
          <w:bCs/>
          <w:sz w:val="22"/>
          <w:szCs w:val="22"/>
          <w:lang w:val="en-GB"/>
        </w:rPr>
        <w:t xml:space="preserve">each macro </w:t>
      </w:r>
      <w:r w:rsidR="002D0E08" w:rsidRPr="00391AC7">
        <w:rPr>
          <w:rFonts w:ascii="Georgia" w:hAnsi="Georgia"/>
          <w:b/>
          <w:bCs/>
          <w:sz w:val="22"/>
          <w:szCs w:val="22"/>
          <w:lang w:val="en-GB"/>
        </w:rPr>
        <w:t>region is facing different challenges related to climate change,</w:t>
      </w:r>
      <w:r w:rsidR="0034326D" w:rsidRPr="00391AC7">
        <w:rPr>
          <w:rFonts w:ascii="Georgia" w:hAnsi="Georgia"/>
          <w:sz w:val="22"/>
          <w:szCs w:val="22"/>
          <w:lang w:val="en-GB"/>
        </w:rPr>
        <w:t xml:space="preserve"> and </w:t>
      </w:r>
      <w:r w:rsidR="0034326D" w:rsidRPr="00391AC7">
        <w:rPr>
          <w:rFonts w:ascii="Georgia" w:hAnsi="Georgia"/>
          <w:b/>
          <w:bCs/>
          <w:sz w:val="22"/>
          <w:szCs w:val="22"/>
          <w:lang w:val="en-GB"/>
        </w:rPr>
        <w:t>each requires different countermeasures</w:t>
      </w:r>
      <w:r w:rsidR="0034326D" w:rsidRPr="00391AC7">
        <w:rPr>
          <w:rFonts w:ascii="Georgia" w:hAnsi="Georgia"/>
          <w:sz w:val="22"/>
          <w:szCs w:val="22"/>
          <w:lang w:val="en-GB"/>
        </w:rPr>
        <w:t xml:space="preserve"> (S</w:t>
      </w:r>
      <w:r w:rsidR="00426704" w:rsidRPr="00391AC7">
        <w:rPr>
          <w:rFonts w:ascii="Georgia" w:hAnsi="Georgia" w:cstheme="minorHAnsi"/>
          <w:smallCaps/>
          <w:sz w:val="22"/>
          <w:szCs w:val="22"/>
          <w:lang w:val="en-GB"/>
        </w:rPr>
        <w:t>ütő</w:t>
      </w:r>
      <w:r w:rsidR="0034326D" w:rsidRPr="00391AC7">
        <w:rPr>
          <w:rFonts w:ascii="Georgia" w:hAnsi="Georgia"/>
          <w:sz w:val="22"/>
          <w:szCs w:val="22"/>
          <w:lang w:val="en-GB"/>
        </w:rPr>
        <w:t xml:space="preserve">, 2023, UBA, 2025). E.g., </w:t>
      </w:r>
      <w:r w:rsidR="00D53B2E" w:rsidRPr="00391AC7">
        <w:rPr>
          <w:rFonts w:ascii="Georgia" w:hAnsi="Georgia"/>
          <w:sz w:val="22"/>
          <w:szCs w:val="22"/>
          <w:lang w:val="en-GB"/>
        </w:rPr>
        <w:t>in Europe</w:t>
      </w:r>
      <w:r w:rsidR="002D0E08" w:rsidRPr="00391AC7">
        <w:rPr>
          <w:rFonts w:ascii="Georgia" w:hAnsi="Georgia"/>
          <w:sz w:val="22"/>
          <w:szCs w:val="22"/>
          <w:lang w:val="en-GB"/>
        </w:rPr>
        <w:t>,</w:t>
      </w:r>
      <w:r w:rsidR="00D53B2E" w:rsidRPr="00391AC7">
        <w:rPr>
          <w:rFonts w:ascii="Georgia" w:hAnsi="Georgia"/>
          <w:sz w:val="22"/>
          <w:szCs w:val="22"/>
          <w:lang w:val="en-GB"/>
        </w:rPr>
        <w:t xml:space="preserve"> </w:t>
      </w:r>
      <w:r w:rsidR="0034326D" w:rsidRPr="00391AC7">
        <w:rPr>
          <w:rFonts w:ascii="Georgia" w:hAnsi="Georgia"/>
          <w:sz w:val="22"/>
          <w:szCs w:val="22"/>
          <w:lang w:val="en-GB"/>
        </w:rPr>
        <w:t xml:space="preserve">the Atlantic coast </w:t>
      </w:r>
      <w:r w:rsidR="00597DA1" w:rsidRPr="00391AC7">
        <w:rPr>
          <w:rFonts w:ascii="Georgia" w:hAnsi="Georgia"/>
          <w:sz w:val="22"/>
          <w:szCs w:val="22"/>
          <w:lang w:val="en-GB"/>
        </w:rPr>
        <w:t>suffers</w:t>
      </w:r>
      <w:r w:rsidR="0034326D" w:rsidRPr="00391AC7">
        <w:rPr>
          <w:rFonts w:ascii="Georgia" w:hAnsi="Georgia"/>
          <w:sz w:val="22"/>
          <w:szCs w:val="22"/>
          <w:lang w:val="en-GB"/>
        </w:rPr>
        <w:t xml:space="preserve"> and will suffer from coastal erosion and expected sea level rise; the North from melting permafrost and decreasing snow volumes; the Mediterranean from extended drought periods and desertification, meanwhile Eastern-Central Europe is pressed </w:t>
      </w:r>
      <w:r w:rsidR="00832302" w:rsidRPr="00391AC7">
        <w:rPr>
          <w:rFonts w:ascii="Georgia" w:hAnsi="Georgia"/>
          <w:sz w:val="22"/>
          <w:szCs w:val="22"/>
          <w:lang w:val="en-GB"/>
        </w:rPr>
        <w:t xml:space="preserve">and will be pressed </w:t>
      </w:r>
      <w:r w:rsidR="0034326D" w:rsidRPr="00391AC7">
        <w:rPr>
          <w:rFonts w:ascii="Georgia" w:hAnsi="Georgia"/>
          <w:sz w:val="22"/>
          <w:szCs w:val="22"/>
          <w:lang w:val="en-GB"/>
        </w:rPr>
        <w:t>in the double squeeze of water abundance and water scarcity (</w:t>
      </w:r>
      <w:r w:rsidR="0034326D" w:rsidRPr="00391AC7">
        <w:rPr>
          <w:rFonts w:ascii="Georgia" w:hAnsi="Georgia" w:cstheme="minorHAnsi"/>
          <w:smallCaps/>
          <w:sz w:val="22"/>
          <w:szCs w:val="22"/>
          <w:lang w:val="en-GB"/>
        </w:rPr>
        <w:t>Sütő, 2017</w:t>
      </w:r>
      <w:r w:rsidR="0034326D" w:rsidRPr="00391AC7">
        <w:rPr>
          <w:rFonts w:ascii="Georgia" w:hAnsi="Georgia"/>
          <w:sz w:val="22"/>
          <w:szCs w:val="22"/>
          <w:lang w:val="en-GB"/>
        </w:rPr>
        <w:t xml:space="preserve">). </w:t>
      </w:r>
      <w:r w:rsidR="00D53B2E" w:rsidRPr="00391AC7">
        <w:rPr>
          <w:rFonts w:ascii="Georgia" w:hAnsi="Georgia"/>
          <w:sz w:val="22"/>
          <w:szCs w:val="22"/>
          <w:lang w:val="en-GB"/>
        </w:rPr>
        <w:t>E</w:t>
      </w:r>
      <w:r w:rsidR="0034326D" w:rsidRPr="00391AC7">
        <w:rPr>
          <w:rFonts w:ascii="Georgia" w:hAnsi="Georgia"/>
          <w:sz w:val="22"/>
          <w:szCs w:val="22"/>
          <w:lang w:val="en-GB"/>
        </w:rPr>
        <w:t>ven in relatively small countr</w:t>
      </w:r>
      <w:r w:rsidR="00D53B2E" w:rsidRPr="00391AC7">
        <w:rPr>
          <w:rFonts w:ascii="Georgia" w:hAnsi="Georgia"/>
          <w:sz w:val="22"/>
          <w:szCs w:val="22"/>
          <w:lang w:val="en-GB"/>
        </w:rPr>
        <w:t>ies</w:t>
      </w:r>
      <w:r w:rsidR="0034326D" w:rsidRPr="00391AC7">
        <w:rPr>
          <w:rFonts w:ascii="Georgia" w:hAnsi="Georgia"/>
          <w:sz w:val="22"/>
          <w:szCs w:val="22"/>
          <w:lang w:val="en-GB"/>
        </w:rPr>
        <w:t xml:space="preserve"> like </w:t>
      </w:r>
      <w:r w:rsidR="00D53B2E" w:rsidRPr="00391AC7">
        <w:rPr>
          <w:rFonts w:ascii="Georgia" w:hAnsi="Georgia"/>
          <w:sz w:val="22"/>
          <w:szCs w:val="22"/>
          <w:lang w:val="en-GB"/>
        </w:rPr>
        <w:t xml:space="preserve">Switzerland, Austria, Slovenia, Slovakia and </w:t>
      </w:r>
      <w:r w:rsidR="0034326D" w:rsidRPr="00391AC7">
        <w:rPr>
          <w:rFonts w:ascii="Georgia" w:hAnsi="Georgia"/>
          <w:sz w:val="22"/>
          <w:szCs w:val="22"/>
          <w:lang w:val="en-GB"/>
        </w:rPr>
        <w:t xml:space="preserve">Hungary, significant </w:t>
      </w:r>
      <w:r w:rsidR="00D53B2E" w:rsidRPr="00391AC7">
        <w:rPr>
          <w:rFonts w:ascii="Georgia" w:hAnsi="Georgia"/>
          <w:sz w:val="22"/>
          <w:szCs w:val="22"/>
          <w:lang w:val="en-GB"/>
        </w:rPr>
        <w:t>geographic/spatial</w:t>
      </w:r>
      <w:r w:rsidR="0034326D" w:rsidRPr="00391AC7">
        <w:rPr>
          <w:rFonts w:ascii="Georgia" w:hAnsi="Georgia"/>
          <w:sz w:val="22"/>
          <w:szCs w:val="22"/>
          <w:lang w:val="en-GB"/>
        </w:rPr>
        <w:t xml:space="preserve"> differences exist, too, in terms of climate impacts, climate exposure, sensitivity and adaptive capacities.</w:t>
      </w:r>
      <w:r w:rsidR="00D53B2E" w:rsidRPr="00391AC7">
        <w:rPr>
          <w:rFonts w:ascii="Georgia" w:hAnsi="Georgia"/>
          <w:sz w:val="22"/>
          <w:szCs w:val="22"/>
          <w:lang w:val="en-GB"/>
        </w:rPr>
        <w:t xml:space="preserve"> E.g., in Hungary, t</w:t>
      </w:r>
      <w:r w:rsidR="0034326D" w:rsidRPr="00391AC7">
        <w:rPr>
          <w:rFonts w:ascii="Georgia" w:hAnsi="Georgia"/>
          <w:sz w:val="22"/>
          <w:szCs w:val="22"/>
          <w:lang w:val="en-GB"/>
        </w:rPr>
        <w:t>he Great Plain and the Small Plain are and will, for example, suffer from protracted drought periods, extreme floods, inland water inundations and desertification. The hilly and mountainous, wood-covered North</w:t>
      </w:r>
      <w:r w:rsidR="0034048E" w:rsidRPr="00391AC7">
        <w:rPr>
          <w:rFonts w:ascii="Georgia" w:hAnsi="Georgia"/>
          <w:sz w:val="22"/>
          <w:szCs w:val="22"/>
          <w:lang w:val="en-GB"/>
        </w:rPr>
        <w:t>-</w:t>
      </w:r>
      <w:r w:rsidR="0034326D" w:rsidRPr="00391AC7">
        <w:rPr>
          <w:rFonts w:ascii="Georgia" w:hAnsi="Georgia"/>
          <w:sz w:val="22"/>
          <w:szCs w:val="22"/>
          <w:lang w:val="en-GB"/>
        </w:rPr>
        <w:t xml:space="preserve"> and West</w:t>
      </w:r>
      <w:r w:rsidR="0034048E" w:rsidRPr="00391AC7">
        <w:rPr>
          <w:rFonts w:ascii="Georgia" w:hAnsi="Georgia"/>
          <w:sz w:val="22"/>
          <w:szCs w:val="22"/>
          <w:lang w:val="en-GB"/>
        </w:rPr>
        <w:t>-</w:t>
      </w:r>
      <w:r w:rsidR="0034326D" w:rsidRPr="00391AC7">
        <w:rPr>
          <w:rFonts w:ascii="Georgia" w:hAnsi="Georgia"/>
          <w:sz w:val="22"/>
          <w:szCs w:val="22"/>
          <w:lang w:val="en-GB"/>
        </w:rPr>
        <w:t xml:space="preserve">Hungarian territories are and will be facing flash floods and forest damage through decreasing biodiversity and increasing danger of forest fires. </w:t>
      </w:r>
      <w:r w:rsidR="003651D8" w:rsidRPr="00391AC7">
        <w:rPr>
          <w:rFonts w:ascii="Georgia" w:hAnsi="Georgia"/>
          <w:sz w:val="22"/>
          <w:szCs w:val="22"/>
          <w:lang w:val="en-GB"/>
        </w:rPr>
        <w:t>The</w:t>
      </w:r>
      <w:r w:rsidR="0034326D" w:rsidRPr="00391AC7">
        <w:rPr>
          <w:rFonts w:ascii="Georgia" w:hAnsi="Georgia"/>
          <w:sz w:val="22"/>
          <w:szCs w:val="22"/>
          <w:lang w:val="en-GB"/>
        </w:rPr>
        <w:t xml:space="preserve"> bigger towns, where physical infrastructure, society and economy are </w:t>
      </w:r>
      <w:r w:rsidR="00CA0923" w:rsidRPr="00391AC7">
        <w:rPr>
          <w:rFonts w:ascii="Georgia" w:hAnsi="Georgia"/>
          <w:sz w:val="22"/>
          <w:szCs w:val="22"/>
          <w:lang w:val="en-GB"/>
        </w:rPr>
        <w:t>located</w:t>
      </w:r>
      <w:r w:rsidR="00821D7F" w:rsidRPr="00391AC7">
        <w:rPr>
          <w:sz w:val="22"/>
          <w:szCs w:val="22"/>
          <w:lang w:val="en-GB"/>
        </w:rPr>
        <w:t xml:space="preserve"> </w:t>
      </w:r>
      <w:r w:rsidR="00821D7F" w:rsidRPr="00391AC7">
        <w:rPr>
          <w:rFonts w:ascii="Georgia" w:hAnsi="Georgia"/>
          <w:sz w:val="22"/>
          <w:szCs w:val="22"/>
          <w:lang w:val="en-GB"/>
        </w:rPr>
        <w:t>next to each other and interacting with each other</w:t>
      </w:r>
      <w:r w:rsidR="0034326D" w:rsidRPr="00391AC7">
        <w:rPr>
          <w:rFonts w:ascii="Georgia" w:hAnsi="Georgia"/>
          <w:sz w:val="22"/>
          <w:szCs w:val="22"/>
          <w:lang w:val="en-GB"/>
        </w:rPr>
        <w:t xml:space="preserve">, are and will be affected by the </w:t>
      </w:r>
      <w:r w:rsidR="0034048E" w:rsidRPr="00391AC7">
        <w:rPr>
          <w:rFonts w:ascii="Georgia" w:hAnsi="Georgia"/>
          <w:sz w:val="22"/>
          <w:szCs w:val="22"/>
          <w:lang w:val="en-GB"/>
        </w:rPr>
        <w:t>geographic</w:t>
      </w:r>
      <w:r w:rsidR="0034326D" w:rsidRPr="00391AC7">
        <w:rPr>
          <w:rFonts w:ascii="Georgia" w:hAnsi="Georgia"/>
          <w:sz w:val="22"/>
          <w:szCs w:val="22"/>
          <w:lang w:val="en-GB"/>
        </w:rPr>
        <w:t>ally concentrated impacts of floods, extreme storms and heat waves (</w:t>
      </w:r>
      <w:r w:rsidR="0034326D" w:rsidRPr="00391AC7">
        <w:rPr>
          <w:rFonts w:ascii="Georgia" w:hAnsi="Georgia" w:cstheme="minorHAnsi"/>
          <w:smallCaps/>
          <w:sz w:val="22"/>
          <w:szCs w:val="22"/>
          <w:lang w:val="en-GB"/>
        </w:rPr>
        <w:t>Sütő,</w:t>
      </w:r>
      <w:r w:rsidR="0034326D" w:rsidRPr="00391AC7">
        <w:rPr>
          <w:rFonts w:ascii="Georgia" w:hAnsi="Georgia"/>
          <w:sz w:val="22"/>
          <w:szCs w:val="22"/>
          <w:lang w:val="en-GB"/>
        </w:rPr>
        <w:t xml:space="preserve"> 2023). And these spatially different impacts depend</w:t>
      </w:r>
      <w:r w:rsidR="003651D8" w:rsidRPr="00391AC7">
        <w:rPr>
          <w:rFonts w:ascii="Georgia" w:hAnsi="Georgia"/>
          <w:sz w:val="22"/>
          <w:szCs w:val="22"/>
          <w:lang w:val="en-GB"/>
        </w:rPr>
        <w:t>ing</w:t>
      </w:r>
      <w:r w:rsidR="0034326D" w:rsidRPr="00391AC7">
        <w:rPr>
          <w:rFonts w:ascii="Georgia" w:hAnsi="Georgia"/>
          <w:sz w:val="22"/>
          <w:szCs w:val="22"/>
          <w:lang w:val="en-GB"/>
        </w:rPr>
        <w:t xml:space="preserve"> on geographical characteristics, need spatially </w:t>
      </w:r>
      <w:r w:rsidR="003651D8" w:rsidRPr="00391AC7">
        <w:rPr>
          <w:rFonts w:ascii="Georgia" w:hAnsi="Georgia"/>
          <w:sz w:val="22"/>
          <w:szCs w:val="22"/>
          <w:lang w:val="en-GB"/>
        </w:rPr>
        <w:t>tailored</w:t>
      </w:r>
      <w:r w:rsidR="0034326D" w:rsidRPr="00391AC7">
        <w:rPr>
          <w:rFonts w:ascii="Georgia" w:hAnsi="Georgia"/>
          <w:sz w:val="22"/>
          <w:szCs w:val="22"/>
          <w:lang w:val="en-GB"/>
        </w:rPr>
        <w:t xml:space="preserve"> adaptation responses, indicating that </w:t>
      </w:r>
      <w:r w:rsidR="0034048E" w:rsidRPr="00391AC7">
        <w:rPr>
          <w:rFonts w:ascii="Georgia" w:hAnsi="Georgia"/>
          <w:sz w:val="22"/>
          <w:szCs w:val="22"/>
          <w:lang w:val="en-GB"/>
        </w:rPr>
        <w:t xml:space="preserve">a </w:t>
      </w:r>
      <w:r w:rsidR="0034326D" w:rsidRPr="00391AC7">
        <w:rPr>
          <w:rFonts w:ascii="Georgia" w:hAnsi="Georgia"/>
          <w:sz w:val="22"/>
          <w:szCs w:val="22"/>
          <w:lang w:val="en-GB"/>
        </w:rPr>
        <w:t xml:space="preserve">spatial approach and special emphasis on geographical and spatial endowments are of key importance in climate (particularly in adaptation) policy. </w:t>
      </w:r>
    </w:p>
    <w:p w14:paraId="11842CC6" w14:textId="6C285E99" w:rsidR="00AD2AC8" w:rsidRPr="0002056A" w:rsidRDefault="00AD2AC8" w:rsidP="00AD2AC8">
      <w:pPr>
        <w:pStyle w:val="NormlWeb"/>
        <w:shd w:val="clear" w:color="auto" w:fill="FFFFFF"/>
        <w:spacing w:before="120" w:beforeAutospacing="0" w:after="120" w:afterAutospacing="0" w:line="276" w:lineRule="auto"/>
        <w:jc w:val="both"/>
        <w:rPr>
          <w:rFonts w:ascii="Georgia" w:hAnsi="Georgia" w:cs="Baskerville"/>
          <w:color w:val="000000"/>
          <w:sz w:val="22"/>
          <w:szCs w:val="22"/>
          <w:lang w:val="en-GB"/>
        </w:rPr>
      </w:pPr>
      <w:r w:rsidRPr="0002056A">
        <w:rPr>
          <w:rFonts w:ascii="Georgia" w:hAnsi="Georgia"/>
          <w:sz w:val="22"/>
          <w:szCs w:val="22"/>
          <w:lang w:val="en-GB"/>
        </w:rPr>
        <w:t xml:space="preserve">Several articles state that meanwhile </w:t>
      </w:r>
      <w:r w:rsidRPr="0002056A">
        <w:rPr>
          <w:rFonts w:ascii="Georgia" w:hAnsi="Georgia"/>
          <w:b/>
          <w:bCs/>
          <w:sz w:val="22"/>
          <w:szCs w:val="22"/>
          <w:lang w:val="en-GB"/>
        </w:rPr>
        <w:t>climate impacts and adaptation interventions occur in the geographical space, they do not respect political / administrational borders</w:t>
      </w:r>
      <w:r w:rsidRPr="0002056A">
        <w:rPr>
          <w:rFonts w:ascii="Georgia" w:hAnsi="Georgia"/>
          <w:sz w:val="22"/>
          <w:szCs w:val="22"/>
          <w:lang w:val="en-GB"/>
        </w:rPr>
        <w:t xml:space="preserve"> (</w:t>
      </w:r>
      <w:r w:rsidRPr="0002056A">
        <w:rPr>
          <w:rFonts w:ascii="Georgia" w:hAnsi="Georgia"/>
          <w:smallCaps/>
          <w:sz w:val="22"/>
          <w:szCs w:val="22"/>
          <w:lang w:val="en-GB"/>
        </w:rPr>
        <w:t>Davidse et al., 2015</w:t>
      </w:r>
      <w:r w:rsidRPr="0002056A">
        <w:rPr>
          <w:rFonts w:ascii="Georgia" w:hAnsi="Georgia"/>
          <w:sz w:val="22"/>
          <w:szCs w:val="22"/>
          <w:lang w:val="en-GB"/>
        </w:rPr>
        <w:t xml:space="preserve">; </w:t>
      </w:r>
      <w:r w:rsidRPr="0002056A">
        <w:rPr>
          <w:rFonts w:ascii="Georgia" w:hAnsi="Georgia"/>
          <w:smallCaps/>
          <w:sz w:val="22"/>
          <w:szCs w:val="22"/>
          <w:lang w:val="en-GB"/>
        </w:rPr>
        <w:t>Taylor, 2023, Paasi, 2023, Sütő et al, 2023, OECD, 2023</w:t>
      </w:r>
      <w:r w:rsidRPr="0002056A">
        <w:rPr>
          <w:rFonts w:ascii="Georgia" w:hAnsi="Georgia"/>
          <w:sz w:val="22"/>
          <w:szCs w:val="22"/>
          <w:lang w:val="en-GB"/>
        </w:rPr>
        <w:t xml:space="preserve">). </w:t>
      </w:r>
      <w:r w:rsidRPr="0002056A">
        <w:rPr>
          <w:rFonts w:ascii="Georgia" w:hAnsi="Georgia" w:cs="Baskerville"/>
          <w:color w:val="000000"/>
          <w:sz w:val="22"/>
          <w:szCs w:val="22"/>
          <w:lang w:val="en-GB"/>
        </w:rPr>
        <w:t>A</w:t>
      </w:r>
      <w:r w:rsidRPr="0002056A">
        <w:rPr>
          <w:rFonts w:ascii="Georgia" w:hAnsi="Georgia" w:cs="Segoe UI"/>
          <w:sz w:val="22"/>
          <w:szCs w:val="22"/>
          <w:lang w:val="en-GB"/>
        </w:rPr>
        <w:t>s Roggema wrote in 2009, climate change is not easily fit within the boundaries of recent administrational/political units (</w:t>
      </w:r>
      <w:r w:rsidRPr="0002056A">
        <w:rPr>
          <w:rFonts w:ascii="Georgia" w:hAnsi="Georgia" w:cs="Segoe UI"/>
          <w:smallCaps/>
          <w:sz w:val="22"/>
          <w:szCs w:val="22"/>
          <w:lang w:val="en-GB"/>
        </w:rPr>
        <w:t>Roggema, 2009</w:t>
      </w:r>
      <w:r w:rsidRPr="0002056A">
        <w:rPr>
          <w:rFonts w:ascii="Georgia" w:hAnsi="Georgia" w:cs="Segoe UI"/>
          <w:sz w:val="22"/>
          <w:szCs w:val="22"/>
          <w:lang w:val="en-GB"/>
        </w:rPr>
        <w:t xml:space="preserve">). </w:t>
      </w:r>
      <w:r w:rsidRPr="0002056A">
        <w:rPr>
          <w:rFonts w:ascii="Georgia" w:hAnsi="Georgia"/>
          <w:sz w:val="22"/>
          <w:szCs w:val="22"/>
          <w:lang w:val="en-GB"/>
        </w:rPr>
        <w:t>A</w:t>
      </w:r>
      <w:r w:rsidRPr="0002056A">
        <w:rPr>
          <w:rFonts w:ascii="Georgia" w:hAnsi="Georgia" w:cs="Segoe UI"/>
          <w:sz w:val="22"/>
          <w:szCs w:val="22"/>
          <w:lang w:val="en-GB"/>
        </w:rPr>
        <w:t>uthors, studies and reports point it out that c</w:t>
      </w:r>
      <w:r w:rsidRPr="0002056A">
        <w:rPr>
          <w:rFonts w:ascii="Georgia" w:hAnsi="Georgia"/>
          <w:sz w:val="22"/>
          <w:szCs w:val="22"/>
          <w:lang w:val="en-GB"/>
        </w:rPr>
        <w:t xml:space="preserve">limate change impacts in Europe are distributed differently between regions due to the variation in climate stimuli. Some definite </w:t>
      </w:r>
      <w:r w:rsidRPr="0002056A">
        <w:rPr>
          <w:rFonts w:ascii="Georgia" w:hAnsi="Georgia"/>
          <w:b/>
          <w:bCs/>
          <w:sz w:val="22"/>
          <w:szCs w:val="22"/>
          <w:lang w:val="en-GB"/>
        </w:rPr>
        <w:t>spatial patterns of climate change impacts can be identified, revealing regions with similar challenges</w:t>
      </w:r>
      <w:r w:rsidRPr="0002056A">
        <w:rPr>
          <w:rFonts w:ascii="Georgia" w:hAnsi="Georgia"/>
          <w:sz w:val="22"/>
          <w:szCs w:val="22"/>
          <w:lang w:val="en-GB"/>
        </w:rPr>
        <w:t xml:space="preserve"> (ESPON, 2011). These regional differences should be reflected in the national adaptation policy documents (</w:t>
      </w:r>
      <w:r w:rsidRPr="0002056A">
        <w:rPr>
          <w:rFonts w:ascii="Georgia" w:hAnsi="Georgia"/>
          <w:smallCaps/>
          <w:sz w:val="22"/>
          <w:szCs w:val="22"/>
          <w:lang w:val="en-GB"/>
        </w:rPr>
        <w:t xml:space="preserve">Swart et al., 2009, Greiving-Fleischhauer, 2010; EEA 2015, 2020 </w:t>
      </w:r>
      <w:r w:rsidRPr="0002056A">
        <w:rPr>
          <w:rFonts w:ascii="Georgia" w:hAnsi="Georgia"/>
          <w:sz w:val="22"/>
          <w:szCs w:val="22"/>
          <w:lang w:val="en-GB"/>
        </w:rPr>
        <w:t>and</w:t>
      </w:r>
      <w:r w:rsidRPr="0002056A">
        <w:rPr>
          <w:rFonts w:ascii="Georgia" w:hAnsi="Georgia"/>
          <w:smallCaps/>
          <w:sz w:val="22"/>
          <w:szCs w:val="22"/>
          <w:lang w:val="en-GB"/>
        </w:rPr>
        <w:t xml:space="preserve"> 2022</w:t>
      </w:r>
      <w:r w:rsidRPr="0002056A">
        <w:rPr>
          <w:rFonts w:ascii="Georgia" w:hAnsi="Georgia"/>
          <w:sz w:val="22"/>
          <w:szCs w:val="22"/>
          <w:lang w:val="en-GB"/>
        </w:rPr>
        <w:t>).</w:t>
      </w:r>
      <w:r w:rsidRPr="0002056A">
        <w:rPr>
          <w:rFonts w:ascii="Georgia" w:hAnsi="Georgia" w:cs="Segoe UI"/>
          <w:sz w:val="22"/>
          <w:szCs w:val="22"/>
          <w:lang w:val="en-GB"/>
        </w:rPr>
        <w:t xml:space="preserve"> Nowadays several national adaptation documents (e.g. the recent Hungarian or Turkish NAS) underline that l</w:t>
      </w:r>
      <w:r w:rsidRPr="0002056A">
        <w:rPr>
          <w:rFonts w:ascii="Georgia" w:hAnsi="Georgia" w:cs="Baskerville"/>
          <w:color w:val="000000"/>
          <w:sz w:val="22"/>
          <w:szCs w:val="22"/>
          <w:lang w:val="en-GB"/>
        </w:rPr>
        <w:t xml:space="preserve">ocal dynamics play a crucial role, as vulnerability to climate change and the resulting adaptation needs vary according to regional contexts. </w:t>
      </w:r>
    </w:p>
    <w:p w14:paraId="22BF6381" w14:textId="16B656B0" w:rsidR="002D0E08" w:rsidRDefault="002D0E08" w:rsidP="00CD5BF3">
      <w:pPr>
        <w:spacing w:before="120" w:after="120"/>
        <w:jc w:val="both"/>
        <w:rPr>
          <w:rFonts w:ascii="Georgia" w:hAnsi="Georgia"/>
          <w:lang w:val="en-GB"/>
        </w:rPr>
        <w:sectPr w:rsidR="002D0E08" w:rsidSect="0004008A">
          <w:footerReference w:type="default" r:id="rId20"/>
          <w:pgSz w:w="11906" w:h="16838"/>
          <w:pgMar w:top="1417" w:right="1417" w:bottom="1417" w:left="1417" w:header="708" w:footer="708" w:gutter="0"/>
          <w:cols w:space="708"/>
          <w:titlePg/>
          <w:docGrid w:linePitch="360"/>
        </w:sectPr>
      </w:pPr>
    </w:p>
    <w:p w14:paraId="48C0C8BF" w14:textId="19A21E50" w:rsidR="0034326D" w:rsidRPr="0002056A" w:rsidRDefault="0034326D" w:rsidP="00CD5BF3">
      <w:pPr>
        <w:spacing w:before="120" w:after="120"/>
        <w:jc w:val="both"/>
        <w:rPr>
          <w:rFonts w:ascii="Georgia" w:hAnsi="Georgia"/>
          <w:lang w:val="en-GB"/>
        </w:rPr>
      </w:pPr>
    </w:p>
    <w:p w14:paraId="26E22F64" w14:textId="77777777" w:rsidR="0034326D" w:rsidRPr="0002056A" w:rsidRDefault="0034326D" w:rsidP="0034326D">
      <w:pPr>
        <w:spacing w:before="120" w:after="120" w:line="240" w:lineRule="auto"/>
        <w:jc w:val="both"/>
        <w:rPr>
          <w:rFonts w:ascii="Georgia" w:hAnsi="Georgia"/>
          <w:lang w:val="en-GB"/>
        </w:rPr>
      </w:pPr>
    </w:p>
    <w:p w14:paraId="4E40C74D" w14:textId="13482A60" w:rsidR="0034326D" w:rsidRPr="0002056A" w:rsidRDefault="002D0E08" w:rsidP="0034326D">
      <w:pPr>
        <w:spacing w:before="120" w:after="120" w:line="240" w:lineRule="auto"/>
        <w:jc w:val="both"/>
        <w:rPr>
          <w:rFonts w:ascii="Georgia" w:hAnsi="Georgia"/>
          <w:lang w:val="en-GB"/>
        </w:rPr>
      </w:pPr>
      <w:r w:rsidRPr="0002056A">
        <w:rPr>
          <w:rFonts w:ascii="Georgia" w:hAnsi="Georgia"/>
          <w:noProof/>
          <w:lang w:val="en-GB" w:eastAsia="hu-HU"/>
        </w:rPr>
        <w:drawing>
          <wp:anchor distT="0" distB="0" distL="114300" distR="114300" simplePos="0" relativeHeight="251659264" behindDoc="0" locked="0" layoutInCell="1" allowOverlap="1" wp14:anchorId="26F5A0D6" wp14:editId="3421EDA5">
            <wp:simplePos x="0" y="0"/>
            <wp:positionH relativeFrom="column">
              <wp:posOffset>133985</wp:posOffset>
            </wp:positionH>
            <wp:positionV relativeFrom="paragraph">
              <wp:posOffset>125730</wp:posOffset>
            </wp:positionV>
            <wp:extent cx="2799080" cy="4627880"/>
            <wp:effectExtent l="0" t="0" r="1270" b="1270"/>
            <wp:wrapSquare wrapText="bothSides"/>
            <wp:docPr id="11" name="Picture 2" descr="Infographic: how climate change is affecting Europe | News | European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Infographic: how climate change is affecting Europe | News | European  Parliamen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8064" b="7258"/>
                    <a:stretch/>
                  </pic:blipFill>
                  <pic:spPr bwMode="auto">
                    <a:xfrm>
                      <a:off x="0" y="0"/>
                      <a:ext cx="2799080" cy="462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7ABA69" w14:textId="143FD0DF" w:rsidR="002D0E08" w:rsidRDefault="002D0E08" w:rsidP="0034326D">
      <w:pPr>
        <w:spacing w:before="120" w:after="120" w:line="240" w:lineRule="auto"/>
        <w:jc w:val="center"/>
        <w:rPr>
          <w:rFonts w:ascii="Georgia" w:hAnsi="Georgia"/>
          <w:b/>
          <w:sz w:val="16"/>
          <w:szCs w:val="16"/>
          <w:lang w:val="en-GB"/>
        </w:rPr>
      </w:pPr>
      <w:r w:rsidRPr="0002056A">
        <w:rPr>
          <w:rFonts w:ascii="Georgia" w:hAnsi="Georgia"/>
          <w:noProof/>
          <w:lang w:val="en-GB" w:eastAsia="hu-HU"/>
        </w:rPr>
        <w:drawing>
          <wp:anchor distT="0" distB="0" distL="114300" distR="114300" simplePos="0" relativeHeight="251660288" behindDoc="0" locked="0" layoutInCell="1" allowOverlap="1" wp14:anchorId="30BDFA22" wp14:editId="6F3CC065">
            <wp:simplePos x="0" y="0"/>
            <wp:positionH relativeFrom="margin">
              <wp:align>right</wp:align>
            </wp:positionH>
            <wp:positionV relativeFrom="paragraph">
              <wp:posOffset>200660</wp:posOffset>
            </wp:positionV>
            <wp:extent cx="5821045" cy="4063365"/>
            <wp:effectExtent l="0" t="0" r="8255" b="0"/>
            <wp:wrapSquare wrapText="bothSides"/>
            <wp:docPr id="12"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ép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1045" cy="4063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860EB" w14:textId="2C31F990" w:rsidR="002D0E08" w:rsidRDefault="002D0E08" w:rsidP="0034326D">
      <w:pPr>
        <w:spacing w:before="120" w:after="120" w:line="240" w:lineRule="auto"/>
        <w:jc w:val="center"/>
        <w:rPr>
          <w:rFonts w:ascii="Georgia" w:hAnsi="Georgia"/>
          <w:b/>
          <w:sz w:val="16"/>
          <w:szCs w:val="16"/>
          <w:lang w:val="en-GB"/>
        </w:rPr>
      </w:pPr>
    </w:p>
    <w:p w14:paraId="68C8B4AA" w14:textId="77777777" w:rsidR="002D0E08" w:rsidRDefault="002D0E08" w:rsidP="005560EF">
      <w:pPr>
        <w:spacing w:before="120" w:after="120" w:line="240" w:lineRule="auto"/>
        <w:jc w:val="right"/>
        <w:rPr>
          <w:rFonts w:ascii="Georgia" w:hAnsi="Georgia"/>
          <w:b/>
          <w:sz w:val="16"/>
          <w:szCs w:val="16"/>
          <w:lang w:val="en-GB"/>
        </w:rPr>
      </w:pPr>
    </w:p>
    <w:p w14:paraId="262AA2C0" w14:textId="0B4BAA83" w:rsidR="0034326D" w:rsidRPr="0002056A" w:rsidRDefault="0034326D" w:rsidP="005560EF">
      <w:pPr>
        <w:spacing w:before="120" w:after="120" w:line="240" w:lineRule="auto"/>
        <w:jc w:val="center"/>
        <w:rPr>
          <w:rFonts w:ascii="Georgia" w:hAnsi="Georgia"/>
          <w:b/>
          <w:sz w:val="16"/>
          <w:szCs w:val="16"/>
          <w:lang w:val="en-GB"/>
        </w:rPr>
      </w:pPr>
      <w:r w:rsidRPr="0002056A">
        <w:rPr>
          <w:rFonts w:ascii="Georgia" w:hAnsi="Georgia"/>
          <w:b/>
          <w:sz w:val="16"/>
          <w:szCs w:val="16"/>
          <w:lang w:val="en-GB"/>
        </w:rPr>
        <w:t xml:space="preserve">Figure </w:t>
      </w:r>
      <w:r w:rsidR="00543FEE" w:rsidRPr="0002056A">
        <w:rPr>
          <w:rFonts w:ascii="Georgia" w:hAnsi="Georgia"/>
          <w:b/>
          <w:sz w:val="16"/>
          <w:szCs w:val="16"/>
          <w:lang w:val="en-GB"/>
        </w:rPr>
        <w:t>7</w:t>
      </w:r>
      <w:r w:rsidRPr="0002056A">
        <w:rPr>
          <w:rFonts w:ascii="Georgia" w:hAnsi="Georgia"/>
          <w:b/>
          <w:sz w:val="16"/>
          <w:szCs w:val="16"/>
          <w:lang w:val="en-GB"/>
        </w:rPr>
        <w:t xml:space="preserve">: The </w:t>
      </w:r>
      <w:r w:rsidR="00C201E8" w:rsidRPr="0002056A">
        <w:rPr>
          <w:rFonts w:ascii="Georgia" w:hAnsi="Georgia"/>
          <w:b/>
          <w:sz w:val="16"/>
          <w:szCs w:val="16"/>
          <w:lang w:val="en-GB"/>
        </w:rPr>
        <w:t xml:space="preserve">regionally different </w:t>
      </w:r>
      <w:r w:rsidRPr="0002056A">
        <w:rPr>
          <w:rFonts w:ascii="Georgia" w:hAnsi="Georgia"/>
          <w:b/>
          <w:sz w:val="16"/>
          <w:szCs w:val="16"/>
          <w:lang w:val="en-GB"/>
        </w:rPr>
        <w:t xml:space="preserve">impacts of climate change in Europe (left) and in Hungary (right). </w:t>
      </w:r>
      <w:r w:rsidRPr="0002056A">
        <w:rPr>
          <w:rFonts w:ascii="Georgia" w:hAnsi="Georgia"/>
          <w:sz w:val="16"/>
          <w:szCs w:val="16"/>
          <w:lang w:val="en-GB"/>
        </w:rPr>
        <w:t>Source: EEA, 2012 (left) and Sütő (ed.) 2016 (right).</w:t>
      </w:r>
    </w:p>
    <w:p w14:paraId="75DD872C" w14:textId="77777777" w:rsidR="002D0E08" w:rsidRDefault="002D0E08" w:rsidP="00CD5BF3">
      <w:pPr>
        <w:pStyle w:val="NormlWeb"/>
        <w:shd w:val="clear" w:color="auto" w:fill="FFFFFF"/>
        <w:spacing w:before="120" w:beforeAutospacing="0" w:after="120" w:afterAutospacing="0" w:line="276" w:lineRule="auto"/>
        <w:jc w:val="both"/>
        <w:rPr>
          <w:rFonts w:ascii="Georgia" w:hAnsi="Georgia"/>
          <w:sz w:val="22"/>
          <w:szCs w:val="22"/>
          <w:lang w:val="en-GB"/>
        </w:rPr>
        <w:sectPr w:rsidR="002D0E08" w:rsidSect="007F1C29">
          <w:pgSz w:w="16838" w:h="11906" w:orient="landscape"/>
          <w:pgMar w:top="1417" w:right="1417" w:bottom="1417" w:left="1417" w:header="708" w:footer="708" w:gutter="0"/>
          <w:cols w:space="708"/>
          <w:titlePg/>
          <w:docGrid w:linePitch="360"/>
        </w:sectPr>
      </w:pPr>
    </w:p>
    <w:p w14:paraId="0D4FE2CD" w14:textId="30E15CE2" w:rsidR="000609ED" w:rsidRPr="0002056A" w:rsidRDefault="000609ED" w:rsidP="00CD5BF3">
      <w:pPr>
        <w:spacing w:before="120" w:after="120"/>
        <w:jc w:val="both"/>
        <w:rPr>
          <w:rFonts w:ascii="Georgia" w:hAnsi="Georgia" w:cs="Times New Roman"/>
          <w:lang w:val="en-GB"/>
        </w:rPr>
      </w:pPr>
      <w:r w:rsidRPr="0002056A">
        <w:rPr>
          <w:rFonts w:ascii="Georgia" w:hAnsi="Georgia" w:cstheme="minorHAnsi"/>
          <w:lang w:val="en-GB"/>
        </w:rPr>
        <w:lastRenderedPageBreak/>
        <w:t xml:space="preserve">Regarding the international processes and “environment” of climate policy, the literature mentions several times the new phenomenon coming up with </w:t>
      </w:r>
      <w:r w:rsidR="002D0E08">
        <w:rPr>
          <w:rFonts w:ascii="Georgia" w:hAnsi="Georgia" w:cstheme="minorHAnsi"/>
          <w:lang w:val="en-GB"/>
        </w:rPr>
        <w:t>globalisation</w:t>
      </w:r>
      <w:r w:rsidRPr="0002056A">
        <w:rPr>
          <w:rStyle w:val="Lbjegyzet-hivatkozs"/>
          <w:rFonts w:ascii="Georgia" w:hAnsi="Georgia" w:cstheme="minorHAnsi"/>
          <w:lang w:val="en-GB"/>
        </w:rPr>
        <w:footnoteReference w:id="23"/>
      </w:r>
      <w:r w:rsidRPr="0002056A">
        <w:rPr>
          <w:rFonts w:ascii="Georgia" w:hAnsi="Georgia" w:cstheme="minorHAnsi"/>
          <w:lang w:val="en-GB"/>
        </w:rPr>
        <w:t xml:space="preserve">. The growing number of global challenges calls our attention to </w:t>
      </w:r>
      <w:r w:rsidRPr="0002056A">
        <w:rPr>
          <w:rFonts w:ascii="Georgia" w:hAnsi="Georgia" w:cstheme="minorHAnsi"/>
          <w:bCs/>
          <w:lang w:val="en-GB"/>
        </w:rPr>
        <w:t>t</w:t>
      </w:r>
      <w:r w:rsidRPr="0002056A">
        <w:rPr>
          <w:rFonts w:ascii="Georgia" w:hAnsi="Georgia" w:cs="Times New Roman"/>
          <w:bCs/>
          <w:lang w:val="en-GB"/>
        </w:rPr>
        <w:t>he well-known slogan of “</w:t>
      </w:r>
      <w:r w:rsidRPr="0002056A">
        <w:rPr>
          <w:rFonts w:ascii="Georgia" w:hAnsi="Georgia" w:cs="Times New Roman"/>
          <w:bCs/>
          <w:i/>
          <w:iCs/>
          <w:lang w:val="en-GB"/>
        </w:rPr>
        <w:t>Thinking globally and acting locally!</w:t>
      </w:r>
      <w:r w:rsidRPr="0002056A">
        <w:rPr>
          <w:rFonts w:ascii="Georgia" w:hAnsi="Georgia" w:cs="Times New Roman"/>
          <w:bCs/>
          <w:lang w:val="en-GB"/>
        </w:rPr>
        <w:t xml:space="preserve">” which </w:t>
      </w:r>
      <w:r w:rsidR="002D0E08">
        <w:rPr>
          <w:rFonts w:ascii="Georgia" w:hAnsi="Georgia" w:cs="Times New Roman"/>
          <w:bCs/>
          <w:lang w:val="en-GB"/>
        </w:rPr>
        <w:t>emerges</w:t>
      </w:r>
      <w:r w:rsidR="002D0E08" w:rsidRPr="0002056A">
        <w:rPr>
          <w:rFonts w:ascii="Georgia" w:hAnsi="Georgia" w:cs="Times New Roman"/>
          <w:bCs/>
          <w:lang w:val="en-GB"/>
        </w:rPr>
        <w:t xml:space="preserve"> </w:t>
      </w:r>
      <w:r w:rsidRPr="0002056A">
        <w:rPr>
          <w:rFonts w:ascii="Georgia" w:hAnsi="Georgia" w:cs="Times New Roman"/>
          <w:bCs/>
          <w:lang w:val="en-GB"/>
        </w:rPr>
        <w:t>in various analysed literature items</w:t>
      </w:r>
      <w:r w:rsidRPr="0002056A">
        <w:rPr>
          <w:rFonts w:ascii="Georgia" w:hAnsi="Georgia" w:cs="Times New Roman"/>
          <w:b/>
          <w:bCs/>
          <w:lang w:val="en-GB"/>
        </w:rPr>
        <w:t xml:space="preserve"> </w:t>
      </w:r>
      <w:r w:rsidRPr="0002056A">
        <w:rPr>
          <w:rFonts w:ascii="Georgia" w:hAnsi="Georgia" w:cs="Times New Roman"/>
          <w:bCs/>
          <w:smallCaps/>
          <w:lang w:val="en-GB"/>
        </w:rPr>
        <w:t>(</w:t>
      </w:r>
      <w:r w:rsidRPr="0002056A">
        <w:rPr>
          <w:rFonts w:ascii="Georgia" w:hAnsi="Georgia" w:cstheme="minorHAnsi"/>
          <w:smallCaps/>
          <w:lang w:val="en-GB"/>
        </w:rPr>
        <w:t>Rosenau, 1992 and 1995; Lennox, 2008; Heidrich et al., 2016; Vogler, 2017; Birchall &amp; Bonnet</w:t>
      </w:r>
      <w:r w:rsidRPr="0002056A">
        <w:rPr>
          <w:rFonts w:ascii="Georgia" w:hAnsi="Georgia"/>
          <w:smallCaps/>
          <w:lang w:val="en-GB"/>
        </w:rPr>
        <w:t xml:space="preserve">, 2021; </w:t>
      </w:r>
      <w:r w:rsidRPr="0002056A">
        <w:rPr>
          <w:rFonts w:ascii="Georgia" w:hAnsi="Georgia" w:cstheme="minorHAnsi"/>
          <w:smallCaps/>
          <w:lang w:val="en-GB"/>
        </w:rPr>
        <w:t>Birchall et al.</w:t>
      </w:r>
      <w:r w:rsidRPr="0002056A">
        <w:rPr>
          <w:rFonts w:ascii="Georgia" w:hAnsi="Georgia"/>
          <w:smallCaps/>
          <w:lang w:val="en-GB"/>
        </w:rPr>
        <w:t>, 2022</w:t>
      </w:r>
      <w:r w:rsidRPr="0002056A">
        <w:rPr>
          <w:rFonts w:ascii="Georgia" w:hAnsi="Georgia" w:cs="Times New Roman"/>
          <w:bCs/>
          <w:smallCaps/>
          <w:lang w:val="en-GB"/>
        </w:rPr>
        <w:t>).</w:t>
      </w:r>
      <w:r w:rsidRPr="0002056A">
        <w:rPr>
          <w:rFonts w:ascii="Georgia" w:hAnsi="Georgia" w:cs="Times New Roman"/>
          <w:b/>
          <w:bCs/>
          <w:lang w:val="en-GB"/>
        </w:rPr>
        <w:t xml:space="preserve"> </w:t>
      </w:r>
      <w:r w:rsidRPr="0002056A">
        <w:rPr>
          <w:rFonts w:ascii="Georgia" w:hAnsi="Georgia" w:cs="Segoe UI"/>
          <w:lang w:val="en-GB"/>
        </w:rPr>
        <w:t xml:space="preserve">As one of the analysed documents of the empirical phase, the updated French NAS </w:t>
      </w:r>
      <w:r w:rsidR="00964A81" w:rsidRPr="0002056A">
        <w:rPr>
          <w:rFonts w:ascii="Georgia" w:hAnsi="Georgia" w:cs="Segoe UI"/>
          <w:lang w:val="en-GB"/>
        </w:rPr>
        <w:t>says,</w:t>
      </w:r>
      <w:r w:rsidRPr="0002056A">
        <w:rPr>
          <w:rFonts w:ascii="Georgia" w:hAnsi="Georgia" w:cs="Segoe UI"/>
          <w:lang w:val="en-GB"/>
        </w:rPr>
        <w:t xml:space="preserve"> “</w:t>
      </w:r>
      <w:r w:rsidRPr="0002056A">
        <w:rPr>
          <w:rFonts w:ascii="Georgia" w:hAnsi="Georgia" w:cs="Segoe UI"/>
          <w:i/>
          <w:iCs/>
          <w:lang w:val="en-GB"/>
        </w:rPr>
        <w:t>no one will act in our place</w:t>
      </w:r>
      <w:r w:rsidRPr="0002056A">
        <w:rPr>
          <w:rFonts w:ascii="Georgia" w:hAnsi="Georgia" w:cs="Segoe UI"/>
          <w:lang w:val="en-GB"/>
        </w:rPr>
        <w:t xml:space="preserve">”. It means that the </w:t>
      </w:r>
      <w:r w:rsidRPr="0002056A">
        <w:rPr>
          <w:rFonts w:ascii="Georgia" w:hAnsi="Georgia" w:cs="Segoe UI"/>
          <w:b/>
          <w:bCs/>
          <w:lang w:val="en-GB"/>
        </w:rPr>
        <w:t xml:space="preserve">lower spatial levels’ decision makers are responsible </w:t>
      </w:r>
      <w:r w:rsidR="002D0E08">
        <w:rPr>
          <w:rFonts w:ascii="Georgia" w:hAnsi="Georgia" w:cs="Segoe UI"/>
          <w:b/>
          <w:bCs/>
          <w:lang w:val="en-GB"/>
        </w:rPr>
        <w:t>for solving</w:t>
      </w:r>
      <w:r w:rsidRPr="0002056A">
        <w:rPr>
          <w:rFonts w:ascii="Georgia" w:hAnsi="Georgia" w:cs="Segoe UI"/>
          <w:b/>
          <w:bCs/>
          <w:lang w:val="en-GB"/>
        </w:rPr>
        <w:t xml:space="preserve"> the problems caused by the locally/regionally special</w:t>
      </w:r>
      <w:r w:rsidRPr="0002056A">
        <w:rPr>
          <w:rFonts w:ascii="Georgia" w:hAnsi="Georgia" w:cs="Segoe UI"/>
          <w:lang w:val="en-GB"/>
        </w:rPr>
        <w:t xml:space="preserve"> and diverse </w:t>
      </w:r>
      <w:r w:rsidRPr="0002056A">
        <w:rPr>
          <w:rFonts w:ascii="Georgia" w:hAnsi="Georgia" w:cs="Segoe UI"/>
          <w:b/>
          <w:bCs/>
          <w:lang w:val="en-GB"/>
        </w:rPr>
        <w:t>climate impacts</w:t>
      </w:r>
      <w:r w:rsidRPr="0002056A">
        <w:rPr>
          <w:rFonts w:ascii="Georgia" w:hAnsi="Georgia" w:cs="Segoe UI"/>
          <w:lang w:val="en-GB"/>
        </w:rPr>
        <w:t xml:space="preserve"> in their public strategies, strongly taking into account the regional/local spatial endowments (</w:t>
      </w:r>
      <w:r w:rsidRPr="0002056A">
        <w:rPr>
          <w:rFonts w:ascii="Georgia" w:hAnsi="Georgia" w:cs="Segoe UI"/>
          <w:smallCaps/>
          <w:lang w:val="en-GB"/>
        </w:rPr>
        <w:t>Birchall&amp;Bonnet, 2020; Sütő, 2023; French NAS, 2024</w:t>
      </w:r>
      <w:r w:rsidRPr="0002056A">
        <w:rPr>
          <w:rFonts w:ascii="Georgia" w:hAnsi="Georgia" w:cs="Segoe UI"/>
          <w:lang w:val="en-GB"/>
        </w:rPr>
        <w:t xml:space="preserve">). </w:t>
      </w:r>
      <w:r w:rsidRPr="0002056A">
        <w:rPr>
          <w:rFonts w:ascii="Georgia" w:hAnsi="Georgia"/>
          <w:lang w:val="en-GB"/>
        </w:rPr>
        <w:t xml:space="preserve">Devine-Wright applies the above-mentioned slogan for climate adaptation policy and </w:t>
      </w:r>
      <w:r w:rsidR="002D0E08">
        <w:rPr>
          <w:rFonts w:ascii="Georgia" w:hAnsi="Georgia"/>
          <w:lang w:val="en-GB"/>
        </w:rPr>
        <w:t>emphasises</w:t>
      </w:r>
      <w:r w:rsidR="002D0E08" w:rsidRPr="0002056A">
        <w:rPr>
          <w:rFonts w:ascii="Georgia" w:hAnsi="Georgia"/>
          <w:lang w:val="en-GB"/>
        </w:rPr>
        <w:t xml:space="preserve"> </w:t>
      </w:r>
      <w:r w:rsidRPr="0002056A">
        <w:rPr>
          <w:rFonts w:ascii="Georgia" w:hAnsi="Georgia"/>
          <w:lang w:val="en-GB"/>
        </w:rPr>
        <w:t>the relevance of “space attachments” and “space identities” in the systematic research on climate change (</w:t>
      </w:r>
      <w:r w:rsidRPr="0002056A">
        <w:rPr>
          <w:rFonts w:ascii="Georgia" w:hAnsi="Georgia" w:cstheme="minorHAnsi"/>
          <w:smallCaps/>
          <w:lang w:val="en-GB"/>
        </w:rPr>
        <w:t>Devine-Wright, 2012</w:t>
      </w:r>
      <w:r w:rsidRPr="0002056A">
        <w:rPr>
          <w:rFonts w:ascii="Georgia" w:hAnsi="Georgia"/>
          <w:lang w:val="en-GB"/>
        </w:rPr>
        <w:t xml:space="preserve">). </w:t>
      </w:r>
    </w:p>
    <w:p w14:paraId="4CB2680E" w14:textId="619A5C5D" w:rsidR="0034326D" w:rsidRPr="0002056A" w:rsidRDefault="0034326D" w:rsidP="00CD5BF3">
      <w:pPr>
        <w:spacing w:before="120" w:after="120"/>
        <w:jc w:val="both"/>
        <w:rPr>
          <w:rFonts w:ascii="Georgia" w:hAnsi="Georgia"/>
          <w:lang w:val="en-GB"/>
        </w:rPr>
      </w:pPr>
      <w:r w:rsidRPr="0002056A">
        <w:rPr>
          <w:rFonts w:ascii="Georgia" w:hAnsi="Georgia"/>
          <w:lang w:val="en-GB"/>
        </w:rPr>
        <w:t xml:space="preserve">As it has </w:t>
      </w:r>
      <w:r w:rsidR="002D0E08">
        <w:rPr>
          <w:rFonts w:ascii="Georgia" w:hAnsi="Georgia"/>
          <w:lang w:val="en-GB"/>
        </w:rPr>
        <w:t xml:space="preserve">already been mentioned, geographically specific climate impacts, their socio-economic consequences and the </w:t>
      </w:r>
      <w:r w:rsidR="00D029DA" w:rsidRPr="0002056A">
        <w:rPr>
          <w:rFonts w:ascii="Georgia" w:hAnsi="Georgia"/>
          <w:lang w:val="en-GB"/>
        </w:rPr>
        <w:t xml:space="preserve">manifestation of </w:t>
      </w:r>
      <w:r w:rsidRPr="0002056A">
        <w:rPr>
          <w:rFonts w:ascii="Georgia" w:hAnsi="Georgia"/>
          <w:lang w:val="en-GB"/>
        </w:rPr>
        <w:t xml:space="preserve">sectoral vulnerabilities emerge actually locally (in municipalities and smaller regions). Consequently, </w:t>
      </w:r>
      <w:r w:rsidRPr="0002056A">
        <w:rPr>
          <w:rFonts w:ascii="Georgia" w:hAnsi="Georgia"/>
          <w:b/>
          <w:bCs/>
          <w:lang w:val="en-GB"/>
        </w:rPr>
        <w:t>municipal leaders and micro-regional/regional decision-makers</w:t>
      </w:r>
      <w:r w:rsidRPr="0002056A">
        <w:rPr>
          <w:rFonts w:ascii="Georgia" w:hAnsi="Georgia"/>
          <w:lang w:val="en-GB"/>
        </w:rPr>
        <w:t xml:space="preserve"> have a fundamental interest in properly planned adaptation steps to identify local climate impacts on affected stakeholders/elements</w:t>
      </w:r>
      <w:r w:rsidR="00CB3AEC" w:rsidRPr="0002056A">
        <w:rPr>
          <w:rFonts w:ascii="Georgia" w:hAnsi="Georgia"/>
          <w:lang w:val="en-GB"/>
        </w:rPr>
        <w:t xml:space="preserve"> </w:t>
      </w:r>
      <w:r w:rsidRPr="0002056A">
        <w:rPr>
          <w:rFonts w:ascii="Georgia" w:hAnsi="Georgia"/>
          <w:lang w:val="en-GB"/>
        </w:rPr>
        <w:t xml:space="preserve">and find suitable solutions. For this, they </w:t>
      </w:r>
      <w:r w:rsidRPr="0002056A">
        <w:rPr>
          <w:rFonts w:ascii="Georgia" w:hAnsi="Georgia"/>
          <w:b/>
          <w:bCs/>
          <w:lang w:val="en-GB"/>
        </w:rPr>
        <w:t xml:space="preserve">require better, more profound, up-to-date </w:t>
      </w:r>
      <w:r w:rsidR="00697121" w:rsidRPr="0002056A">
        <w:rPr>
          <w:rFonts w:ascii="Georgia" w:hAnsi="Georgia"/>
          <w:b/>
          <w:bCs/>
          <w:lang w:val="en-GB"/>
        </w:rPr>
        <w:t xml:space="preserve">spatial </w:t>
      </w:r>
      <w:r w:rsidRPr="0002056A">
        <w:rPr>
          <w:rFonts w:ascii="Georgia" w:hAnsi="Georgia"/>
          <w:b/>
          <w:bCs/>
          <w:lang w:val="en-GB"/>
        </w:rPr>
        <w:t>knowledge of the issues</w:t>
      </w:r>
      <w:r w:rsidRPr="0002056A">
        <w:rPr>
          <w:rFonts w:ascii="Georgia" w:hAnsi="Georgia"/>
          <w:lang w:val="en-GB"/>
        </w:rPr>
        <w:t xml:space="preserve"> (</w:t>
      </w:r>
      <w:r w:rsidR="00CB3AEC" w:rsidRPr="0002056A">
        <w:rPr>
          <w:rFonts w:ascii="Georgia" w:hAnsi="Georgia" w:cstheme="minorHAnsi"/>
          <w:smallCaps/>
          <w:lang w:val="en-GB"/>
        </w:rPr>
        <w:t>Pálvölgyi Et Al., 2010; EEA</w:t>
      </w:r>
      <w:r w:rsidR="00CB3AEC" w:rsidRPr="0002056A">
        <w:rPr>
          <w:rFonts w:ascii="Georgia" w:hAnsi="Georgia"/>
          <w:lang w:val="en-GB"/>
        </w:rPr>
        <w:t xml:space="preserve">, 2020; </w:t>
      </w:r>
      <w:r w:rsidRPr="0002056A">
        <w:rPr>
          <w:rFonts w:ascii="Georgia" w:hAnsi="Georgia" w:cstheme="minorHAnsi"/>
          <w:smallCaps/>
          <w:lang w:val="en-GB"/>
        </w:rPr>
        <w:t>Sütő et al</w:t>
      </w:r>
      <w:r w:rsidRPr="0002056A">
        <w:rPr>
          <w:rFonts w:ascii="Georgia" w:hAnsi="Georgia"/>
          <w:lang w:val="en-GB"/>
        </w:rPr>
        <w:t xml:space="preserve">., 2023). Nevertheless, the national level cannot be neglected, either: national policymakers coordinate the works and adaptation directions of the lower territorial levels. </w:t>
      </w:r>
    </w:p>
    <w:p w14:paraId="4FBB5A8A" w14:textId="00DE89BE" w:rsidR="00536B7F" w:rsidRPr="0002056A" w:rsidRDefault="0034326D" w:rsidP="00CD5BF3">
      <w:pPr>
        <w:spacing w:before="120" w:after="120"/>
        <w:jc w:val="both"/>
        <w:rPr>
          <w:rFonts w:ascii="Georgia" w:hAnsi="Georgia"/>
          <w:lang w:val="en-GB"/>
        </w:rPr>
      </w:pPr>
      <w:r w:rsidRPr="0002056A">
        <w:rPr>
          <w:rFonts w:ascii="Georgia" w:hAnsi="Georgia"/>
          <w:lang w:val="en-GB"/>
        </w:rPr>
        <w:t xml:space="preserve">In practice, comprehensive adaptation-oriented </w:t>
      </w:r>
      <w:r w:rsidR="00D029DA" w:rsidRPr="0002056A">
        <w:rPr>
          <w:rFonts w:ascii="Georgia" w:hAnsi="Georgia"/>
          <w:b/>
          <w:bCs/>
          <w:lang w:val="en-GB"/>
        </w:rPr>
        <w:t xml:space="preserve">spatial </w:t>
      </w:r>
      <w:r w:rsidRPr="0002056A">
        <w:rPr>
          <w:rFonts w:ascii="Georgia" w:hAnsi="Georgia"/>
          <w:b/>
          <w:bCs/>
          <w:lang w:val="en-GB"/>
        </w:rPr>
        <w:t>situation analyses</w:t>
      </w:r>
      <w:r w:rsidR="002D0E08">
        <w:rPr>
          <w:rFonts w:ascii="Georgia" w:hAnsi="Georgia"/>
          <w:b/>
          <w:bCs/>
          <w:lang w:val="en-GB"/>
        </w:rPr>
        <w:t xml:space="preserve"> and risk and vulnerability assessments are among the main evidence-based</w:t>
      </w:r>
      <w:r w:rsidR="00BB78C1" w:rsidRPr="0002056A">
        <w:rPr>
          <w:rFonts w:ascii="Georgia" w:hAnsi="Georgia"/>
          <w:b/>
          <w:bCs/>
          <w:lang w:val="en-GB"/>
        </w:rPr>
        <w:t xml:space="preserve"> tools</w:t>
      </w:r>
      <w:r w:rsidR="00280BB4" w:rsidRPr="0002056A">
        <w:rPr>
          <w:rFonts w:ascii="Georgia" w:hAnsi="Georgia"/>
          <w:lang w:val="en-GB"/>
        </w:rPr>
        <w:t xml:space="preserve"> supporting the elaboration of </w:t>
      </w:r>
      <w:r w:rsidRPr="0002056A">
        <w:rPr>
          <w:rFonts w:ascii="Georgia" w:hAnsi="Georgia"/>
          <w:lang w:val="en-GB"/>
        </w:rPr>
        <w:t>policy objectives</w:t>
      </w:r>
      <w:r w:rsidR="003632DE" w:rsidRPr="0002056A">
        <w:rPr>
          <w:rFonts w:ascii="Georgia" w:hAnsi="Georgia"/>
          <w:lang w:val="en-GB"/>
        </w:rPr>
        <w:t xml:space="preserve"> (UBA, 2025)</w:t>
      </w:r>
      <w:r w:rsidRPr="0002056A">
        <w:rPr>
          <w:rFonts w:ascii="Georgia" w:hAnsi="Georgia"/>
          <w:lang w:val="en-GB"/>
        </w:rPr>
        <w:t xml:space="preserve">. </w:t>
      </w:r>
      <w:r w:rsidR="00276CA2" w:rsidRPr="0002056A">
        <w:rPr>
          <w:rFonts w:ascii="Georgia" w:hAnsi="Georgia"/>
          <w:lang w:val="en-GB"/>
        </w:rPr>
        <w:t xml:space="preserve">Climate change vulnerability assessments </w:t>
      </w:r>
      <w:r w:rsidR="00D00192" w:rsidRPr="0002056A">
        <w:rPr>
          <w:rFonts w:ascii="Georgia" w:hAnsi="Georgia"/>
          <w:lang w:val="en-GB"/>
        </w:rPr>
        <w:t xml:space="preserve">(CVAs) </w:t>
      </w:r>
      <w:r w:rsidR="00276CA2" w:rsidRPr="0002056A">
        <w:rPr>
          <w:rFonts w:ascii="Georgia" w:hAnsi="Georgia"/>
          <w:lang w:val="en-GB"/>
        </w:rPr>
        <w:t xml:space="preserve">are vital </w:t>
      </w:r>
      <w:r w:rsidR="002D0E08">
        <w:rPr>
          <w:rFonts w:ascii="Georgia" w:hAnsi="Georgia"/>
          <w:lang w:val="en-GB"/>
        </w:rPr>
        <w:t>for identifying climate change hotspots that require urgent action</w:t>
      </w:r>
      <w:r w:rsidR="00276CA2" w:rsidRPr="0002056A">
        <w:rPr>
          <w:rFonts w:ascii="Georgia" w:hAnsi="Georgia"/>
          <w:lang w:val="en-GB"/>
        </w:rPr>
        <w:t>. Consequently</w:t>
      </w:r>
      <w:r w:rsidR="00280BB4" w:rsidRPr="0002056A">
        <w:rPr>
          <w:rFonts w:ascii="Georgia" w:hAnsi="Georgia"/>
          <w:lang w:val="en-GB"/>
        </w:rPr>
        <w:t>,</w:t>
      </w:r>
      <w:r w:rsidR="00276CA2" w:rsidRPr="0002056A">
        <w:rPr>
          <w:rFonts w:ascii="Georgia" w:hAnsi="Georgia"/>
          <w:lang w:val="en-GB"/>
        </w:rPr>
        <w:t xml:space="preserve"> they are important for decision makers </w:t>
      </w:r>
      <w:r w:rsidR="00D029DA" w:rsidRPr="0002056A">
        <w:rPr>
          <w:rFonts w:ascii="Georgia" w:hAnsi="Georgia"/>
          <w:lang w:val="en-GB"/>
        </w:rPr>
        <w:t>to</w:t>
      </w:r>
      <w:r w:rsidR="00276CA2" w:rsidRPr="0002056A">
        <w:rPr>
          <w:rFonts w:ascii="Georgia" w:hAnsi="Georgia"/>
          <w:lang w:val="en-GB"/>
        </w:rPr>
        <w:t xml:space="preserve"> design and implement adaptation strategies</w:t>
      </w:r>
      <w:r w:rsidR="003632DE" w:rsidRPr="0002056A">
        <w:rPr>
          <w:rFonts w:ascii="Georgia" w:hAnsi="Georgia"/>
          <w:lang w:val="en-GB"/>
        </w:rPr>
        <w:t xml:space="preserve"> </w:t>
      </w:r>
      <w:r w:rsidR="00276CA2" w:rsidRPr="0002056A">
        <w:rPr>
          <w:rFonts w:ascii="Georgia" w:hAnsi="Georgia"/>
          <w:lang w:val="en-GB"/>
        </w:rPr>
        <w:t>(</w:t>
      </w:r>
      <w:r w:rsidR="00276CA2" w:rsidRPr="0002056A">
        <w:rPr>
          <w:rFonts w:ascii="Georgia" w:hAnsi="Georgia" w:cstheme="minorHAnsi"/>
          <w:smallCaps/>
          <w:lang w:val="en-GB"/>
        </w:rPr>
        <w:t>Bogale, 2015</w:t>
      </w:r>
      <w:r w:rsidR="00276CA2" w:rsidRPr="0002056A">
        <w:rPr>
          <w:rFonts w:ascii="Georgia" w:hAnsi="Georgia"/>
          <w:lang w:val="en-GB"/>
        </w:rPr>
        <w:t>).</w:t>
      </w:r>
      <w:r w:rsidR="003A273D" w:rsidRPr="0002056A">
        <w:rPr>
          <w:rFonts w:ascii="Georgia" w:hAnsi="Georgia"/>
          <w:lang w:val="en-GB"/>
        </w:rPr>
        <w:t xml:space="preserve"> </w:t>
      </w:r>
      <w:r w:rsidR="001A3538" w:rsidRPr="0002056A">
        <w:rPr>
          <w:rFonts w:ascii="Georgia" w:hAnsi="Georgia"/>
          <w:lang w:val="en-GB"/>
        </w:rPr>
        <w:t xml:space="preserve">Velazquez also </w:t>
      </w:r>
      <w:r w:rsidR="00280BB4" w:rsidRPr="0002056A">
        <w:rPr>
          <w:rFonts w:ascii="Georgia" w:hAnsi="Georgia"/>
          <w:lang w:val="en-GB"/>
        </w:rPr>
        <w:t>identifies</w:t>
      </w:r>
      <w:r w:rsidR="00F73515" w:rsidRPr="0002056A">
        <w:rPr>
          <w:rFonts w:ascii="Georgia" w:hAnsi="Georgia"/>
          <w:lang w:val="en-GB"/>
        </w:rPr>
        <w:t xml:space="preserve"> climate vulnerability assessments as a tool</w:t>
      </w:r>
      <w:r w:rsidR="001A3538" w:rsidRPr="0002056A">
        <w:rPr>
          <w:rFonts w:ascii="Georgia" w:hAnsi="Georgia"/>
          <w:lang w:val="en-GB"/>
        </w:rPr>
        <w:t xml:space="preserve"> that helps explain climate change and climate variability as the result of society’s own </w:t>
      </w:r>
      <w:r w:rsidR="002D0E08">
        <w:rPr>
          <w:rFonts w:ascii="Georgia" w:hAnsi="Georgia"/>
          <w:lang w:val="en-GB"/>
        </w:rPr>
        <w:t>dynamics</w:t>
      </w:r>
      <w:r w:rsidR="001A3538" w:rsidRPr="0002056A">
        <w:rPr>
          <w:rFonts w:ascii="Georgia" w:hAnsi="Georgia"/>
          <w:lang w:val="en-GB"/>
        </w:rPr>
        <w:t>. Countries, regions and communities are highly vulnerable to dangers</w:t>
      </w:r>
      <w:r w:rsidR="00904353" w:rsidRPr="0002056A">
        <w:rPr>
          <w:rFonts w:ascii="Georgia" w:hAnsi="Georgia"/>
          <w:lang w:val="en-GB"/>
        </w:rPr>
        <w:t>,</w:t>
      </w:r>
      <w:r w:rsidR="001A3538" w:rsidRPr="0002056A">
        <w:rPr>
          <w:rFonts w:ascii="Georgia" w:hAnsi="Georgia"/>
          <w:lang w:val="en-GB"/>
        </w:rPr>
        <w:t xml:space="preserve"> so it is important to know the conditions </w:t>
      </w:r>
      <w:r w:rsidR="002D0E08">
        <w:rPr>
          <w:rFonts w:ascii="Georgia" w:hAnsi="Georgia"/>
          <w:lang w:val="en-GB"/>
        </w:rPr>
        <w:t>of</w:t>
      </w:r>
      <w:r w:rsidR="002D0E08" w:rsidRPr="0002056A">
        <w:rPr>
          <w:rFonts w:ascii="Georgia" w:hAnsi="Georgia"/>
          <w:lang w:val="en-GB"/>
        </w:rPr>
        <w:t xml:space="preserve"> </w:t>
      </w:r>
      <w:r w:rsidR="006E53C2" w:rsidRPr="0002056A">
        <w:rPr>
          <w:rFonts w:ascii="Georgia" w:hAnsi="Georgia"/>
          <w:lang w:val="en-GB"/>
        </w:rPr>
        <w:t xml:space="preserve">social territorial vulnerability </w:t>
      </w:r>
      <w:r w:rsidR="001A3538" w:rsidRPr="0002056A">
        <w:rPr>
          <w:rFonts w:ascii="Georgia" w:hAnsi="Georgia"/>
          <w:lang w:val="en-GB"/>
        </w:rPr>
        <w:t xml:space="preserve">prior to </w:t>
      </w:r>
      <w:r w:rsidR="00D00192" w:rsidRPr="0002056A">
        <w:rPr>
          <w:rFonts w:ascii="Georgia" w:hAnsi="Georgia"/>
          <w:lang w:val="en-GB"/>
        </w:rPr>
        <w:t xml:space="preserve">climate change-related strategic or development policy </w:t>
      </w:r>
      <w:r w:rsidR="001A3538" w:rsidRPr="0002056A">
        <w:rPr>
          <w:rFonts w:ascii="Georgia" w:hAnsi="Georgia"/>
          <w:lang w:val="en-GB"/>
        </w:rPr>
        <w:t>plann</w:t>
      </w:r>
      <w:r w:rsidR="00D00192" w:rsidRPr="0002056A">
        <w:rPr>
          <w:rFonts w:ascii="Georgia" w:hAnsi="Georgia"/>
          <w:lang w:val="en-GB"/>
        </w:rPr>
        <w:t>in</w:t>
      </w:r>
      <w:r w:rsidR="001A3538" w:rsidRPr="0002056A">
        <w:rPr>
          <w:rFonts w:ascii="Georgia" w:hAnsi="Georgia"/>
          <w:lang w:val="en-GB"/>
        </w:rPr>
        <w:t>g (</w:t>
      </w:r>
      <w:r w:rsidR="001A3538" w:rsidRPr="0002056A">
        <w:rPr>
          <w:rFonts w:ascii="Georgia" w:hAnsi="Georgia" w:cstheme="minorHAnsi"/>
          <w:smallCaps/>
          <w:lang w:val="en-GB"/>
        </w:rPr>
        <w:t>Velazquez, 2012</w:t>
      </w:r>
      <w:r w:rsidR="001A3538" w:rsidRPr="0002056A">
        <w:rPr>
          <w:rFonts w:ascii="Georgia" w:hAnsi="Georgia"/>
          <w:lang w:val="en-GB"/>
        </w:rPr>
        <w:t>).</w:t>
      </w:r>
    </w:p>
    <w:p w14:paraId="734EC5C9" w14:textId="277A74DF" w:rsidR="0034326D" w:rsidRPr="0002056A" w:rsidRDefault="003A273D" w:rsidP="00CD5BF3">
      <w:pPr>
        <w:spacing w:before="120" w:after="120"/>
        <w:jc w:val="both"/>
        <w:rPr>
          <w:rFonts w:ascii="Georgia" w:hAnsi="Georgia"/>
          <w:lang w:val="en-GB"/>
        </w:rPr>
      </w:pPr>
      <w:r w:rsidRPr="0002056A">
        <w:rPr>
          <w:rFonts w:ascii="Georgia" w:eastAsia="Times New Roman" w:hAnsi="Georgia" w:cstheme="minorHAnsi"/>
          <w:color w:val="000000"/>
          <w:lang w:val="en-GB" w:eastAsia="hu-HU"/>
        </w:rPr>
        <w:t>Vulnerability differ</w:t>
      </w:r>
      <w:r w:rsidR="00F73515" w:rsidRPr="0002056A">
        <w:rPr>
          <w:rFonts w:ascii="Georgia" w:eastAsia="Times New Roman" w:hAnsi="Georgia" w:cstheme="minorHAnsi"/>
          <w:color w:val="000000"/>
          <w:lang w:val="en-GB" w:eastAsia="hu-HU"/>
        </w:rPr>
        <w:t>s</w:t>
      </w:r>
      <w:r w:rsidRPr="0002056A">
        <w:rPr>
          <w:rFonts w:ascii="Georgia" w:eastAsia="Times New Roman" w:hAnsi="Georgia" w:cstheme="minorHAnsi"/>
          <w:color w:val="000000"/>
          <w:lang w:val="en-GB" w:eastAsia="hu-HU"/>
        </w:rPr>
        <w:t xml:space="preserve"> within communities and across societies, regions and countries (IPCC, 2022).</w:t>
      </w:r>
      <w:r w:rsidR="00276CA2" w:rsidRPr="0002056A">
        <w:rPr>
          <w:rFonts w:ascii="Georgia" w:eastAsia="Times New Roman" w:hAnsi="Georgia" w:cstheme="minorHAnsi"/>
          <w:color w:val="000000"/>
          <w:lang w:val="en-GB" w:eastAsia="hu-HU"/>
        </w:rPr>
        <w:t xml:space="preserve"> </w:t>
      </w:r>
      <w:r w:rsidR="0034326D" w:rsidRPr="0002056A">
        <w:rPr>
          <w:rFonts w:ascii="Georgia" w:hAnsi="Georgia"/>
          <w:lang w:val="en-GB"/>
        </w:rPr>
        <w:t xml:space="preserve">Regarding the recent </w:t>
      </w:r>
      <w:r w:rsidR="002D0E08">
        <w:rPr>
          <w:rFonts w:ascii="Georgia" w:hAnsi="Georgia"/>
          <w:lang w:val="en-GB"/>
        </w:rPr>
        <w:t>literature’s</w:t>
      </w:r>
      <w:r w:rsidR="002D0E08" w:rsidRPr="0002056A">
        <w:rPr>
          <w:rFonts w:ascii="Georgia" w:hAnsi="Georgia"/>
          <w:lang w:val="en-GB"/>
        </w:rPr>
        <w:t xml:space="preserve"> </w:t>
      </w:r>
      <w:r w:rsidR="0034326D" w:rsidRPr="0002056A">
        <w:rPr>
          <w:rFonts w:ascii="Georgia" w:hAnsi="Georgia"/>
          <w:lang w:val="en-GB"/>
        </w:rPr>
        <w:t xml:space="preserve">implications, the effects of climate change, the vulnerability to them, and the examination of adaptability are increasingly becoming the focus of attention. In the last one and a half </w:t>
      </w:r>
      <w:r w:rsidR="002D0E08">
        <w:rPr>
          <w:rFonts w:ascii="Georgia" w:hAnsi="Georgia"/>
          <w:lang w:val="en-GB"/>
        </w:rPr>
        <w:t>decades</w:t>
      </w:r>
      <w:r w:rsidR="0034326D" w:rsidRPr="0002056A">
        <w:rPr>
          <w:rFonts w:ascii="Georgia" w:hAnsi="Georgia"/>
          <w:lang w:val="en-GB"/>
        </w:rPr>
        <w:t xml:space="preserve">, many </w:t>
      </w:r>
      <w:r w:rsidR="00C01700" w:rsidRPr="0002056A">
        <w:rPr>
          <w:rFonts w:ascii="Georgia" w:hAnsi="Georgia"/>
          <w:lang w:val="en-GB"/>
        </w:rPr>
        <w:t xml:space="preserve">important </w:t>
      </w:r>
      <w:r w:rsidR="0034326D" w:rsidRPr="0002056A">
        <w:rPr>
          <w:rFonts w:ascii="Georgia" w:hAnsi="Georgia"/>
          <w:lang w:val="en-GB"/>
        </w:rPr>
        <w:t xml:space="preserve">studies have dealt with the complex issue of climate vulnerability (e.g., </w:t>
      </w:r>
      <w:r w:rsidR="0034326D" w:rsidRPr="0002056A">
        <w:rPr>
          <w:rFonts w:ascii="Georgia" w:hAnsi="Georgia"/>
          <w:smallCaps/>
          <w:lang w:val="en-GB"/>
        </w:rPr>
        <w:t>IPCC, 2007</w:t>
      </w:r>
      <w:r w:rsidR="0034326D" w:rsidRPr="0002056A">
        <w:rPr>
          <w:rStyle w:val="Lbjegyzet-hivatkozs"/>
          <w:rFonts w:ascii="Georgia" w:hAnsi="Georgia"/>
          <w:smallCaps/>
          <w:lang w:val="en-GB"/>
        </w:rPr>
        <w:footnoteReference w:id="24"/>
      </w:r>
      <w:r w:rsidR="00C01700" w:rsidRPr="0002056A">
        <w:rPr>
          <w:rFonts w:ascii="Georgia" w:hAnsi="Georgia"/>
          <w:smallCaps/>
          <w:lang w:val="en-GB"/>
        </w:rPr>
        <w:t>, Bogale, 2015</w:t>
      </w:r>
      <w:r w:rsidR="0034326D" w:rsidRPr="0002056A">
        <w:rPr>
          <w:rFonts w:ascii="Georgia" w:hAnsi="Georgia"/>
          <w:lang w:val="en-GB"/>
        </w:rPr>
        <w:t xml:space="preserve">), its modelling (e.g., </w:t>
      </w:r>
      <w:r w:rsidR="00C01700" w:rsidRPr="0002056A">
        <w:rPr>
          <w:rFonts w:ascii="Georgia" w:hAnsi="Georgia" w:cstheme="minorHAnsi"/>
          <w:smallCaps/>
          <w:lang w:val="en-GB"/>
        </w:rPr>
        <w:t>Füssel&amp;Klein</w:t>
      </w:r>
      <w:r w:rsidR="00C01700" w:rsidRPr="0002056A">
        <w:rPr>
          <w:rFonts w:ascii="Georgia" w:hAnsi="Georgia"/>
          <w:lang w:val="en-GB"/>
        </w:rPr>
        <w:t xml:space="preserve">, </w:t>
      </w:r>
      <w:r w:rsidR="00A60E83" w:rsidRPr="0002056A">
        <w:rPr>
          <w:rFonts w:ascii="Georgia" w:hAnsi="Georgia"/>
          <w:lang w:val="en-GB"/>
        </w:rPr>
        <w:t>2006</w:t>
      </w:r>
      <w:r w:rsidR="00C01700" w:rsidRPr="0002056A">
        <w:rPr>
          <w:rFonts w:ascii="Georgia" w:hAnsi="Georgia"/>
          <w:lang w:val="en-GB"/>
        </w:rPr>
        <w:t xml:space="preserve">; </w:t>
      </w:r>
      <w:r w:rsidR="0034326D" w:rsidRPr="0002056A">
        <w:rPr>
          <w:rFonts w:ascii="Georgia" w:hAnsi="Georgia"/>
          <w:smallCaps/>
          <w:lang w:val="en-GB"/>
        </w:rPr>
        <w:t>Khajuria &amp; Ravindranath 2012</w:t>
      </w:r>
      <w:r w:rsidR="00C01700" w:rsidRPr="0002056A">
        <w:rPr>
          <w:rFonts w:ascii="Georgia" w:hAnsi="Georgia"/>
          <w:smallCaps/>
          <w:lang w:val="en-GB"/>
        </w:rPr>
        <w:t>; IPCC 2014 and 2021</w:t>
      </w:r>
      <w:r w:rsidR="0034326D" w:rsidRPr="0002056A">
        <w:rPr>
          <w:rFonts w:ascii="Georgia" w:hAnsi="Georgia"/>
          <w:lang w:val="en-GB"/>
        </w:rPr>
        <w:t xml:space="preserve">), or its particular sectoral aspects (e.g., </w:t>
      </w:r>
      <w:r w:rsidR="0034326D" w:rsidRPr="0002056A">
        <w:rPr>
          <w:rFonts w:ascii="Georgia" w:hAnsi="Georgia"/>
          <w:smallCaps/>
          <w:lang w:val="en-GB"/>
        </w:rPr>
        <w:t>Fellmann 2012</w:t>
      </w:r>
      <w:r w:rsidR="0034326D" w:rsidRPr="0002056A">
        <w:rPr>
          <w:rFonts w:ascii="Georgia" w:hAnsi="Georgia"/>
          <w:lang w:val="en-GB"/>
        </w:rPr>
        <w:t xml:space="preserve">). These reviewed </w:t>
      </w:r>
      <w:r w:rsidR="0034326D" w:rsidRPr="0002056A">
        <w:rPr>
          <w:rFonts w:ascii="Georgia" w:hAnsi="Georgia"/>
          <w:b/>
          <w:bCs/>
          <w:lang w:val="en-GB"/>
        </w:rPr>
        <w:t>vulnerability examinations are basically spatial: they trace relative spatial/territorial differences</w:t>
      </w:r>
      <w:r w:rsidR="00F73515" w:rsidRPr="0002056A">
        <w:rPr>
          <w:rFonts w:ascii="Georgia" w:hAnsi="Georgia"/>
          <w:lang w:val="en-GB"/>
        </w:rPr>
        <w:t>.</w:t>
      </w:r>
    </w:p>
    <w:p w14:paraId="2EE60730" w14:textId="5E393AD3" w:rsidR="00735426" w:rsidRPr="0002056A" w:rsidRDefault="0034326D" w:rsidP="00CD5BF3">
      <w:pPr>
        <w:autoSpaceDE w:val="0"/>
        <w:autoSpaceDN w:val="0"/>
        <w:adjustRightInd w:val="0"/>
        <w:spacing w:before="120" w:after="120"/>
        <w:jc w:val="both"/>
        <w:rPr>
          <w:rFonts w:ascii="Georgia" w:hAnsi="Georgia" w:cs="FrutigerLTPro-Condensed"/>
          <w:lang w:val="en-GB"/>
          <w14:ligatures w14:val="standardContextual"/>
        </w:rPr>
      </w:pPr>
      <w:r w:rsidRPr="0002056A">
        <w:rPr>
          <w:rFonts w:ascii="Georgia" w:hAnsi="Georgia" w:cs="FrutigerLTPro-Condensed"/>
          <w:lang w:val="en-GB"/>
          <w14:ligatures w14:val="standardContextual"/>
        </w:rPr>
        <w:lastRenderedPageBreak/>
        <w:t xml:space="preserve">Approaches to analysing and assessing vulnerability have evolved </w:t>
      </w:r>
      <w:r w:rsidR="00894E38" w:rsidRPr="0002056A">
        <w:rPr>
          <w:rFonts w:ascii="Georgia" w:hAnsi="Georgia" w:cs="FrutigerLTPro-Condensed"/>
          <w:lang w:val="en-GB"/>
          <w14:ligatures w14:val="standardContextual"/>
        </w:rPr>
        <w:t>as we progress in time through the different IPCC asses</w:t>
      </w:r>
      <w:r w:rsidR="00D12A99" w:rsidRPr="0002056A">
        <w:rPr>
          <w:rFonts w:ascii="Georgia" w:hAnsi="Georgia" w:cs="FrutigerLTPro-Condensed"/>
          <w:lang w:val="en-GB"/>
          <w14:ligatures w14:val="standardContextual"/>
        </w:rPr>
        <w:t>s</w:t>
      </w:r>
      <w:r w:rsidR="00894E38" w:rsidRPr="0002056A">
        <w:rPr>
          <w:rFonts w:ascii="Georgia" w:hAnsi="Georgia" w:cs="FrutigerLTPro-Condensed"/>
          <w:lang w:val="en-GB"/>
          <w14:ligatures w14:val="standardContextual"/>
        </w:rPr>
        <w:t>ment phases</w:t>
      </w:r>
      <w:r w:rsidR="009F2254" w:rsidRPr="0002056A">
        <w:rPr>
          <w:rFonts w:ascii="Georgia" w:hAnsi="Georgia" w:cs="FrutigerLTPro-Condensed"/>
          <w:lang w:val="en-GB"/>
          <w14:ligatures w14:val="standardContextual"/>
        </w:rPr>
        <w:t xml:space="preserve"> </w:t>
      </w:r>
      <w:r w:rsidR="00F51DC2" w:rsidRPr="0002056A">
        <w:rPr>
          <w:rFonts w:ascii="Georgia" w:hAnsi="Georgia" w:cs="FrutigerLTPro-Condensed"/>
          <w:lang w:val="en-GB"/>
          <w14:ligatures w14:val="standardContextual"/>
        </w:rPr>
        <w:t>[</w:t>
      </w:r>
      <w:r w:rsidR="009F2254" w:rsidRPr="0002056A">
        <w:rPr>
          <w:rFonts w:ascii="Georgia" w:hAnsi="Georgia" w:cs="FrutigerLTPro-Condensed"/>
          <w:lang w:val="en-GB"/>
          <w14:ligatures w14:val="standardContextual"/>
        </w:rPr>
        <w:t xml:space="preserve">IPCC Assessment </w:t>
      </w:r>
      <w:r w:rsidR="00F51DC2" w:rsidRPr="0002056A">
        <w:rPr>
          <w:rFonts w:ascii="Georgia" w:hAnsi="Georgia" w:cs="FrutigerLTPro-Condensed"/>
          <w:lang w:val="en-GB"/>
          <w14:ligatures w14:val="standardContextual"/>
        </w:rPr>
        <w:t>R</w:t>
      </w:r>
      <w:r w:rsidR="009F2254" w:rsidRPr="0002056A">
        <w:rPr>
          <w:rFonts w:ascii="Georgia" w:hAnsi="Georgia" w:cs="FrutigerLTPro-Condensed"/>
          <w:lang w:val="en-GB"/>
          <w14:ligatures w14:val="standardContextual"/>
        </w:rPr>
        <w:t>eports</w:t>
      </w:r>
      <w:r w:rsidR="00F51DC2" w:rsidRPr="0002056A">
        <w:rPr>
          <w:rFonts w:ascii="Georgia" w:hAnsi="Georgia" w:cs="FrutigerLTPro-Condensed"/>
          <w:lang w:val="en-GB"/>
          <w14:ligatures w14:val="standardContextual"/>
        </w:rPr>
        <w:t xml:space="preserve"> (ARs)</w:t>
      </w:r>
      <w:r w:rsidR="009F2254" w:rsidRPr="0002056A">
        <w:rPr>
          <w:rFonts w:ascii="Georgia" w:hAnsi="Georgia" w:cs="FrutigerLTPro-Condensed"/>
          <w:lang w:val="en-GB"/>
          <w14:ligatures w14:val="standardContextual"/>
        </w:rPr>
        <w:t xml:space="preserve"> regularly collect and </w:t>
      </w:r>
      <w:r w:rsidR="002D0E08">
        <w:rPr>
          <w:rFonts w:ascii="Georgia" w:hAnsi="Georgia" w:cs="FrutigerLTPro-Condensed"/>
          <w:lang w:val="en-GB"/>
          <w14:ligatures w14:val="standardContextual"/>
        </w:rPr>
        <w:t xml:space="preserve">synthesise the internationally available vulnerability assessment methods </w:t>
      </w:r>
      <w:r w:rsidR="00F51DC2" w:rsidRPr="0002056A">
        <w:rPr>
          <w:rFonts w:ascii="Georgia" w:hAnsi="Georgia" w:cs="FrutigerLTPro-Condensed"/>
          <w:lang w:val="en-GB"/>
          <w14:ligatures w14:val="standardContextual"/>
        </w:rPr>
        <w:t>every 7 years]</w:t>
      </w:r>
      <w:r w:rsidR="00D12A99" w:rsidRPr="0002056A">
        <w:rPr>
          <w:rFonts w:ascii="Georgia" w:hAnsi="Georgia" w:cs="FrutigerLTPro-Condensed"/>
          <w:lang w:val="en-GB"/>
          <w14:ligatures w14:val="standardContextual"/>
        </w:rPr>
        <w:t xml:space="preserve">. </w:t>
      </w:r>
      <w:r w:rsidR="00735426" w:rsidRPr="0002056A">
        <w:rPr>
          <w:rFonts w:ascii="Georgia" w:hAnsi="Georgia" w:cs="FrutigerLTPro-Condensed"/>
          <w:lang w:val="en-GB"/>
          <w14:ligatures w14:val="standardContextual"/>
        </w:rPr>
        <w:t xml:space="preserve">According to Isthiaque and his colleagues both IPCC </w:t>
      </w:r>
      <w:r w:rsidR="00C81EC0" w:rsidRPr="0002056A">
        <w:rPr>
          <w:rFonts w:ascii="Georgia" w:hAnsi="Georgia" w:cs="FrutigerLTPro-Condensed"/>
          <w:lang w:val="en-GB"/>
          <w14:ligatures w14:val="standardContextual"/>
        </w:rPr>
        <w:t>AR</w:t>
      </w:r>
      <w:r w:rsidR="00735426" w:rsidRPr="0002056A">
        <w:rPr>
          <w:rFonts w:ascii="Georgia" w:hAnsi="Georgia" w:cs="FrutigerLTPro-Condensed"/>
          <w:lang w:val="en-GB"/>
          <w14:ligatures w14:val="standardContextual"/>
        </w:rPr>
        <w:t xml:space="preserve"> 3-4 and 5-6 considers serious spatial implications when analysing vulnerability </w:t>
      </w:r>
      <w:r w:rsidR="00735426" w:rsidRPr="0002056A">
        <w:rPr>
          <w:rFonts w:ascii="Georgia" w:hAnsi="Georgia" w:cs="ArialMT"/>
          <w:lang w:val="en-GB"/>
          <w14:ligatures w14:val="standardContextual"/>
        </w:rPr>
        <w:t>(</w:t>
      </w:r>
      <w:r w:rsidR="00735426" w:rsidRPr="0002056A">
        <w:rPr>
          <w:rFonts w:ascii="Georgia" w:hAnsi="Georgia" w:cs="FrutigerLTPro-Condensed"/>
          <w:smallCaps/>
          <w:lang w:val="en-GB"/>
          <w14:ligatures w14:val="standardContextual"/>
        </w:rPr>
        <w:t>Isthiaque et al</w:t>
      </w:r>
      <w:r w:rsidR="00735426" w:rsidRPr="0002056A">
        <w:rPr>
          <w:rFonts w:ascii="Georgia" w:hAnsi="Georgia" w:cs="FrutigerLTPro-Condensed"/>
          <w:lang w:val="en-GB"/>
          <w14:ligatures w14:val="standardContextual"/>
        </w:rPr>
        <w:t>, 2022</w:t>
      </w:r>
      <w:r w:rsidR="00735426" w:rsidRPr="0002056A">
        <w:rPr>
          <w:rFonts w:ascii="Georgia" w:hAnsi="Georgia" w:cs="ArialMT"/>
          <w:lang w:val="en-GB"/>
          <w14:ligatures w14:val="standardContextual"/>
        </w:rPr>
        <w:t>). I</w:t>
      </w:r>
      <w:r w:rsidR="00735426" w:rsidRPr="0002056A">
        <w:rPr>
          <w:rFonts w:ascii="Georgia" w:hAnsi="Georgia" w:cs="FrutigerLTPro-Condensed"/>
          <w:lang w:val="en-GB"/>
          <w14:ligatures w14:val="standardContextual"/>
        </w:rPr>
        <w:t xml:space="preserve">n the </w:t>
      </w:r>
      <w:r w:rsidR="00931CE1" w:rsidRPr="0002056A">
        <w:rPr>
          <w:rFonts w:ascii="Georgia" w:hAnsi="Georgia" w:cs="FrutigerLTPro-Condensed"/>
          <w:lang w:val="en-GB"/>
          <w14:ligatures w14:val="standardContextual"/>
        </w:rPr>
        <w:t xml:space="preserve">methods suggested by </w:t>
      </w:r>
      <w:r w:rsidR="00735426" w:rsidRPr="0002056A">
        <w:rPr>
          <w:rFonts w:ascii="Georgia" w:hAnsi="Georgia" w:cs="FrutigerLTPro-Condensed"/>
          <w:b/>
          <w:bCs/>
          <w:lang w:val="en-GB"/>
          <w14:ligatures w14:val="standardContextual"/>
        </w:rPr>
        <w:t xml:space="preserve">IPCC </w:t>
      </w:r>
      <w:r w:rsidR="00931CE1" w:rsidRPr="0002056A">
        <w:rPr>
          <w:rFonts w:ascii="Georgia" w:hAnsi="Georgia" w:cs="FrutigerLTPro-Condensed"/>
          <w:b/>
          <w:bCs/>
          <w:lang w:val="en-GB"/>
          <w14:ligatures w14:val="standardContextual"/>
        </w:rPr>
        <w:t xml:space="preserve">AR </w:t>
      </w:r>
      <w:r w:rsidR="00735426" w:rsidRPr="0002056A">
        <w:rPr>
          <w:rFonts w:ascii="Georgia" w:hAnsi="Georgia" w:cs="FrutigerLTPro-Condensed"/>
          <w:b/>
          <w:bCs/>
          <w:lang w:val="en-GB"/>
          <w14:ligatures w14:val="standardContextual"/>
        </w:rPr>
        <w:t>3 and 4</w:t>
      </w:r>
      <w:r w:rsidR="00931CE1" w:rsidRPr="0002056A">
        <w:rPr>
          <w:rFonts w:ascii="Georgia" w:hAnsi="Georgia" w:cs="FrutigerLTPro-Condensed"/>
          <w:lang w:val="en-GB"/>
          <w14:ligatures w14:val="standardContextual"/>
        </w:rPr>
        <w:t xml:space="preserve">, </w:t>
      </w:r>
      <w:r w:rsidR="00735426" w:rsidRPr="0002056A">
        <w:rPr>
          <w:rFonts w:ascii="Georgia" w:hAnsi="Georgia" w:cs="FrutigerLTPro-Condensed"/>
          <w:b/>
          <w:bCs/>
          <w:lang w:val="en-GB"/>
          <w14:ligatures w14:val="standardContextual"/>
        </w:rPr>
        <w:t>„exposure”</w:t>
      </w:r>
      <w:r w:rsidR="00735426" w:rsidRPr="0002056A">
        <w:rPr>
          <w:rFonts w:ascii="Georgia" w:hAnsi="Georgia" w:cs="FrutigerLTPro-Condensed"/>
          <w:lang w:val="en-GB"/>
          <w14:ligatures w14:val="standardContextual"/>
        </w:rPr>
        <w:t xml:space="preserve"> (that is the changes of climatic factors in a given geographical area/ad</w:t>
      </w:r>
      <w:r w:rsidR="00931CE1" w:rsidRPr="0002056A">
        <w:rPr>
          <w:rFonts w:ascii="Georgia" w:hAnsi="Georgia" w:cs="FrutigerLTPro-Condensed"/>
          <w:lang w:val="en-GB"/>
          <w14:ligatures w14:val="standardContextual"/>
        </w:rPr>
        <w:t>m</w:t>
      </w:r>
      <w:r w:rsidR="00735426" w:rsidRPr="0002056A">
        <w:rPr>
          <w:rFonts w:ascii="Georgia" w:hAnsi="Georgia" w:cs="FrutigerLTPro-Condensed"/>
          <w:lang w:val="en-GB"/>
          <w14:ligatures w14:val="standardContextual"/>
        </w:rPr>
        <w:t xml:space="preserve">inistrative unit) is a </w:t>
      </w:r>
      <w:r w:rsidR="00735426" w:rsidRPr="0002056A">
        <w:rPr>
          <w:rFonts w:ascii="Georgia" w:hAnsi="Georgia" w:cs="FrutigerLTPro-Condensed"/>
          <w:b/>
          <w:bCs/>
          <w:lang w:val="en-GB"/>
          <w14:ligatures w14:val="standardContextual"/>
        </w:rPr>
        <w:t>directly geographic region-dependent (climatic) variable</w:t>
      </w:r>
      <w:r w:rsidR="00735426" w:rsidRPr="0002056A">
        <w:rPr>
          <w:rFonts w:ascii="Georgia" w:hAnsi="Georgia" w:cs="FrutigerLTPro-Condensed"/>
          <w:lang w:val="en-GB"/>
          <w14:ligatures w14:val="standardContextual"/>
        </w:rPr>
        <w:t>. Here</w:t>
      </w:r>
      <w:r w:rsidR="002D0E08">
        <w:rPr>
          <w:rFonts w:ascii="Georgia" w:hAnsi="Georgia" w:cs="FrutigerLTPro-Condensed"/>
          <w:lang w:val="en-GB"/>
          <w14:ligatures w14:val="standardContextual"/>
        </w:rPr>
        <w:t>,</w:t>
      </w:r>
      <w:r w:rsidR="00735426" w:rsidRPr="0002056A">
        <w:rPr>
          <w:rFonts w:ascii="Georgia" w:hAnsi="Georgia" w:cs="FrutigerLTPro-Condensed"/>
          <w:lang w:val="en-GB"/>
          <w14:ligatures w14:val="standardContextual"/>
        </w:rPr>
        <w:t xml:space="preserve"> climate change-driven exposure is the basis of </w:t>
      </w:r>
      <w:r w:rsidR="00A65695" w:rsidRPr="0002056A">
        <w:rPr>
          <w:rFonts w:ascii="Georgia" w:hAnsi="Georgia" w:cs="FrutigerLTPro-Condensed"/>
          <w:lang w:val="en-GB"/>
          <w14:ligatures w14:val="standardContextual"/>
        </w:rPr>
        <w:t xml:space="preserve">the whole </w:t>
      </w:r>
      <w:r w:rsidR="00735426" w:rsidRPr="0002056A">
        <w:rPr>
          <w:rFonts w:ascii="Georgia" w:hAnsi="Georgia" w:cs="FrutigerLTPro-Condensed"/>
          <w:lang w:val="en-GB"/>
          <w14:ligatures w14:val="standardContextual"/>
        </w:rPr>
        <w:t xml:space="preserve">vulnerability </w:t>
      </w:r>
      <w:r w:rsidR="00216AD0" w:rsidRPr="0002056A">
        <w:rPr>
          <w:rFonts w:ascii="Georgia" w:hAnsi="Georgia" w:cs="FrutigerLTPro-Condensed"/>
          <w:lang w:val="en-GB"/>
          <w14:ligatures w14:val="standardContextual"/>
        </w:rPr>
        <w:t>assessment</w:t>
      </w:r>
      <w:r w:rsidR="00735426" w:rsidRPr="0002056A">
        <w:rPr>
          <w:rFonts w:ascii="Georgia" w:hAnsi="Georgia" w:cs="FrutigerLTPro-Condensed"/>
          <w:lang w:val="en-GB"/>
          <w14:ligatures w14:val="standardContextual"/>
        </w:rPr>
        <w:t xml:space="preserve">, like in the case of the CIVAS </w:t>
      </w:r>
      <w:r w:rsidR="00216AD0" w:rsidRPr="0002056A">
        <w:rPr>
          <w:rFonts w:ascii="Georgia" w:hAnsi="Georgia" w:cs="FrutigerLTPro-Condensed"/>
          <w:lang w:val="en-GB"/>
          <w14:ligatures w14:val="standardContextual"/>
        </w:rPr>
        <w:t>model</w:t>
      </w:r>
      <w:r w:rsidR="00735426" w:rsidRPr="0002056A">
        <w:rPr>
          <w:rFonts w:ascii="Georgia" w:hAnsi="Georgia" w:cs="FrutigerLTPro-Condensed"/>
          <w:lang w:val="en-GB"/>
          <w14:ligatures w14:val="standardContextual"/>
        </w:rPr>
        <w:t xml:space="preserve"> (see </w:t>
      </w:r>
      <w:r w:rsidR="00735426" w:rsidRPr="0002056A">
        <w:rPr>
          <w:rFonts w:ascii="Georgia" w:hAnsi="Georgia" w:cs="FrutigerLTPro-Condensed"/>
          <w:smallCaps/>
          <w:lang w:val="en-GB"/>
          <w14:ligatures w14:val="standardContextual"/>
        </w:rPr>
        <w:t>Pálvölgyi et al., 2010</w:t>
      </w:r>
      <w:r w:rsidR="002D0E08">
        <w:rPr>
          <w:rFonts w:ascii="Georgia" w:hAnsi="Georgia" w:cs="FrutigerLTPro-Condensed"/>
          <w:smallCaps/>
          <w:lang w:val="en-GB"/>
          <w14:ligatures w14:val="standardContextual"/>
        </w:rPr>
        <w:t>;</w:t>
      </w:r>
      <w:r w:rsidR="002D0E08" w:rsidRPr="0002056A">
        <w:rPr>
          <w:rFonts w:ascii="Georgia" w:hAnsi="Georgia" w:cs="FrutigerLTPro-Condensed"/>
          <w:smallCaps/>
          <w:lang w:val="en-GB"/>
          <w14:ligatures w14:val="standardContextual"/>
        </w:rPr>
        <w:t xml:space="preserve"> </w:t>
      </w:r>
      <w:r w:rsidR="00735426" w:rsidRPr="0002056A">
        <w:rPr>
          <w:rFonts w:ascii="Georgia" w:hAnsi="Georgia" w:cs="FrutigerLTPro-Condensed"/>
          <w:smallCaps/>
          <w:lang w:val="en-GB"/>
          <w14:ligatures w14:val="standardContextual"/>
        </w:rPr>
        <w:t>Kajner et al., 2017</w:t>
      </w:r>
      <w:r w:rsidR="002D0E08">
        <w:rPr>
          <w:rFonts w:ascii="Georgia" w:hAnsi="Georgia" w:cs="FrutigerLTPro-Condensed"/>
          <w:smallCaps/>
          <w:lang w:val="en-GB"/>
          <w14:ligatures w14:val="standardContextual"/>
        </w:rPr>
        <w:t>;</w:t>
      </w:r>
      <w:r w:rsidR="002D0E08" w:rsidRPr="0002056A">
        <w:rPr>
          <w:rFonts w:ascii="Georgia" w:hAnsi="Georgia" w:cs="FrutigerLTPro-Condensed"/>
          <w:smallCaps/>
          <w:lang w:val="en-GB"/>
          <w14:ligatures w14:val="standardContextual"/>
        </w:rPr>
        <w:t xml:space="preserve"> </w:t>
      </w:r>
      <w:r w:rsidR="00735426" w:rsidRPr="0002056A">
        <w:rPr>
          <w:rFonts w:ascii="Georgia" w:hAnsi="Georgia" w:cs="FrutigerLTPro-Condensed"/>
          <w:smallCaps/>
          <w:lang w:val="en-GB"/>
          <w14:ligatures w14:val="standardContextual"/>
        </w:rPr>
        <w:t>Sütő&amp;Fejes, 2019</w:t>
      </w:r>
      <w:r w:rsidR="00735426" w:rsidRPr="0002056A">
        <w:rPr>
          <w:rFonts w:ascii="Georgia" w:hAnsi="Georgia" w:cs="FrutigerLTPro-Condensed"/>
          <w:lang w:val="en-GB"/>
          <w14:ligatures w14:val="standardContextual"/>
        </w:rPr>
        <w:t>).</w:t>
      </w:r>
    </w:p>
    <w:p w14:paraId="0DAFDA6D" w14:textId="0DD22556" w:rsidR="006144D9" w:rsidRPr="0002056A" w:rsidRDefault="002D0E08" w:rsidP="00CD5BF3">
      <w:pPr>
        <w:autoSpaceDE w:val="0"/>
        <w:autoSpaceDN w:val="0"/>
        <w:adjustRightInd w:val="0"/>
        <w:spacing w:before="120" w:after="120"/>
        <w:jc w:val="both"/>
        <w:rPr>
          <w:rFonts w:ascii="Georgia" w:hAnsi="Georgia" w:cs="FrutigerLTPro-Condensed"/>
          <w:lang w:val="en-GB"/>
          <w14:ligatures w14:val="standardContextual"/>
        </w:rPr>
      </w:pPr>
      <w:r>
        <w:rPr>
          <w:rFonts w:ascii="Georgia" w:hAnsi="Georgia" w:cs="FrutigerLTPro-Condensed"/>
          <w:lang w:val="en-GB"/>
          <w14:ligatures w14:val="standardContextual"/>
        </w:rPr>
        <w:t>The IPCC 5 AR introduced a brand-new assessment framework, which was further developed in</w:t>
      </w:r>
      <w:r w:rsidR="0039008A" w:rsidRPr="0002056A">
        <w:rPr>
          <w:rFonts w:ascii="Georgia" w:hAnsi="Georgia"/>
          <w:lang w:val="en-GB"/>
        </w:rPr>
        <w:t xml:space="preserve"> IPCC AR 6</w:t>
      </w:r>
      <w:r w:rsidR="00FD5D34" w:rsidRPr="0002056A">
        <w:rPr>
          <w:rFonts w:ascii="Georgia" w:hAnsi="Georgia"/>
          <w:lang w:val="en-GB"/>
        </w:rPr>
        <w:t xml:space="preserve">. </w:t>
      </w:r>
      <w:r w:rsidR="005D1C72" w:rsidRPr="0002056A">
        <w:rPr>
          <w:rFonts w:ascii="Georgia" w:hAnsi="Georgia"/>
          <w:lang w:val="en-GB"/>
        </w:rPr>
        <w:t xml:space="preserve">It considers vulnerability as the </w:t>
      </w:r>
      <w:r w:rsidR="00216AD0" w:rsidRPr="0002056A">
        <w:rPr>
          <w:rFonts w:ascii="Georgia" w:hAnsi="Georgia"/>
          <w:lang w:val="en-GB"/>
        </w:rPr>
        <w:t>propensity</w:t>
      </w:r>
      <w:r w:rsidR="005D1C72" w:rsidRPr="0002056A">
        <w:rPr>
          <w:rFonts w:ascii="Georgia" w:hAnsi="Georgia"/>
          <w:lang w:val="en-GB"/>
        </w:rPr>
        <w:t>/predisposition to be adversely affected</w:t>
      </w:r>
      <w:r w:rsidR="00F27F00" w:rsidRPr="0002056A">
        <w:rPr>
          <w:rFonts w:ascii="Georgia" w:hAnsi="Georgia"/>
          <w:lang w:val="en-GB"/>
        </w:rPr>
        <w:t>,</w:t>
      </w:r>
      <w:r w:rsidR="005D1C72" w:rsidRPr="0002056A">
        <w:rPr>
          <w:rFonts w:ascii="Georgia" w:hAnsi="Georgia"/>
          <w:lang w:val="en-GB"/>
        </w:rPr>
        <w:t xml:space="preserve"> </w:t>
      </w:r>
      <w:r w:rsidR="002861E5">
        <w:rPr>
          <w:rFonts w:ascii="Georgia" w:hAnsi="Georgia"/>
          <w:lang w:val="en-GB"/>
        </w:rPr>
        <w:t xml:space="preserve">encompassing a range of concepts and elements, including susceptibility to harm and a </w:t>
      </w:r>
      <w:r w:rsidR="005D1C72" w:rsidRPr="0002056A">
        <w:rPr>
          <w:rFonts w:ascii="Georgia" w:hAnsi="Georgia"/>
          <w:lang w:val="en-GB"/>
        </w:rPr>
        <w:t>lack of capacity to adapt.</w:t>
      </w:r>
      <w:r w:rsidR="001007F7" w:rsidRPr="0002056A">
        <w:rPr>
          <w:rFonts w:ascii="Georgia" w:hAnsi="Georgia" w:cs="ArialMT"/>
          <w:lang w:val="en-GB"/>
          <w14:ligatures w14:val="standardContextual"/>
        </w:rPr>
        <w:t xml:space="preserve"> IPCC’s most up-to-date CVA framework focus</w:t>
      </w:r>
      <w:r w:rsidR="002E7AFC" w:rsidRPr="0002056A">
        <w:rPr>
          <w:rFonts w:ascii="Georgia" w:hAnsi="Georgia" w:cs="ArialMT"/>
          <w:lang w:val="en-GB"/>
          <w14:ligatures w14:val="standardContextual"/>
        </w:rPr>
        <w:t>es</w:t>
      </w:r>
      <w:r w:rsidR="001007F7" w:rsidRPr="0002056A">
        <w:rPr>
          <w:rFonts w:ascii="Georgia" w:hAnsi="Georgia" w:cs="ArialMT"/>
          <w:lang w:val="en-GB"/>
          <w14:ligatures w14:val="standardContextual"/>
        </w:rPr>
        <w:t xml:space="preserve"> on climate risks instead of actual vulnerability. </w:t>
      </w:r>
      <w:r w:rsidR="00C81EC0" w:rsidRPr="0002056A">
        <w:rPr>
          <w:rFonts w:ascii="Georgia" w:hAnsi="Georgia" w:cs="ArialMT"/>
          <w:lang w:val="en-GB"/>
          <w14:ligatures w14:val="standardContextual"/>
        </w:rPr>
        <w:t xml:space="preserve">This new </w:t>
      </w:r>
      <w:r w:rsidR="00C81EC0" w:rsidRPr="0002056A">
        <w:rPr>
          <w:rFonts w:ascii="Georgia" w:hAnsi="Georgia" w:cs="ArialMT"/>
          <w:b/>
          <w:bCs/>
          <w:lang w:val="en-GB"/>
          <w14:ligatures w14:val="standardContextual"/>
        </w:rPr>
        <w:t>risk</w:t>
      </w:r>
      <w:r w:rsidR="00C81EC0" w:rsidRPr="0002056A">
        <w:rPr>
          <w:rFonts w:ascii="Georgia" w:hAnsi="Georgia" w:cs="ArialMT"/>
          <w:lang w:val="en-GB"/>
          <w14:ligatures w14:val="standardContextual"/>
        </w:rPr>
        <w:t xml:space="preserve"> concept</w:t>
      </w:r>
      <w:r w:rsidR="00DD3C2A" w:rsidRPr="0002056A">
        <w:rPr>
          <w:rFonts w:ascii="Georgia" w:hAnsi="Georgia" w:cs="ArialMT"/>
          <w:lang w:val="en-GB"/>
          <w14:ligatures w14:val="standardContextual"/>
        </w:rPr>
        <w:t xml:space="preserve"> </w:t>
      </w:r>
      <w:r w:rsidR="00DD3C2A" w:rsidRPr="0002056A">
        <w:rPr>
          <w:rFonts w:ascii="Georgia" w:hAnsi="Georgia" w:cs="ArialMT"/>
          <w:b/>
          <w:bCs/>
          <w:lang w:val="en-GB"/>
          <w14:ligatures w14:val="standardContextual"/>
        </w:rPr>
        <w:t>i</w:t>
      </w:r>
      <w:r w:rsidR="001007F7" w:rsidRPr="0002056A">
        <w:rPr>
          <w:rFonts w:ascii="Georgia" w:hAnsi="Georgia" w:cs="ArialMT"/>
          <w:b/>
          <w:bCs/>
          <w:lang w:val="en-GB"/>
          <w14:ligatures w14:val="standardContextual"/>
        </w:rPr>
        <w:t>s determined by a combination of hazards</w:t>
      </w:r>
      <w:r w:rsidR="002E7AFC" w:rsidRPr="0002056A">
        <w:rPr>
          <w:rFonts w:ascii="Georgia" w:hAnsi="Georgia" w:cs="ArialMT"/>
          <w:lang w:val="en-GB"/>
          <w14:ligatures w14:val="standardContextual"/>
        </w:rPr>
        <w:t xml:space="preserve"> (a similar notion to IPCC 4’ exposure)</w:t>
      </w:r>
      <w:r w:rsidR="001007F7" w:rsidRPr="0002056A">
        <w:rPr>
          <w:rFonts w:ascii="Georgia" w:hAnsi="Georgia" w:cs="ArialMT"/>
          <w:lang w:val="en-GB"/>
          <w14:ligatures w14:val="standardContextual"/>
        </w:rPr>
        <w:t xml:space="preserve">, </w:t>
      </w:r>
      <w:r w:rsidR="001007F7" w:rsidRPr="0002056A">
        <w:rPr>
          <w:rFonts w:ascii="Georgia" w:hAnsi="Georgia" w:cs="ArialMT"/>
          <w:b/>
          <w:bCs/>
          <w:lang w:val="en-GB"/>
          <w14:ligatures w14:val="standardContextual"/>
        </w:rPr>
        <w:t>exposure</w:t>
      </w:r>
      <w:r w:rsidR="009F2254" w:rsidRPr="0002056A">
        <w:rPr>
          <w:rFonts w:ascii="Georgia" w:hAnsi="Georgia" w:cs="ArialMT"/>
          <w:lang w:val="en-GB"/>
          <w14:ligatures w14:val="standardContextual"/>
        </w:rPr>
        <w:t xml:space="preserve"> (now it means the local presence of affected parties in threatened areas)</w:t>
      </w:r>
      <w:r w:rsidR="001007F7" w:rsidRPr="0002056A">
        <w:rPr>
          <w:rFonts w:ascii="Georgia" w:hAnsi="Georgia" w:cs="ArialMT"/>
          <w:lang w:val="en-GB"/>
          <w14:ligatures w14:val="standardContextual"/>
        </w:rPr>
        <w:t xml:space="preserve"> </w:t>
      </w:r>
      <w:r w:rsidR="001007F7" w:rsidRPr="0002056A">
        <w:rPr>
          <w:rFonts w:ascii="Georgia" w:hAnsi="Georgia" w:cs="ArialMT"/>
          <w:b/>
          <w:bCs/>
          <w:lang w:val="en-GB"/>
          <w14:ligatures w14:val="standardContextual"/>
        </w:rPr>
        <w:t xml:space="preserve">and vulnerability, all of </w:t>
      </w:r>
      <w:r w:rsidR="002861E5">
        <w:rPr>
          <w:rFonts w:ascii="Georgia" w:hAnsi="Georgia" w:cs="ArialMT"/>
          <w:b/>
          <w:bCs/>
          <w:lang w:val="en-GB"/>
          <w14:ligatures w14:val="standardContextual"/>
        </w:rPr>
        <w:t>which</w:t>
      </w:r>
      <w:r w:rsidR="002861E5" w:rsidRPr="0002056A">
        <w:rPr>
          <w:rFonts w:ascii="Georgia" w:hAnsi="Georgia" w:cs="ArialMT"/>
          <w:b/>
          <w:bCs/>
          <w:lang w:val="en-GB"/>
          <w14:ligatures w14:val="standardContextual"/>
        </w:rPr>
        <w:t xml:space="preserve"> </w:t>
      </w:r>
      <w:r w:rsidR="001007F7" w:rsidRPr="0002056A">
        <w:rPr>
          <w:rFonts w:ascii="Georgia" w:hAnsi="Georgia" w:cs="ArialMT"/>
          <w:b/>
          <w:bCs/>
          <w:lang w:val="en-GB"/>
          <w14:ligatures w14:val="standardContextual"/>
        </w:rPr>
        <w:t>are highly geographical context-</w:t>
      </w:r>
      <w:r w:rsidR="00874ECC" w:rsidRPr="0002056A">
        <w:rPr>
          <w:rFonts w:ascii="Georgia" w:hAnsi="Georgia" w:cs="ArialMT"/>
          <w:b/>
          <w:bCs/>
          <w:lang w:val="en-GB"/>
          <w14:ligatures w14:val="standardContextual"/>
        </w:rPr>
        <w:t>specific,</w:t>
      </w:r>
      <w:r w:rsidR="00DD3C2A" w:rsidRPr="0002056A">
        <w:rPr>
          <w:rFonts w:ascii="Georgia" w:hAnsi="Georgia" w:cs="ArialMT"/>
          <w:lang w:val="en-GB"/>
          <w14:ligatures w14:val="standardContextual"/>
        </w:rPr>
        <w:t xml:space="preserve"> and</w:t>
      </w:r>
      <w:r w:rsidR="001007F7" w:rsidRPr="0002056A">
        <w:rPr>
          <w:rFonts w:ascii="Georgia" w:hAnsi="Georgia" w:cs="ArialMT"/>
          <w:lang w:val="en-GB"/>
          <w14:ligatures w14:val="standardContextual"/>
        </w:rPr>
        <w:t xml:space="preserve"> they rely on a wide range of local environmental and socio-economic factors</w:t>
      </w:r>
      <w:r w:rsidR="00D26376" w:rsidRPr="0002056A">
        <w:rPr>
          <w:rStyle w:val="Lbjegyzet-hivatkozs"/>
          <w:rFonts w:ascii="Georgia" w:hAnsi="Georgia" w:cs="ArialMT"/>
          <w:lang w:val="en-GB"/>
          <w14:ligatures w14:val="standardContextual"/>
        </w:rPr>
        <w:footnoteReference w:id="25"/>
      </w:r>
      <w:r w:rsidR="001007F7" w:rsidRPr="0002056A">
        <w:rPr>
          <w:rFonts w:ascii="Georgia" w:hAnsi="Georgia" w:cs="ArialMT"/>
          <w:lang w:val="en-GB"/>
          <w14:ligatures w14:val="standardContextual"/>
        </w:rPr>
        <w:t xml:space="preserve">. Past, current and future climate-related hazards vary considerably from one place to another. According to the framework, the degree of exposure to climate events depends on the characteristics of the local area and the </w:t>
      </w:r>
      <w:r w:rsidR="00DD3C2A" w:rsidRPr="0002056A">
        <w:rPr>
          <w:rFonts w:ascii="Georgia" w:hAnsi="Georgia" w:cs="ArialMT"/>
          <w:lang w:val="en-GB"/>
          <w14:ligatures w14:val="standardContextual"/>
        </w:rPr>
        <w:t xml:space="preserve">spatial </w:t>
      </w:r>
      <w:r w:rsidR="001007F7" w:rsidRPr="0002056A">
        <w:rPr>
          <w:rFonts w:ascii="Georgia" w:hAnsi="Georgia" w:cs="ArialMT"/>
          <w:lang w:val="en-GB"/>
          <w14:ligatures w14:val="standardContextual"/>
        </w:rPr>
        <w:t xml:space="preserve">elements </w:t>
      </w:r>
      <w:r w:rsidR="002861E5">
        <w:rPr>
          <w:rFonts w:ascii="Georgia" w:hAnsi="Georgia" w:cs="ArialMT"/>
          <w:lang w:val="en-GB"/>
          <w14:ligatures w14:val="standardContextual"/>
        </w:rPr>
        <w:t>within it (</w:t>
      </w:r>
      <w:r w:rsidR="002861E5" w:rsidRPr="005779DF">
        <w:rPr>
          <w:rFonts w:ascii="Georgia" w:hAnsi="Georgia" w:cs="ArialMT"/>
          <w:smallCaps/>
          <w:lang w:val="en-GB"/>
          <w14:ligatures w14:val="standardContextual"/>
        </w:rPr>
        <w:t>Isthiaque et al.</w:t>
      </w:r>
      <w:r w:rsidR="00A2554E" w:rsidRPr="005779DF">
        <w:rPr>
          <w:rFonts w:ascii="Georgia" w:hAnsi="Georgia" w:cs="FrutigerLTPro-Condensed"/>
          <w:smallCaps/>
          <w:lang w:val="en-GB"/>
          <w14:ligatures w14:val="standardContextual"/>
        </w:rPr>
        <w:t>,</w:t>
      </w:r>
      <w:r w:rsidR="00A2554E" w:rsidRPr="0002056A">
        <w:rPr>
          <w:rFonts w:ascii="Georgia" w:hAnsi="Georgia" w:cs="FrutigerLTPro-Condensed"/>
          <w:lang w:val="en-GB"/>
          <w14:ligatures w14:val="standardContextual"/>
        </w:rPr>
        <w:t xml:space="preserve"> </w:t>
      </w:r>
      <w:r w:rsidR="003E164F" w:rsidRPr="0002056A">
        <w:rPr>
          <w:rFonts w:ascii="Georgia" w:hAnsi="Georgia" w:cs="FrutigerLTPro-Condensed"/>
          <w:lang w:val="en-GB"/>
          <w14:ligatures w14:val="standardContextual"/>
        </w:rPr>
        <w:t>2022</w:t>
      </w:r>
      <w:r w:rsidR="00A2554E" w:rsidRPr="0002056A">
        <w:rPr>
          <w:rFonts w:ascii="Georgia" w:hAnsi="Georgia" w:cs="FrutigerLTPro-Condensed"/>
          <w:lang w:val="en-GB"/>
          <w14:ligatures w14:val="standardContextual"/>
        </w:rPr>
        <w:t xml:space="preserve">; </w:t>
      </w:r>
      <w:r w:rsidR="001007F7" w:rsidRPr="0002056A">
        <w:rPr>
          <w:rFonts w:ascii="Georgia" w:hAnsi="Georgia" w:cs="ArialMT"/>
          <w:lang w:val="en-GB"/>
          <w14:ligatures w14:val="standardContextual"/>
        </w:rPr>
        <w:t>OECD, 2023).</w:t>
      </w:r>
      <w:r w:rsidR="006144D9" w:rsidRPr="0002056A">
        <w:rPr>
          <w:rFonts w:ascii="Georgia" w:hAnsi="Georgia" w:cs="ArialMT"/>
          <w:lang w:val="en-GB"/>
          <w14:ligatures w14:val="standardContextual"/>
        </w:rPr>
        <w:t xml:space="preserve"> </w:t>
      </w:r>
      <w:r w:rsidR="006144D9" w:rsidRPr="0002056A">
        <w:rPr>
          <w:rFonts w:ascii="Georgia" w:hAnsi="Georgia" w:cs="FrutigerLTPro-Condensed"/>
          <w:b/>
          <w:bCs/>
          <w:lang w:val="en-GB"/>
          <w14:ligatures w14:val="standardContextual"/>
        </w:rPr>
        <w:t>T</w:t>
      </w:r>
      <w:r w:rsidR="006144D9" w:rsidRPr="0002056A">
        <w:rPr>
          <w:rFonts w:ascii="Georgia" w:hAnsi="Georgia"/>
          <w:b/>
          <w:bCs/>
          <w:lang w:val="en-GB"/>
        </w:rPr>
        <w:t>erritorial/spatial differences of impact chain elements</w:t>
      </w:r>
      <w:r w:rsidR="006144D9" w:rsidRPr="0002056A">
        <w:rPr>
          <w:rFonts w:ascii="Georgia" w:hAnsi="Georgia"/>
          <w:lang w:val="en-GB"/>
        </w:rPr>
        <w:t xml:space="preserve"> (exposure, sensitivity, adaptive capacity, vulnerability, risk) all show the </w:t>
      </w:r>
      <w:r w:rsidR="006144D9" w:rsidRPr="0002056A">
        <w:rPr>
          <w:rFonts w:ascii="Georgia" w:hAnsi="Georgia"/>
          <w:b/>
          <w:bCs/>
          <w:lang w:val="en-GB"/>
        </w:rPr>
        <w:t>existing geographic context of climate vulnerability and risks</w:t>
      </w:r>
      <w:r w:rsidR="006144D9" w:rsidRPr="0002056A">
        <w:rPr>
          <w:rFonts w:ascii="Georgia" w:hAnsi="Georgia"/>
          <w:lang w:val="en-GB"/>
        </w:rPr>
        <w:t>: site and situation of the impacted place, proximity to hazard sources and events, etc.</w:t>
      </w:r>
      <w:r w:rsidR="002861E5">
        <w:rPr>
          <w:rFonts w:ascii="Georgia" w:hAnsi="Georgia"/>
          <w:lang w:val="en-GB"/>
        </w:rPr>
        <w:t>,</w:t>
      </w:r>
      <w:r w:rsidR="006144D9" w:rsidRPr="0002056A">
        <w:rPr>
          <w:rFonts w:ascii="Georgia" w:hAnsi="Georgia"/>
          <w:lang w:val="en-GB"/>
        </w:rPr>
        <w:t xml:space="preserve"> influence the volume of the risk itself. The function of a climate change risk assessment (CCRA) is not only to </w:t>
      </w:r>
      <w:r w:rsidR="002861E5">
        <w:rPr>
          <w:rFonts w:ascii="Georgia" w:hAnsi="Georgia"/>
          <w:lang w:val="en-GB"/>
        </w:rPr>
        <w:t xml:space="preserve">identify the location of risk-related problems, but also to quantitatively/qualitatively determine risk significance, taking into account all risks </w:t>
      </w:r>
      <w:r w:rsidR="006144D9" w:rsidRPr="0002056A">
        <w:rPr>
          <w:rFonts w:ascii="Georgia" w:hAnsi="Georgia"/>
          <w:lang w:val="en-GB"/>
        </w:rPr>
        <w:t>related to a specific place</w:t>
      </w:r>
      <w:r w:rsidR="003E3BF3" w:rsidRPr="0002056A">
        <w:rPr>
          <w:rStyle w:val="Lbjegyzet-hivatkozs"/>
          <w:rFonts w:ascii="Georgia" w:hAnsi="Georgia"/>
          <w:lang w:val="en-GB"/>
        </w:rPr>
        <w:footnoteReference w:id="26"/>
      </w:r>
      <w:r w:rsidR="006144D9" w:rsidRPr="0002056A">
        <w:rPr>
          <w:rFonts w:ascii="Georgia" w:hAnsi="Georgia"/>
          <w:lang w:val="en-GB"/>
        </w:rPr>
        <w:t>.</w:t>
      </w:r>
    </w:p>
    <w:p w14:paraId="0432CB27" w14:textId="0B4A2010" w:rsidR="00236CAC" w:rsidRPr="0002056A" w:rsidRDefault="00170356" w:rsidP="00CD5BF3">
      <w:pPr>
        <w:autoSpaceDE w:val="0"/>
        <w:autoSpaceDN w:val="0"/>
        <w:adjustRightInd w:val="0"/>
        <w:spacing w:before="120" w:after="120"/>
        <w:jc w:val="both"/>
        <w:rPr>
          <w:rFonts w:ascii="Georgia" w:hAnsi="Georgia" w:cs="FrutigerLTPro-Condensed"/>
          <w:lang w:val="en-GB"/>
          <w14:ligatures w14:val="standardContextual"/>
        </w:rPr>
      </w:pPr>
      <w:r w:rsidRPr="0002056A">
        <w:rPr>
          <w:rFonts w:ascii="Georgia" w:hAnsi="Georgia" w:cs="FrutigerLTPro-Condensed"/>
          <w:lang w:val="en-GB"/>
          <w14:ligatures w14:val="standardContextual"/>
        </w:rPr>
        <w:t>Recently</w:t>
      </w:r>
      <w:r w:rsidR="002861E5">
        <w:rPr>
          <w:rFonts w:ascii="Georgia" w:hAnsi="Georgia" w:cs="FrutigerLTPro-Condensed"/>
          <w:lang w:val="en-GB"/>
          <w14:ligatures w14:val="standardContextual"/>
        </w:rPr>
        <w:t>, scientists, in harmony with the new frameworks, have analysed</w:t>
      </w:r>
      <w:r w:rsidR="00236CAC" w:rsidRPr="0002056A">
        <w:rPr>
          <w:rFonts w:ascii="Georgia" w:hAnsi="Georgia" w:cs="FrutigerLTPro-Condensed"/>
          <w:lang w:val="en-GB"/>
          <w14:ligatures w14:val="standardContextual"/>
        </w:rPr>
        <w:t xml:space="preserve"> the </w:t>
      </w:r>
      <w:r w:rsidR="00236CAC" w:rsidRPr="0002056A">
        <w:rPr>
          <w:rFonts w:ascii="Georgia" w:hAnsi="Georgia" w:cs="FrutigerLTPro-Condensed"/>
          <w:b/>
          <w:bCs/>
          <w:lang w:val="en-GB"/>
          <w14:ligatures w14:val="standardContextual"/>
        </w:rPr>
        <w:t>spati</w:t>
      </w:r>
      <w:r w:rsidR="00546958" w:rsidRPr="0002056A">
        <w:rPr>
          <w:rFonts w:ascii="Georgia" w:hAnsi="Georgia" w:cs="FrutigerLTPro-Condensed"/>
          <w:b/>
          <w:bCs/>
          <w:lang w:val="en-GB"/>
          <w14:ligatures w14:val="standardContextual"/>
        </w:rPr>
        <w:t>a</w:t>
      </w:r>
      <w:r w:rsidR="00236CAC" w:rsidRPr="0002056A">
        <w:rPr>
          <w:rFonts w:ascii="Georgia" w:hAnsi="Georgia" w:cs="FrutigerLTPro-Condensed"/>
          <w:b/>
          <w:bCs/>
          <w:lang w:val="en-GB"/>
          <w14:ligatures w14:val="standardContextual"/>
        </w:rPr>
        <w:t>lity of climate risks.</w:t>
      </w:r>
      <w:r w:rsidR="00236CAC" w:rsidRPr="0002056A">
        <w:rPr>
          <w:rFonts w:ascii="Georgia" w:hAnsi="Georgia" w:cs="FrutigerLTPro-Condensed"/>
          <w:lang w:val="en-GB"/>
          <w14:ligatures w14:val="standardContextual"/>
        </w:rPr>
        <w:t xml:space="preserve"> </w:t>
      </w:r>
      <w:r w:rsidR="008609BE" w:rsidRPr="0002056A">
        <w:rPr>
          <w:rFonts w:ascii="Georgia" w:hAnsi="Georgia"/>
          <w:lang w:val="en-GB"/>
        </w:rPr>
        <w:t xml:space="preserve">Velazquez </w:t>
      </w:r>
      <w:r w:rsidR="002861E5">
        <w:rPr>
          <w:rFonts w:ascii="Georgia" w:hAnsi="Georgia"/>
          <w:lang w:val="en-GB"/>
        </w:rPr>
        <w:t>explicitly addresses the problem of spatial risks (defined as processes that pose foreseeable threats to society and the environment in the absence of strategies to strengthen local communities' resilience to</w:t>
      </w:r>
      <w:r w:rsidR="008609BE" w:rsidRPr="0002056A">
        <w:rPr>
          <w:rFonts w:ascii="Georgia" w:hAnsi="Georgia"/>
          <w:lang w:val="en-GB"/>
        </w:rPr>
        <w:t xml:space="preserve"> structural vulnerability) and climate change in his article. He concentrates </w:t>
      </w:r>
      <w:r w:rsidR="008609BE" w:rsidRPr="0002056A">
        <w:rPr>
          <w:rFonts w:ascii="Georgia" w:hAnsi="Georgia" w:cs="FairfieldLH-Light"/>
          <w:lang w:val="en-GB"/>
          <w14:ligatures w14:val="standardContextual"/>
        </w:rPr>
        <w:t xml:space="preserve">on the social and human implications of climate change, saying that convergence of environmental, territorial, and social factors makes it necessary to identify the relation between territory and climate, dominant political systems and economic processes, because the current pace of anthropogenic climate change </w:t>
      </w:r>
      <w:r w:rsidR="003D4410" w:rsidRPr="0002056A">
        <w:rPr>
          <w:rFonts w:ascii="Georgia" w:hAnsi="Georgia" w:cs="FairfieldLH-Light"/>
          <w:lang w:val="en-GB"/>
          <w14:ligatures w14:val="standardContextual"/>
        </w:rPr>
        <w:t>is</w:t>
      </w:r>
      <w:r w:rsidR="008609BE" w:rsidRPr="0002056A">
        <w:rPr>
          <w:rFonts w:ascii="Georgia" w:hAnsi="Georgia" w:cs="FairfieldLH-Light"/>
          <w:lang w:val="en-GB"/>
          <w14:ligatures w14:val="standardContextual"/>
        </w:rPr>
        <w:t xml:space="preserve"> the result of various territorial (</w:t>
      </w:r>
      <w:r w:rsidR="003D4410" w:rsidRPr="0002056A">
        <w:rPr>
          <w:rFonts w:ascii="Georgia" w:hAnsi="Georgia" w:cs="FairfieldLH-Light"/>
          <w:lang w:val="en-GB"/>
          <w14:ligatures w14:val="standardContextual"/>
        </w:rPr>
        <w:t>i</w:t>
      </w:r>
      <w:r w:rsidR="008609BE" w:rsidRPr="0002056A">
        <w:rPr>
          <w:rFonts w:ascii="Georgia" w:hAnsi="Georgia" w:cs="FairfieldLH-Light"/>
          <w:lang w:val="en-GB"/>
          <w14:ligatures w14:val="standardContextual"/>
        </w:rPr>
        <w:t>n my dissertation’s approach: spatial) activities (</w:t>
      </w:r>
      <w:r w:rsidR="008609BE" w:rsidRPr="0002056A">
        <w:rPr>
          <w:rFonts w:ascii="Georgia" w:hAnsi="Georgia" w:cs="FairfieldLH-Light"/>
          <w:smallCaps/>
          <w:lang w:val="en-GB"/>
          <w14:ligatures w14:val="standardContextual"/>
        </w:rPr>
        <w:t>Velazquez, 2012</w:t>
      </w:r>
      <w:r w:rsidR="008609BE" w:rsidRPr="0002056A">
        <w:rPr>
          <w:rFonts w:ascii="Georgia" w:hAnsi="Georgia" w:cs="FairfieldLH-Light"/>
          <w:lang w:val="en-GB"/>
          <w14:ligatures w14:val="standardContextual"/>
        </w:rPr>
        <w:t xml:space="preserve">). </w:t>
      </w:r>
      <w:r w:rsidR="00A92B9C" w:rsidRPr="0002056A">
        <w:rPr>
          <w:rFonts w:ascii="Georgia" w:hAnsi="Georgia" w:cs="FrutigerLTPro-Condensed"/>
          <w:lang w:val="en-GB"/>
          <w14:ligatures w14:val="standardContextual"/>
        </w:rPr>
        <w:t xml:space="preserve">Davies et al. </w:t>
      </w:r>
      <w:r w:rsidR="002861E5">
        <w:rPr>
          <w:rFonts w:ascii="Georgia" w:hAnsi="Georgia" w:cs="FrutigerLTPro-Condensed"/>
          <w:lang w:val="en-GB"/>
          <w14:ligatures w14:val="standardContextual"/>
        </w:rPr>
        <w:t>discuss riskscapes (a.k.a. the “environment,”</w:t>
      </w:r>
      <w:r w:rsidR="00C31191" w:rsidRPr="0002056A">
        <w:rPr>
          <w:rFonts w:ascii="Georgia" w:hAnsi="Georgia" w:cs="FrutigerLTPro-Condensed"/>
          <w:lang w:val="en-GB"/>
          <w14:ligatures w14:val="standardContextual"/>
        </w:rPr>
        <w:t xml:space="preserve"> </w:t>
      </w:r>
      <w:r w:rsidR="009D0C11" w:rsidRPr="0002056A">
        <w:rPr>
          <w:rFonts w:ascii="Georgia" w:hAnsi="Georgia" w:cs="FrutigerLTPro-Condensed"/>
          <w:lang w:val="en-GB"/>
          <w14:ligatures w14:val="standardContextual"/>
        </w:rPr>
        <w:t xml:space="preserve">the </w:t>
      </w:r>
      <w:r w:rsidR="00C31191" w:rsidRPr="0002056A">
        <w:rPr>
          <w:rFonts w:ascii="Georgia" w:hAnsi="Georgia" w:cs="FrutigerLTPro-Condensed"/>
          <w:lang w:val="en-GB"/>
          <w14:ligatures w14:val="standardContextual"/>
        </w:rPr>
        <w:t>“</w:t>
      </w:r>
      <w:r w:rsidR="009D0C11" w:rsidRPr="0002056A">
        <w:rPr>
          <w:rFonts w:ascii="Georgia" w:hAnsi="Georgia" w:cs="FrutigerLTPro-Condensed"/>
          <w:lang w:val="en-GB"/>
          <w14:ligatures w14:val="standardContextual"/>
        </w:rPr>
        <w:t>landscape</w:t>
      </w:r>
      <w:r w:rsidR="00C31191" w:rsidRPr="0002056A">
        <w:rPr>
          <w:rFonts w:ascii="Georgia" w:hAnsi="Georgia" w:cs="FrutigerLTPro-Condensed"/>
          <w:lang w:val="en-GB"/>
          <w14:ligatures w14:val="standardContextual"/>
        </w:rPr>
        <w:t>”</w:t>
      </w:r>
      <w:r w:rsidR="009D0C11" w:rsidRPr="0002056A">
        <w:rPr>
          <w:rFonts w:ascii="Georgia" w:hAnsi="Georgia" w:cs="FrutigerLTPro-Condensed"/>
          <w:lang w:val="en-GB"/>
          <w14:ligatures w14:val="standardContextual"/>
        </w:rPr>
        <w:t xml:space="preserve"> of risks)</w:t>
      </w:r>
      <w:r w:rsidR="002D406B" w:rsidRPr="0002056A">
        <w:rPr>
          <w:rFonts w:ascii="Georgia" w:hAnsi="Georgia" w:cs="FrutigerLTPro-Condensed"/>
          <w:lang w:val="en-GB"/>
          <w14:ligatures w14:val="standardContextual"/>
        </w:rPr>
        <w:t xml:space="preserve">. The approach brings together two interlinked themes: governance and institutional responses </w:t>
      </w:r>
      <w:r w:rsidR="008F318C" w:rsidRPr="0002056A">
        <w:rPr>
          <w:rFonts w:ascii="Georgia" w:hAnsi="Georgia" w:cs="FrutigerLTPro-Condensed"/>
          <w:lang w:val="en-GB"/>
          <w14:ligatures w14:val="standardContextual"/>
        </w:rPr>
        <w:t xml:space="preserve">on the one hand </w:t>
      </w:r>
      <w:r w:rsidR="002D406B" w:rsidRPr="0002056A">
        <w:rPr>
          <w:rFonts w:ascii="Georgia" w:hAnsi="Georgia" w:cs="FrutigerLTPro-Condensed"/>
          <w:lang w:val="en-GB"/>
          <w14:ligatures w14:val="standardContextual"/>
        </w:rPr>
        <w:t>and vulnerabilities and inequalities</w:t>
      </w:r>
      <w:r w:rsidR="008F318C" w:rsidRPr="0002056A">
        <w:rPr>
          <w:rFonts w:ascii="Georgia" w:hAnsi="Georgia" w:cs="FrutigerLTPro-Condensed"/>
          <w:lang w:val="en-GB"/>
          <w14:ligatures w14:val="standardContextual"/>
        </w:rPr>
        <w:t xml:space="preserve"> on the other</w:t>
      </w:r>
      <w:r w:rsidR="00834183" w:rsidRPr="0002056A">
        <w:rPr>
          <w:rStyle w:val="Lbjegyzet-hivatkozs"/>
          <w:rFonts w:ascii="Georgia" w:hAnsi="Georgia" w:cs="FrutigerLTPro-Condensed"/>
          <w:lang w:val="en-GB"/>
          <w14:ligatures w14:val="standardContextual"/>
        </w:rPr>
        <w:footnoteReference w:id="27"/>
      </w:r>
      <w:r w:rsidR="002D406B" w:rsidRPr="0002056A">
        <w:rPr>
          <w:rFonts w:ascii="Georgia" w:hAnsi="Georgia" w:cs="FrutigerLTPro-Condensed"/>
          <w:lang w:val="en-GB"/>
          <w14:ligatures w14:val="standardContextual"/>
        </w:rPr>
        <w:t>.</w:t>
      </w:r>
      <w:r w:rsidR="00CB22D7" w:rsidRPr="0002056A">
        <w:rPr>
          <w:rFonts w:ascii="Georgia" w:hAnsi="Georgia" w:cs="FrutigerLTPro-Condensed"/>
          <w:lang w:val="en-GB"/>
          <w14:ligatures w14:val="standardContextual"/>
        </w:rPr>
        <w:t xml:space="preserve"> </w:t>
      </w:r>
      <w:r w:rsidR="002D406B" w:rsidRPr="0002056A">
        <w:rPr>
          <w:rFonts w:ascii="Georgia" w:hAnsi="Georgia" w:cs="FrutigerLTPro-Condensed"/>
          <w:lang w:val="en-GB"/>
          <w14:ligatures w14:val="standardContextual"/>
        </w:rPr>
        <w:t xml:space="preserve">Although riskscapes highlight the unique </w:t>
      </w:r>
      <w:r w:rsidR="002D406B" w:rsidRPr="0002056A">
        <w:rPr>
          <w:rFonts w:ascii="Georgia" w:hAnsi="Georgia" w:cs="FrutigerLTPro-Condensed"/>
          <w:lang w:val="en-GB"/>
          <w14:ligatures w14:val="standardContextual"/>
        </w:rPr>
        <w:lastRenderedPageBreak/>
        <w:t>characteristics and the context of specific places, they also draw together important lessons of governance, planning and socio-ecological engagement that are critical to building resilience at local, regional, national and global scales</w:t>
      </w:r>
      <w:r w:rsidR="0082461B" w:rsidRPr="0002056A">
        <w:rPr>
          <w:rFonts w:ascii="Georgia" w:hAnsi="Georgia" w:cs="FrutigerLTPro-Condensed"/>
          <w:lang w:val="en-GB"/>
          <w14:ligatures w14:val="standardContextual"/>
        </w:rPr>
        <w:t xml:space="preserve"> (</w:t>
      </w:r>
      <w:r w:rsidR="0082461B" w:rsidRPr="0002056A">
        <w:rPr>
          <w:rFonts w:ascii="Georgia" w:hAnsi="Georgia" w:cs="FrutigerLTPro-Condensed"/>
          <w:smallCaps/>
          <w:lang w:val="en-GB"/>
          <w14:ligatures w14:val="standardContextual"/>
        </w:rPr>
        <w:t>Davies et al., 2020</w:t>
      </w:r>
      <w:r w:rsidR="0082461B" w:rsidRPr="0002056A">
        <w:rPr>
          <w:rFonts w:ascii="Georgia" w:hAnsi="Georgia" w:cs="FrutigerLTPro-Condensed"/>
          <w:lang w:val="en-GB"/>
          <w14:ligatures w14:val="standardContextual"/>
        </w:rPr>
        <w:t>).</w:t>
      </w:r>
    </w:p>
    <w:p w14:paraId="1C1A882F" w14:textId="496789C9" w:rsidR="00D46125" w:rsidRPr="0002056A" w:rsidRDefault="00344820" w:rsidP="00CD5BF3">
      <w:pPr>
        <w:pStyle w:val="NormlWeb"/>
        <w:shd w:val="clear" w:color="auto" w:fill="FFFFFF"/>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 xml:space="preserve">The number of </w:t>
      </w:r>
      <w:r w:rsidRPr="0002056A">
        <w:rPr>
          <w:rFonts w:ascii="Georgia" w:hAnsi="Georgia"/>
          <w:b/>
          <w:bCs/>
          <w:sz w:val="22"/>
          <w:szCs w:val="22"/>
          <w:lang w:val="en-GB"/>
        </w:rPr>
        <w:t>articles directly dealing</w:t>
      </w:r>
      <w:r w:rsidRPr="0002056A">
        <w:rPr>
          <w:rFonts w:ascii="Georgia" w:hAnsi="Georgia"/>
          <w:sz w:val="22"/>
          <w:szCs w:val="22"/>
          <w:lang w:val="en-GB"/>
        </w:rPr>
        <w:t xml:space="preserve"> </w:t>
      </w:r>
      <w:r w:rsidR="002861E5">
        <w:rPr>
          <w:rFonts w:ascii="Georgia" w:hAnsi="Georgia"/>
          <w:sz w:val="22"/>
          <w:szCs w:val="22"/>
          <w:lang w:val="en-GB"/>
        </w:rPr>
        <w:t xml:space="preserve">with </w:t>
      </w:r>
      <w:r w:rsidR="00667F39" w:rsidRPr="0002056A">
        <w:rPr>
          <w:rFonts w:ascii="Georgia" w:hAnsi="Georgia"/>
          <w:b/>
          <w:bCs/>
          <w:sz w:val="22"/>
          <w:szCs w:val="22"/>
          <w:lang w:val="en-GB"/>
        </w:rPr>
        <w:t>adaptation’s spatiality</w:t>
      </w:r>
      <w:r w:rsidR="00667F39" w:rsidRPr="0002056A">
        <w:rPr>
          <w:rFonts w:ascii="Georgia" w:hAnsi="Georgia"/>
          <w:sz w:val="22"/>
          <w:szCs w:val="22"/>
          <w:lang w:val="en-GB"/>
        </w:rPr>
        <w:t xml:space="preserve"> is low. </w:t>
      </w:r>
      <w:r w:rsidR="0026630E" w:rsidRPr="0002056A">
        <w:rPr>
          <w:rFonts w:ascii="Georgia" w:hAnsi="Georgia"/>
          <w:sz w:val="22"/>
          <w:szCs w:val="22"/>
          <w:lang w:val="en-GB"/>
        </w:rPr>
        <w:t xml:space="preserve">As one of the few such works, </w:t>
      </w:r>
      <w:r w:rsidR="00CB7A0A" w:rsidRPr="0002056A">
        <w:rPr>
          <w:rFonts w:ascii="Georgia" w:hAnsi="Georgia"/>
          <w:sz w:val="22"/>
          <w:szCs w:val="22"/>
          <w:lang w:val="en-GB"/>
        </w:rPr>
        <w:t>Davidse and his colleagues in their 2015 article dedicat</w:t>
      </w:r>
      <w:r w:rsidR="00667F39" w:rsidRPr="0002056A">
        <w:rPr>
          <w:rFonts w:ascii="Georgia" w:hAnsi="Georgia"/>
          <w:sz w:val="22"/>
          <w:szCs w:val="22"/>
          <w:lang w:val="en-GB"/>
        </w:rPr>
        <w:t>e</w:t>
      </w:r>
      <w:r w:rsidR="00CB7A0A" w:rsidRPr="0002056A">
        <w:rPr>
          <w:rFonts w:ascii="Georgia" w:hAnsi="Georgia"/>
          <w:sz w:val="22"/>
          <w:szCs w:val="22"/>
          <w:lang w:val="en-GB"/>
        </w:rPr>
        <w:t xml:space="preserve"> a s</w:t>
      </w:r>
      <w:r w:rsidR="00667F39" w:rsidRPr="0002056A">
        <w:rPr>
          <w:rFonts w:ascii="Georgia" w:hAnsi="Georgia"/>
          <w:sz w:val="22"/>
          <w:szCs w:val="22"/>
          <w:lang w:val="en-GB"/>
        </w:rPr>
        <w:t>pecial</w:t>
      </w:r>
      <w:r w:rsidR="00CB7A0A" w:rsidRPr="0002056A">
        <w:rPr>
          <w:rFonts w:ascii="Georgia" w:hAnsi="Georgia"/>
          <w:sz w:val="22"/>
          <w:szCs w:val="22"/>
          <w:lang w:val="en-GB"/>
        </w:rPr>
        <w:t xml:space="preserve"> subchapter to the topic. They found, similarly to Koks et al., that spatial characteristics of the effects of climate change are often described by their objective geographical dimensions, e.g. in the form of risk maps, creating an objective depiction of risks’ geographical distribution (</w:t>
      </w:r>
      <w:r w:rsidR="00CB7A0A" w:rsidRPr="0002056A">
        <w:rPr>
          <w:rFonts w:ascii="Georgia" w:hAnsi="Georgia"/>
          <w:smallCaps/>
          <w:sz w:val="22"/>
          <w:szCs w:val="22"/>
          <w:lang w:val="en-GB"/>
        </w:rPr>
        <w:t>Koks et al., 2014</w:t>
      </w:r>
      <w:r w:rsidR="002861E5">
        <w:rPr>
          <w:rFonts w:ascii="Georgia" w:hAnsi="Georgia"/>
          <w:smallCaps/>
          <w:sz w:val="22"/>
          <w:szCs w:val="22"/>
          <w:lang w:val="en-GB"/>
        </w:rPr>
        <w:t>;</w:t>
      </w:r>
      <w:r w:rsidR="002861E5" w:rsidRPr="0002056A">
        <w:rPr>
          <w:rFonts w:ascii="Georgia" w:hAnsi="Georgia"/>
          <w:smallCaps/>
          <w:sz w:val="22"/>
          <w:szCs w:val="22"/>
          <w:lang w:val="en-GB"/>
        </w:rPr>
        <w:t xml:space="preserve"> </w:t>
      </w:r>
      <w:r w:rsidR="00CB7A0A" w:rsidRPr="0002056A">
        <w:rPr>
          <w:rFonts w:ascii="Georgia" w:hAnsi="Georgia"/>
          <w:smallCaps/>
          <w:sz w:val="22"/>
          <w:szCs w:val="22"/>
          <w:lang w:val="en-GB"/>
        </w:rPr>
        <w:t>Davidse et al, 2015</w:t>
      </w:r>
      <w:r w:rsidR="00CB7A0A" w:rsidRPr="0002056A">
        <w:rPr>
          <w:rFonts w:ascii="Georgia" w:hAnsi="Georgia"/>
          <w:sz w:val="22"/>
          <w:szCs w:val="22"/>
          <w:lang w:val="en-GB"/>
        </w:rPr>
        <w:t xml:space="preserve">). At the same time, </w:t>
      </w:r>
      <w:r w:rsidR="002861E5">
        <w:rPr>
          <w:rFonts w:ascii="Georgia" w:hAnsi="Georgia"/>
          <w:sz w:val="22"/>
          <w:szCs w:val="22"/>
          <w:lang w:val="en-GB"/>
        </w:rPr>
        <w:t xml:space="preserve">the </w:t>
      </w:r>
      <w:r w:rsidR="00CB7A0A" w:rsidRPr="0002056A">
        <w:rPr>
          <w:rFonts w:ascii="Georgia" w:hAnsi="Georgia"/>
          <w:sz w:val="22"/>
          <w:szCs w:val="22"/>
          <w:lang w:val="en-GB"/>
        </w:rPr>
        <w:t xml:space="preserve">spatial character of adaptation measures </w:t>
      </w:r>
      <w:r w:rsidR="00EB2CC5" w:rsidRPr="0002056A">
        <w:rPr>
          <w:rFonts w:ascii="Georgia" w:hAnsi="Georgia"/>
          <w:sz w:val="22"/>
          <w:szCs w:val="22"/>
          <w:lang w:val="en-GB"/>
        </w:rPr>
        <w:t>is</w:t>
      </w:r>
      <w:r w:rsidR="00CB7A0A" w:rsidRPr="0002056A">
        <w:rPr>
          <w:rFonts w:ascii="Georgia" w:hAnsi="Georgia"/>
          <w:sz w:val="22"/>
          <w:szCs w:val="22"/>
          <w:lang w:val="en-GB"/>
        </w:rPr>
        <w:t xml:space="preserve"> often defined, stating that there is a clear spatial / geographical dimension of intervention</w:t>
      </w:r>
      <w:r w:rsidR="00EB2CC5" w:rsidRPr="0002056A">
        <w:rPr>
          <w:rFonts w:ascii="Georgia" w:hAnsi="Georgia"/>
          <w:sz w:val="22"/>
          <w:szCs w:val="22"/>
          <w:lang w:val="en-GB"/>
        </w:rPr>
        <w:t>s</w:t>
      </w:r>
      <w:r w:rsidR="00CB7A0A" w:rsidRPr="0002056A">
        <w:rPr>
          <w:rFonts w:ascii="Georgia" w:hAnsi="Georgia"/>
          <w:sz w:val="22"/>
          <w:szCs w:val="22"/>
          <w:lang w:val="en-GB"/>
        </w:rPr>
        <w:t>. All in all: both vulnerability to climate effects and adaptation measures have clear spatial characteristics</w:t>
      </w:r>
      <w:r w:rsidR="007A67CF" w:rsidRPr="0002056A">
        <w:rPr>
          <w:rFonts w:ascii="Georgia" w:hAnsi="Georgia"/>
          <w:sz w:val="22"/>
          <w:szCs w:val="22"/>
          <w:lang w:val="en-GB"/>
        </w:rPr>
        <w:t xml:space="preserve"> </w:t>
      </w:r>
      <w:r w:rsidR="00CB7A0A" w:rsidRPr="0002056A">
        <w:rPr>
          <w:rFonts w:ascii="Georgia" w:hAnsi="Georgia"/>
          <w:sz w:val="22"/>
          <w:szCs w:val="22"/>
          <w:lang w:val="en-GB"/>
        </w:rPr>
        <w:t>(</w:t>
      </w:r>
      <w:r w:rsidR="00CB7A0A" w:rsidRPr="0002056A">
        <w:rPr>
          <w:rFonts w:ascii="Georgia" w:hAnsi="Georgia"/>
          <w:smallCaps/>
          <w:sz w:val="22"/>
          <w:szCs w:val="22"/>
          <w:lang w:val="en-GB"/>
        </w:rPr>
        <w:t>Davidse et al, 2015</w:t>
      </w:r>
      <w:r w:rsidR="00CB7A0A" w:rsidRPr="0002056A">
        <w:rPr>
          <w:rFonts w:ascii="Georgia" w:hAnsi="Georgia"/>
          <w:sz w:val="22"/>
          <w:szCs w:val="22"/>
          <w:lang w:val="en-GB"/>
        </w:rPr>
        <w:t>).</w:t>
      </w:r>
      <w:r w:rsidR="0026630E" w:rsidRPr="0002056A">
        <w:rPr>
          <w:rFonts w:ascii="Georgia" w:hAnsi="Georgia"/>
          <w:sz w:val="22"/>
          <w:szCs w:val="22"/>
          <w:lang w:val="en-GB"/>
        </w:rPr>
        <w:t xml:space="preserve"> </w:t>
      </w:r>
    </w:p>
    <w:p w14:paraId="79AFF35B" w14:textId="38460A91" w:rsidR="0084039E" w:rsidRPr="0002056A" w:rsidRDefault="0084039E" w:rsidP="00CD5BF3">
      <w:pPr>
        <w:spacing w:before="120" w:after="120"/>
        <w:jc w:val="both"/>
        <w:rPr>
          <w:rFonts w:ascii="Georgia" w:hAnsi="Georgia"/>
          <w:lang w:val="en-GB"/>
        </w:rPr>
      </w:pPr>
      <w:r w:rsidRPr="0002056A">
        <w:rPr>
          <w:rFonts w:ascii="Georgia" w:hAnsi="Georgia"/>
          <w:b/>
          <w:bCs/>
          <w:lang w:val="en-GB"/>
        </w:rPr>
        <w:t xml:space="preserve">Geographical implications in climate adaptation policy </w:t>
      </w:r>
      <w:r w:rsidR="00874ECC" w:rsidRPr="0002056A">
        <w:rPr>
          <w:rFonts w:ascii="Georgia" w:hAnsi="Georgia"/>
          <w:b/>
          <w:bCs/>
          <w:lang w:val="en-GB"/>
        </w:rPr>
        <w:t>are</w:t>
      </w:r>
      <w:r w:rsidRPr="0002056A">
        <w:rPr>
          <w:rFonts w:ascii="Georgia" w:hAnsi="Georgia"/>
          <w:b/>
          <w:bCs/>
          <w:lang w:val="en-GB"/>
        </w:rPr>
        <w:t xml:space="preserve"> examined recently by political geographers and IR experts/geopoliticians</w:t>
      </w:r>
      <w:r w:rsidRPr="0002056A">
        <w:rPr>
          <w:rFonts w:ascii="Georgia" w:hAnsi="Georgia"/>
          <w:lang w:val="en-GB"/>
        </w:rPr>
        <w:t xml:space="preserve"> as well, especially in crisis zones (e.g. in the Middle East) where geophysical impacts of climate change is a catalyst of conflict</w:t>
      </w:r>
      <w:r w:rsidRPr="0002056A">
        <w:rPr>
          <w:rStyle w:val="Lbjegyzet-hivatkozs"/>
          <w:rFonts w:ascii="Georgia" w:hAnsi="Georgia"/>
          <w:lang w:val="en-GB"/>
        </w:rPr>
        <w:footnoteReference w:id="28"/>
      </w:r>
      <w:r w:rsidRPr="0002056A">
        <w:rPr>
          <w:rFonts w:ascii="Georgia" w:hAnsi="Georgia"/>
          <w:lang w:val="en-GB"/>
        </w:rPr>
        <w:t xml:space="preserve">. Within these zones that are very volatile, says the authors, climate change has </w:t>
      </w:r>
      <w:r w:rsidR="002861E5">
        <w:rPr>
          <w:rFonts w:ascii="Georgia" w:hAnsi="Georgia"/>
          <w:lang w:val="en-GB"/>
        </w:rPr>
        <w:t xml:space="preserve">been gaining increasing attention, as a </w:t>
      </w:r>
      <w:r w:rsidRPr="0002056A">
        <w:rPr>
          <w:rFonts w:ascii="Georgia" w:hAnsi="Georgia"/>
          <w:lang w:val="en-GB"/>
        </w:rPr>
        <w:t xml:space="preserve">threat multiplier, influenced by states and geopolitical drivers. </w:t>
      </w:r>
      <w:r w:rsidR="002861E5">
        <w:rPr>
          <w:rFonts w:ascii="Georgia" w:hAnsi="Georgia"/>
          <w:lang w:val="en-GB"/>
        </w:rPr>
        <w:t>The key</w:t>
      </w:r>
      <w:r w:rsidR="002861E5" w:rsidRPr="0002056A">
        <w:rPr>
          <w:rFonts w:ascii="Georgia" w:hAnsi="Georgia"/>
          <w:lang w:val="en-GB"/>
        </w:rPr>
        <w:t xml:space="preserve"> </w:t>
      </w:r>
      <w:r w:rsidRPr="0002056A">
        <w:rPr>
          <w:rFonts w:ascii="Georgia" w:hAnsi="Georgia"/>
          <w:lang w:val="en-GB"/>
        </w:rPr>
        <w:t>question in these research activities is the role of the sovereign state and higher spatial levels in climate policy planning (</w:t>
      </w:r>
      <w:r w:rsidRPr="0002056A">
        <w:rPr>
          <w:rFonts w:ascii="Georgia" w:hAnsi="Georgia" w:cstheme="minorHAnsi"/>
          <w:smallCaps/>
          <w:lang w:val="en-GB"/>
        </w:rPr>
        <w:t>Fröhlich, 2017</w:t>
      </w:r>
      <w:r w:rsidR="00D7488E" w:rsidRPr="0002056A">
        <w:rPr>
          <w:rFonts w:ascii="Georgia" w:hAnsi="Georgia" w:cstheme="minorHAnsi"/>
          <w:smallCaps/>
          <w:lang w:val="en-GB"/>
        </w:rPr>
        <w:t>; Weinger, 2021</w:t>
      </w:r>
      <w:r w:rsidRPr="0002056A">
        <w:rPr>
          <w:rFonts w:ascii="Georgia" w:hAnsi="Georgia"/>
          <w:lang w:val="en-GB"/>
        </w:rPr>
        <w:t>)</w:t>
      </w:r>
      <w:r w:rsidRPr="0002056A">
        <w:rPr>
          <w:rStyle w:val="Lbjegyzet-hivatkozs"/>
          <w:rFonts w:ascii="Georgia" w:hAnsi="Georgia"/>
          <w:lang w:val="en-GB"/>
        </w:rPr>
        <w:footnoteReference w:id="29"/>
      </w:r>
      <w:r w:rsidRPr="0002056A">
        <w:rPr>
          <w:rFonts w:ascii="Georgia" w:hAnsi="Georgia"/>
          <w:lang w:val="en-GB"/>
        </w:rPr>
        <w:t xml:space="preserve">. </w:t>
      </w:r>
    </w:p>
    <w:p w14:paraId="711E749C" w14:textId="1ABE0E88" w:rsidR="0026630E" w:rsidRPr="0002056A" w:rsidRDefault="007A67CF" w:rsidP="00CD5BF3">
      <w:pPr>
        <w:spacing w:before="120" w:after="120"/>
        <w:jc w:val="both"/>
        <w:rPr>
          <w:rFonts w:ascii="Georgia" w:hAnsi="Georgia" w:cs="Times New Roman"/>
          <w:lang w:val="en-GB"/>
        </w:rPr>
      </w:pPr>
      <w:r w:rsidRPr="0002056A">
        <w:rPr>
          <w:rFonts w:ascii="Georgia" w:hAnsi="Georgia" w:cs="Times New Roman"/>
          <w:b/>
          <w:bCs/>
          <w:lang w:val="en-GB"/>
        </w:rPr>
        <w:t>D</w:t>
      </w:r>
      <w:r w:rsidR="0026630E" w:rsidRPr="0002056A">
        <w:rPr>
          <w:rFonts w:ascii="Georgia" w:hAnsi="Georgia" w:cs="Times New Roman"/>
          <w:b/>
          <w:bCs/>
          <w:lang w:val="en-GB"/>
        </w:rPr>
        <w:t>ifferent s</w:t>
      </w:r>
      <w:r w:rsidRPr="0002056A">
        <w:rPr>
          <w:rFonts w:ascii="Georgia" w:hAnsi="Georgia" w:cs="Times New Roman"/>
          <w:b/>
          <w:bCs/>
          <w:lang w:val="en-GB"/>
        </w:rPr>
        <w:t>cientific s</w:t>
      </w:r>
      <w:r w:rsidR="0026630E" w:rsidRPr="0002056A">
        <w:rPr>
          <w:rFonts w:ascii="Georgia" w:hAnsi="Georgia" w:cs="Times New Roman"/>
          <w:b/>
          <w:bCs/>
          <w:lang w:val="en-GB"/>
        </w:rPr>
        <w:t xml:space="preserve">pace concepts </w:t>
      </w:r>
      <w:r w:rsidR="0026630E" w:rsidRPr="0002056A">
        <w:rPr>
          <w:rFonts w:ascii="Georgia" w:hAnsi="Georgia" w:cs="Times New Roman"/>
          <w:lang w:val="en-GB"/>
        </w:rPr>
        <w:t>also emerge</w:t>
      </w:r>
      <w:r w:rsidR="0026630E" w:rsidRPr="0002056A">
        <w:rPr>
          <w:rFonts w:ascii="Georgia" w:hAnsi="Georgia" w:cs="Times New Roman"/>
          <w:b/>
          <w:bCs/>
          <w:lang w:val="en-GB"/>
        </w:rPr>
        <w:t xml:space="preserve"> in climate adaptation-oriented literature</w:t>
      </w:r>
      <w:r w:rsidR="0026630E" w:rsidRPr="0002056A">
        <w:rPr>
          <w:rFonts w:ascii="Georgia" w:hAnsi="Georgia" w:cs="Times New Roman"/>
          <w:lang w:val="en-GB"/>
        </w:rPr>
        <w:t xml:space="preserve"> items. Taylor, in connection with the geographical distribution of different types of extreme weather impacts</w:t>
      </w:r>
      <w:r w:rsidR="002861E5">
        <w:rPr>
          <w:rFonts w:ascii="Georgia" w:hAnsi="Georgia" w:cs="Times New Roman"/>
          <w:lang w:val="en-GB"/>
        </w:rPr>
        <w:t>,</w:t>
      </w:r>
      <w:r w:rsidR="0026630E" w:rsidRPr="0002056A">
        <w:rPr>
          <w:rFonts w:ascii="Georgia" w:hAnsi="Georgia" w:cs="Times New Roman"/>
          <w:lang w:val="en-GB"/>
        </w:rPr>
        <w:t xml:space="preserve"> calls our attention to the absolutist space interpretations, to define regions of risk, not with clear boundaries like states, but with clear expanses of the risk itself, described by the declining probabilities of the said risk. Meanwhile</w:t>
      </w:r>
      <w:r w:rsidR="002861E5">
        <w:rPr>
          <w:rFonts w:ascii="Georgia" w:hAnsi="Georgia" w:cs="Times New Roman"/>
          <w:lang w:val="en-GB"/>
        </w:rPr>
        <w:t>,</w:t>
      </w:r>
      <w:r w:rsidR="0026630E" w:rsidRPr="0002056A">
        <w:rPr>
          <w:rFonts w:ascii="Georgia" w:hAnsi="Georgia" w:cs="Times New Roman"/>
          <w:lang w:val="en-GB"/>
        </w:rPr>
        <w:t xml:space="preserve"> adaptation policy development and implementation are state matters where </w:t>
      </w:r>
      <w:r w:rsidR="002861E5">
        <w:rPr>
          <w:rFonts w:ascii="Georgia" w:hAnsi="Georgia" w:cs="Times New Roman"/>
          <w:lang w:val="en-GB"/>
        </w:rPr>
        <w:t xml:space="preserve">a </w:t>
      </w:r>
      <w:r w:rsidR="0026630E" w:rsidRPr="0002056A">
        <w:rPr>
          <w:rFonts w:ascii="Georgia" w:hAnsi="Georgia" w:cs="Times New Roman"/>
          <w:lang w:val="en-GB"/>
        </w:rPr>
        <w:t>relativist approach is applicable (</w:t>
      </w:r>
      <w:r w:rsidR="0026630E" w:rsidRPr="0002056A">
        <w:rPr>
          <w:rFonts w:ascii="Georgia" w:hAnsi="Georgia" w:cs="Times New Roman"/>
          <w:smallCaps/>
          <w:lang w:val="en-GB"/>
        </w:rPr>
        <w:t>Taylor, 2023</w:t>
      </w:r>
      <w:r w:rsidR="0026630E" w:rsidRPr="0002056A">
        <w:rPr>
          <w:rFonts w:ascii="Georgia" w:hAnsi="Georgia" w:cs="Times New Roman"/>
          <w:lang w:val="en-GB"/>
        </w:rPr>
        <w:t xml:space="preserve">). Davidse and his colleagues had a similar conclusion: </w:t>
      </w:r>
      <w:r w:rsidR="002861E5">
        <w:rPr>
          <w:rFonts w:ascii="Georgia" w:hAnsi="Georgia" w:cs="Times New Roman"/>
          <w:lang w:val="en-GB"/>
        </w:rPr>
        <w:t>from an absolutistic point of view, the effects of climate change have a clear spatial character because of the physical impacts; meanwhile, impacts on anthropogenic structures and relational manifestations of climate effects underline</w:t>
      </w:r>
      <w:r w:rsidR="0026630E" w:rsidRPr="0002056A">
        <w:rPr>
          <w:rFonts w:ascii="Georgia" w:hAnsi="Georgia" w:cs="Times New Roman"/>
          <w:lang w:val="en-GB"/>
        </w:rPr>
        <w:t xml:space="preserve"> the importance of the relativist approach (</w:t>
      </w:r>
      <w:r w:rsidR="0026630E" w:rsidRPr="0002056A">
        <w:rPr>
          <w:rFonts w:ascii="Georgia" w:hAnsi="Georgia" w:cs="Times New Roman"/>
          <w:smallCaps/>
          <w:lang w:val="en-GB"/>
        </w:rPr>
        <w:t>Davidse et al., 2015</w:t>
      </w:r>
      <w:r w:rsidR="0026630E" w:rsidRPr="0002056A">
        <w:rPr>
          <w:rFonts w:ascii="Georgia" w:hAnsi="Georgia" w:cs="Times New Roman"/>
          <w:lang w:val="en-GB"/>
        </w:rPr>
        <w:t xml:space="preserve">). </w:t>
      </w:r>
    </w:p>
    <w:p w14:paraId="156B4873" w14:textId="79989A1F" w:rsidR="0071467C" w:rsidRPr="0002056A" w:rsidRDefault="0071467C" w:rsidP="00214BD9">
      <w:pPr>
        <w:pStyle w:val="Cmsor4"/>
        <w:numPr>
          <w:ilvl w:val="3"/>
          <w:numId w:val="4"/>
        </w:numPr>
        <w:rPr>
          <w:lang w:val="en-GB"/>
        </w:rPr>
      </w:pPr>
      <w:r w:rsidRPr="0002056A">
        <w:rPr>
          <w:lang w:val="en-GB"/>
        </w:rPr>
        <w:t xml:space="preserve">Spatiality in climate adaptation policy -related </w:t>
      </w:r>
      <w:r w:rsidR="00216AD0" w:rsidRPr="0002056A">
        <w:rPr>
          <w:lang w:val="en-GB"/>
        </w:rPr>
        <w:t>literature</w:t>
      </w:r>
    </w:p>
    <w:p w14:paraId="32DD07AE" w14:textId="5AFF4616" w:rsidR="00782D9A" w:rsidRPr="0002056A" w:rsidRDefault="007A67CF" w:rsidP="00CD5BF3">
      <w:pPr>
        <w:autoSpaceDE w:val="0"/>
        <w:autoSpaceDN w:val="0"/>
        <w:adjustRightInd w:val="0"/>
        <w:spacing w:after="0"/>
        <w:jc w:val="both"/>
        <w:rPr>
          <w:rFonts w:ascii="Georgia" w:hAnsi="Georgia" w:cs="Times New Roman"/>
          <w:lang w:val="en-GB"/>
        </w:rPr>
      </w:pPr>
      <w:r w:rsidRPr="0002056A">
        <w:rPr>
          <w:rFonts w:ascii="Georgia" w:hAnsi="Georgia" w:cs="Times New Roman"/>
          <w:lang w:val="en-GB"/>
        </w:rPr>
        <w:t>I</w:t>
      </w:r>
      <w:r w:rsidR="00566727" w:rsidRPr="0002056A">
        <w:rPr>
          <w:rFonts w:ascii="Georgia" w:hAnsi="Georgia" w:cs="Times New Roman"/>
          <w:lang w:val="en-GB"/>
        </w:rPr>
        <w:t xml:space="preserve">f spatial factors play such an important role in climate adaptation, </w:t>
      </w:r>
      <w:r w:rsidR="00EE3D0D" w:rsidRPr="0002056A">
        <w:rPr>
          <w:rFonts w:ascii="Georgia" w:hAnsi="Georgia" w:cs="Times New Roman"/>
          <w:lang w:val="en-GB"/>
        </w:rPr>
        <w:t xml:space="preserve">as it was introduced by the previous </w:t>
      </w:r>
      <w:r w:rsidR="00BC3527" w:rsidRPr="0002056A">
        <w:rPr>
          <w:rFonts w:ascii="Georgia" w:hAnsi="Georgia" w:cs="Times New Roman"/>
          <w:lang w:val="en-GB"/>
        </w:rPr>
        <w:t>subchapter</w:t>
      </w:r>
      <w:r w:rsidR="00EE3D0D" w:rsidRPr="0002056A">
        <w:rPr>
          <w:rFonts w:ascii="Georgia" w:hAnsi="Georgia" w:cs="Times New Roman"/>
          <w:lang w:val="en-GB"/>
        </w:rPr>
        <w:t xml:space="preserve">, </w:t>
      </w:r>
      <w:r w:rsidR="00566727" w:rsidRPr="0002056A">
        <w:rPr>
          <w:rFonts w:ascii="Georgia" w:hAnsi="Georgia" w:cs="Times New Roman"/>
          <w:lang w:val="en-GB"/>
        </w:rPr>
        <w:t xml:space="preserve">the question arises: </w:t>
      </w:r>
      <w:r w:rsidR="00EE3D0D" w:rsidRPr="0002056A">
        <w:rPr>
          <w:rFonts w:ascii="Georgia" w:hAnsi="Georgia" w:cs="Times New Roman"/>
          <w:lang w:val="en-GB"/>
        </w:rPr>
        <w:t xml:space="preserve">to what degree </w:t>
      </w:r>
      <w:r w:rsidR="00566727" w:rsidRPr="0002056A">
        <w:rPr>
          <w:rFonts w:ascii="Georgia" w:hAnsi="Georgia" w:cs="Times New Roman"/>
          <w:b/>
          <w:bCs/>
          <w:lang w:val="en-GB"/>
        </w:rPr>
        <w:t>are these spatial approaches examined by the recent literature?</w:t>
      </w:r>
      <w:r w:rsidR="00566727" w:rsidRPr="0002056A">
        <w:rPr>
          <w:rFonts w:ascii="Georgia" w:hAnsi="Georgia" w:cs="Times New Roman"/>
          <w:lang w:val="en-GB"/>
        </w:rPr>
        <w:t xml:space="preserve"> </w:t>
      </w:r>
      <w:r w:rsidR="00EE3D0D" w:rsidRPr="0002056A">
        <w:rPr>
          <w:rFonts w:ascii="Georgia" w:hAnsi="Georgia" w:cs="Times New Roman"/>
          <w:lang w:val="en-GB"/>
        </w:rPr>
        <w:t>O</w:t>
      </w:r>
      <w:r w:rsidR="00782D9A" w:rsidRPr="0002056A">
        <w:rPr>
          <w:rFonts w:ascii="Georgia" w:hAnsi="Georgia" w:cs="Times New Roman"/>
          <w:lang w:val="en-GB"/>
        </w:rPr>
        <w:t xml:space="preserve">ver the last </w:t>
      </w:r>
      <w:r w:rsidR="002861E5">
        <w:rPr>
          <w:rFonts w:ascii="Georgia" w:hAnsi="Georgia" w:cs="Times New Roman"/>
          <w:lang w:val="en-GB"/>
        </w:rPr>
        <w:t xml:space="preserve">few decades, climate change research has </w:t>
      </w:r>
      <w:r w:rsidR="00782D9A" w:rsidRPr="0002056A">
        <w:rPr>
          <w:rFonts w:ascii="Georgia" w:hAnsi="Georgia" w:cs="Times New Roman"/>
          <w:lang w:val="en-GB"/>
        </w:rPr>
        <w:t xml:space="preserve">first focused on the climate system and climate impacts in general, and mitigation. The </w:t>
      </w:r>
      <w:r w:rsidR="002861E5">
        <w:rPr>
          <w:rFonts w:ascii="Georgia" w:hAnsi="Georgia" w:cs="Times New Roman"/>
          <w:lang w:val="en-GB"/>
        </w:rPr>
        <w:t xml:space="preserve">emergence of climate adaptation policies and the elaboration of adaptation strategies in the 2000s marked a new research topic (although the first generation of documents in Europe was </w:t>
      </w:r>
      <w:r w:rsidR="002861E5">
        <w:rPr>
          <w:rFonts w:ascii="Georgia" w:hAnsi="Georgia" w:cs="Times New Roman"/>
          <w:lang w:val="en-GB"/>
        </w:rPr>
        <w:lastRenderedPageBreak/>
        <w:t xml:space="preserve">rather general, setting the stage for the next steps towards the </w:t>
      </w:r>
      <w:r w:rsidR="004A7932" w:rsidRPr="0002056A">
        <w:rPr>
          <w:rFonts w:ascii="Georgia" w:hAnsi="Georgia" w:cs="Times New Roman"/>
          <w:lang w:val="en-GB"/>
        </w:rPr>
        <w:t>development and implementation of adaptation actions)</w:t>
      </w:r>
      <w:r w:rsidR="00782D9A" w:rsidRPr="0002056A">
        <w:rPr>
          <w:rFonts w:ascii="Georgia" w:hAnsi="Georgia" w:cs="Times New Roman"/>
          <w:lang w:val="en-GB"/>
        </w:rPr>
        <w:t xml:space="preserve">. Environmental, economic and social impacts of adaptation </w:t>
      </w:r>
      <w:r w:rsidR="004325D3" w:rsidRPr="0002056A">
        <w:rPr>
          <w:rFonts w:ascii="Georgia" w:hAnsi="Georgia" w:cs="Times New Roman"/>
          <w:lang w:val="en-GB"/>
        </w:rPr>
        <w:t>(</w:t>
      </w:r>
      <w:r w:rsidR="00782D9A" w:rsidRPr="0002056A">
        <w:rPr>
          <w:rFonts w:ascii="Georgia" w:hAnsi="Georgia" w:cs="Times New Roman"/>
          <w:lang w:val="en-GB"/>
        </w:rPr>
        <w:t>and mitigation</w:t>
      </w:r>
      <w:r w:rsidR="004325D3" w:rsidRPr="0002056A">
        <w:rPr>
          <w:rFonts w:ascii="Georgia" w:hAnsi="Georgia" w:cs="Times New Roman"/>
          <w:lang w:val="en-GB"/>
        </w:rPr>
        <w:t>)</w:t>
      </w:r>
      <w:r w:rsidR="00782D9A" w:rsidRPr="0002056A">
        <w:rPr>
          <w:rFonts w:ascii="Georgia" w:hAnsi="Georgia" w:cs="Times New Roman"/>
          <w:lang w:val="en-GB"/>
        </w:rPr>
        <w:t xml:space="preserve"> policies and their effects on other policies </w:t>
      </w:r>
      <w:r w:rsidR="00400910" w:rsidRPr="0002056A">
        <w:rPr>
          <w:rFonts w:ascii="Georgia" w:hAnsi="Georgia" w:cs="Times New Roman"/>
          <w:lang w:val="en-GB"/>
        </w:rPr>
        <w:t>were</w:t>
      </w:r>
      <w:r w:rsidR="00782D9A" w:rsidRPr="0002056A">
        <w:rPr>
          <w:rFonts w:ascii="Georgia" w:hAnsi="Georgia" w:cs="Times New Roman"/>
          <w:lang w:val="en-GB"/>
        </w:rPr>
        <w:t xml:space="preserve"> also</w:t>
      </w:r>
      <w:r w:rsidR="00400910" w:rsidRPr="0002056A">
        <w:rPr>
          <w:rFonts w:ascii="Georgia" w:hAnsi="Georgia" w:cs="Times New Roman"/>
          <w:lang w:val="en-GB"/>
        </w:rPr>
        <w:t xml:space="preserve"> </w:t>
      </w:r>
      <w:r w:rsidR="00782D9A" w:rsidRPr="0002056A">
        <w:rPr>
          <w:rFonts w:ascii="Georgia" w:hAnsi="Georgia" w:cs="Times New Roman"/>
          <w:lang w:val="en-GB"/>
        </w:rPr>
        <w:t xml:space="preserve">recognized. </w:t>
      </w:r>
      <w:r w:rsidR="00400910" w:rsidRPr="0002056A">
        <w:rPr>
          <w:rFonts w:ascii="Georgia" w:hAnsi="Georgia" w:cs="Times New Roman"/>
          <w:lang w:val="en-GB"/>
        </w:rPr>
        <w:t>The a</w:t>
      </w:r>
      <w:r w:rsidR="004325D3" w:rsidRPr="0002056A">
        <w:rPr>
          <w:rFonts w:ascii="Georgia" w:hAnsi="Georgia" w:cs="Times New Roman"/>
          <w:lang w:val="en-GB"/>
        </w:rPr>
        <w:t xml:space="preserve">cceleration of </w:t>
      </w:r>
      <w:r w:rsidR="00782D9A" w:rsidRPr="0002056A">
        <w:rPr>
          <w:rFonts w:ascii="Georgia" w:hAnsi="Georgia" w:cs="Times New Roman"/>
          <w:lang w:val="en-GB"/>
        </w:rPr>
        <w:t xml:space="preserve">international climate negotiations, </w:t>
      </w:r>
      <w:r w:rsidR="00400910" w:rsidRPr="0002056A">
        <w:rPr>
          <w:rFonts w:ascii="Georgia" w:hAnsi="Georgia" w:cs="Times New Roman"/>
          <w:lang w:val="en-GB"/>
        </w:rPr>
        <w:t xml:space="preserve">related </w:t>
      </w:r>
      <w:r w:rsidR="00782D9A" w:rsidRPr="0002056A">
        <w:rPr>
          <w:rFonts w:ascii="Georgia" w:hAnsi="Georgia" w:cs="Times New Roman"/>
          <w:lang w:val="en-GB"/>
        </w:rPr>
        <w:t xml:space="preserve">EU </w:t>
      </w:r>
      <w:r w:rsidR="00400910" w:rsidRPr="0002056A">
        <w:rPr>
          <w:rFonts w:ascii="Georgia" w:hAnsi="Georgia" w:cs="Times New Roman"/>
          <w:lang w:val="en-GB"/>
        </w:rPr>
        <w:t>policymaking</w:t>
      </w:r>
      <w:r w:rsidR="00782D9A" w:rsidRPr="0002056A">
        <w:rPr>
          <w:rFonts w:ascii="Georgia" w:hAnsi="Georgia" w:cs="Times New Roman"/>
          <w:lang w:val="en-GB"/>
        </w:rPr>
        <w:t xml:space="preserve">, experience of extreme weather events, and examples of adaptation actions </w:t>
      </w:r>
      <w:r w:rsidR="004A7932" w:rsidRPr="0002056A">
        <w:rPr>
          <w:rFonts w:ascii="Georgia" w:hAnsi="Georgia" w:cs="Times New Roman"/>
          <w:lang w:val="en-GB"/>
        </w:rPr>
        <w:t>contributed to the</w:t>
      </w:r>
      <w:r w:rsidR="00782D9A" w:rsidRPr="0002056A">
        <w:rPr>
          <w:rFonts w:ascii="Georgia" w:hAnsi="Georgia" w:cs="Times New Roman"/>
          <w:lang w:val="en-GB"/>
        </w:rPr>
        <w:t xml:space="preserve"> </w:t>
      </w:r>
      <w:r w:rsidR="00F17CC6" w:rsidRPr="0002056A">
        <w:rPr>
          <w:rFonts w:ascii="Georgia" w:hAnsi="Georgia" w:cs="Times New Roman"/>
          <w:lang w:val="en-GB"/>
        </w:rPr>
        <w:t>growing</w:t>
      </w:r>
      <w:r w:rsidR="00782D9A" w:rsidRPr="0002056A">
        <w:rPr>
          <w:rFonts w:ascii="Georgia" w:hAnsi="Georgia" w:cs="Times New Roman"/>
          <w:lang w:val="en-GB"/>
        </w:rPr>
        <w:t xml:space="preserve"> availability of knowledge and political will (</w:t>
      </w:r>
      <w:r w:rsidR="00782D9A" w:rsidRPr="0002056A">
        <w:rPr>
          <w:rFonts w:ascii="Georgia" w:hAnsi="Georgia" w:cs="Times New Roman"/>
          <w:smallCaps/>
          <w:lang w:val="en-GB"/>
        </w:rPr>
        <w:t>Swart et al, 2009</w:t>
      </w:r>
      <w:r w:rsidR="00782D9A" w:rsidRPr="0002056A">
        <w:rPr>
          <w:rFonts w:ascii="Georgia" w:hAnsi="Georgia" w:cs="Times New Roman"/>
          <w:lang w:val="en-GB"/>
        </w:rPr>
        <w:t>).</w:t>
      </w:r>
    </w:p>
    <w:p w14:paraId="5A4EDB8B" w14:textId="02FA6FDD" w:rsidR="007F4167" w:rsidRPr="0002056A" w:rsidRDefault="00C54FBE" w:rsidP="00CD5BF3">
      <w:pPr>
        <w:spacing w:before="120" w:after="120"/>
        <w:jc w:val="both"/>
        <w:rPr>
          <w:rFonts w:ascii="Georgia" w:hAnsi="Georgia" w:cs="Times New Roman"/>
          <w:lang w:val="en-GB"/>
        </w:rPr>
      </w:pPr>
      <w:r w:rsidRPr="0002056A">
        <w:rPr>
          <w:rFonts w:ascii="Georgia" w:hAnsi="Georgia" w:cs="Times New Roman"/>
          <w:lang w:val="en-GB"/>
        </w:rPr>
        <w:t xml:space="preserve">Although a </w:t>
      </w:r>
      <w:r w:rsidRPr="0002056A">
        <w:rPr>
          <w:rFonts w:ascii="Georgia" w:hAnsi="Georgia" w:cs="Times New Roman"/>
          <w:b/>
          <w:bCs/>
          <w:lang w:val="en-GB"/>
        </w:rPr>
        <w:t>moderately increasing number of articles and research projects</w:t>
      </w:r>
      <w:r w:rsidRPr="0002056A">
        <w:rPr>
          <w:rFonts w:ascii="Georgia" w:hAnsi="Georgia" w:cs="Times New Roman"/>
          <w:lang w:val="en-GB"/>
        </w:rPr>
        <w:t xml:space="preserve"> have dealt at least implicitly with </w:t>
      </w:r>
      <w:r w:rsidR="0029207E" w:rsidRPr="0002056A">
        <w:rPr>
          <w:rFonts w:ascii="Georgia" w:hAnsi="Georgia" w:cs="Times New Roman"/>
          <w:lang w:val="en-GB"/>
        </w:rPr>
        <w:t xml:space="preserve">spatial issues in </w:t>
      </w:r>
      <w:r w:rsidRPr="0002056A">
        <w:rPr>
          <w:rFonts w:ascii="Georgia" w:hAnsi="Georgia" w:cs="Times New Roman"/>
          <w:lang w:val="en-GB"/>
        </w:rPr>
        <w:t xml:space="preserve">climate policy </w:t>
      </w:r>
      <w:r w:rsidR="004D3C45" w:rsidRPr="0002056A">
        <w:rPr>
          <w:rFonts w:ascii="Georgia" w:hAnsi="Georgia" w:cs="Times New Roman"/>
          <w:lang w:val="en-GB"/>
        </w:rPr>
        <w:t>planning</w:t>
      </w:r>
      <w:r w:rsidRPr="0002056A">
        <w:rPr>
          <w:rFonts w:ascii="Georgia" w:hAnsi="Georgia" w:cs="Times New Roman"/>
          <w:lang w:val="en-GB"/>
        </w:rPr>
        <w:t xml:space="preserve"> in the last two decades, the</w:t>
      </w:r>
      <w:r w:rsidR="004D3C45" w:rsidRPr="0002056A">
        <w:rPr>
          <w:rFonts w:ascii="Georgia" w:hAnsi="Georgia" w:cs="Times New Roman"/>
          <w:lang w:val="en-GB"/>
        </w:rPr>
        <w:t>y compose</w:t>
      </w:r>
      <w:r w:rsidRPr="0002056A">
        <w:rPr>
          <w:rFonts w:ascii="Georgia" w:hAnsi="Georgia" w:cs="Times New Roman"/>
          <w:lang w:val="en-GB"/>
        </w:rPr>
        <w:t xml:space="preserve"> still a minor proportion of the climate policy-related literature. Moreover, </w:t>
      </w:r>
      <w:r w:rsidRPr="0002056A">
        <w:rPr>
          <w:rFonts w:ascii="Georgia" w:hAnsi="Georgia" w:cs="Times New Roman"/>
          <w:b/>
          <w:bCs/>
          <w:lang w:val="en-GB"/>
        </w:rPr>
        <w:t>significant part of these literature concentrates rather on mitigation</w:t>
      </w:r>
      <w:r w:rsidRPr="0002056A">
        <w:rPr>
          <w:rFonts w:ascii="Georgia" w:hAnsi="Georgia" w:cs="Times New Roman"/>
          <w:lang w:val="en-GB"/>
        </w:rPr>
        <w:t>. Some authors examine</w:t>
      </w:r>
      <w:r w:rsidR="007B74D0" w:rsidRPr="0002056A">
        <w:rPr>
          <w:rFonts w:ascii="Georgia" w:hAnsi="Georgia" w:cs="Times New Roman"/>
          <w:lang w:val="en-GB"/>
        </w:rPr>
        <w:t>d</w:t>
      </w:r>
      <w:r w:rsidRPr="0002056A">
        <w:rPr>
          <w:rFonts w:ascii="Georgia" w:hAnsi="Georgia" w:cs="Times New Roman"/>
          <w:lang w:val="en-GB"/>
        </w:rPr>
        <w:t xml:space="preserve"> climate change’s profound implications for global justice, assessing regionally different</w:t>
      </w:r>
      <w:r w:rsidR="0029207E" w:rsidRPr="0002056A">
        <w:rPr>
          <w:rFonts w:ascii="Georgia" w:hAnsi="Georgia" w:cs="Times New Roman"/>
          <w:lang w:val="en-GB"/>
        </w:rPr>
        <w:t xml:space="preserve"> </w:t>
      </w:r>
      <w:r w:rsidRPr="0002056A">
        <w:rPr>
          <w:rFonts w:ascii="Georgia" w:hAnsi="Georgia" w:cs="Times New Roman"/>
          <w:lang w:val="en-GB"/>
        </w:rPr>
        <w:t>decarbonisation measures (</w:t>
      </w:r>
      <w:r w:rsidR="004D3C45" w:rsidRPr="0002056A">
        <w:rPr>
          <w:rFonts w:ascii="Georgia" w:hAnsi="Georgia" w:cs="Times New Roman"/>
          <w:lang w:val="en-GB"/>
        </w:rPr>
        <w:t xml:space="preserve">e.g. </w:t>
      </w:r>
      <w:r w:rsidRPr="0002056A">
        <w:rPr>
          <w:rFonts w:ascii="Georgia" w:hAnsi="Georgia" w:cs="Times New Roman"/>
          <w:smallCaps/>
          <w:lang w:val="en-GB"/>
        </w:rPr>
        <w:t>von Lucke, 2021</w:t>
      </w:r>
      <w:r w:rsidRPr="0002056A">
        <w:rPr>
          <w:rFonts w:ascii="Georgia" w:hAnsi="Georgia" w:cs="Times New Roman"/>
          <w:lang w:val="en-GB"/>
        </w:rPr>
        <w:t>). Others deal</w:t>
      </w:r>
      <w:r w:rsidR="007B74D0" w:rsidRPr="0002056A">
        <w:rPr>
          <w:rFonts w:ascii="Georgia" w:hAnsi="Georgia" w:cs="Times New Roman"/>
          <w:lang w:val="en-GB"/>
        </w:rPr>
        <w:t>t</w:t>
      </w:r>
      <w:r w:rsidRPr="0002056A">
        <w:rPr>
          <w:rFonts w:ascii="Georgia" w:hAnsi="Georgia" w:cs="Times New Roman"/>
          <w:lang w:val="en-GB"/>
        </w:rPr>
        <w:t xml:space="preserve"> with geographical and institutional conditions that are important for initiating and sustaining decarbonisation at the local level, analysing local climate mitigation as a case of multilevel network governance (</w:t>
      </w:r>
      <w:r w:rsidR="004D3C45" w:rsidRPr="0002056A">
        <w:rPr>
          <w:rFonts w:ascii="Georgia" w:hAnsi="Georgia" w:cs="Times New Roman"/>
          <w:lang w:val="en-GB"/>
        </w:rPr>
        <w:t xml:space="preserve">e.g. </w:t>
      </w:r>
      <w:r w:rsidRPr="0002056A">
        <w:rPr>
          <w:rFonts w:ascii="Georgia" w:hAnsi="Georgia" w:cs="Times New Roman"/>
          <w:smallCaps/>
          <w:lang w:val="en-GB"/>
        </w:rPr>
        <w:t>Gustaffson et al., 2009</w:t>
      </w:r>
      <w:r w:rsidR="0029207E" w:rsidRPr="0002056A">
        <w:rPr>
          <w:rStyle w:val="Lbjegyzet-hivatkozs"/>
          <w:rFonts w:ascii="Georgia" w:hAnsi="Georgia" w:cs="Times New Roman"/>
          <w:smallCaps/>
          <w:lang w:val="en-GB"/>
        </w:rPr>
        <w:footnoteReference w:id="30"/>
      </w:r>
      <w:r w:rsidRPr="0002056A">
        <w:rPr>
          <w:rFonts w:ascii="Georgia" w:hAnsi="Georgia" w:cs="Times New Roman"/>
          <w:lang w:val="en-GB"/>
        </w:rPr>
        <w:t xml:space="preserve">). </w:t>
      </w:r>
      <w:r w:rsidR="007B74D0" w:rsidRPr="0002056A">
        <w:rPr>
          <w:rFonts w:ascii="Georgia" w:hAnsi="Georgia" w:cs="Times New Roman"/>
          <w:lang w:val="en-GB"/>
        </w:rPr>
        <w:t>O</w:t>
      </w:r>
      <w:r w:rsidRPr="0002056A">
        <w:rPr>
          <w:rFonts w:ascii="Georgia" w:hAnsi="Georgia" w:cs="Times New Roman"/>
          <w:lang w:val="en-GB"/>
        </w:rPr>
        <w:t>ther</w:t>
      </w:r>
      <w:r w:rsidR="001C4E60" w:rsidRPr="0002056A">
        <w:rPr>
          <w:rFonts w:ascii="Georgia" w:hAnsi="Georgia" w:cs="Times New Roman"/>
          <w:lang w:val="en-GB"/>
        </w:rPr>
        <w:t xml:space="preserve"> authors</w:t>
      </w:r>
      <w:r w:rsidRPr="0002056A">
        <w:rPr>
          <w:rFonts w:ascii="Georgia" w:hAnsi="Georgia" w:cs="Times New Roman"/>
          <w:lang w:val="en-GB"/>
        </w:rPr>
        <w:t xml:space="preserve"> analyse</w:t>
      </w:r>
      <w:r w:rsidR="001C4E60" w:rsidRPr="0002056A">
        <w:rPr>
          <w:rFonts w:ascii="Georgia" w:hAnsi="Georgia" w:cs="Times New Roman"/>
          <w:lang w:val="en-GB"/>
        </w:rPr>
        <w:t>d</w:t>
      </w:r>
      <w:r w:rsidRPr="0002056A">
        <w:rPr>
          <w:rFonts w:ascii="Georgia" w:hAnsi="Georgia" w:cs="Times New Roman"/>
          <w:lang w:val="en-GB"/>
        </w:rPr>
        <w:t xml:space="preserve"> multi-level governance failures through a nationwide survey reviewing all relevant government policies related to mitigation at local, regional and national levels (</w:t>
      </w:r>
      <w:r w:rsidRPr="0002056A">
        <w:rPr>
          <w:rFonts w:ascii="Georgia" w:hAnsi="Georgia" w:cs="Times New Roman"/>
          <w:smallCaps/>
          <w:lang w:val="en-GB"/>
        </w:rPr>
        <w:t>McGloughlin&amp;Sweeney, 2011</w:t>
      </w:r>
      <w:r w:rsidRPr="0002056A">
        <w:rPr>
          <w:rFonts w:ascii="Georgia" w:hAnsi="Georgia" w:cs="Times New Roman"/>
          <w:lang w:val="en-GB"/>
        </w:rPr>
        <w:t>)</w:t>
      </w:r>
      <w:r w:rsidR="00134C4A" w:rsidRPr="0002056A">
        <w:rPr>
          <w:rFonts w:ascii="Georgia" w:hAnsi="Georgia" w:cs="Times New Roman"/>
          <w:lang w:val="en-GB"/>
        </w:rPr>
        <w:t xml:space="preserve"> or the role of cities in the EU’s multilevel decarbonization intentions and governance </w:t>
      </w:r>
      <w:r w:rsidR="004379FB" w:rsidRPr="0002056A">
        <w:rPr>
          <w:rFonts w:ascii="Georgia" w:hAnsi="Georgia" w:cs="Times New Roman"/>
          <w:lang w:val="en-GB"/>
        </w:rPr>
        <w:t>(</w:t>
      </w:r>
      <w:r w:rsidR="004379FB" w:rsidRPr="0002056A">
        <w:rPr>
          <w:rFonts w:ascii="Georgia" w:hAnsi="Georgia" w:cs="Times New Roman"/>
          <w:smallCaps/>
          <w:lang w:val="en-GB"/>
        </w:rPr>
        <w:t>Kern, 2023</w:t>
      </w:r>
      <w:r w:rsidR="004379FB" w:rsidRPr="0002056A">
        <w:rPr>
          <w:rFonts w:ascii="Georgia" w:hAnsi="Georgia" w:cs="Times New Roman"/>
          <w:lang w:val="en-GB"/>
        </w:rPr>
        <w:t>)</w:t>
      </w:r>
      <w:r w:rsidRPr="0002056A">
        <w:rPr>
          <w:rFonts w:ascii="Georgia" w:hAnsi="Georgia" w:cs="Times New Roman"/>
          <w:lang w:val="en-GB"/>
        </w:rPr>
        <w:t xml:space="preserve">. </w:t>
      </w:r>
    </w:p>
    <w:p w14:paraId="11895D58" w14:textId="77777777" w:rsidR="007C59E1" w:rsidRPr="0002056A" w:rsidRDefault="007F4167" w:rsidP="00CD5BF3">
      <w:pPr>
        <w:spacing w:before="120" w:after="120"/>
        <w:jc w:val="both"/>
        <w:rPr>
          <w:rFonts w:ascii="Georgia" w:hAnsi="Georgia"/>
          <w:lang w:val="en-GB"/>
        </w:rPr>
      </w:pPr>
      <w:r w:rsidRPr="0002056A">
        <w:rPr>
          <w:rFonts w:ascii="Georgia" w:hAnsi="Georgia" w:cs="Times New Roman"/>
          <w:lang w:val="en-GB"/>
        </w:rPr>
        <w:t xml:space="preserve">Other part of the reviewed literature concentrated on </w:t>
      </w:r>
      <w:r w:rsidRPr="0002056A">
        <w:rPr>
          <w:rFonts w:ascii="Georgia" w:hAnsi="Georgia" w:cs="Times New Roman"/>
          <w:b/>
          <w:bCs/>
          <w:lang w:val="en-GB"/>
        </w:rPr>
        <w:t xml:space="preserve">spatial implications of </w:t>
      </w:r>
      <w:r w:rsidR="00237145" w:rsidRPr="0002056A">
        <w:rPr>
          <w:rFonts w:ascii="Georgia" w:hAnsi="Georgia" w:cs="Times New Roman"/>
          <w:b/>
          <w:bCs/>
          <w:lang w:val="en-GB"/>
        </w:rPr>
        <w:t>awareness raising and attitudes</w:t>
      </w:r>
      <w:r w:rsidRPr="0002056A">
        <w:rPr>
          <w:rFonts w:ascii="Georgia" w:hAnsi="Georgia" w:cs="Times New Roman"/>
          <w:lang w:val="en-GB"/>
        </w:rPr>
        <w:t>. T</w:t>
      </w:r>
      <w:r w:rsidR="009A351B" w:rsidRPr="0002056A">
        <w:rPr>
          <w:rFonts w:ascii="Georgia" w:hAnsi="Georgia" w:cs="Times New Roman"/>
          <w:lang w:val="en-GB"/>
        </w:rPr>
        <w:t xml:space="preserve">wo Finnish authors examined the spatial/territorial differences of climate change adaptation attitudes, saying that </w:t>
      </w:r>
      <w:r w:rsidR="009A351B" w:rsidRPr="0002056A">
        <w:rPr>
          <w:rFonts w:ascii="Georgia" w:hAnsi="Georgia"/>
          <w:lang w:val="en-GB"/>
        </w:rPr>
        <w:t>these behaviours and people’s climate change-related knowledge are also spatially determined and expressed, showing significant regional differences</w:t>
      </w:r>
      <w:r w:rsidR="009A351B" w:rsidRPr="0002056A">
        <w:rPr>
          <w:rStyle w:val="Lbjegyzet-hivatkozs"/>
          <w:rFonts w:ascii="Georgia" w:hAnsi="Georgia"/>
          <w:lang w:val="en-GB"/>
        </w:rPr>
        <w:footnoteReference w:id="31"/>
      </w:r>
      <w:r w:rsidR="009A351B" w:rsidRPr="0002056A">
        <w:rPr>
          <w:rFonts w:ascii="Georgia" w:hAnsi="Georgia"/>
          <w:lang w:val="en-GB"/>
        </w:rPr>
        <w:t xml:space="preserve"> (</w:t>
      </w:r>
      <w:r w:rsidR="009A351B" w:rsidRPr="0002056A">
        <w:rPr>
          <w:rFonts w:ascii="Georgia" w:hAnsi="Georgia" w:cstheme="minorHAnsi"/>
          <w:smallCaps/>
          <w:lang w:val="en-GB"/>
        </w:rPr>
        <w:t>Weckroth&amp;Ala-Mantila, 2022</w:t>
      </w:r>
      <w:r w:rsidR="009A351B" w:rsidRPr="0002056A">
        <w:rPr>
          <w:rFonts w:ascii="Georgia" w:hAnsi="Georgia"/>
          <w:lang w:val="en-GB"/>
        </w:rPr>
        <w:t>).</w:t>
      </w:r>
      <w:r w:rsidR="00DB115E" w:rsidRPr="0002056A">
        <w:rPr>
          <w:rFonts w:ascii="Georgia" w:hAnsi="Georgia"/>
          <w:lang w:val="en-GB"/>
        </w:rPr>
        <w:t xml:space="preserve"> </w:t>
      </w:r>
      <w:r w:rsidR="00916859" w:rsidRPr="0002056A">
        <w:rPr>
          <w:rFonts w:ascii="Georgia" w:hAnsi="Georgia"/>
          <w:lang w:val="en-GB"/>
        </w:rPr>
        <w:t>Attitudes and their spatial differences have been analysed by Hungarian authors recently, too (</w:t>
      </w:r>
      <w:r w:rsidR="00DE208B" w:rsidRPr="0002056A">
        <w:rPr>
          <w:rFonts w:ascii="Times New Roman" w:hAnsi="Times New Roman" w:cs="Times New Roman"/>
          <w:smallCaps/>
          <w:sz w:val="24"/>
          <w:szCs w:val="24"/>
          <w:lang w:val="en-GB"/>
        </w:rPr>
        <w:t>Kiss et al, 2021 and 2022; Bús et al., 2021; Bodor&amp;Grünhut 2021)</w:t>
      </w:r>
      <w:r w:rsidR="00916859" w:rsidRPr="0002056A">
        <w:rPr>
          <w:rFonts w:ascii="Georgia" w:hAnsi="Georgia"/>
          <w:lang w:val="en-GB"/>
        </w:rPr>
        <w:t>.</w:t>
      </w:r>
      <w:r w:rsidR="00A228B1" w:rsidRPr="0002056A">
        <w:rPr>
          <w:rFonts w:ascii="Georgia" w:hAnsi="Georgia"/>
          <w:lang w:val="en-GB"/>
        </w:rPr>
        <w:t xml:space="preserve"> In these, qualitative methods (and their quantitative evaluation) dominate the assessment</w:t>
      </w:r>
      <w:r w:rsidR="007C59E1" w:rsidRPr="0002056A">
        <w:rPr>
          <w:rFonts w:ascii="Georgia" w:hAnsi="Georgia"/>
          <w:lang w:val="en-GB"/>
        </w:rPr>
        <w:t>s</w:t>
      </w:r>
      <w:r w:rsidR="00A228B1" w:rsidRPr="0002056A">
        <w:rPr>
          <w:rFonts w:ascii="Georgia" w:hAnsi="Georgia"/>
          <w:lang w:val="en-GB"/>
        </w:rPr>
        <w:t>.</w:t>
      </w:r>
      <w:r w:rsidR="00916859" w:rsidRPr="0002056A">
        <w:rPr>
          <w:rFonts w:ascii="Georgia" w:hAnsi="Georgia"/>
          <w:lang w:val="en-GB"/>
        </w:rPr>
        <w:t xml:space="preserve"> </w:t>
      </w:r>
    </w:p>
    <w:p w14:paraId="1DDDB3A3" w14:textId="77777777" w:rsidR="001E4AB1" w:rsidRPr="0002056A" w:rsidRDefault="00C54FBE" w:rsidP="00CD5BF3">
      <w:pPr>
        <w:spacing w:before="120" w:after="120"/>
        <w:jc w:val="both"/>
        <w:rPr>
          <w:rFonts w:ascii="Georgia" w:hAnsi="Georgia" w:cs="Times New Roman"/>
          <w:lang w:val="en-GB"/>
        </w:rPr>
      </w:pPr>
      <w:r w:rsidRPr="0002056A">
        <w:rPr>
          <w:rFonts w:ascii="Georgia" w:hAnsi="Georgia" w:cs="Times New Roman"/>
          <w:lang w:val="en-GB"/>
        </w:rPr>
        <w:t xml:space="preserve">The </w:t>
      </w:r>
      <w:r w:rsidRPr="0002056A">
        <w:rPr>
          <w:rFonts w:ascii="Georgia" w:hAnsi="Georgia" w:cs="Times New Roman"/>
          <w:b/>
          <w:bCs/>
          <w:lang w:val="en-GB"/>
        </w:rPr>
        <w:t xml:space="preserve">explicitly adaptation-oriented articles are </w:t>
      </w:r>
      <w:r w:rsidR="001950D7" w:rsidRPr="0002056A">
        <w:rPr>
          <w:rFonts w:ascii="Georgia" w:hAnsi="Georgia" w:cs="Times New Roman"/>
          <w:b/>
          <w:bCs/>
          <w:lang w:val="en-GB"/>
        </w:rPr>
        <w:t>smaller in numbers</w:t>
      </w:r>
      <w:r w:rsidR="001950D7" w:rsidRPr="0002056A">
        <w:rPr>
          <w:rFonts w:ascii="Georgia" w:hAnsi="Georgia" w:cs="Times New Roman"/>
          <w:lang w:val="en-GB"/>
        </w:rPr>
        <w:t xml:space="preserve"> and </w:t>
      </w:r>
      <w:r w:rsidRPr="0002056A">
        <w:rPr>
          <w:rFonts w:ascii="Georgia" w:hAnsi="Georgia" w:cs="Times New Roman"/>
          <w:lang w:val="en-GB"/>
        </w:rPr>
        <w:t>rather case study-</w:t>
      </w:r>
      <w:r w:rsidR="00F270D8" w:rsidRPr="0002056A">
        <w:rPr>
          <w:rFonts w:ascii="Georgia" w:hAnsi="Georgia" w:cs="Times New Roman"/>
          <w:lang w:val="en-GB"/>
        </w:rPr>
        <w:t xml:space="preserve"> or thematic vulnerability field-</w:t>
      </w:r>
      <w:r w:rsidRPr="0002056A">
        <w:rPr>
          <w:rFonts w:ascii="Georgia" w:hAnsi="Georgia" w:cs="Times New Roman"/>
          <w:lang w:val="en-GB"/>
        </w:rPr>
        <w:t xml:space="preserve">oriented ones (e.g. </w:t>
      </w:r>
      <w:r w:rsidR="00F270D8" w:rsidRPr="0002056A">
        <w:rPr>
          <w:rFonts w:ascii="Georgia" w:hAnsi="Georgia" w:cs="Times New Roman"/>
          <w:smallCaps/>
          <w:lang w:val="en-GB"/>
        </w:rPr>
        <w:t xml:space="preserve">McGranahan et al., 2007; </w:t>
      </w:r>
      <w:r w:rsidR="00207FBE" w:rsidRPr="0002056A">
        <w:rPr>
          <w:rFonts w:ascii="Georgia" w:hAnsi="Georgia" w:cs="Times New Roman"/>
          <w:smallCaps/>
          <w:lang w:val="en-GB"/>
        </w:rPr>
        <w:t xml:space="preserve">Yarmal., 2010; </w:t>
      </w:r>
      <w:r w:rsidRPr="0002056A">
        <w:rPr>
          <w:rFonts w:ascii="Georgia" w:hAnsi="Georgia" w:cs="Times New Roman"/>
          <w:smallCaps/>
          <w:lang w:val="en-GB"/>
        </w:rPr>
        <w:t>Jensen et al., 2013</w:t>
      </w:r>
      <w:r w:rsidRPr="0002056A">
        <w:rPr>
          <w:rFonts w:ascii="Georgia" w:hAnsi="Georgia" w:cs="Times New Roman"/>
          <w:lang w:val="en-GB"/>
        </w:rPr>
        <w:t xml:space="preserve">; </w:t>
      </w:r>
      <w:r w:rsidRPr="0002056A">
        <w:rPr>
          <w:rFonts w:ascii="Georgia" w:hAnsi="Georgia" w:cs="Times New Roman"/>
          <w:smallCaps/>
          <w:lang w:val="en-GB"/>
        </w:rPr>
        <w:t xml:space="preserve">Skryzhevska et al., 2015; </w:t>
      </w:r>
      <w:r w:rsidR="00D02DB2" w:rsidRPr="0002056A">
        <w:rPr>
          <w:rFonts w:ascii="Georgia" w:hAnsi="Georgia" w:cs="Times New Roman"/>
          <w:smallCaps/>
          <w:lang w:val="en-GB"/>
        </w:rPr>
        <w:t>Cobbinah et al.</w:t>
      </w:r>
      <w:r w:rsidRPr="0002056A">
        <w:rPr>
          <w:rFonts w:ascii="Georgia" w:hAnsi="Georgia" w:cs="Times New Roman"/>
          <w:smallCaps/>
          <w:lang w:val="en-GB"/>
        </w:rPr>
        <w:t>, 2019</w:t>
      </w:r>
      <w:r w:rsidR="00910FEF" w:rsidRPr="0002056A">
        <w:rPr>
          <w:rFonts w:ascii="Georgia" w:hAnsi="Georgia" w:cs="Times New Roman"/>
          <w:smallCaps/>
          <w:lang w:val="en-GB"/>
        </w:rPr>
        <w:t>;</w:t>
      </w:r>
      <w:r w:rsidRPr="0002056A">
        <w:rPr>
          <w:rFonts w:ascii="Georgia" w:hAnsi="Georgia" w:cs="Times New Roman"/>
          <w:smallCaps/>
          <w:lang w:val="en-GB"/>
        </w:rPr>
        <w:t xml:space="preserve"> Berke et al., 2021</w:t>
      </w:r>
      <w:r w:rsidRPr="0002056A">
        <w:rPr>
          <w:rFonts w:ascii="Georgia" w:hAnsi="Georgia" w:cs="Times New Roman"/>
          <w:lang w:val="en-GB"/>
        </w:rPr>
        <w:t>). Eventually, a lack of comprehensive</w:t>
      </w:r>
      <w:r w:rsidR="001950D7" w:rsidRPr="0002056A">
        <w:rPr>
          <w:rFonts w:ascii="Georgia" w:hAnsi="Georgia" w:cs="Times New Roman"/>
          <w:lang w:val="en-GB"/>
        </w:rPr>
        <w:t xml:space="preserve"> and </w:t>
      </w:r>
      <w:r w:rsidR="00D91906" w:rsidRPr="0002056A">
        <w:rPr>
          <w:rFonts w:ascii="Georgia" w:hAnsi="Georgia" w:cs="Times New Roman"/>
          <w:lang w:val="en-GB"/>
        </w:rPr>
        <w:t>rather</w:t>
      </w:r>
      <w:r w:rsidR="001950D7" w:rsidRPr="0002056A">
        <w:rPr>
          <w:rFonts w:ascii="Georgia" w:hAnsi="Georgia" w:cs="Times New Roman"/>
          <w:lang w:val="en-GB"/>
        </w:rPr>
        <w:t xml:space="preserve"> case study-based</w:t>
      </w:r>
      <w:r w:rsidRPr="0002056A">
        <w:rPr>
          <w:rFonts w:ascii="Georgia" w:hAnsi="Georgia" w:cs="Times New Roman"/>
          <w:lang w:val="en-GB"/>
        </w:rPr>
        <w:t xml:space="preserve"> works </w:t>
      </w:r>
      <w:r w:rsidR="00D91906" w:rsidRPr="0002056A">
        <w:rPr>
          <w:rFonts w:ascii="Georgia" w:hAnsi="Georgia" w:cs="Times New Roman"/>
          <w:lang w:val="en-GB"/>
        </w:rPr>
        <w:t>that only slightly mention</w:t>
      </w:r>
      <w:r w:rsidRPr="0002056A">
        <w:rPr>
          <w:rFonts w:ascii="Georgia" w:hAnsi="Georgia" w:cs="Times New Roman"/>
          <w:lang w:val="en-GB"/>
        </w:rPr>
        <w:t xml:space="preserve"> climate (adaptation) policy’s </w:t>
      </w:r>
      <w:r w:rsidR="00012B01" w:rsidRPr="0002056A">
        <w:rPr>
          <w:rFonts w:ascii="Georgia" w:hAnsi="Georgia" w:cs="Times New Roman"/>
          <w:lang w:val="en-GB"/>
        </w:rPr>
        <w:t xml:space="preserve">general </w:t>
      </w:r>
      <w:r w:rsidRPr="0002056A">
        <w:rPr>
          <w:rFonts w:ascii="Georgia" w:hAnsi="Georgia" w:cs="Times New Roman"/>
          <w:lang w:val="en-GB"/>
        </w:rPr>
        <w:t>spatiality, can be detected</w:t>
      </w:r>
      <w:r w:rsidR="00D91906" w:rsidRPr="0002056A">
        <w:rPr>
          <w:rStyle w:val="Lbjegyzet-hivatkozs"/>
          <w:rFonts w:ascii="Georgia" w:hAnsi="Georgia" w:cs="Times New Roman"/>
          <w:lang w:val="en-GB"/>
        </w:rPr>
        <w:footnoteReference w:id="32"/>
      </w:r>
      <w:r w:rsidRPr="0002056A">
        <w:rPr>
          <w:rFonts w:ascii="Georgia" w:hAnsi="Georgia" w:cs="Times New Roman"/>
          <w:lang w:val="en-GB"/>
        </w:rPr>
        <w:t>.</w:t>
      </w:r>
      <w:r w:rsidR="00012B01" w:rsidRPr="0002056A">
        <w:rPr>
          <w:rFonts w:ascii="Georgia" w:hAnsi="Georgia" w:cs="Times New Roman"/>
          <w:lang w:val="en-GB"/>
        </w:rPr>
        <w:t xml:space="preserve"> </w:t>
      </w:r>
    </w:p>
    <w:p w14:paraId="2841ECCA" w14:textId="064EC45D" w:rsidR="00C54FBE" w:rsidRPr="0002056A" w:rsidRDefault="00012B01" w:rsidP="00CD5BF3">
      <w:pPr>
        <w:spacing w:before="120" w:after="120"/>
        <w:jc w:val="both"/>
        <w:rPr>
          <w:rFonts w:ascii="Georgia" w:hAnsi="Georgia"/>
          <w:lang w:val="en-GB"/>
        </w:rPr>
      </w:pPr>
      <w:r w:rsidRPr="0002056A">
        <w:rPr>
          <w:rFonts w:ascii="Georgia" w:hAnsi="Georgia" w:cs="Times New Roman"/>
          <w:lang w:val="en-GB"/>
        </w:rPr>
        <w:t xml:space="preserve">However, some </w:t>
      </w:r>
      <w:r w:rsidRPr="0002056A">
        <w:rPr>
          <w:rFonts w:ascii="Georgia" w:hAnsi="Georgia" w:cs="Times New Roman"/>
          <w:b/>
          <w:bCs/>
          <w:lang w:val="en-GB"/>
        </w:rPr>
        <w:t>implicit emergence of spatial issues in the adaptation policy-related studies</w:t>
      </w:r>
      <w:r w:rsidRPr="0002056A">
        <w:rPr>
          <w:rFonts w:ascii="Georgia" w:hAnsi="Georgia" w:cs="Times New Roman"/>
          <w:lang w:val="en-GB"/>
        </w:rPr>
        <w:t xml:space="preserve"> and articles </w:t>
      </w:r>
      <w:r w:rsidR="00385B85" w:rsidRPr="0002056A">
        <w:rPr>
          <w:rFonts w:ascii="Georgia" w:hAnsi="Georgia" w:cs="Times New Roman"/>
          <w:lang w:val="en-GB"/>
        </w:rPr>
        <w:t>can be observed.</w:t>
      </w:r>
      <w:r w:rsidR="001E4AB1" w:rsidRPr="0002056A">
        <w:rPr>
          <w:rFonts w:ascii="Georgia" w:hAnsi="Georgia" w:cs="Times New Roman"/>
          <w:lang w:val="en-GB"/>
        </w:rPr>
        <w:t xml:space="preserve"> Some</w:t>
      </w:r>
      <w:r w:rsidR="00C54FBE" w:rsidRPr="0002056A">
        <w:rPr>
          <w:rFonts w:ascii="Georgia" w:hAnsi="Georgia"/>
          <w:lang w:val="en-GB"/>
        </w:rPr>
        <w:t xml:space="preserve"> studies emphasise explicitly </w:t>
      </w:r>
      <w:r w:rsidR="00C54FBE" w:rsidRPr="0002056A">
        <w:rPr>
          <w:rFonts w:ascii="Georgia" w:hAnsi="Georgia"/>
          <w:b/>
          <w:bCs/>
          <w:lang w:val="en-GB"/>
        </w:rPr>
        <w:t xml:space="preserve">the role of the </w:t>
      </w:r>
      <w:r w:rsidR="005A1F86" w:rsidRPr="0002056A">
        <w:rPr>
          <w:rFonts w:ascii="Georgia" w:hAnsi="Georgia"/>
          <w:b/>
          <w:bCs/>
          <w:lang w:val="en-GB"/>
        </w:rPr>
        <w:t xml:space="preserve">ab ovo </w:t>
      </w:r>
      <w:r w:rsidR="00C54FBE" w:rsidRPr="0002056A">
        <w:rPr>
          <w:rFonts w:ascii="Georgia" w:hAnsi="Georgia"/>
          <w:b/>
          <w:bCs/>
          <w:lang w:val="en-GB"/>
        </w:rPr>
        <w:t>space-oriented geography</w:t>
      </w:r>
      <w:r w:rsidR="00C54FBE" w:rsidRPr="0002056A">
        <w:rPr>
          <w:rFonts w:ascii="Georgia" w:hAnsi="Georgia"/>
          <w:lang w:val="en-GB"/>
        </w:rPr>
        <w:t xml:space="preserve"> </w:t>
      </w:r>
      <w:r w:rsidR="005A1F86" w:rsidRPr="0002056A">
        <w:rPr>
          <w:rFonts w:ascii="Georgia" w:hAnsi="Georgia"/>
          <w:lang w:val="en-GB"/>
        </w:rPr>
        <w:t xml:space="preserve">as a </w:t>
      </w:r>
      <w:r w:rsidR="00C54FBE" w:rsidRPr="0002056A">
        <w:rPr>
          <w:rFonts w:ascii="Georgia" w:hAnsi="Georgia"/>
          <w:lang w:val="en-GB"/>
        </w:rPr>
        <w:t xml:space="preserve">discipline </w:t>
      </w:r>
      <w:r w:rsidR="00C54FBE" w:rsidRPr="0002056A">
        <w:rPr>
          <w:rFonts w:ascii="Georgia" w:hAnsi="Georgia"/>
          <w:b/>
          <w:bCs/>
          <w:lang w:val="en-GB"/>
        </w:rPr>
        <w:t>in understanding climate change, climate adaptation and their spatiality</w:t>
      </w:r>
      <w:r w:rsidR="00C54FBE" w:rsidRPr="0002056A">
        <w:rPr>
          <w:rFonts w:ascii="Georgia" w:hAnsi="Georgia"/>
          <w:lang w:val="en-GB"/>
        </w:rPr>
        <w:t>: either in education (</w:t>
      </w:r>
      <w:r w:rsidR="00C54FBE" w:rsidRPr="0002056A">
        <w:rPr>
          <w:rFonts w:ascii="Georgia" w:hAnsi="Georgia" w:cstheme="minorHAnsi"/>
          <w:smallCaps/>
          <w:lang w:val="en-GB"/>
        </w:rPr>
        <w:t>Chang&amp;Wi, 2018</w:t>
      </w:r>
      <w:r w:rsidR="00C54FBE" w:rsidRPr="0002056A">
        <w:rPr>
          <w:rFonts w:ascii="Georgia" w:hAnsi="Georgia"/>
          <w:lang w:val="en-GB"/>
        </w:rPr>
        <w:t xml:space="preserve">); or considering the historical contribution of the scholarship </w:t>
      </w:r>
      <w:r w:rsidR="00C54FBE" w:rsidRPr="0002056A">
        <w:rPr>
          <w:rFonts w:ascii="Georgia" w:eastAsia="Times New Roman" w:hAnsi="Georgia" w:cs="Open Sans"/>
          <w:lang w:val="en-GB" w:eastAsia="hu-HU"/>
        </w:rPr>
        <w:t xml:space="preserve">that uniquely </w:t>
      </w:r>
      <w:r w:rsidR="00CC5591" w:rsidRPr="0002056A">
        <w:rPr>
          <w:rFonts w:ascii="Georgia" w:eastAsia="Times New Roman" w:hAnsi="Georgia" w:cs="Open Sans"/>
          <w:lang w:val="en-GB" w:eastAsia="hu-HU"/>
        </w:rPr>
        <w:t>links</w:t>
      </w:r>
      <w:r w:rsidR="00C54FBE" w:rsidRPr="0002056A">
        <w:rPr>
          <w:rFonts w:ascii="Georgia" w:eastAsia="Times New Roman" w:hAnsi="Georgia" w:cs="Open Sans"/>
          <w:lang w:val="en-GB" w:eastAsia="hu-HU"/>
        </w:rPr>
        <w:t xml:space="preserve"> physical/environmental and human/social disciplines</w:t>
      </w:r>
      <w:r w:rsidR="00C54FBE" w:rsidRPr="0002056A">
        <w:rPr>
          <w:rStyle w:val="Lbjegyzet-hivatkozs"/>
          <w:rFonts w:ascii="Georgia" w:eastAsia="Times New Roman" w:hAnsi="Georgia" w:cs="Open Sans"/>
          <w:lang w:val="en-GB" w:eastAsia="hu-HU"/>
        </w:rPr>
        <w:footnoteReference w:id="33"/>
      </w:r>
      <w:r w:rsidR="00C54FBE" w:rsidRPr="0002056A">
        <w:rPr>
          <w:rFonts w:ascii="Georgia" w:eastAsia="Times New Roman" w:hAnsi="Georgia" w:cs="Open Sans"/>
          <w:lang w:val="en-GB" w:eastAsia="hu-HU"/>
        </w:rPr>
        <w:t xml:space="preserve"> </w:t>
      </w:r>
      <w:r w:rsidR="00C54FBE" w:rsidRPr="0002056A">
        <w:rPr>
          <w:rFonts w:ascii="Georgia" w:hAnsi="Georgia"/>
          <w:lang w:val="en-GB"/>
        </w:rPr>
        <w:t>to the study of climate in two main ways (through statistical, descriptive climatology and climate-oriented research of society)</w:t>
      </w:r>
      <w:r w:rsidR="003449F6" w:rsidRPr="0002056A">
        <w:rPr>
          <w:rFonts w:ascii="Georgia" w:hAnsi="Georgia"/>
          <w:lang w:val="en-GB"/>
        </w:rPr>
        <w:t>,</w:t>
      </w:r>
      <w:r w:rsidR="00C54FBE" w:rsidRPr="0002056A">
        <w:rPr>
          <w:rFonts w:ascii="Georgia" w:hAnsi="Georgia"/>
          <w:lang w:val="en-GB"/>
        </w:rPr>
        <w:t xml:space="preserve"> </w:t>
      </w:r>
      <w:r w:rsidR="003449F6" w:rsidRPr="0002056A">
        <w:rPr>
          <w:rFonts w:ascii="Georgia" w:hAnsi="Georgia"/>
          <w:lang w:val="en-GB"/>
        </w:rPr>
        <w:t>to</w:t>
      </w:r>
      <w:r w:rsidR="00C54FBE" w:rsidRPr="0002056A">
        <w:rPr>
          <w:rFonts w:ascii="Georgia" w:hAnsi="Georgia"/>
          <w:lang w:val="en-GB"/>
        </w:rPr>
        <w:t xml:space="preserve"> understand climate emergency</w:t>
      </w:r>
      <w:r w:rsidR="005A1F86" w:rsidRPr="0002056A">
        <w:rPr>
          <w:rFonts w:ascii="Georgia" w:hAnsi="Georgia"/>
          <w:lang w:val="en-GB"/>
        </w:rPr>
        <w:t xml:space="preserve"> </w:t>
      </w:r>
      <w:r w:rsidR="00C54FBE" w:rsidRPr="0002056A">
        <w:rPr>
          <w:rFonts w:ascii="Georgia" w:hAnsi="Georgia"/>
          <w:lang w:val="en-GB"/>
        </w:rPr>
        <w:t>(</w:t>
      </w:r>
      <w:r w:rsidR="00C54FBE" w:rsidRPr="0002056A">
        <w:rPr>
          <w:rFonts w:ascii="Georgia" w:hAnsi="Georgia" w:cstheme="minorHAnsi"/>
          <w:smallCaps/>
          <w:lang w:val="en-GB"/>
        </w:rPr>
        <w:t>Randalls, 2017; Taylor&amp;O’Keefe, 2021, Taylor, 2023</w:t>
      </w:r>
      <w:r w:rsidR="00C54FBE" w:rsidRPr="0002056A">
        <w:rPr>
          <w:rFonts w:ascii="Georgia" w:hAnsi="Georgia"/>
          <w:lang w:val="en-GB"/>
        </w:rPr>
        <w:t xml:space="preserve">). </w:t>
      </w:r>
      <w:r w:rsidR="00C54FBE" w:rsidRPr="0002056A">
        <w:rPr>
          <w:rFonts w:ascii="Georgia" w:hAnsi="Georgia"/>
          <w:lang w:val="en-GB"/>
        </w:rPr>
        <w:lastRenderedPageBreak/>
        <w:t xml:space="preserve">Farbotko emphasises that </w:t>
      </w:r>
      <w:r w:rsidR="00C54FBE" w:rsidRPr="0002056A">
        <w:rPr>
          <w:rFonts w:ascii="Georgia" w:eastAsia="Times New Roman" w:hAnsi="Georgia" w:cs="Open Sans"/>
          <w:lang w:val="en-GB" w:eastAsia="hu-HU"/>
        </w:rPr>
        <w:t>geographic data and analysis depicting various aspects of climate change and security are needed in order to shape policy directions and support evidence-based policy making (</w:t>
      </w:r>
      <w:r w:rsidR="00C54FBE" w:rsidRPr="0002056A">
        <w:rPr>
          <w:rFonts w:ascii="Georgia" w:hAnsi="Georgia" w:cstheme="minorHAnsi"/>
          <w:smallCaps/>
          <w:lang w:val="en-GB"/>
        </w:rPr>
        <w:t>Farbotko, 2018</w:t>
      </w:r>
      <w:r w:rsidR="00C54FBE" w:rsidRPr="0002056A">
        <w:rPr>
          <w:rFonts w:ascii="Georgia" w:eastAsia="Times New Roman" w:hAnsi="Georgia" w:cs="Open Sans"/>
          <w:lang w:val="en-GB" w:eastAsia="hu-HU"/>
        </w:rPr>
        <w:t>). Others</w:t>
      </w:r>
      <w:r w:rsidR="00C54FBE" w:rsidRPr="0002056A">
        <w:rPr>
          <w:rFonts w:ascii="Georgia" w:hAnsi="Georgia"/>
          <w:lang w:val="en-GB"/>
        </w:rPr>
        <w:t xml:space="preserve"> mention the </w:t>
      </w:r>
      <w:r w:rsidR="003470AB" w:rsidRPr="0002056A">
        <w:rPr>
          <w:rFonts w:ascii="Georgia" w:hAnsi="Georgia"/>
          <w:lang w:val="en-GB"/>
        </w:rPr>
        <w:t xml:space="preserve">useful </w:t>
      </w:r>
      <w:r w:rsidR="00C54FBE" w:rsidRPr="0002056A">
        <w:rPr>
          <w:rFonts w:ascii="Georgia" w:hAnsi="Georgia"/>
          <w:lang w:val="en-GB"/>
        </w:rPr>
        <w:t>collaboration of physical and human geography in climate modelling (</w:t>
      </w:r>
      <w:r w:rsidR="00C54FBE" w:rsidRPr="0002056A">
        <w:rPr>
          <w:rFonts w:ascii="Georgia" w:hAnsi="Georgia" w:cstheme="minorHAnsi"/>
          <w:smallCaps/>
          <w:lang w:val="en-GB"/>
        </w:rPr>
        <w:t>Colven&amp;Thomson, 2018</w:t>
      </w:r>
      <w:r w:rsidR="00C54FBE" w:rsidRPr="0002056A">
        <w:rPr>
          <w:rFonts w:ascii="Georgia" w:hAnsi="Georgia"/>
          <w:lang w:val="en-GB"/>
        </w:rPr>
        <w:t>). Pietta underlines geography’s skill in the identification of climate policy’s ethical, social, political and legal aspects</w:t>
      </w:r>
      <w:r w:rsidR="00C54FBE" w:rsidRPr="0002056A">
        <w:rPr>
          <w:rStyle w:val="Lbjegyzet-hivatkozs"/>
          <w:rFonts w:ascii="Georgia" w:hAnsi="Georgia"/>
          <w:lang w:val="en-GB"/>
        </w:rPr>
        <w:footnoteReference w:id="34"/>
      </w:r>
      <w:r w:rsidR="00C54FBE" w:rsidRPr="0002056A">
        <w:rPr>
          <w:rFonts w:ascii="Georgia" w:hAnsi="Georgia"/>
          <w:lang w:val="en-GB"/>
        </w:rPr>
        <w:t xml:space="preserve"> (</w:t>
      </w:r>
      <w:r w:rsidR="00C54FBE" w:rsidRPr="0002056A">
        <w:rPr>
          <w:rFonts w:ascii="Georgia" w:hAnsi="Georgia" w:cstheme="minorHAnsi"/>
          <w:smallCaps/>
          <w:lang w:val="en-GB"/>
        </w:rPr>
        <w:t>Pietta, 2023</w:t>
      </w:r>
      <w:r w:rsidR="00C54FBE" w:rsidRPr="0002056A">
        <w:rPr>
          <w:rFonts w:ascii="Georgia" w:hAnsi="Georgia"/>
          <w:lang w:val="en-GB"/>
        </w:rPr>
        <w:t xml:space="preserve">). </w:t>
      </w:r>
    </w:p>
    <w:p w14:paraId="39A01F2B" w14:textId="2948AA3C" w:rsidR="00C54FBE" w:rsidRPr="0002056A" w:rsidRDefault="00C54FBE" w:rsidP="00CD5BF3">
      <w:pPr>
        <w:spacing w:before="120" w:after="120"/>
        <w:jc w:val="both"/>
        <w:rPr>
          <w:rFonts w:ascii="Georgia" w:hAnsi="Georgia"/>
          <w:lang w:val="en-GB"/>
        </w:rPr>
      </w:pPr>
      <w:r w:rsidRPr="0002056A">
        <w:rPr>
          <w:rFonts w:ascii="Georgia" w:hAnsi="Georgia"/>
          <w:lang w:val="en-GB"/>
        </w:rPr>
        <w:t xml:space="preserve">Taylor </w:t>
      </w:r>
      <w:r w:rsidR="00477FBC" w:rsidRPr="0002056A">
        <w:rPr>
          <w:rFonts w:ascii="Georgia" w:hAnsi="Georgia"/>
          <w:lang w:val="en-GB"/>
        </w:rPr>
        <w:t xml:space="preserve">particularly </w:t>
      </w:r>
      <w:r w:rsidRPr="0002056A">
        <w:rPr>
          <w:rFonts w:ascii="Georgia" w:hAnsi="Georgia"/>
          <w:lang w:val="en-GB"/>
        </w:rPr>
        <w:t xml:space="preserve">underlines that regional </w:t>
      </w:r>
      <w:r w:rsidR="00874ECC" w:rsidRPr="0002056A">
        <w:rPr>
          <w:rFonts w:ascii="Georgia" w:hAnsi="Georgia"/>
          <w:lang w:val="en-GB"/>
        </w:rPr>
        <w:t>geography,</w:t>
      </w:r>
      <w:r w:rsidRPr="0002056A">
        <w:rPr>
          <w:rFonts w:ascii="Georgia" w:hAnsi="Georgia"/>
          <w:lang w:val="en-GB"/>
        </w:rPr>
        <w:t xml:space="preserve"> and regional sensitivity can be the most important future factors of climate change</w:t>
      </w:r>
      <w:r w:rsidR="00CC5591" w:rsidRPr="0002056A">
        <w:rPr>
          <w:rFonts w:ascii="Georgia" w:hAnsi="Georgia"/>
          <w:lang w:val="en-GB"/>
        </w:rPr>
        <w:t>-</w:t>
      </w:r>
      <w:r w:rsidRPr="0002056A">
        <w:rPr>
          <w:rFonts w:ascii="Georgia" w:hAnsi="Georgia"/>
          <w:lang w:val="en-GB"/>
        </w:rPr>
        <w:t>related policy making. He even advocates for bringing back</w:t>
      </w:r>
      <w:r w:rsidRPr="0002056A">
        <w:rPr>
          <w:rFonts w:ascii="Georgia" w:eastAsia="Times New Roman" w:hAnsi="Georgia" w:cs="Open Sans"/>
          <w:lang w:val="en-GB" w:eastAsia="hu-HU"/>
        </w:rPr>
        <w:t xml:space="preserve"> of regional geography’s specific toolkit as an analytic and synthetic approach, into the centre of attention to tackling climate change</w:t>
      </w:r>
      <w:r w:rsidR="00D71FAE" w:rsidRPr="0002056A">
        <w:rPr>
          <w:rStyle w:val="Lbjegyzet-hivatkozs"/>
          <w:rFonts w:ascii="Georgia" w:eastAsia="Times New Roman" w:hAnsi="Georgia" w:cs="Open Sans"/>
          <w:lang w:val="en-GB" w:eastAsia="hu-HU"/>
        </w:rPr>
        <w:footnoteReference w:id="35"/>
      </w:r>
      <w:r w:rsidR="00166647" w:rsidRPr="0002056A">
        <w:rPr>
          <w:rFonts w:ascii="Georgia" w:eastAsia="Times New Roman" w:hAnsi="Georgia" w:cs="Open Sans"/>
          <w:lang w:val="en-GB" w:eastAsia="hu-HU"/>
        </w:rPr>
        <w:t>.</w:t>
      </w:r>
      <w:r w:rsidRPr="0002056A">
        <w:rPr>
          <w:rFonts w:ascii="Georgia" w:eastAsia="Times New Roman" w:hAnsi="Georgia" w:cs="Open Sans"/>
          <w:lang w:val="en-GB" w:eastAsia="hu-HU"/>
        </w:rPr>
        <w:t xml:space="preserve"> </w:t>
      </w:r>
      <w:r w:rsidR="00E12418" w:rsidRPr="0002056A">
        <w:rPr>
          <w:rFonts w:ascii="Georgia" w:eastAsia="Times New Roman" w:hAnsi="Georgia" w:cs="Open Sans"/>
          <w:lang w:val="en-GB" w:eastAsia="hu-HU"/>
        </w:rPr>
        <w:t xml:space="preserve">He again </w:t>
      </w:r>
      <w:r w:rsidR="002861E5">
        <w:rPr>
          <w:rFonts w:ascii="Georgia" w:eastAsia="Times New Roman" w:hAnsi="Georgia" w:cs="Open Sans"/>
          <w:lang w:val="en-GB" w:eastAsia="hu-HU"/>
        </w:rPr>
        <w:t xml:space="preserve">notes that regions are widely used across both the environmental and social sciences as useful units for comparative analyses to highlight </w:t>
      </w:r>
      <w:r w:rsidR="00E12418" w:rsidRPr="0002056A">
        <w:rPr>
          <w:rFonts w:ascii="Georgia" w:hAnsi="Georgia" w:cs="Times New Roman"/>
          <w:lang w:val="en-GB"/>
        </w:rPr>
        <w:t>similarities and differences across space</w:t>
      </w:r>
      <w:r w:rsidRPr="0002056A">
        <w:rPr>
          <w:rFonts w:ascii="Georgia" w:eastAsia="Times New Roman" w:hAnsi="Georgia" w:cs="Open Sans"/>
          <w:lang w:val="en-GB" w:eastAsia="hu-HU"/>
        </w:rPr>
        <w:t xml:space="preserve">. </w:t>
      </w:r>
      <w:r w:rsidR="00477FBC" w:rsidRPr="0002056A">
        <w:rPr>
          <w:rFonts w:ascii="Georgia" w:eastAsia="Times New Roman" w:hAnsi="Georgia" w:cs="Open Sans"/>
          <w:lang w:val="en-GB" w:eastAsia="hu-HU"/>
        </w:rPr>
        <w:t>He</w:t>
      </w:r>
      <w:r w:rsidRPr="0002056A">
        <w:rPr>
          <w:rFonts w:ascii="Georgia" w:eastAsia="Times New Roman" w:hAnsi="Georgia" w:cs="Open Sans"/>
          <w:lang w:val="en-GB" w:eastAsia="hu-HU"/>
        </w:rPr>
        <w:t xml:space="preserve"> presented three examples of experimenting with geographical regions representing human-environmental interactions as alternative spatial policy framings for the management of environmental/climate policy: intergovernmental resilient regions for mitigation; </w:t>
      </w:r>
      <w:r w:rsidR="002861E5">
        <w:rPr>
          <w:rFonts w:ascii="Georgia" w:eastAsia="Times New Roman" w:hAnsi="Georgia" w:cs="Open Sans"/>
          <w:lang w:val="en-GB" w:eastAsia="hu-HU"/>
        </w:rPr>
        <w:t>localisation</w:t>
      </w:r>
      <w:r w:rsidR="002861E5" w:rsidRPr="0002056A">
        <w:rPr>
          <w:rFonts w:ascii="Georgia" w:eastAsia="Times New Roman" w:hAnsi="Georgia" w:cs="Open Sans"/>
          <w:lang w:val="en-GB" w:eastAsia="hu-HU"/>
        </w:rPr>
        <w:t xml:space="preserve"> </w:t>
      </w:r>
      <w:r w:rsidRPr="0002056A">
        <w:rPr>
          <w:rFonts w:ascii="Georgia" w:eastAsia="Times New Roman" w:hAnsi="Georgia" w:cs="Open Sans"/>
          <w:lang w:val="en-GB" w:eastAsia="hu-HU"/>
        </w:rPr>
        <w:t>through urban sustainable regions</w:t>
      </w:r>
      <w:r w:rsidRPr="0002056A">
        <w:rPr>
          <w:rStyle w:val="Lbjegyzet-hivatkozs"/>
          <w:rFonts w:ascii="Georgia" w:eastAsia="Times New Roman" w:hAnsi="Georgia" w:cs="Open Sans"/>
          <w:lang w:val="en-GB" w:eastAsia="hu-HU"/>
        </w:rPr>
        <w:footnoteReference w:id="36"/>
      </w:r>
      <w:r w:rsidRPr="0002056A">
        <w:rPr>
          <w:rFonts w:ascii="Georgia" w:eastAsia="Times New Roman" w:hAnsi="Georgia" w:cs="Open Sans"/>
          <w:lang w:val="en-GB" w:eastAsia="hu-HU"/>
        </w:rPr>
        <w:t>; and regions for planetary stewardship of humans-in-nature</w:t>
      </w:r>
      <w:r w:rsidRPr="0002056A">
        <w:rPr>
          <w:rStyle w:val="Lbjegyzet-hivatkozs"/>
          <w:rFonts w:ascii="Georgia" w:eastAsia="Times New Roman" w:hAnsi="Georgia" w:cs="Open Sans"/>
          <w:lang w:val="en-GB" w:eastAsia="hu-HU"/>
        </w:rPr>
        <w:footnoteReference w:id="37"/>
      </w:r>
      <w:r w:rsidRPr="0002056A">
        <w:rPr>
          <w:rFonts w:ascii="Georgia" w:eastAsia="Times New Roman" w:hAnsi="Georgia" w:cs="Open Sans"/>
          <w:lang w:val="en-GB" w:eastAsia="hu-HU"/>
        </w:rPr>
        <w:t xml:space="preserve"> </w:t>
      </w:r>
      <w:r w:rsidRPr="0002056A">
        <w:rPr>
          <w:rFonts w:ascii="Georgia" w:hAnsi="Georgia" w:cs="Times New Roman"/>
          <w:lang w:val="en-GB"/>
        </w:rPr>
        <w:t>(</w:t>
      </w:r>
      <w:r w:rsidRPr="0002056A">
        <w:rPr>
          <w:rFonts w:ascii="Georgia" w:hAnsi="Georgia" w:cs="Times New Roman"/>
          <w:smallCaps/>
          <w:lang w:val="en-GB"/>
        </w:rPr>
        <w:t>Taylor, 2023</w:t>
      </w:r>
      <w:r w:rsidRPr="0002056A">
        <w:rPr>
          <w:rFonts w:ascii="Georgia" w:hAnsi="Georgia" w:cs="Times New Roman"/>
          <w:lang w:val="en-GB"/>
        </w:rPr>
        <w:t>).</w:t>
      </w:r>
      <w:r w:rsidR="00617678" w:rsidRPr="0002056A">
        <w:rPr>
          <w:rFonts w:ascii="Georgia" w:hAnsi="Georgia" w:cs="Times New Roman"/>
          <w:lang w:val="en-GB"/>
        </w:rPr>
        <w:t xml:space="preserve"> </w:t>
      </w:r>
      <w:r w:rsidRPr="0002056A">
        <w:rPr>
          <w:rFonts w:ascii="Georgia" w:hAnsi="Georgia" w:cs="Times New Roman"/>
          <w:lang w:val="en-GB"/>
        </w:rPr>
        <w:t xml:space="preserve">Paasi in 2023 </w:t>
      </w:r>
      <w:r w:rsidR="002861E5">
        <w:rPr>
          <w:rFonts w:ascii="Georgia" w:hAnsi="Georgia" w:cs="Times New Roman"/>
          <w:lang w:val="en-GB"/>
        </w:rPr>
        <w:t>offered commentary on Taylor's article, focusing especially on the contested (discursive) regional, geographical,</w:t>
      </w:r>
      <w:r w:rsidRPr="0002056A">
        <w:rPr>
          <w:rFonts w:ascii="Georgia" w:eastAsia="Times New Roman" w:hAnsi="Georgia" w:cs="Times New Roman"/>
          <w:lang w:val="en-GB" w:eastAsia="hu-HU"/>
        </w:rPr>
        <w:t xml:space="preserve"> and state-centric frames critically examined </w:t>
      </w:r>
      <w:r w:rsidR="00166647" w:rsidRPr="0002056A">
        <w:rPr>
          <w:rFonts w:ascii="Georgia" w:eastAsia="Times New Roman" w:hAnsi="Georgia" w:cs="Times New Roman"/>
          <w:lang w:val="en-GB" w:eastAsia="hu-HU"/>
        </w:rPr>
        <w:t>by</w:t>
      </w:r>
      <w:r w:rsidRPr="0002056A">
        <w:rPr>
          <w:rFonts w:ascii="Georgia" w:eastAsia="Times New Roman" w:hAnsi="Georgia" w:cs="Times New Roman"/>
          <w:lang w:val="en-GB" w:eastAsia="hu-HU"/>
        </w:rPr>
        <w:t xml:space="preserve"> </w:t>
      </w:r>
      <w:r w:rsidR="005D0774" w:rsidRPr="0002056A">
        <w:rPr>
          <w:rFonts w:ascii="Georgia" w:eastAsia="Times New Roman" w:hAnsi="Georgia" w:cs="Times New Roman"/>
          <w:lang w:val="en-GB" w:eastAsia="hu-HU"/>
        </w:rPr>
        <w:t>the original author</w:t>
      </w:r>
      <w:r w:rsidRPr="0002056A">
        <w:rPr>
          <w:rFonts w:ascii="Georgia" w:eastAsia="Times New Roman" w:hAnsi="Georgia" w:cs="Times New Roman"/>
          <w:lang w:val="en-GB" w:eastAsia="hu-HU"/>
        </w:rPr>
        <w:t xml:space="preserve">. </w:t>
      </w:r>
      <w:r w:rsidR="00345674" w:rsidRPr="0002056A">
        <w:rPr>
          <w:rFonts w:ascii="Georgia" w:eastAsia="Times New Roman" w:hAnsi="Georgia" w:cs="Times New Roman"/>
          <w:lang w:val="en-GB" w:eastAsia="hu-HU"/>
        </w:rPr>
        <w:t xml:space="preserve">He </w:t>
      </w:r>
      <w:r w:rsidRPr="0002056A">
        <w:rPr>
          <w:rFonts w:ascii="Georgia" w:eastAsia="Times New Roman" w:hAnsi="Georgia" w:cs="Times New Roman"/>
          <w:lang w:val="en-GB" w:eastAsia="hu-HU"/>
        </w:rPr>
        <w:t>remark</w:t>
      </w:r>
      <w:r w:rsidR="005D0774" w:rsidRPr="0002056A">
        <w:rPr>
          <w:rFonts w:ascii="Georgia" w:eastAsia="Times New Roman" w:hAnsi="Georgia" w:cs="Times New Roman"/>
          <w:lang w:val="en-GB" w:eastAsia="hu-HU"/>
        </w:rPr>
        <w:t>ed</w:t>
      </w:r>
      <w:r w:rsidRPr="0002056A">
        <w:rPr>
          <w:rFonts w:ascii="Georgia" w:eastAsia="Times New Roman" w:hAnsi="Georgia" w:cs="Times New Roman"/>
          <w:lang w:val="en-GB" w:eastAsia="hu-HU"/>
        </w:rPr>
        <w:t xml:space="preserve"> that despite the plenty of literature items on climate change, ontological issues related to regionality/spatiality have been largely overlooked so far. Since regional/territorial, particularly state-centric frames are frequently taken for granted, Taylor's proposal is very </w:t>
      </w:r>
      <w:r w:rsidR="002861E5">
        <w:rPr>
          <w:rFonts w:ascii="Georgia" w:eastAsia="Times New Roman" w:hAnsi="Georgia" w:cs="Times New Roman"/>
          <w:lang w:val="en-GB" w:eastAsia="hu-HU"/>
        </w:rPr>
        <w:t>welcome</w:t>
      </w:r>
      <w:r w:rsidR="002861E5" w:rsidRPr="0002056A">
        <w:rPr>
          <w:rFonts w:ascii="Georgia" w:eastAsia="Times New Roman" w:hAnsi="Georgia" w:cs="Times New Roman"/>
          <w:lang w:val="en-GB" w:eastAsia="hu-HU"/>
        </w:rPr>
        <w:t xml:space="preserve"> </w:t>
      </w:r>
      <w:r w:rsidRPr="0002056A">
        <w:rPr>
          <w:rFonts w:ascii="Georgia" w:eastAsia="Times New Roman" w:hAnsi="Georgia" w:cs="Times New Roman"/>
          <w:lang w:val="en-GB" w:eastAsia="hu-HU"/>
        </w:rPr>
        <w:t>and provides a valuable addition not only to the debate on climate change but also to the ongoing resurgence of regional geography and regional thinking</w:t>
      </w:r>
      <w:r w:rsidR="00617678" w:rsidRPr="0002056A">
        <w:rPr>
          <w:rFonts w:ascii="Georgia" w:eastAsia="Times New Roman" w:hAnsi="Georgia" w:cs="Times New Roman"/>
          <w:lang w:val="en-GB" w:eastAsia="hu-HU"/>
        </w:rPr>
        <w:t xml:space="preserve"> </w:t>
      </w:r>
      <w:r w:rsidR="00FE411D" w:rsidRPr="0002056A">
        <w:rPr>
          <w:rFonts w:ascii="Georgia" w:eastAsia="Times New Roman" w:hAnsi="Georgia" w:cs="Times New Roman"/>
          <w:lang w:val="en-GB" w:eastAsia="hu-HU"/>
        </w:rPr>
        <w:t>(</w:t>
      </w:r>
      <w:r w:rsidR="00FE411D" w:rsidRPr="0002056A">
        <w:rPr>
          <w:rFonts w:ascii="Georgia" w:eastAsia="Times New Roman" w:hAnsi="Georgia" w:cs="Times New Roman"/>
          <w:smallCaps/>
          <w:lang w:val="en-GB" w:eastAsia="hu-HU"/>
        </w:rPr>
        <w:t>Paasi, 2023</w:t>
      </w:r>
      <w:r w:rsidR="00FE411D" w:rsidRPr="0002056A">
        <w:rPr>
          <w:rFonts w:ascii="Georgia" w:eastAsia="Times New Roman" w:hAnsi="Georgia" w:cs="Times New Roman"/>
          <w:lang w:val="en-GB" w:eastAsia="hu-HU"/>
        </w:rPr>
        <w:t>).</w:t>
      </w:r>
    </w:p>
    <w:p w14:paraId="769DE8F3" w14:textId="5D5ACEE6" w:rsidR="00541074" w:rsidRPr="0002056A" w:rsidRDefault="00DC2C71" w:rsidP="00CD5BF3">
      <w:pPr>
        <w:spacing w:before="120" w:after="120"/>
        <w:jc w:val="both"/>
        <w:rPr>
          <w:rFonts w:ascii="Georgia" w:hAnsi="Georgia" w:cs="Times New Roman"/>
          <w:lang w:val="en-GB"/>
        </w:rPr>
      </w:pPr>
      <w:r w:rsidRPr="0002056A">
        <w:rPr>
          <w:rFonts w:ascii="Georgia" w:hAnsi="Georgia" w:cs="Times New Roman"/>
          <w:lang w:val="en-GB"/>
        </w:rPr>
        <w:t xml:space="preserve">Another group of literature items </w:t>
      </w:r>
      <w:r w:rsidR="002861E5">
        <w:rPr>
          <w:rFonts w:ascii="Georgia" w:hAnsi="Georgia" w:cs="Times New Roman"/>
          <w:lang w:val="en-GB"/>
        </w:rPr>
        <w:t>addresses the spatial implications of climate adaptation from the perspective of spatial planning, analysing the role of climate adaptation in spatial planning and vice versa; the relationship between strategic spatial development, physical planning activities</w:t>
      </w:r>
      <w:r w:rsidR="000F74B7" w:rsidRPr="0002056A">
        <w:rPr>
          <w:rFonts w:ascii="Georgia" w:hAnsi="Georgia" w:cs="Times New Roman"/>
          <w:lang w:val="en-GB"/>
        </w:rPr>
        <w:t xml:space="preserve"> and </w:t>
      </w:r>
      <w:r w:rsidR="00627532" w:rsidRPr="0002056A">
        <w:rPr>
          <w:rFonts w:ascii="Georgia" w:hAnsi="Georgia" w:cs="Times New Roman"/>
          <w:lang w:val="en-GB"/>
        </w:rPr>
        <w:t xml:space="preserve">adaptation planning; or the </w:t>
      </w:r>
      <w:r w:rsidR="00216AD0" w:rsidRPr="0002056A">
        <w:rPr>
          <w:rFonts w:ascii="Georgia" w:hAnsi="Georgia" w:cs="Times New Roman"/>
          <w:lang w:val="en-GB"/>
        </w:rPr>
        <w:t>connections</w:t>
      </w:r>
      <w:r w:rsidR="00627532" w:rsidRPr="0002056A">
        <w:rPr>
          <w:rFonts w:ascii="Georgia" w:hAnsi="Georgia" w:cs="Times New Roman"/>
          <w:lang w:val="en-GB"/>
        </w:rPr>
        <w:t xml:space="preserve"> between urban and climate adaptation planning. </w:t>
      </w:r>
      <w:r w:rsidR="00431F99" w:rsidRPr="0002056A">
        <w:rPr>
          <w:rFonts w:ascii="Georgia" w:hAnsi="Georgia" w:cs="Times New Roman"/>
          <w:lang w:val="en-GB"/>
        </w:rPr>
        <w:t>The next subchapter deal with</w:t>
      </w:r>
      <w:r w:rsidR="000F74B7" w:rsidRPr="0002056A">
        <w:rPr>
          <w:rFonts w:ascii="Georgia" w:hAnsi="Georgia" w:cs="Times New Roman"/>
          <w:lang w:val="en-GB"/>
        </w:rPr>
        <w:t xml:space="preserve"> </w:t>
      </w:r>
      <w:r w:rsidR="00431F99" w:rsidRPr="0002056A">
        <w:rPr>
          <w:rFonts w:ascii="Georgia" w:hAnsi="Georgia" w:cs="Times New Roman"/>
          <w:lang w:val="en-GB"/>
        </w:rPr>
        <w:t>these.</w:t>
      </w:r>
    </w:p>
    <w:p w14:paraId="24A2F206" w14:textId="03E0D483" w:rsidR="00431F99" w:rsidRPr="0002056A" w:rsidRDefault="003B4873" w:rsidP="00214BD9">
      <w:pPr>
        <w:pStyle w:val="Cmsor5"/>
        <w:numPr>
          <w:ilvl w:val="4"/>
          <w:numId w:val="4"/>
        </w:numPr>
        <w:rPr>
          <w:lang w:val="en-GB"/>
        </w:rPr>
      </w:pPr>
      <w:r w:rsidRPr="0002056A">
        <w:rPr>
          <w:lang w:val="en-GB"/>
        </w:rPr>
        <w:t>Relationship of c</w:t>
      </w:r>
      <w:r w:rsidR="00431F99" w:rsidRPr="0002056A">
        <w:rPr>
          <w:lang w:val="en-GB"/>
        </w:rPr>
        <w:t>limate adaptation planning and spatial planning</w:t>
      </w:r>
      <w:r w:rsidRPr="0002056A">
        <w:rPr>
          <w:lang w:val="en-GB"/>
        </w:rPr>
        <w:t xml:space="preserve"> in the literature</w:t>
      </w:r>
    </w:p>
    <w:p w14:paraId="1602CC76" w14:textId="1D839911" w:rsidR="00541074" w:rsidRPr="0002056A" w:rsidRDefault="00111E6E" w:rsidP="00CD5BF3">
      <w:pPr>
        <w:spacing w:before="120" w:after="120"/>
        <w:jc w:val="both"/>
        <w:rPr>
          <w:rFonts w:ascii="Georgia" w:hAnsi="Georgia" w:cs="Times New Roman"/>
          <w:lang w:val="en-GB"/>
        </w:rPr>
      </w:pPr>
      <w:r w:rsidRPr="0002056A">
        <w:rPr>
          <w:rFonts w:ascii="Georgia" w:hAnsi="Georgia"/>
          <w:lang w:val="en-GB"/>
        </w:rPr>
        <w:t>Already t</w:t>
      </w:r>
      <w:r w:rsidR="00541074" w:rsidRPr="0002056A">
        <w:rPr>
          <w:rFonts w:ascii="Georgia" w:hAnsi="Georgia"/>
          <w:lang w:val="en-GB"/>
        </w:rPr>
        <w:t>h</w:t>
      </w:r>
      <w:r w:rsidR="00B153C0" w:rsidRPr="0002056A">
        <w:rPr>
          <w:rFonts w:ascii="Georgia" w:hAnsi="Georgia"/>
          <w:lang w:val="en-GB"/>
        </w:rPr>
        <w:t>e</w:t>
      </w:r>
      <w:r w:rsidRPr="0002056A">
        <w:rPr>
          <w:rFonts w:ascii="Georgia" w:hAnsi="Georgia"/>
          <w:lang w:val="en-GB"/>
        </w:rPr>
        <w:t xml:space="preserve"> earlier mentioned </w:t>
      </w:r>
      <w:r w:rsidR="00B153C0" w:rsidRPr="0002056A">
        <w:rPr>
          <w:rFonts w:ascii="Georgia" w:hAnsi="Georgia"/>
          <w:lang w:val="en-GB"/>
        </w:rPr>
        <w:t>studies</w:t>
      </w:r>
      <w:r w:rsidR="00541074" w:rsidRPr="0002056A">
        <w:rPr>
          <w:rFonts w:ascii="Georgia" w:hAnsi="Georgia"/>
          <w:lang w:val="en-GB"/>
        </w:rPr>
        <w:t xml:space="preserve"> </w:t>
      </w:r>
      <w:r w:rsidRPr="0002056A">
        <w:rPr>
          <w:rFonts w:ascii="Georgia" w:hAnsi="Georgia"/>
          <w:lang w:val="en-GB"/>
        </w:rPr>
        <w:t xml:space="preserve">about climate risk assessments </w:t>
      </w:r>
      <w:r w:rsidR="00541074" w:rsidRPr="0002056A">
        <w:rPr>
          <w:rFonts w:ascii="Georgia" w:hAnsi="Georgia"/>
          <w:lang w:val="en-GB"/>
        </w:rPr>
        <w:t xml:space="preserve">call our attention </w:t>
      </w:r>
      <w:r w:rsidR="00BD5192" w:rsidRPr="0002056A">
        <w:rPr>
          <w:rFonts w:ascii="Georgia" w:hAnsi="Georgia"/>
          <w:lang w:val="en-GB"/>
        </w:rPr>
        <w:t xml:space="preserve">to </w:t>
      </w:r>
      <w:r w:rsidR="00541074" w:rsidRPr="0002056A">
        <w:rPr>
          <w:rFonts w:ascii="Georgia" w:hAnsi="Georgia"/>
          <w:lang w:val="en-GB"/>
        </w:rPr>
        <w:t xml:space="preserve">the </w:t>
      </w:r>
      <w:r w:rsidR="00BE662B" w:rsidRPr="0002056A">
        <w:rPr>
          <w:rFonts w:ascii="Georgia" w:hAnsi="Georgia"/>
          <w:lang w:val="en-GB"/>
        </w:rPr>
        <w:t>connection of</w:t>
      </w:r>
      <w:r w:rsidR="00541074" w:rsidRPr="0002056A">
        <w:rPr>
          <w:rFonts w:ascii="Georgia" w:hAnsi="Georgia"/>
          <w:lang w:val="en-GB"/>
        </w:rPr>
        <w:t xml:space="preserve"> spatial planning </w:t>
      </w:r>
      <w:r w:rsidR="00BE662B" w:rsidRPr="0002056A">
        <w:rPr>
          <w:rFonts w:ascii="Georgia" w:hAnsi="Georgia"/>
          <w:lang w:val="en-GB"/>
        </w:rPr>
        <w:t>with</w:t>
      </w:r>
      <w:r w:rsidR="00541074" w:rsidRPr="0002056A">
        <w:rPr>
          <w:rFonts w:ascii="Georgia" w:hAnsi="Georgia"/>
          <w:lang w:val="en-GB"/>
        </w:rPr>
        <w:t xml:space="preserve"> the</w:t>
      </w:r>
      <w:r w:rsidR="00BD5192" w:rsidRPr="0002056A">
        <w:rPr>
          <w:rFonts w:ascii="Georgia" w:hAnsi="Georgia"/>
          <w:lang w:val="en-GB"/>
        </w:rPr>
        <w:t>se</w:t>
      </w:r>
      <w:r w:rsidR="00541074" w:rsidRPr="0002056A">
        <w:rPr>
          <w:rFonts w:ascii="Georgia" w:hAnsi="Georgia"/>
          <w:lang w:val="en-GB"/>
        </w:rPr>
        <w:t xml:space="preserve"> activities (</w:t>
      </w:r>
      <w:r w:rsidR="00541074" w:rsidRPr="0002056A">
        <w:rPr>
          <w:rFonts w:ascii="Georgia" w:hAnsi="Georgia" w:cstheme="minorHAnsi"/>
          <w:smallCaps/>
          <w:lang w:val="en-GB"/>
        </w:rPr>
        <w:t>Sapountzaki et al</w:t>
      </w:r>
      <w:r w:rsidR="00541074" w:rsidRPr="0002056A">
        <w:rPr>
          <w:rFonts w:ascii="Georgia" w:hAnsi="Georgia"/>
          <w:lang w:val="en-GB"/>
        </w:rPr>
        <w:t xml:space="preserve">, 2011), indicating that </w:t>
      </w:r>
      <w:r w:rsidR="00541074" w:rsidRPr="0002056A">
        <w:rPr>
          <w:rFonts w:ascii="Georgia" w:hAnsi="Georgia" w:cs="Times New Roman"/>
          <w:b/>
          <w:bCs/>
          <w:lang w:val="en-GB"/>
        </w:rPr>
        <w:t xml:space="preserve">regional/spatial </w:t>
      </w:r>
      <w:r w:rsidR="00BD5192" w:rsidRPr="0002056A">
        <w:rPr>
          <w:rFonts w:ascii="Georgia" w:hAnsi="Georgia" w:cs="Times New Roman"/>
          <w:b/>
          <w:bCs/>
          <w:lang w:val="en-GB"/>
        </w:rPr>
        <w:t>emphases</w:t>
      </w:r>
      <w:r w:rsidR="00541074" w:rsidRPr="0002056A">
        <w:rPr>
          <w:rFonts w:ascii="Georgia" w:hAnsi="Georgia" w:cs="Times New Roman"/>
          <w:b/>
          <w:bCs/>
          <w:lang w:val="en-GB"/>
        </w:rPr>
        <w:t xml:space="preserve"> in climate policy </w:t>
      </w:r>
      <w:r w:rsidR="00541074" w:rsidRPr="0002056A">
        <w:rPr>
          <w:rFonts w:ascii="Georgia" w:hAnsi="Georgia" w:cs="Times New Roman"/>
          <w:lang w:val="en-GB"/>
        </w:rPr>
        <w:t>can be detected also by</w:t>
      </w:r>
      <w:r w:rsidR="00541074" w:rsidRPr="0002056A">
        <w:rPr>
          <w:rFonts w:ascii="Georgia" w:hAnsi="Georgia" w:cs="Times New Roman"/>
          <w:b/>
          <w:bCs/>
          <w:lang w:val="en-GB"/>
        </w:rPr>
        <w:t xml:space="preserve"> its </w:t>
      </w:r>
      <w:r w:rsidR="00BE662B" w:rsidRPr="0002056A">
        <w:rPr>
          <w:rFonts w:ascii="Georgia" w:hAnsi="Georgia" w:cs="Times New Roman"/>
          <w:b/>
          <w:bCs/>
          <w:lang w:val="en-GB"/>
        </w:rPr>
        <w:t>linkage</w:t>
      </w:r>
      <w:r w:rsidR="00541074" w:rsidRPr="0002056A">
        <w:rPr>
          <w:rFonts w:ascii="Georgia" w:hAnsi="Georgia" w:cs="Times New Roman"/>
          <w:b/>
          <w:bCs/>
          <w:lang w:val="en-GB"/>
        </w:rPr>
        <w:t xml:space="preserve"> with spatial planning and development</w:t>
      </w:r>
      <w:r w:rsidR="00541074" w:rsidRPr="0002056A">
        <w:rPr>
          <w:rFonts w:ascii="Georgia" w:hAnsi="Georgia" w:cs="Times New Roman"/>
          <w:lang w:val="en-GB"/>
        </w:rPr>
        <w:t xml:space="preserve"> (</w:t>
      </w:r>
      <w:r w:rsidR="00541074" w:rsidRPr="0002056A">
        <w:rPr>
          <w:rFonts w:ascii="Georgia" w:hAnsi="Georgia" w:cs="Times New Roman"/>
          <w:smallCaps/>
          <w:lang w:val="en-GB"/>
        </w:rPr>
        <w:t>Storbjörk&amp;Uggla, 2014; Wilson&amp;Piper, 2010; Uittenbroek et al, 2012</w:t>
      </w:r>
      <w:r w:rsidR="00541074" w:rsidRPr="0002056A">
        <w:rPr>
          <w:rFonts w:ascii="Georgia" w:hAnsi="Georgia" w:cs="Times New Roman"/>
          <w:lang w:val="en-GB"/>
        </w:rPr>
        <w:t xml:space="preserve">). </w:t>
      </w:r>
    </w:p>
    <w:p w14:paraId="046A7AE6" w14:textId="2643E782" w:rsidR="00541074" w:rsidRPr="0002056A" w:rsidRDefault="00B153C0" w:rsidP="00CD5BF3">
      <w:pPr>
        <w:spacing w:before="120" w:after="120"/>
        <w:jc w:val="both"/>
        <w:rPr>
          <w:rFonts w:ascii="Georgia" w:hAnsi="Georgia"/>
          <w:lang w:val="en-GB"/>
        </w:rPr>
      </w:pPr>
      <w:r w:rsidRPr="0002056A">
        <w:rPr>
          <w:rFonts w:ascii="Georgia" w:hAnsi="Georgia" w:cs="Times New Roman"/>
          <w:lang w:val="en-GB"/>
        </w:rPr>
        <w:lastRenderedPageBreak/>
        <w:t>In Rannow’s definition</w:t>
      </w:r>
      <w:r w:rsidR="002861E5">
        <w:rPr>
          <w:rFonts w:ascii="Georgia" w:hAnsi="Georgia" w:cs="Times New Roman"/>
          <w:lang w:val="en-GB"/>
        </w:rPr>
        <w:t xml:space="preserve">, </w:t>
      </w:r>
      <w:r w:rsidR="002861E5" w:rsidRPr="007B2582">
        <w:rPr>
          <w:rFonts w:ascii="Georgia" w:hAnsi="Georgia" w:cs="Times New Roman"/>
          <w:b/>
          <w:bCs/>
          <w:lang w:val="en-GB"/>
        </w:rPr>
        <w:t>spatial planning</w:t>
      </w:r>
      <w:r w:rsidR="002861E5">
        <w:rPr>
          <w:rFonts w:ascii="Georgia" w:hAnsi="Georgia" w:cs="Times New Roman"/>
          <w:lang w:val="en-GB"/>
        </w:rPr>
        <w:t xml:space="preserve"> means the development of </w:t>
      </w:r>
      <w:r w:rsidR="002861E5" w:rsidRPr="007B2582">
        <w:rPr>
          <w:rFonts w:ascii="Georgia" w:hAnsi="Georgia" w:cs="Times New Roman"/>
          <w:b/>
          <w:bCs/>
          <w:lang w:val="en-GB"/>
        </w:rPr>
        <w:t>future-oriented</w:t>
      </w:r>
      <w:r w:rsidR="002861E5">
        <w:rPr>
          <w:rFonts w:ascii="Georgia" w:hAnsi="Georgia" w:cs="Times New Roman"/>
          <w:lang w:val="en-GB"/>
        </w:rPr>
        <w:t>,</w:t>
      </w:r>
      <w:r w:rsidR="00541074" w:rsidRPr="0002056A">
        <w:rPr>
          <w:rFonts w:ascii="Georgia" w:hAnsi="Georgia" w:cs="Times New Roman"/>
          <w:b/>
          <w:bCs/>
          <w:lang w:val="en-GB"/>
        </w:rPr>
        <w:t xml:space="preserve"> holistic</w:t>
      </w:r>
      <w:r w:rsidR="00541074" w:rsidRPr="0002056A">
        <w:rPr>
          <w:rFonts w:ascii="Georgia" w:hAnsi="Georgia" w:cs="Times New Roman"/>
          <w:lang w:val="en-GB"/>
        </w:rPr>
        <w:t xml:space="preserve"> policies, integrating and </w:t>
      </w:r>
      <w:r w:rsidR="00541074" w:rsidRPr="0002056A">
        <w:rPr>
          <w:rFonts w:ascii="Georgia" w:hAnsi="Georgia" w:cs="Times New Roman"/>
          <w:b/>
          <w:bCs/>
          <w:lang w:val="en-GB"/>
        </w:rPr>
        <w:t xml:space="preserve">coordinating different sectoral and societal </w:t>
      </w:r>
      <w:r w:rsidRPr="0002056A">
        <w:rPr>
          <w:rFonts w:ascii="Georgia" w:hAnsi="Georgia" w:cs="Times New Roman"/>
          <w:b/>
          <w:bCs/>
          <w:lang w:val="en-GB"/>
        </w:rPr>
        <w:t>nee</w:t>
      </w:r>
      <w:r w:rsidR="00541074" w:rsidRPr="0002056A">
        <w:rPr>
          <w:rFonts w:ascii="Georgia" w:hAnsi="Georgia" w:cs="Times New Roman"/>
          <w:b/>
          <w:bCs/>
          <w:lang w:val="en-GB"/>
        </w:rPr>
        <w:t>ds</w:t>
      </w:r>
      <w:r w:rsidR="00541074" w:rsidRPr="0002056A">
        <w:rPr>
          <w:rFonts w:ascii="Georgia" w:hAnsi="Georgia" w:cs="Times New Roman"/>
          <w:lang w:val="en-GB"/>
        </w:rPr>
        <w:t xml:space="preserve"> into a desired future physical organisation of space. As </w:t>
      </w:r>
      <w:r w:rsidR="00541074" w:rsidRPr="0002056A">
        <w:rPr>
          <w:rFonts w:ascii="Georgia" w:hAnsi="Georgia"/>
          <w:lang w:val="en-GB"/>
        </w:rPr>
        <w:t>a comprehensive, cross-sectoral, spatially oriented activity with the core objective of optimising land uses</w:t>
      </w:r>
      <w:r w:rsidR="00283FC3" w:rsidRPr="0002056A">
        <w:rPr>
          <w:rFonts w:ascii="Georgia" w:hAnsi="Georgia"/>
          <w:lang w:val="en-GB"/>
        </w:rPr>
        <w:t xml:space="preserve"> and spatial structures</w:t>
      </w:r>
      <w:r w:rsidR="00174E89" w:rsidRPr="0002056A">
        <w:rPr>
          <w:rFonts w:ascii="Georgia" w:hAnsi="Georgia"/>
          <w:lang w:val="en-GB"/>
        </w:rPr>
        <w:t>,</w:t>
      </w:r>
      <w:r w:rsidR="00541074" w:rsidRPr="0002056A">
        <w:rPr>
          <w:rFonts w:ascii="Georgia" w:hAnsi="Georgia"/>
          <w:lang w:val="en-GB"/>
        </w:rPr>
        <w:t xml:space="preserve"> it naturally requires regional/local level information, even </w:t>
      </w:r>
      <w:r w:rsidR="00174E89" w:rsidRPr="0002056A">
        <w:rPr>
          <w:rFonts w:ascii="Georgia" w:hAnsi="Georgia"/>
          <w:lang w:val="en-GB"/>
        </w:rPr>
        <w:t xml:space="preserve">about </w:t>
      </w:r>
      <w:r w:rsidR="00541074" w:rsidRPr="0002056A">
        <w:rPr>
          <w:rFonts w:ascii="Georgia" w:hAnsi="Georgia"/>
          <w:lang w:val="en-GB"/>
        </w:rPr>
        <w:t>climate change (as the latter is one of landscape change’s major driving forces). Through th</w:t>
      </w:r>
      <w:r w:rsidR="00283FC3" w:rsidRPr="0002056A">
        <w:rPr>
          <w:rFonts w:ascii="Georgia" w:hAnsi="Georgia"/>
          <w:lang w:val="en-GB"/>
        </w:rPr>
        <w:t>i</w:t>
      </w:r>
      <w:r w:rsidR="00541074" w:rsidRPr="0002056A">
        <w:rPr>
          <w:rFonts w:ascii="Georgia" w:hAnsi="Georgia"/>
          <w:lang w:val="en-GB"/>
        </w:rPr>
        <w:t>s information</w:t>
      </w:r>
      <w:r w:rsidR="002861E5">
        <w:rPr>
          <w:rFonts w:ascii="Georgia" w:hAnsi="Georgia"/>
          <w:lang w:val="en-GB"/>
        </w:rPr>
        <w:t>, spatial planning supports</w:t>
      </w:r>
      <w:r w:rsidR="00541074" w:rsidRPr="0002056A">
        <w:rPr>
          <w:rFonts w:ascii="Georgia" w:hAnsi="Georgia"/>
          <w:lang w:val="en-GB"/>
        </w:rPr>
        <w:t xml:space="preserve"> local authorities </w:t>
      </w:r>
      <w:r w:rsidR="00174E89" w:rsidRPr="0002056A">
        <w:rPr>
          <w:rFonts w:ascii="Georgia" w:hAnsi="Georgia"/>
          <w:lang w:val="en-GB"/>
        </w:rPr>
        <w:t>in</w:t>
      </w:r>
      <w:r w:rsidR="00541074" w:rsidRPr="0002056A">
        <w:rPr>
          <w:rFonts w:ascii="Georgia" w:hAnsi="Georgia"/>
          <w:lang w:val="en-GB"/>
        </w:rPr>
        <w:t xml:space="preserve"> adapting to climate impacts (</w:t>
      </w:r>
      <w:r w:rsidR="00541074" w:rsidRPr="0002056A">
        <w:rPr>
          <w:rFonts w:ascii="Georgia" w:hAnsi="Georgia"/>
          <w:smallCaps/>
          <w:lang w:val="en-GB"/>
        </w:rPr>
        <w:t>Rannow et al, 2010</w:t>
      </w:r>
      <w:r w:rsidR="00541074" w:rsidRPr="0002056A">
        <w:rPr>
          <w:rFonts w:ascii="Georgia" w:hAnsi="Georgia"/>
          <w:lang w:val="en-GB"/>
        </w:rPr>
        <w:t xml:space="preserve">). </w:t>
      </w:r>
    </w:p>
    <w:p w14:paraId="17B9B100" w14:textId="4015FDCB" w:rsidR="00541074" w:rsidRPr="0002056A" w:rsidRDefault="00541074" w:rsidP="00CD5BF3">
      <w:pPr>
        <w:spacing w:before="120" w:after="120"/>
        <w:jc w:val="both"/>
        <w:rPr>
          <w:rFonts w:ascii="Georgia" w:hAnsi="Georgia"/>
          <w:lang w:val="en-GB"/>
        </w:rPr>
      </w:pPr>
      <w:r w:rsidRPr="0002056A">
        <w:rPr>
          <w:rFonts w:ascii="Georgia" w:hAnsi="Georgia" w:cs="Times New Roman"/>
          <w:lang w:val="en-GB"/>
        </w:rPr>
        <w:t xml:space="preserve">The </w:t>
      </w:r>
      <w:r w:rsidRPr="0002056A">
        <w:rPr>
          <w:rFonts w:ascii="Georgia" w:hAnsi="Georgia" w:cs="Times New Roman"/>
          <w:b/>
          <w:bCs/>
          <w:lang w:val="en-GB"/>
        </w:rPr>
        <w:t>two main subjects of spatial planning</w:t>
      </w:r>
      <w:r w:rsidRPr="0002056A">
        <w:rPr>
          <w:rFonts w:ascii="Georgia" w:hAnsi="Georgia" w:cs="Times New Roman"/>
          <w:lang w:val="en-GB"/>
        </w:rPr>
        <w:t xml:space="preserve"> are the physical environment and the organisation of balanced spatial development</w:t>
      </w:r>
      <w:r w:rsidR="008F36E4" w:rsidRPr="0002056A">
        <w:rPr>
          <w:rFonts w:ascii="Georgia" w:hAnsi="Georgia" w:cs="Times New Roman"/>
          <w:lang w:val="en-GB"/>
        </w:rPr>
        <w:t>. Furthermore,</w:t>
      </w:r>
      <w:r w:rsidR="00283FC3" w:rsidRPr="0002056A">
        <w:rPr>
          <w:rFonts w:ascii="Georgia" w:hAnsi="Georgia" w:cs="Times New Roman"/>
          <w:lang w:val="en-GB"/>
        </w:rPr>
        <w:t xml:space="preserve"> it </w:t>
      </w:r>
      <w:r w:rsidRPr="0002056A">
        <w:rPr>
          <w:rFonts w:ascii="Georgia" w:hAnsi="Georgia" w:cs="Times New Roman"/>
          <w:lang w:val="en-GB"/>
        </w:rPr>
        <w:t>integrat</w:t>
      </w:r>
      <w:r w:rsidR="00283FC3" w:rsidRPr="0002056A">
        <w:rPr>
          <w:rFonts w:ascii="Georgia" w:hAnsi="Georgia" w:cs="Times New Roman"/>
          <w:lang w:val="en-GB"/>
        </w:rPr>
        <w:t>es</w:t>
      </w:r>
      <w:r w:rsidRPr="0002056A">
        <w:rPr>
          <w:rFonts w:ascii="Georgia" w:hAnsi="Georgia" w:cs="Times New Roman"/>
          <w:lang w:val="en-GB"/>
        </w:rPr>
        <w:t xml:space="preserve"> knowledge, intentions and interests from different fields (</w:t>
      </w:r>
      <w:r w:rsidRPr="0002056A">
        <w:rPr>
          <w:rFonts w:ascii="Georgia" w:hAnsi="Georgia" w:cs="Times New Roman"/>
          <w:smallCaps/>
          <w:lang w:val="en-GB"/>
        </w:rPr>
        <w:t>Rannow et al., 2010; Hurlimann&amp;March, 2012; Roggema, 2012b</w:t>
      </w:r>
      <w:r w:rsidRPr="0002056A">
        <w:rPr>
          <w:rFonts w:ascii="Georgia" w:hAnsi="Georgia" w:cs="Times New Roman"/>
          <w:lang w:val="en-GB"/>
        </w:rPr>
        <w:t xml:space="preserve">). Several authors consider spatial planning as a field that </w:t>
      </w:r>
      <w:r w:rsidR="002C7218" w:rsidRPr="0002056A">
        <w:rPr>
          <w:rFonts w:ascii="Georgia" w:hAnsi="Georgia" w:cs="Times New Roman"/>
          <w:lang w:val="en-GB"/>
        </w:rPr>
        <w:t>can</w:t>
      </w:r>
      <w:r w:rsidRPr="0002056A">
        <w:rPr>
          <w:rFonts w:ascii="Georgia" w:hAnsi="Georgia" w:cs="Times New Roman"/>
          <w:lang w:val="en-GB"/>
        </w:rPr>
        <w:t xml:space="preserve"> </w:t>
      </w:r>
      <w:r w:rsidR="002861E5">
        <w:rPr>
          <w:rFonts w:ascii="Georgia" w:hAnsi="Georgia" w:cs="Times New Roman"/>
          <w:lang w:val="en-GB"/>
        </w:rPr>
        <w:t>increasingly address climate change</w:t>
      </w:r>
      <w:r w:rsidRPr="0002056A">
        <w:rPr>
          <w:rFonts w:ascii="Georgia" w:hAnsi="Georgia" w:cs="Times New Roman"/>
          <w:lang w:val="en-GB"/>
        </w:rPr>
        <w:t xml:space="preserve">. However, </w:t>
      </w:r>
      <w:r w:rsidR="00874ECC" w:rsidRPr="0002056A">
        <w:rPr>
          <w:rFonts w:ascii="Georgia" w:hAnsi="Georgia" w:cs="Times New Roman"/>
          <w:lang w:val="en-GB"/>
        </w:rPr>
        <w:t>its</w:t>
      </w:r>
      <w:r w:rsidRPr="0002056A">
        <w:rPr>
          <w:rFonts w:ascii="Georgia" w:hAnsi="Georgia" w:cs="Times New Roman"/>
          <w:lang w:val="en-GB"/>
        </w:rPr>
        <w:t xml:space="preserve"> full potential is not frequently </w:t>
      </w:r>
      <w:r w:rsidR="008F36E4" w:rsidRPr="0002056A">
        <w:rPr>
          <w:rFonts w:ascii="Georgia" w:hAnsi="Georgia" w:cs="Times New Roman"/>
          <w:lang w:val="en-GB"/>
        </w:rPr>
        <w:t>exploit</w:t>
      </w:r>
      <w:r w:rsidRPr="0002056A">
        <w:rPr>
          <w:rFonts w:ascii="Georgia" w:hAnsi="Georgia" w:cs="Times New Roman"/>
          <w:lang w:val="en-GB"/>
        </w:rPr>
        <w:t>ed or is often overruled by other priorities (</w:t>
      </w:r>
      <w:r w:rsidR="002861E5">
        <w:rPr>
          <w:rFonts w:ascii="Georgia" w:hAnsi="Georgia" w:cs="Times New Roman"/>
          <w:smallCaps/>
          <w:lang w:val="en-GB"/>
        </w:rPr>
        <w:t>Schmidt-Thomé &amp; Klein, 2011; Roggema et al., 2012; Hurlimann &amp; March, 2012; Storbjörk &amp; Uggla</w:t>
      </w:r>
      <w:r w:rsidRPr="0002056A">
        <w:rPr>
          <w:rFonts w:ascii="Georgia" w:hAnsi="Georgia" w:cs="Times New Roman"/>
          <w:smallCaps/>
          <w:lang w:val="en-GB"/>
        </w:rPr>
        <w:t>, 2014)</w:t>
      </w:r>
      <w:r w:rsidRPr="0002056A">
        <w:rPr>
          <w:rFonts w:ascii="Georgia" w:hAnsi="Georgia" w:cs="Times New Roman"/>
          <w:lang w:val="en-GB"/>
        </w:rPr>
        <w:t xml:space="preserve">. </w:t>
      </w:r>
      <w:r w:rsidRPr="0002056A">
        <w:rPr>
          <w:rFonts w:ascii="Georgia" w:eastAsia="Times New Roman" w:hAnsi="Georgia" w:cs="Open Sans"/>
          <w:lang w:val="en-GB" w:eastAsia="hu-HU"/>
        </w:rPr>
        <w:t>Other authors emphasise that c</w:t>
      </w:r>
      <w:r w:rsidRPr="0002056A">
        <w:rPr>
          <w:rFonts w:ascii="Georgia" w:hAnsi="Georgia" w:cs="Times New Roman"/>
          <w:lang w:val="en-GB"/>
        </w:rPr>
        <w:t>limate change adaptation must be embedded into existing and emerging structures and networks, where its relational perspective can play a definitive role (</w:t>
      </w:r>
      <w:r w:rsidRPr="0002056A">
        <w:rPr>
          <w:rFonts w:ascii="Georgia" w:hAnsi="Georgia" w:cs="Times New Roman"/>
          <w:smallCaps/>
          <w:lang w:val="en-GB"/>
        </w:rPr>
        <w:t>Rannow et al.,</w:t>
      </w:r>
      <w:r w:rsidRPr="0002056A">
        <w:rPr>
          <w:rFonts w:ascii="Georgia" w:hAnsi="Georgia" w:cs="Times New Roman"/>
          <w:lang w:val="en-GB"/>
        </w:rPr>
        <w:t xml:space="preserve"> 2010; </w:t>
      </w:r>
      <w:r w:rsidRPr="0002056A">
        <w:rPr>
          <w:rFonts w:ascii="Georgia" w:hAnsi="Georgia" w:cs="Times New Roman"/>
          <w:smallCaps/>
          <w:lang w:val="en-GB"/>
        </w:rPr>
        <w:t>Davidse et al., 2015; Taylor, 2023</w:t>
      </w:r>
      <w:r w:rsidRPr="0002056A">
        <w:rPr>
          <w:rFonts w:ascii="Georgia" w:hAnsi="Georgia" w:cs="Times New Roman"/>
          <w:lang w:val="en-GB"/>
        </w:rPr>
        <w:t xml:space="preserve">). </w:t>
      </w:r>
      <w:r w:rsidRPr="0002056A">
        <w:rPr>
          <w:rFonts w:ascii="Georgia" w:hAnsi="Georgia"/>
          <w:lang w:val="en-GB"/>
        </w:rPr>
        <w:t xml:space="preserve">Pieterse and his </w:t>
      </w:r>
      <w:r w:rsidR="00216AD0" w:rsidRPr="0002056A">
        <w:rPr>
          <w:rFonts w:ascii="Georgia" w:hAnsi="Georgia"/>
          <w:lang w:val="en-GB"/>
        </w:rPr>
        <w:t>colleagues</w:t>
      </w:r>
      <w:r w:rsidRPr="0002056A">
        <w:rPr>
          <w:rFonts w:ascii="Georgia" w:hAnsi="Georgia"/>
          <w:lang w:val="en-GB"/>
        </w:rPr>
        <w:t xml:space="preserve"> explicitly examined the relationship between climate change adaptation and spatial planning, especially at the local level. They found three conceptual similarities between </w:t>
      </w:r>
      <w:r w:rsidR="00B027E1" w:rsidRPr="0002056A">
        <w:rPr>
          <w:rFonts w:ascii="Georgia" w:hAnsi="Georgia"/>
          <w:lang w:val="en-GB"/>
        </w:rPr>
        <w:t>the two fields</w:t>
      </w:r>
      <w:r w:rsidRPr="0002056A">
        <w:rPr>
          <w:rFonts w:ascii="Georgia" w:hAnsi="Georgia"/>
          <w:lang w:val="en-GB"/>
        </w:rPr>
        <w:t>: both intervene in space, both anticipate change, and both support long-term sustainable development</w:t>
      </w:r>
      <w:r w:rsidR="002C7218" w:rsidRPr="0002056A">
        <w:rPr>
          <w:rFonts w:ascii="Georgia" w:hAnsi="Georgia"/>
          <w:lang w:val="en-GB"/>
        </w:rPr>
        <w:t xml:space="preserve"> </w:t>
      </w:r>
      <w:r w:rsidRPr="0002056A">
        <w:rPr>
          <w:rFonts w:ascii="Georgia" w:hAnsi="Georgia"/>
          <w:lang w:val="en-GB"/>
        </w:rPr>
        <w:t>(</w:t>
      </w:r>
      <w:r w:rsidRPr="0002056A">
        <w:rPr>
          <w:rFonts w:ascii="Georgia" w:hAnsi="Georgia" w:cs="Times New Roman"/>
          <w:smallCaps/>
          <w:lang w:val="en-GB"/>
        </w:rPr>
        <w:t>Pieterse et al.,</w:t>
      </w:r>
      <w:r w:rsidRPr="0002056A">
        <w:rPr>
          <w:rFonts w:ascii="Georgia" w:hAnsi="Georgia"/>
          <w:lang w:val="en-GB"/>
        </w:rPr>
        <w:t xml:space="preserve"> 2018). Climate adaptation’s spatiality</w:t>
      </w:r>
      <w:r w:rsidR="002C7218" w:rsidRPr="0002056A">
        <w:rPr>
          <w:rFonts w:ascii="Georgia" w:hAnsi="Georgia"/>
          <w:lang w:val="en-GB"/>
        </w:rPr>
        <w:t>,</w:t>
      </w:r>
      <w:r w:rsidRPr="0002056A">
        <w:rPr>
          <w:rFonts w:ascii="Georgia" w:hAnsi="Georgia"/>
          <w:lang w:val="en-GB"/>
        </w:rPr>
        <w:t xml:space="preserve"> as we see, is well indicated by its similarities and linkages with spatial planning; nevertheless, </w:t>
      </w:r>
      <w:r w:rsidRPr="0002056A">
        <w:rPr>
          <w:rFonts w:ascii="Georgia" w:hAnsi="Georgia" w:cs="Times New Roman"/>
          <w:lang w:val="en-GB"/>
        </w:rPr>
        <w:t xml:space="preserve">a clear definition of spatial planning’s role in adaptation requires a careful use of the term spatial/territorial, to take into account these terms’ various </w:t>
      </w:r>
      <w:r w:rsidR="002861E5">
        <w:rPr>
          <w:rFonts w:ascii="Georgia" w:hAnsi="Georgia" w:cs="Times New Roman"/>
          <w:lang w:val="en-GB"/>
        </w:rPr>
        <w:t>understandings</w:t>
      </w:r>
      <w:r w:rsidR="002861E5" w:rsidRPr="0002056A">
        <w:rPr>
          <w:rFonts w:ascii="Georgia" w:hAnsi="Georgia" w:cs="Times New Roman"/>
          <w:lang w:val="en-GB"/>
        </w:rPr>
        <w:t xml:space="preserve"> </w:t>
      </w:r>
      <w:r w:rsidRPr="0002056A">
        <w:rPr>
          <w:rFonts w:ascii="Georgia" w:hAnsi="Georgia" w:cs="Times New Roman"/>
          <w:lang w:val="en-GB"/>
        </w:rPr>
        <w:t>in planning theory (</w:t>
      </w:r>
      <w:r w:rsidRPr="0002056A">
        <w:rPr>
          <w:rFonts w:ascii="Georgia" w:hAnsi="Georgia" w:cs="Times New Roman"/>
          <w:smallCaps/>
          <w:lang w:val="en-GB"/>
        </w:rPr>
        <w:t>Davidse et al, 2015</w:t>
      </w:r>
      <w:r w:rsidRPr="0002056A">
        <w:rPr>
          <w:rFonts w:ascii="Georgia" w:hAnsi="Georgia" w:cs="Times New Roman"/>
          <w:lang w:val="en-GB"/>
        </w:rPr>
        <w:t>).</w:t>
      </w:r>
      <w:r w:rsidR="00B73408" w:rsidRPr="0002056A">
        <w:rPr>
          <w:rFonts w:ascii="Georgia" w:hAnsi="Georgia" w:cs="Times New Roman"/>
          <w:lang w:val="en-GB"/>
        </w:rPr>
        <w:t xml:space="preserve"> Even some NAS documents </w:t>
      </w:r>
      <w:r w:rsidR="002861E5">
        <w:rPr>
          <w:rFonts w:ascii="Georgia" w:hAnsi="Georgia" w:cs="Times New Roman"/>
          <w:lang w:val="en-GB"/>
        </w:rPr>
        <w:t>to highlight</w:t>
      </w:r>
      <w:r w:rsidR="00D560A9" w:rsidRPr="0002056A">
        <w:rPr>
          <w:rFonts w:ascii="Georgia" w:hAnsi="Georgia" w:cs="Times New Roman"/>
          <w:lang w:val="en-GB"/>
        </w:rPr>
        <w:t xml:space="preserve"> the relationship between adaptation planning and spatial planning. Bosnia and Herzegovina’s NAS, for example, mentions that s</w:t>
      </w:r>
      <w:r w:rsidRPr="0002056A">
        <w:rPr>
          <w:rFonts w:ascii="Georgia" w:hAnsi="Georgia"/>
          <w:lang w:val="en-GB"/>
        </w:rPr>
        <w:t xml:space="preserve">patial and urban planning </w:t>
      </w:r>
      <w:r w:rsidR="002861E5">
        <w:rPr>
          <w:rFonts w:ascii="Georgia" w:hAnsi="Georgia"/>
          <w:lang w:val="en-GB"/>
        </w:rPr>
        <w:t xml:space="preserve">are multidisciplinary activities that </w:t>
      </w:r>
      <w:r w:rsidR="00021EDC">
        <w:rPr>
          <w:rFonts w:ascii="Georgia" w:hAnsi="Georgia"/>
          <w:lang w:val="en-GB"/>
        </w:rPr>
        <w:t>cooperate with several</w:t>
      </w:r>
      <w:r w:rsidR="002861E5">
        <w:rPr>
          <w:rFonts w:ascii="Georgia" w:hAnsi="Georgia"/>
          <w:lang w:val="en-GB"/>
        </w:rPr>
        <w:t xml:space="preserve"> sectors through planning solutions;</w:t>
      </w:r>
      <w:r w:rsidRPr="0002056A">
        <w:rPr>
          <w:rFonts w:ascii="Georgia" w:hAnsi="Georgia"/>
          <w:lang w:val="en-GB"/>
        </w:rPr>
        <w:t xml:space="preserve"> therefore, spatial plans are the main instruments for implementing climate policies (</w:t>
      </w:r>
      <w:r w:rsidRPr="0002056A">
        <w:rPr>
          <w:rFonts w:ascii="Georgia" w:hAnsi="Georgia" w:cstheme="minorHAnsi"/>
          <w:smallCaps/>
          <w:lang w:val="en-GB"/>
        </w:rPr>
        <w:t>BiH CC strategy, 2020</w:t>
      </w:r>
      <w:r w:rsidRPr="0002056A">
        <w:rPr>
          <w:rFonts w:ascii="Georgia" w:hAnsi="Georgia"/>
          <w:lang w:val="en-GB"/>
        </w:rPr>
        <w:t>).</w:t>
      </w:r>
    </w:p>
    <w:p w14:paraId="38EF40AA" w14:textId="266E2C7F" w:rsidR="00802011" w:rsidRPr="0002056A" w:rsidRDefault="004128E6" w:rsidP="00CD5BF3">
      <w:pPr>
        <w:spacing w:before="120" w:after="120"/>
        <w:jc w:val="both"/>
        <w:rPr>
          <w:rFonts w:ascii="Georgia" w:hAnsi="Georgia"/>
          <w:lang w:val="en-GB"/>
        </w:rPr>
      </w:pPr>
      <w:r w:rsidRPr="0002056A">
        <w:rPr>
          <w:rFonts w:ascii="Georgia" w:hAnsi="Georgia" w:cs="Times New Roman"/>
          <w:lang w:val="en-GB"/>
        </w:rPr>
        <w:t xml:space="preserve">The spatial distribution of climate impacts and the resulted spatially determined intervention zones already underline the connection between climate and spatial policies. </w:t>
      </w:r>
      <w:r w:rsidR="00F24F31" w:rsidRPr="0002056A">
        <w:rPr>
          <w:rFonts w:ascii="Georgia" w:hAnsi="Georgia" w:cs="Times New Roman"/>
          <w:lang w:val="en-GB"/>
        </w:rPr>
        <w:t xml:space="preserve">Greek authors argue that </w:t>
      </w:r>
      <w:r w:rsidRPr="0002056A">
        <w:rPr>
          <w:rFonts w:ascii="Georgia" w:hAnsi="Georgia" w:cs="Times New Roman"/>
          <w:b/>
          <w:bCs/>
          <w:lang w:val="en-GB"/>
        </w:rPr>
        <w:t>vulnerability and exposure of</w:t>
      </w:r>
      <w:r w:rsidRPr="0002056A">
        <w:rPr>
          <w:rFonts w:ascii="Georgia" w:hAnsi="Georgia" w:cs="Times New Roman"/>
          <w:lang w:val="en-GB"/>
        </w:rPr>
        <w:t xml:space="preserve"> emergency facilities </w:t>
      </w:r>
      <w:r w:rsidR="002861E5">
        <w:rPr>
          <w:rFonts w:ascii="Georgia" w:hAnsi="Georgia" w:cs="Times New Roman"/>
          <w:lang w:val="en-GB"/>
        </w:rPr>
        <w:t>to</w:t>
      </w:r>
      <w:r w:rsidR="002861E5" w:rsidRPr="0002056A">
        <w:rPr>
          <w:rFonts w:ascii="Georgia" w:hAnsi="Georgia" w:cs="Times New Roman"/>
          <w:lang w:val="en-GB"/>
        </w:rPr>
        <w:t xml:space="preserve"> </w:t>
      </w:r>
      <w:r w:rsidRPr="0002056A">
        <w:rPr>
          <w:rFonts w:ascii="Georgia" w:hAnsi="Georgia" w:cs="Times New Roman"/>
          <w:lang w:val="en-GB"/>
        </w:rPr>
        <w:t>their</w:t>
      </w:r>
      <w:r w:rsidRPr="0002056A">
        <w:rPr>
          <w:rFonts w:ascii="Georgia" w:hAnsi="Georgia" w:cs="Times New Roman"/>
          <w:b/>
          <w:bCs/>
          <w:lang w:val="en-GB"/>
        </w:rPr>
        <w:t xml:space="preserve"> location/surroundings can be managed by spatial planning</w:t>
      </w:r>
      <w:r w:rsidRPr="0002056A">
        <w:rPr>
          <w:rFonts w:ascii="Georgia" w:hAnsi="Georgia" w:cs="Times New Roman"/>
          <w:lang w:val="en-GB"/>
        </w:rPr>
        <w:t xml:space="preserve"> </w:t>
      </w:r>
      <w:r w:rsidR="00F24F31" w:rsidRPr="0002056A">
        <w:rPr>
          <w:rFonts w:ascii="Georgia" w:hAnsi="Georgia" w:cs="Times New Roman"/>
          <w:lang w:val="en-GB"/>
        </w:rPr>
        <w:t>that</w:t>
      </w:r>
      <w:r w:rsidRPr="0002056A">
        <w:rPr>
          <w:rFonts w:ascii="Georgia" w:hAnsi="Georgia" w:cs="Times New Roman"/>
          <w:lang w:val="en-GB"/>
        </w:rPr>
        <w:t xml:space="preserve"> plays the role of piecing together response, prevention, preparedness and remediation actions and measures. Sapountzaki and his colleagues emphasise this importance of spatial planning in connection with flood zones and flood prone </w:t>
      </w:r>
      <w:r w:rsidR="00874ECC" w:rsidRPr="0002056A">
        <w:rPr>
          <w:rFonts w:ascii="Georgia" w:hAnsi="Georgia" w:cs="Times New Roman"/>
          <w:lang w:val="en-GB"/>
        </w:rPr>
        <w:t>areas,</w:t>
      </w:r>
      <w:r w:rsidRPr="0002056A">
        <w:rPr>
          <w:rFonts w:ascii="Georgia" w:hAnsi="Georgia" w:cs="Times New Roman"/>
          <w:lang w:val="en-GB"/>
        </w:rPr>
        <w:t xml:space="preserve"> but they found that i</w:t>
      </w:r>
      <w:r w:rsidR="00383DD3" w:rsidRPr="0002056A">
        <w:rPr>
          <w:rFonts w:ascii="Georgia" w:hAnsi="Georgia" w:cs="Times New Roman"/>
          <w:lang w:val="en-GB"/>
        </w:rPr>
        <w:t xml:space="preserve">n practice spatial policy </w:t>
      </w:r>
      <w:r w:rsidRPr="0002056A">
        <w:rPr>
          <w:rFonts w:ascii="Georgia" w:hAnsi="Georgia" w:cs="Times New Roman"/>
          <w:lang w:val="en-GB"/>
        </w:rPr>
        <w:t xml:space="preserve">plays minor or no role in the management of these challenges, being in a low hierarchical position in risk management compared to </w:t>
      </w:r>
      <w:r w:rsidR="00F24F31" w:rsidRPr="0002056A">
        <w:rPr>
          <w:rFonts w:ascii="Georgia" w:hAnsi="Georgia" w:cs="Times New Roman"/>
          <w:lang w:val="en-GB"/>
        </w:rPr>
        <w:t xml:space="preserve">other </w:t>
      </w:r>
      <w:r w:rsidRPr="0002056A">
        <w:rPr>
          <w:rFonts w:ascii="Georgia" w:hAnsi="Georgia" w:cs="Times New Roman"/>
          <w:lang w:val="en-GB"/>
        </w:rPr>
        <w:t>sector</w:t>
      </w:r>
      <w:r w:rsidR="00F24F31" w:rsidRPr="0002056A">
        <w:rPr>
          <w:rFonts w:ascii="Georgia" w:hAnsi="Georgia" w:cs="Times New Roman"/>
          <w:lang w:val="en-GB"/>
        </w:rPr>
        <w:t>s</w:t>
      </w:r>
      <w:r w:rsidRPr="0002056A">
        <w:rPr>
          <w:rStyle w:val="Lbjegyzet-hivatkozs"/>
          <w:rFonts w:ascii="Georgia" w:hAnsi="Georgia" w:cs="Times New Roman"/>
          <w:lang w:val="en-GB"/>
        </w:rPr>
        <w:footnoteReference w:id="38"/>
      </w:r>
      <w:r w:rsidRPr="0002056A">
        <w:rPr>
          <w:rFonts w:ascii="Georgia" w:hAnsi="Georgia" w:cs="Times New Roman"/>
          <w:lang w:val="en-GB"/>
        </w:rPr>
        <w:t xml:space="preserve">. </w:t>
      </w:r>
      <w:r w:rsidRPr="0002056A">
        <w:rPr>
          <w:rFonts w:ascii="Georgia" w:hAnsi="Georgia"/>
          <w:lang w:val="en-GB"/>
        </w:rPr>
        <w:t xml:space="preserve">In most hazard cases, inappropriate, </w:t>
      </w:r>
      <w:r w:rsidRPr="0002056A">
        <w:rPr>
          <w:rFonts w:ascii="Georgia" w:hAnsi="Georgia"/>
          <w:b/>
          <w:bCs/>
          <w:lang w:val="en-GB"/>
        </w:rPr>
        <w:t>absent, inadequate or poorly implemented spatial planning is one of the hazard</w:t>
      </w:r>
      <w:r w:rsidR="0086688A" w:rsidRPr="0002056A">
        <w:rPr>
          <w:rFonts w:ascii="Georgia" w:hAnsi="Georgia"/>
          <w:b/>
          <w:bCs/>
          <w:lang w:val="en-GB"/>
        </w:rPr>
        <w:t>’s</w:t>
      </w:r>
      <w:r w:rsidRPr="0002056A">
        <w:rPr>
          <w:rFonts w:ascii="Georgia" w:hAnsi="Georgia"/>
          <w:b/>
          <w:bCs/>
          <w:lang w:val="en-GB"/>
        </w:rPr>
        <w:t xml:space="preserve"> causes</w:t>
      </w:r>
      <w:r w:rsidRPr="0002056A">
        <w:rPr>
          <w:rFonts w:ascii="Georgia" w:hAnsi="Georgia"/>
          <w:lang w:val="en-GB"/>
        </w:rPr>
        <w:t xml:space="preserve">. Regarding spatial planning as a constant and continuous element of the risk management cycle, the authors suggest it should become the coordinating policy platform to accommodate all relevant policy fields </w:t>
      </w:r>
      <w:r w:rsidRPr="0002056A">
        <w:rPr>
          <w:rFonts w:ascii="Georgia" w:hAnsi="Georgia" w:cs="Times New Roman"/>
          <w:lang w:val="en-GB"/>
        </w:rPr>
        <w:t>(</w:t>
      </w:r>
      <w:r w:rsidRPr="0002056A">
        <w:rPr>
          <w:rFonts w:ascii="Georgia" w:hAnsi="Georgia" w:cs="Times New Roman"/>
          <w:smallCaps/>
          <w:lang w:val="en-GB"/>
        </w:rPr>
        <w:t>Sapountzaki et al, 2011</w:t>
      </w:r>
      <w:r w:rsidRPr="0002056A">
        <w:rPr>
          <w:rFonts w:ascii="Georgia" w:hAnsi="Georgia" w:cs="Times New Roman"/>
          <w:lang w:val="en-GB"/>
        </w:rPr>
        <w:t>). Other authors also</w:t>
      </w:r>
      <w:r w:rsidRPr="0002056A">
        <w:rPr>
          <w:rFonts w:ascii="Georgia" w:hAnsi="Georgia" w:cs="Times New Roman"/>
          <w:smallCaps/>
          <w:lang w:val="en-GB"/>
        </w:rPr>
        <w:t xml:space="preserve"> </w:t>
      </w:r>
      <w:r w:rsidRPr="0002056A">
        <w:rPr>
          <w:rFonts w:ascii="Georgia" w:hAnsi="Georgia" w:cs="Times New Roman"/>
          <w:lang w:val="en-GB"/>
        </w:rPr>
        <w:t xml:space="preserve">emphasise </w:t>
      </w:r>
      <w:r w:rsidRPr="0002056A">
        <w:rPr>
          <w:rFonts w:ascii="Georgia" w:hAnsi="Georgia" w:cs="Times New Roman"/>
          <w:b/>
          <w:bCs/>
          <w:lang w:val="en-GB"/>
        </w:rPr>
        <w:t>spatial planning’s crucial role in climate adaptation</w:t>
      </w:r>
      <w:r w:rsidRPr="0002056A">
        <w:rPr>
          <w:rFonts w:ascii="Georgia" w:hAnsi="Georgia" w:cs="Times New Roman"/>
          <w:lang w:val="en-GB"/>
        </w:rPr>
        <w:t xml:space="preserve"> (which is </w:t>
      </w:r>
      <w:r w:rsidRPr="0002056A">
        <w:rPr>
          <w:rFonts w:ascii="Georgia" w:hAnsi="Georgia" w:cs="Times New Roman"/>
          <w:b/>
          <w:bCs/>
          <w:lang w:val="en-GB"/>
        </w:rPr>
        <w:t>currently not entirely utilised</w:t>
      </w:r>
      <w:r w:rsidRPr="0002056A">
        <w:rPr>
          <w:rFonts w:ascii="Georgia" w:hAnsi="Georgia" w:cs="Times New Roman"/>
          <w:lang w:val="en-GB"/>
        </w:rPr>
        <w:t>), due to the significant impact of land use and land development on city level climate vulnerability (</w:t>
      </w:r>
      <w:r w:rsidRPr="0002056A">
        <w:rPr>
          <w:rFonts w:ascii="Georgia" w:hAnsi="Georgia" w:cs="Times New Roman"/>
          <w:smallCaps/>
          <w:lang w:val="en-GB"/>
        </w:rPr>
        <w:t>Roggema, 2009</w:t>
      </w:r>
      <w:r w:rsidRPr="0002056A">
        <w:rPr>
          <w:rFonts w:ascii="Georgia" w:hAnsi="Georgia" w:cs="Times New Roman"/>
          <w:lang w:val="en-GB"/>
        </w:rPr>
        <w:t xml:space="preserve">; </w:t>
      </w:r>
      <w:r w:rsidRPr="0002056A">
        <w:rPr>
          <w:rFonts w:ascii="Georgia" w:hAnsi="Georgia" w:cs="Times New Roman"/>
          <w:smallCaps/>
          <w:lang w:val="en-GB"/>
        </w:rPr>
        <w:t>Davidse et al., 2015; O’Donell, 2019)</w:t>
      </w:r>
      <w:r w:rsidRPr="0002056A">
        <w:rPr>
          <w:rFonts w:ascii="Georgia" w:hAnsi="Georgia" w:cs="Times New Roman"/>
          <w:lang w:val="en-GB"/>
        </w:rPr>
        <w:t xml:space="preserve">. </w:t>
      </w:r>
      <w:r w:rsidR="00313E98" w:rsidRPr="0002056A">
        <w:rPr>
          <w:rFonts w:ascii="Georgia" w:hAnsi="Georgia" w:cs="Times New Roman"/>
          <w:lang w:val="en-GB"/>
        </w:rPr>
        <w:t>Further</w:t>
      </w:r>
      <w:r w:rsidR="00832EAE" w:rsidRPr="0002056A">
        <w:rPr>
          <w:rFonts w:ascii="Georgia" w:hAnsi="Georgia" w:cs="Times New Roman"/>
          <w:lang w:val="en-GB"/>
        </w:rPr>
        <w:t xml:space="preserve"> good example</w:t>
      </w:r>
      <w:r w:rsidR="00313E98" w:rsidRPr="0002056A">
        <w:rPr>
          <w:rFonts w:ascii="Georgia" w:hAnsi="Georgia" w:cs="Times New Roman"/>
          <w:lang w:val="en-GB"/>
        </w:rPr>
        <w:t>s</w:t>
      </w:r>
      <w:r w:rsidR="00832EAE" w:rsidRPr="0002056A">
        <w:rPr>
          <w:rFonts w:ascii="Georgia" w:hAnsi="Georgia" w:cs="Times New Roman"/>
          <w:lang w:val="en-GB"/>
        </w:rPr>
        <w:t xml:space="preserve"> for the fact that i</w:t>
      </w:r>
      <w:r w:rsidR="00DC2C71" w:rsidRPr="0002056A">
        <w:rPr>
          <w:rFonts w:ascii="Georgia" w:hAnsi="Georgia" w:cs="Times New Roman"/>
          <w:lang w:val="en-GB"/>
        </w:rPr>
        <w:t xml:space="preserve">n the strategic planning literature increasing attention </w:t>
      </w:r>
      <w:r w:rsidR="00802011" w:rsidRPr="0002056A">
        <w:rPr>
          <w:rFonts w:ascii="Georgia" w:hAnsi="Georgia" w:cs="Times New Roman"/>
          <w:lang w:val="en-GB"/>
        </w:rPr>
        <w:t>ha</w:t>
      </w:r>
      <w:r w:rsidR="00DC2C71" w:rsidRPr="0002056A">
        <w:rPr>
          <w:rFonts w:ascii="Georgia" w:hAnsi="Georgia" w:cs="Times New Roman"/>
          <w:lang w:val="en-GB"/>
        </w:rPr>
        <w:t xml:space="preserve">s </w:t>
      </w:r>
      <w:r w:rsidR="00802011" w:rsidRPr="0002056A">
        <w:rPr>
          <w:rFonts w:ascii="Georgia" w:hAnsi="Georgia" w:cs="Times New Roman"/>
          <w:lang w:val="en-GB"/>
        </w:rPr>
        <w:t xml:space="preserve">been </w:t>
      </w:r>
      <w:r w:rsidR="00DC2C71" w:rsidRPr="0002056A">
        <w:rPr>
          <w:rFonts w:ascii="Georgia" w:hAnsi="Georgia" w:cs="Times New Roman"/>
          <w:lang w:val="en-GB"/>
        </w:rPr>
        <w:t xml:space="preserve">received by </w:t>
      </w:r>
      <w:r w:rsidR="00DC2C71" w:rsidRPr="0002056A">
        <w:rPr>
          <w:rFonts w:ascii="Georgia" w:hAnsi="Georgia" w:cs="Times New Roman"/>
          <w:lang w:val="en-GB"/>
        </w:rPr>
        <w:lastRenderedPageBreak/>
        <w:t xml:space="preserve">relationships between adaptation-oriented, strategic and spatial planning activities, </w:t>
      </w:r>
      <w:r w:rsidR="00832EAE" w:rsidRPr="0002056A">
        <w:rPr>
          <w:rFonts w:ascii="Georgia" w:hAnsi="Georgia" w:cs="Times New Roman"/>
          <w:lang w:val="en-GB"/>
        </w:rPr>
        <w:t>is</w:t>
      </w:r>
      <w:r w:rsidR="00DC37C8" w:rsidRPr="0002056A">
        <w:rPr>
          <w:rFonts w:ascii="Georgia" w:hAnsi="Georgia" w:cs="Times New Roman"/>
          <w:lang w:val="en-GB"/>
        </w:rPr>
        <w:t xml:space="preserve"> the study of Stern</w:t>
      </w:r>
      <w:r w:rsidR="00DC2C71" w:rsidRPr="0002056A">
        <w:rPr>
          <w:rFonts w:ascii="Georgia" w:hAnsi="Georgia" w:cs="Times New Roman"/>
          <w:lang w:val="en-GB"/>
        </w:rPr>
        <w:t xml:space="preserve">. </w:t>
      </w:r>
      <w:r w:rsidR="00DC37C8" w:rsidRPr="0002056A">
        <w:rPr>
          <w:rFonts w:ascii="Georgia" w:hAnsi="Georgia" w:cs="Times New Roman"/>
          <w:lang w:val="en-GB"/>
        </w:rPr>
        <w:t>I</w:t>
      </w:r>
      <w:r w:rsidR="00B20613" w:rsidRPr="0002056A">
        <w:rPr>
          <w:rFonts w:ascii="Georgia" w:hAnsi="Georgia" w:cs="Times New Roman"/>
          <w:lang w:val="en-GB"/>
        </w:rPr>
        <w:t xml:space="preserve">n 2007 </w:t>
      </w:r>
      <w:r w:rsidR="00DC37C8" w:rsidRPr="0002056A">
        <w:rPr>
          <w:rFonts w:ascii="Georgia" w:hAnsi="Georgia" w:cs="Times New Roman"/>
          <w:lang w:val="en-GB"/>
        </w:rPr>
        <w:t xml:space="preserve">he </w:t>
      </w:r>
      <w:r w:rsidR="00B20613" w:rsidRPr="0002056A">
        <w:rPr>
          <w:rFonts w:ascii="Georgia" w:hAnsi="Georgia" w:cs="Times New Roman"/>
          <w:lang w:val="en-GB"/>
        </w:rPr>
        <w:t xml:space="preserve">said that planning and planners play key role in reducing </w:t>
      </w:r>
      <w:r w:rsidR="00802011" w:rsidRPr="0002056A">
        <w:rPr>
          <w:rFonts w:ascii="Georgia" w:hAnsi="Georgia" w:cs="Times New Roman"/>
          <w:lang w:val="en-GB"/>
        </w:rPr>
        <w:t xml:space="preserve">climate </w:t>
      </w:r>
      <w:r w:rsidR="00B20613" w:rsidRPr="0002056A">
        <w:rPr>
          <w:rFonts w:ascii="Georgia" w:hAnsi="Georgia" w:cs="Times New Roman"/>
          <w:lang w:val="en-GB"/>
        </w:rPr>
        <w:t>vulnerability (</w:t>
      </w:r>
      <w:r w:rsidR="00B20613" w:rsidRPr="0002056A">
        <w:rPr>
          <w:rFonts w:ascii="Georgia" w:hAnsi="Georgia" w:cs="Times New Roman"/>
          <w:smallCaps/>
          <w:lang w:val="en-GB"/>
        </w:rPr>
        <w:t>Stern, 2006</w:t>
      </w:r>
      <w:r w:rsidR="00B20613" w:rsidRPr="0002056A">
        <w:rPr>
          <w:rFonts w:ascii="Georgia" w:hAnsi="Georgia" w:cs="Times New Roman"/>
          <w:lang w:val="en-GB"/>
        </w:rPr>
        <w:t xml:space="preserve">). </w:t>
      </w:r>
      <w:r w:rsidR="00DC37C8" w:rsidRPr="0002056A">
        <w:rPr>
          <w:rFonts w:ascii="Georgia" w:hAnsi="Georgia" w:cs="Times New Roman"/>
          <w:lang w:val="en-GB"/>
        </w:rPr>
        <w:t>Similarly, a</w:t>
      </w:r>
      <w:r w:rsidR="00B20613" w:rsidRPr="0002056A">
        <w:rPr>
          <w:rFonts w:ascii="Georgia" w:hAnsi="Georgia" w:cs="Times New Roman"/>
          <w:lang w:val="en-GB"/>
        </w:rPr>
        <w:t>lready in 2009</w:t>
      </w:r>
      <w:r w:rsidR="00DC37C8" w:rsidRPr="0002056A">
        <w:rPr>
          <w:rFonts w:ascii="Georgia" w:hAnsi="Georgia" w:cs="Times New Roman"/>
          <w:lang w:val="en-GB"/>
        </w:rPr>
        <w:t>,</w:t>
      </w:r>
      <w:r w:rsidR="00B20613" w:rsidRPr="0002056A">
        <w:rPr>
          <w:rFonts w:ascii="Georgia" w:hAnsi="Georgia" w:cs="Times New Roman"/>
          <w:lang w:val="en-GB"/>
        </w:rPr>
        <w:t xml:space="preserve"> the </w:t>
      </w:r>
      <w:r w:rsidR="00B20613" w:rsidRPr="0002056A">
        <w:rPr>
          <w:rFonts w:ascii="Georgia" w:hAnsi="Georgia"/>
          <w:lang w:val="en-GB"/>
        </w:rPr>
        <w:t xml:space="preserve">EU Commission argued that the importance of spatial planning and territorial development underlines the need for </w:t>
      </w:r>
      <w:r w:rsidR="002861E5">
        <w:rPr>
          <w:rFonts w:ascii="Georgia" w:hAnsi="Georgia"/>
          <w:lang w:val="en-GB"/>
        </w:rPr>
        <w:t>coordination</w:t>
      </w:r>
      <w:r w:rsidR="00B20613" w:rsidRPr="0002056A">
        <w:rPr>
          <w:rFonts w:ascii="Georgia" w:hAnsi="Georgia"/>
          <w:lang w:val="en-GB"/>
        </w:rPr>
        <w:t xml:space="preserve"> of land</w:t>
      </w:r>
      <w:r w:rsidR="00DC37C8" w:rsidRPr="0002056A">
        <w:rPr>
          <w:rFonts w:ascii="Georgia" w:hAnsi="Georgia"/>
          <w:lang w:val="en-GB"/>
        </w:rPr>
        <w:t xml:space="preserve"> </w:t>
      </w:r>
      <w:r w:rsidR="00B20613" w:rsidRPr="0002056A">
        <w:rPr>
          <w:rFonts w:ascii="Georgia" w:hAnsi="Georgia"/>
          <w:lang w:val="en-GB"/>
        </w:rPr>
        <w:t>uses at the EU level and the introduction of climate proofing in spatial planning processes (</w:t>
      </w:r>
      <w:r w:rsidR="00B20613" w:rsidRPr="0002056A">
        <w:rPr>
          <w:rFonts w:ascii="Georgia" w:hAnsi="Georgia" w:cstheme="minorHAnsi"/>
          <w:smallCaps/>
          <w:lang w:val="en-GB"/>
        </w:rPr>
        <w:t>European Commission 2009</w:t>
      </w:r>
      <w:r w:rsidR="00B20613" w:rsidRPr="0002056A">
        <w:rPr>
          <w:rFonts w:ascii="Georgia" w:hAnsi="Georgia"/>
          <w:lang w:val="en-GB"/>
        </w:rPr>
        <w:t xml:space="preserve">). </w:t>
      </w:r>
    </w:p>
    <w:p w14:paraId="03B0C22E" w14:textId="30A6BB73" w:rsidR="009309F5" w:rsidRPr="0002056A" w:rsidRDefault="0078759F" w:rsidP="00CD5BF3">
      <w:pPr>
        <w:spacing w:before="120" w:after="120"/>
        <w:jc w:val="both"/>
        <w:rPr>
          <w:rFonts w:ascii="Georgia" w:hAnsi="Georgia" w:cs="Times New Roman"/>
          <w:lang w:val="en-GB"/>
        </w:rPr>
      </w:pPr>
      <w:r w:rsidRPr="0002056A">
        <w:rPr>
          <w:rFonts w:ascii="Georgia" w:hAnsi="Georgia" w:cs="Times New Roman"/>
          <w:lang w:val="en-GB"/>
        </w:rPr>
        <w:t>However, s</w:t>
      </w:r>
      <w:r w:rsidR="00B20613" w:rsidRPr="0002056A">
        <w:rPr>
          <w:rFonts w:ascii="Georgia" w:hAnsi="Georgia" w:cs="Times New Roman"/>
          <w:lang w:val="en-GB"/>
        </w:rPr>
        <w:t xml:space="preserve">tudies of this era </w:t>
      </w:r>
      <w:r w:rsidR="00134EED" w:rsidRPr="0002056A">
        <w:rPr>
          <w:rFonts w:ascii="Georgia" w:hAnsi="Georgia" w:cs="Times New Roman"/>
          <w:lang w:val="en-GB"/>
        </w:rPr>
        <w:t xml:space="preserve">(like the </w:t>
      </w:r>
      <w:r w:rsidR="00B5603E">
        <w:rPr>
          <w:rFonts w:ascii="Georgia" w:hAnsi="Georgia" w:cs="Times New Roman"/>
          <w:lang w:val="en-GB"/>
        </w:rPr>
        <w:t>earlier mentioned</w:t>
      </w:r>
      <w:r w:rsidR="00134EED" w:rsidRPr="0002056A">
        <w:rPr>
          <w:rFonts w:ascii="Georgia" w:hAnsi="Georgia" w:cs="Times New Roman"/>
          <w:lang w:val="en-GB"/>
        </w:rPr>
        <w:t xml:space="preserve"> one of Sapountzaki et al.) </w:t>
      </w:r>
      <w:r w:rsidR="00B20613" w:rsidRPr="0002056A">
        <w:rPr>
          <w:rFonts w:ascii="Georgia" w:hAnsi="Georgia" w:cs="Times New Roman"/>
          <w:lang w:val="en-GB"/>
        </w:rPr>
        <w:t xml:space="preserve">showed that </w:t>
      </w:r>
      <w:r w:rsidR="00B20613" w:rsidRPr="0002056A">
        <w:rPr>
          <w:rFonts w:ascii="Georgia" w:hAnsi="Georgia"/>
          <w:b/>
          <w:bCs/>
          <w:lang w:val="en-GB"/>
        </w:rPr>
        <w:t>spatial planning was only of marginal interest in climate adaptation</w:t>
      </w:r>
      <w:r w:rsidR="00B20613" w:rsidRPr="0002056A">
        <w:rPr>
          <w:rFonts w:ascii="Georgia" w:hAnsi="Georgia"/>
          <w:lang w:val="en-GB"/>
        </w:rPr>
        <w:t>; instead</w:t>
      </w:r>
      <w:r w:rsidR="00134EED" w:rsidRPr="0002056A">
        <w:rPr>
          <w:rFonts w:ascii="Georgia" w:hAnsi="Georgia"/>
          <w:lang w:val="en-GB"/>
        </w:rPr>
        <w:t>,</w:t>
      </w:r>
      <w:r w:rsidR="00B20613" w:rsidRPr="0002056A">
        <w:rPr>
          <w:rFonts w:ascii="Georgia" w:hAnsi="Georgia"/>
          <w:lang w:val="en-GB"/>
        </w:rPr>
        <w:t xml:space="preserve"> the state of implementation of national adaptation strategies and the included sectors were the central focus. </w:t>
      </w:r>
      <w:r w:rsidR="00D56FAC" w:rsidRPr="0002056A">
        <w:rPr>
          <w:rFonts w:ascii="Georgia" w:hAnsi="Georgia"/>
          <w:lang w:val="en-GB"/>
        </w:rPr>
        <w:t>Among those studies that still deal with the connection between the two fields, t</w:t>
      </w:r>
      <w:r w:rsidR="00D75860" w:rsidRPr="0002056A">
        <w:rPr>
          <w:rFonts w:ascii="Georgia" w:hAnsi="Georgia" w:cs="Times New Roman"/>
          <w:lang w:val="en-GB"/>
        </w:rPr>
        <w:t>he different works of Greiving and Fleischhauer (</w:t>
      </w:r>
      <w:r w:rsidR="00D75860" w:rsidRPr="0002056A">
        <w:rPr>
          <w:rFonts w:ascii="Georgia" w:hAnsi="Georgia" w:cs="Times New Roman"/>
          <w:smallCaps/>
          <w:lang w:val="en-GB"/>
        </w:rPr>
        <w:t>Fleischhauer</w:t>
      </w:r>
      <w:r w:rsidR="00036C74" w:rsidRPr="0002056A">
        <w:rPr>
          <w:rFonts w:ascii="Georgia" w:hAnsi="Georgia" w:cs="Times New Roman"/>
          <w:smallCaps/>
          <w:lang w:val="en-GB"/>
        </w:rPr>
        <w:t xml:space="preserve"> et al., 2007;</w:t>
      </w:r>
      <w:r w:rsidR="00D75860" w:rsidRPr="0002056A">
        <w:rPr>
          <w:rFonts w:ascii="Georgia" w:hAnsi="Georgia" w:cs="Times New Roman"/>
          <w:smallCaps/>
          <w:lang w:val="en-GB"/>
        </w:rPr>
        <w:t xml:space="preserve"> </w:t>
      </w:r>
      <w:r w:rsidR="00036C74" w:rsidRPr="0002056A">
        <w:rPr>
          <w:rFonts w:ascii="Georgia" w:hAnsi="Georgia" w:cs="Times New Roman"/>
          <w:smallCaps/>
          <w:lang w:val="en-GB"/>
        </w:rPr>
        <w:t>Greiving et al., 2007;</w:t>
      </w:r>
      <w:r w:rsidR="00036C74" w:rsidRPr="0002056A">
        <w:rPr>
          <w:rFonts w:ascii="Georgia" w:hAnsi="Georgia" w:cs="Times New Roman"/>
          <w:lang w:val="en-GB"/>
        </w:rPr>
        <w:t xml:space="preserve"> </w:t>
      </w:r>
      <w:r w:rsidR="00D75860" w:rsidRPr="0002056A">
        <w:rPr>
          <w:rFonts w:ascii="Georgia" w:hAnsi="Georgia" w:cs="Times New Roman"/>
          <w:smallCaps/>
          <w:lang w:val="en-GB"/>
        </w:rPr>
        <w:t xml:space="preserve">Greiving-Fleischhauer 2010 </w:t>
      </w:r>
      <w:r w:rsidR="00D75860" w:rsidRPr="0002056A">
        <w:rPr>
          <w:rFonts w:ascii="Georgia" w:hAnsi="Georgia" w:cs="Times New Roman"/>
          <w:lang w:val="en-GB"/>
        </w:rPr>
        <w:t>and</w:t>
      </w:r>
      <w:r w:rsidR="00D75860" w:rsidRPr="0002056A">
        <w:rPr>
          <w:rFonts w:ascii="Georgia" w:hAnsi="Georgia" w:cs="Times New Roman"/>
          <w:smallCaps/>
          <w:lang w:val="en-GB"/>
        </w:rPr>
        <w:t xml:space="preserve"> 2012; Greiving &amp; Schmidt-Thomé, 2013</w:t>
      </w:r>
      <w:r w:rsidR="00D75860" w:rsidRPr="0002056A">
        <w:rPr>
          <w:rFonts w:ascii="Georgia" w:hAnsi="Georgia" w:cs="Times New Roman"/>
          <w:lang w:val="en-GB"/>
        </w:rPr>
        <w:t xml:space="preserve">) must be particularly mentioned, as some of the </w:t>
      </w:r>
      <w:r w:rsidR="00D75860" w:rsidRPr="0002056A">
        <w:rPr>
          <w:rFonts w:ascii="Georgia" w:hAnsi="Georgia" w:cs="Times New Roman"/>
          <w:b/>
          <w:bCs/>
          <w:lang w:val="en-GB"/>
        </w:rPr>
        <w:t xml:space="preserve">very few works focusing </w:t>
      </w:r>
      <w:r w:rsidR="00802011" w:rsidRPr="0002056A">
        <w:rPr>
          <w:rFonts w:ascii="Georgia" w:hAnsi="Georgia" w:cs="Times New Roman"/>
          <w:b/>
          <w:bCs/>
          <w:lang w:val="en-GB"/>
        </w:rPr>
        <w:t xml:space="preserve">either </w:t>
      </w:r>
      <w:r w:rsidR="00D75860" w:rsidRPr="0002056A">
        <w:rPr>
          <w:rFonts w:ascii="Georgia" w:hAnsi="Georgia" w:cs="Times New Roman"/>
          <w:b/>
          <w:bCs/>
          <w:lang w:val="en-GB"/>
        </w:rPr>
        <w:t>on spatiality in adaptation planning</w:t>
      </w:r>
      <w:r w:rsidR="00802011" w:rsidRPr="0002056A">
        <w:rPr>
          <w:rFonts w:ascii="Georgia" w:hAnsi="Georgia" w:cs="Times New Roman"/>
          <w:b/>
          <w:bCs/>
          <w:lang w:val="en-GB"/>
        </w:rPr>
        <w:t xml:space="preserve"> </w:t>
      </w:r>
      <w:r w:rsidR="00F671AA" w:rsidRPr="0002056A">
        <w:rPr>
          <w:rFonts w:ascii="Georgia" w:hAnsi="Georgia" w:cs="Times New Roman"/>
          <w:b/>
          <w:bCs/>
          <w:lang w:val="en-GB"/>
        </w:rPr>
        <w:t xml:space="preserve">or adaptation in </w:t>
      </w:r>
      <w:r w:rsidR="0009631C" w:rsidRPr="0002056A">
        <w:rPr>
          <w:rFonts w:ascii="Georgia" w:hAnsi="Georgia" w:cs="Times New Roman"/>
          <w:b/>
          <w:bCs/>
          <w:lang w:val="en-GB"/>
        </w:rPr>
        <w:t>physical</w:t>
      </w:r>
      <w:r w:rsidR="00F671AA" w:rsidRPr="0002056A">
        <w:rPr>
          <w:rFonts w:ascii="Georgia" w:hAnsi="Georgia" w:cs="Times New Roman"/>
          <w:b/>
          <w:bCs/>
          <w:lang w:val="en-GB"/>
        </w:rPr>
        <w:t xml:space="preserve"> planning</w:t>
      </w:r>
      <w:r w:rsidR="00D75860" w:rsidRPr="0002056A">
        <w:rPr>
          <w:rFonts w:ascii="Georgia" w:hAnsi="Georgia" w:cs="Times New Roman"/>
          <w:lang w:val="en-GB"/>
        </w:rPr>
        <w:t>. The</w:t>
      </w:r>
      <w:r w:rsidR="000A2DF8" w:rsidRPr="0002056A">
        <w:rPr>
          <w:rFonts w:ascii="Georgia" w:hAnsi="Georgia" w:cs="Times New Roman"/>
          <w:lang w:val="en-GB"/>
        </w:rPr>
        <w:t>se</w:t>
      </w:r>
      <w:r w:rsidR="00D75860" w:rsidRPr="0002056A">
        <w:rPr>
          <w:rFonts w:ascii="Georgia" w:hAnsi="Georgia" w:cs="Times New Roman"/>
          <w:lang w:val="en-GB"/>
        </w:rPr>
        <w:t xml:space="preserve"> work</w:t>
      </w:r>
      <w:r w:rsidR="000A2DF8" w:rsidRPr="0002056A">
        <w:rPr>
          <w:rFonts w:ascii="Georgia" w:hAnsi="Georgia" w:cs="Times New Roman"/>
          <w:lang w:val="en-GB"/>
        </w:rPr>
        <w:t>s</w:t>
      </w:r>
      <w:r w:rsidR="00D75860" w:rsidRPr="0002056A">
        <w:rPr>
          <w:rFonts w:ascii="Georgia" w:hAnsi="Georgia" w:cs="Times New Roman"/>
          <w:i/>
          <w:iCs/>
          <w:lang w:val="en-GB"/>
        </w:rPr>
        <w:t xml:space="preserve"> </w:t>
      </w:r>
      <w:r w:rsidR="00D75860" w:rsidRPr="0002056A">
        <w:rPr>
          <w:rFonts w:ascii="Georgia" w:hAnsi="Georgia" w:cs="Times New Roman"/>
          <w:lang w:val="en-GB"/>
        </w:rPr>
        <w:t>concentrate</w:t>
      </w:r>
      <w:r w:rsidR="00F671AA" w:rsidRPr="0002056A">
        <w:rPr>
          <w:rFonts w:ascii="Georgia" w:hAnsi="Georgia" w:cs="Times New Roman"/>
          <w:lang w:val="en-GB"/>
        </w:rPr>
        <w:t>d</w:t>
      </w:r>
      <w:r w:rsidR="00D75860" w:rsidRPr="0002056A">
        <w:rPr>
          <w:rFonts w:ascii="Georgia" w:hAnsi="Georgia" w:cs="Times New Roman"/>
          <w:lang w:val="en-GB"/>
        </w:rPr>
        <w:t xml:space="preserve"> mainly on physical planning and adaptation</w:t>
      </w:r>
      <w:r w:rsidR="00C956D2" w:rsidRPr="0002056A">
        <w:rPr>
          <w:rFonts w:ascii="Georgia" w:hAnsi="Georgia" w:cs="Times New Roman"/>
          <w:lang w:val="en-GB"/>
        </w:rPr>
        <w:t>.</w:t>
      </w:r>
      <w:r w:rsidR="00F671AA" w:rsidRPr="0002056A">
        <w:rPr>
          <w:rFonts w:ascii="Georgia" w:hAnsi="Georgia" w:cs="Times New Roman"/>
          <w:lang w:val="en-GB"/>
        </w:rPr>
        <w:t xml:space="preserve"> </w:t>
      </w:r>
      <w:r w:rsidR="00C956D2" w:rsidRPr="0002056A">
        <w:rPr>
          <w:rFonts w:ascii="Georgia" w:hAnsi="Georgia" w:cs="Times New Roman"/>
          <w:lang w:val="en-GB"/>
        </w:rPr>
        <w:t xml:space="preserve">The Finnish </w:t>
      </w:r>
      <w:r w:rsidR="00C956D2" w:rsidRPr="0002056A">
        <w:rPr>
          <w:rFonts w:ascii="Georgia" w:hAnsi="Georgia" w:cs="Times New Roman"/>
          <w:smallCaps/>
          <w:lang w:val="en-GB"/>
        </w:rPr>
        <w:t>Schmidt-Thomé</w:t>
      </w:r>
      <w:r w:rsidR="002861E5">
        <w:rPr>
          <w:rFonts w:ascii="Georgia" w:hAnsi="Georgia" w:cs="Times New Roman"/>
          <w:lang w:val="en-GB"/>
        </w:rPr>
        <w:t>, in his 2007 article,</w:t>
      </w:r>
      <w:r w:rsidR="00C956D2" w:rsidRPr="0002056A">
        <w:rPr>
          <w:rFonts w:ascii="Georgia" w:hAnsi="Georgia" w:cs="Times New Roman"/>
          <w:lang w:val="en-GB"/>
        </w:rPr>
        <w:t xml:space="preserve"> analysed the use of natural hazard- and climate change impact-related information in European countries’ spatial planning activities and also gave practical recommendations for decision makers. Among his suggestions emerge the</w:t>
      </w:r>
      <w:r w:rsidR="00A15196" w:rsidRPr="0002056A">
        <w:rPr>
          <w:rFonts w:ascii="Georgia" w:hAnsi="Georgia" w:cs="Times New Roman"/>
          <w:lang w:val="en-GB"/>
        </w:rPr>
        <w:t xml:space="preserve"> need for</w:t>
      </w:r>
      <w:r w:rsidR="00C956D2" w:rsidRPr="0002056A">
        <w:rPr>
          <w:rFonts w:ascii="Georgia" w:hAnsi="Georgia" w:cs="Times New Roman"/>
          <w:lang w:val="en-GB"/>
        </w:rPr>
        <w:t xml:space="preserve"> further integration of natural hazard analyses, multi-hazard approaches and vulnerability concepts into spatial </w:t>
      </w:r>
      <w:r w:rsidR="00A15196" w:rsidRPr="0002056A">
        <w:rPr>
          <w:rFonts w:ascii="Georgia" w:hAnsi="Georgia" w:cs="Times New Roman"/>
          <w:lang w:val="en-GB"/>
        </w:rPr>
        <w:t xml:space="preserve">(physical) </w:t>
      </w:r>
      <w:r w:rsidR="00C956D2" w:rsidRPr="0002056A">
        <w:rPr>
          <w:rFonts w:ascii="Georgia" w:hAnsi="Georgia" w:cs="Times New Roman"/>
          <w:lang w:val="en-GB"/>
        </w:rPr>
        <w:t xml:space="preserve">planning at local, regional and European </w:t>
      </w:r>
      <w:r w:rsidR="002861E5">
        <w:rPr>
          <w:rFonts w:ascii="Georgia" w:hAnsi="Georgia" w:cs="Times New Roman"/>
          <w:lang w:val="en-GB"/>
        </w:rPr>
        <w:t>levels</w:t>
      </w:r>
      <w:r w:rsidR="002861E5" w:rsidRPr="0002056A">
        <w:rPr>
          <w:rFonts w:ascii="Georgia" w:hAnsi="Georgia" w:cs="Times New Roman"/>
          <w:lang w:val="en-GB"/>
        </w:rPr>
        <w:t xml:space="preserve"> </w:t>
      </w:r>
      <w:r w:rsidR="00C956D2" w:rsidRPr="0002056A">
        <w:rPr>
          <w:rFonts w:ascii="Georgia" w:hAnsi="Georgia" w:cs="Times New Roman"/>
          <w:lang w:val="en-GB"/>
        </w:rPr>
        <w:t>(</w:t>
      </w:r>
      <w:r w:rsidR="00C956D2" w:rsidRPr="0002056A">
        <w:rPr>
          <w:rFonts w:ascii="Georgia" w:hAnsi="Georgia" w:cs="Times New Roman"/>
          <w:smallCaps/>
          <w:lang w:val="en-GB"/>
        </w:rPr>
        <w:t>Schmidt-Thomé</w:t>
      </w:r>
      <w:r w:rsidR="00C956D2" w:rsidRPr="0002056A">
        <w:rPr>
          <w:rFonts w:ascii="Georgia" w:hAnsi="Georgia" w:cs="Times New Roman"/>
          <w:lang w:val="en-GB"/>
        </w:rPr>
        <w:t>, 2007). Greiving and Schmidt-Thomé introduce physical planning’s role to undertake a coordinative role</w:t>
      </w:r>
      <w:r w:rsidR="002861E5">
        <w:rPr>
          <w:rFonts w:ascii="Georgia" w:hAnsi="Georgia" w:cs="Times New Roman"/>
          <w:lang w:val="en-GB"/>
        </w:rPr>
        <w:t>, conducting multi-risk assessments,</w:t>
      </w:r>
      <w:r w:rsidR="00C956D2" w:rsidRPr="0002056A">
        <w:rPr>
          <w:rFonts w:ascii="Georgia" w:hAnsi="Georgia" w:cs="Times New Roman"/>
          <w:lang w:val="en-GB"/>
        </w:rPr>
        <w:t xml:space="preserve"> considering all relevant hazards for </w:t>
      </w:r>
      <w:r w:rsidR="00A15196" w:rsidRPr="0002056A">
        <w:rPr>
          <w:rFonts w:ascii="Georgia" w:hAnsi="Georgia" w:cs="Times New Roman"/>
          <w:lang w:val="en-GB"/>
        </w:rPr>
        <w:t xml:space="preserve">a </w:t>
      </w:r>
      <w:r w:rsidR="00C956D2" w:rsidRPr="0002056A">
        <w:rPr>
          <w:rFonts w:ascii="Georgia" w:hAnsi="Georgia" w:cs="Times New Roman"/>
          <w:lang w:val="en-GB"/>
        </w:rPr>
        <w:t>given region.</w:t>
      </w:r>
      <w:r w:rsidR="00C956D2" w:rsidRPr="0002056A">
        <w:rPr>
          <w:rFonts w:ascii="Georgia" w:eastAsia="Times New Roman" w:hAnsi="Georgia" w:cs="Times New Roman"/>
          <w:lang w:val="en-GB" w:eastAsia="hu-HU"/>
        </w:rPr>
        <w:t xml:space="preserve"> </w:t>
      </w:r>
      <w:r w:rsidR="00C956D2" w:rsidRPr="0002056A">
        <w:rPr>
          <w:rFonts w:ascii="Georgia" w:hAnsi="Georgia" w:cs="Times New Roman"/>
          <w:lang w:val="en-GB"/>
        </w:rPr>
        <w:t>They claim that vulnerability to natural and climate change-related disasters is the result of spatial planning’s failure to consider the different hazards and risks</w:t>
      </w:r>
      <w:r w:rsidR="00C956D2" w:rsidRPr="0002056A">
        <w:rPr>
          <w:rFonts w:ascii="Georgia" w:hAnsi="Georgia" w:cs="Times New Roman"/>
          <w:b/>
          <w:bCs/>
          <w:lang w:val="en-GB"/>
        </w:rPr>
        <w:t xml:space="preserve"> </w:t>
      </w:r>
      <w:r w:rsidR="00C956D2" w:rsidRPr="0002056A">
        <w:rPr>
          <w:rFonts w:ascii="Georgia" w:hAnsi="Georgia" w:cs="Times New Roman"/>
          <w:lang w:val="en-GB"/>
        </w:rPr>
        <w:t xml:space="preserve">when </w:t>
      </w:r>
      <w:r w:rsidR="002861E5">
        <w:rPr>
          <w:rFonts w:ascii="Georgia" w:hAnsi="Georgia" w:cs="Times New Roman"/>
          <w:lang w:val="en-GB"/>
        </w:rPr>
        <w:t>elaborating</w:t>
      </w:r>
      <w:r w:rsidR="002861E5" w:rsidRPr="0002056A">
        <w:rPr>
          <w:rFonts w:ascii="Georgia" w:hAnsi="Georgia" w:cs="Times New Roman"/>
          <w:lang w:val="en-GB"/>
        </w:rPr>
        <w:t xml:space="preserve"> </w:t>
      </w:r>
      <w:r w:rsidR="00C956D2" w:rsidRPr="0002056A">
        <w:rPr>
          <w:rFonts w:ascii="Georgia" w:hAnsi="Georgia" w:cs="Times New Roman"/>
          <w:lang w:val="en-GB"/>
        </w:rPr>
        <w:t>spatial development directions (</w:t>
      </w:r>
      <w:r w:rsidR="00C956D2" w:rsidRPr="0002056A">
        <w:rPr>
          <w:rFonts w:ascii="Georgia" w:hAnsi="Georgia" w:cs="Times New Roman"/>
          <w:smallCaps/>
          <w:lang w:val="en-GB"/>
        </w:rPr>
        <w:t>Greiving-Schmidt-Thomé</w:t>
      </w:r>
      <w:r w:rsidR="00C956D2" w:rsidRPr="0002056A">
        <w:rPr>
          <w:rFonts w:ascii="Georgia" w:hAnsi="Georgia" w:cs="Times New Roman"/>
          <w:lang w:val="en-GB"/>
        </w:rPr>
        <w:t>, 2013)</w:t>
      </w:r>
      <w:r w:rsidR="00C956D2" w:rsidRPr="0002056A">
        <w:rPr>
          <w:rStyle w:val="Lbjegyzet-hivatkozs"/>
          <w:rFonts w:ascii="Georgia" w:hAnsi="Georgia" w:cs="Times New Roman"/>
          <w:lang w:val="en-GB"/>
        </w:rPr>
        <w:footnoteReference w:id="39"/>
      </w:r>
      <w:r w:rsidR="00C956D2" w:rsidRPr="0002056A">
        <w:rPr>
          <w:rFonts w:ascii="Georgia" w:hAnsi="Georgia" w:cs="Times New Roman"/>
          <w:lang w:val="en-GB"/>
        </w:rPr>
        <w:t xml:space="preserve">. </w:t>
      </w:r>
      <w:r w:rsidR="00D75860" w:rsidRPr="0002056A">
        <w:rPr>
          <w:rFonts w:ascii="Georgia" w:hAnsi="Georgia"/>
          <w:lang w:val="en-GB"/>
        </w:rPr>
        <w:t xml:space="preserve">Fleischhauer, Greiving &amp; Wanczura also </w:t>
      </w:r>
      <w:r w:rsidR="002861E5">
        <w:rPr>
          <w:rFonts w:ascii="Georgia" w:hAnsi="Georgia"/>
          <w:lang w:val="en-GB"/>
        </w:rPr>
        <w:t>highlight the possibility of integrating</w:t>
      </w:r>
      <w:r w:rsidR="00D75860" w:rsidRPr="0002056A">
        <w:rPr>
          <w:rFonts w:ascii="Georgia" w:hAnsi="Georgia"/>
          <w:lang w:val="en-GB"/>
        </w:rPr>
        <w:t xml:space="preserve"> elements of risk </w:t>
      </w:r>
      <w:r w:rsidR="00D75860" w:rsidRPr="0002056A">
        <w:rPr>
          <w:rFonts w:ascii="Georgia" w:hAnsi="Georgia" w:cs="Times New Roman"/>
          <w:lang w:val="en-GB"/>
        </w:rPr>
        <w:t>management into strategic environmental assessment</w:t>
      </w:r>
      <w:r w:rsidR="00194D91" w:rsidRPr="0002056A">
        <w:rPr>
          <w:rFonts w:ascii="Georgia" w:hAnsi="Georgia" w:cs="Times New Roman"/>
          <w:lang w:val="en-GB"/>
        </w:rPr>
        <w:t>s</w:t>
      </w:r>
      <w:r w:rsidR="00963B31" w:rsidRPr="0002056A">
        <w:rPr>
          <w:rFonts w:ascii="Georgia" w:hAnsi="Georgia" w:cs="Times New Roman"/>
          <w:lang w:val="en-GB"/>
        </w:rPr>
        <w:t xml:space="preserve">, </w:t>
      </w:r>
      <w:r w:rsidR="00194D91" w:rsidRPr="0002056A">
        <w:rPr>
          <w:rFonts w:ascii="Georgia" w:hAnsi="Georgia" w:cs="Times New Roman"/>
          <w:lang w:val="en-GB"/>
        </w:rPr>
        <w:t>a</w:t>
      </w:r>
      <w:r w:rsidR="00963B31" w:rsidRPr="0002056A">
        <w:rPr>
          <w:rFonts w:ascii="Georgia" w:hAnsi="Georgia" w:cs="Times New Roman"/>
          <w:lang w:val="en-GB"/>
        </w:rPr>
        <w:t>lthough they do not relate these aspects to climate change</w:t>
      </w:r>
      <w:r w:rsidR="006A6755" w:rsidRPr="0002056A">
        <w:rPr>
          <w:rFonts w:ascii="Georgia" w:hAnsi="Georgia" w:cs="Times New Roman"/>
          <w:lang w:val="en-GB"/>
        </w:rPr>
        <w:t xml:space="preserve"> </w:t>
      </w:r>
      <w:r w:rsidR="00CB23E1" w:rsidRPr="0002056A">
        <w:rPr>
          <w:rFonts w:ascii="Georgia" w:hAnsi="Georgia" w:cs="Times New Roman"/>
          <w:lang w:val="en-GB"/>
        </w:rPr>
        <w:t>(</w:t>
      </w:r>
      <w:r w:rsidR="006A6755" w:rsidRPr="0002056A">
        <w:rPr>
          <w:rFonts w:ascii="Georgia" w:hAnsi="Georgia" w:cs="Times New Roman"/>
          <w:smallCaps/>
          <w:lang w:val="en-GB"/>
        </w:rPr>
        <w:t>Fleischhauer et al., 2007</w:t>
      </w:r>
      <w:r w:rsidR="00F474E0" w:rsidRPr="0002056A">
        <w:rPr>
          <w:rFonts w:ascii="Georgia" w:hAnsi="Georgia" w:cs="Times New Roman"/>
          <w:lang w:val="en-GB"/>
        </w:rPr>
        <w:t>)</w:t>
      </w:r>
      <w:r w:rsidR="00D75860" w:rsidRPr="0002056A">
        <w:rPr>
          <w:rFonts w:ascii="Georgia" w:hAnsi="Georgia" w:cs="Times New Roman"/>
          <w:lang w:val="en-GB"/>
        </w:rPr>
        <w:t xml:space="preserve">. </w:t>
      </w:r>
    </w:p>
    <w:p w14:paraId="71A723C4" w14:textId="547F516E" w:rsidR="00D75860" w:rsidRPr="0002056A" w:rsidRDefault="00D75860" w:rsidP="00CD5BF3">
      <w:pPr>
        <w:spacing w:before="120" w:after="120"/>
        <w:jc w:val="both"/>
        <w:rPr>
          <w:rFonts w:ascii="Georgia" w:hAnsi="Georgia" w:cs="Times New Roman"/>
          <w:lang w:val="en-GB"/>
        </w:rPr>
      </w:pPr>
      <w:r w:rsidRPr="0002056A">
        <w:rPr>
          <w:rFonts w:ascii="Georgia" w:hAnsi="Georgia" w:cs="Times New Roman"/>
          <w:lang w:val="en-GB"/>
        </w:rPr>
        <w:t>In their comparative study</w:t>
      </w:r>
      <w:r w:rsidRPr="0002056A">
        <w:rPr>
          <w:rStyle w:val="Lbjegyzet-hivatkozs"/>
          <w:rFonts w:ascii="Georgia" w:hAnsi="Georgia" w:cs="Times New Roman"/>
          <w:lang w:val="en-GB"/>
        </w:rPr>
        <w:footnoteReference w:id="40"/>
      </w:r>
      <w:r w:rsidR="0014138C" w:rsidRPr="0002056A">
        <w:rPr>
          <w:rFonts w:ascii="Georgia" w:hAnsi="Georgia" w:cs="Times New Roman"/>
          <w:lang w:val="en-GB"/>
        </w:rPr>
        <w:t xml:space="preserve"> in 2010</w:t>
      </w:r>
      <w:r w:rsidRPr="0002056A">
        <w:rPr>
          <w:rFonts w:ascii="Georgia" w:hAnsi="Georgia" w:cs="Times New Roman"/>
          <w:lang w:val="en-GB"/>
        </w:rPr>
        <w:t xml:space="preserve">, </w:t>
      </w:r>
      <w:r w:rsidRPr="0002056A">
        <w:rPr>
          <w:rFonts w:ascii="Georgia" w:hAnsi="Georgia" w:cs="Times New Roman"/>
          <w:b/>
          <w:bCs/>
          <w:lang w:val="en-GB"/>
        </w:rPr>
        <w:t>from a spatial planning/regional development perspective</w:t>
      </w:r>
      <w:r w:rsidRPr="0002056A">
        <w:rPr>
          <w:rFonts w:ascii="Georgia" w:hAnsi="Georgia" w:cs="Times New Roman"/>
          <w:lang w:val="en-GB"/>
        </w:rPr>
        <w:t>,</w:t>
      </w:r>
      <w:r w:rsidRPr="0002056A">
        <w:rPr>
          <w:rFonts w:ascii="Georgia" w:hAnsi="Georgia" w:cs="Times New Roman"/>
          <w:smallCaps/>
          <w:lang w:val="en-GB"/>
        </w:rPr>
        <w:t xml:space="preserve"> Greiving and Fleischhauer</w:t>
      </w:r>
      <w:r w:rsidRPr="0002056A">
        <w:rPr>
          <w:rFonts w:ascii="Georgia" w:hAnsi="Georgia" w:cs="Times New Roman"/>
          <w:lang w:val="en-GB"/>
        </w:rPr>
        <w:t xml:space="preserve"> provided an overview and systematic characterisation of different national approaches to </w:t>
      </w:r>
      <w:r w:rsidR="002861E5">
        <w:rPr>
          <w:rFonts w:ascii="Georgia" w:hAnsi="Georgia" w:cs="Times New Roman"/>
          <w:lang w:val="en-GB"/>
        </w:rPr>
        <w:t>develop</w:t>
      </w:r>
      <w:r w:rsidR="002861E5" w:rsidRPr="0002056A">
        <w:rPr>
          <w:rFonts w:ascii="Georgia" w:hAnsi="Georgia" w:cs="Times New Roman"/>
          <w:lang w:val="en-GB"/>
        </w:rPr>
        <w:t xml:space="preserve"> </w:t>
      </w:r>
      <w:r w:rsidRPr="0002056A">
        <w:rPr>
          <w:rFonts w:ascii="Georgia" w:hAnsi="Georgia" w:cs="Times New Roman"/>
          <w:lang w:val="en-GB"/>
        </w:rPr>
        <w:t>climate change adaptation strategies</w:t>
      </w:r>
      <w:r w:rsidRPr="0002056A">
        <w:rPr>
          <w:rStyle w:val="Lbjegyzet-hivatkozs"/>
          <w:rFonts w:ascii="Georgia" w:hAnsi="Georgia" w:cs="Times New Roman"/>
          <w:lang w:val="en-GB"/>
        </w:rPr>
        <w:footnoteReference w:id="41"/>
      </w:r>
      <w:r w:rsidRPr="0002056A">
        <w:rPr>
          <w:rFonts w:ascii="Georgia" w:hAnsi="Georgia" w:cs="Times New Roman"/>
          <w:lang w:val="en-GB"/>
        </w:rPr>
        <w:t>.</w:t>
      </w:r>
      <w:r w:rsidR="00F60790" w:rsidRPr="0002056A">
        <w:rPr>
          <w:rFonts w:ascii="Georgia" w:hAnsi="Georgia"/>
          <w:lang w:val="en-GB"/>
        </w:rPr>
        <w:t xml:space="preserve"> </w:t>
      </w:r>
      <w:r w:rsidR="009A0B3E" w:rsidRPr="0002056A">
        <w:rPr>
          <w:rFonts w:ascii="Georgia" w:hAnsi="Georgia" w:cs="Times New Roman"/>
          <w:lang w:val="en-GB"/>
        </w:rPr>
        <w:t xml:space="preserve">According to their literature analysis, </w:t>
      </w:r>
      <w:r w:rsidR="0014138C" w:rsidRPr="0002056A">
        <w:rPr>
          <w:rFonts w:ascii="Georgia" w:hAnsi="Georgia" w:cs="Times New Roman"/>
          <w:lang w:val="en-GB"/>
        </w:rPr>
        <w:t>at</w:t>
      </w:r>
      <w:r w:rsidR="009A0B3E" w:rsidRPr="0002056A">
        <w:rPr>
          <w:rFonts w:ascii="Georgia" w:hAnsi="Georgia" w:cs="Times New Roman"/>
          <w:lang w:val="en-GB"/>
        </w:rPr>
        <w:t xml:space="preserve"> the beginning of the 2010s</w:t>
      </w:r>
      <w:r w:rsidR="002861E5">
        <w:rPr>
          <w:rFonts w:ascii="Georgia" w:hAnsi="Georgia" w:cs="Times New Roman"/>
          <w:lang w:val="en-GB"/>
        </w:rPr>
        <w:t>,</w:t>
      </w:r>
      <w:r w:rsidR="009A0B3E" w:rsidRPr="0002056A">
        <w:rPr>
          <w:rFonts w:ascii="Georgia" w:hAnsi="Georgia" w:cs="Times New Roman"/>
          <w:lang w:val="en-GB"/>
        </w:rPr>
        <w:t xml:space="preserve"> spatial planning was only given minor attention in adaptation and </w:t>
      </w:r>
      <w:r w:rsidR="00A870E1" w:rsidRPr="0002056A">
        <w:rPr>
          <w:rFonts w:ascii="Georgia" w:hAnsi="Georgia" w:cs="Times New Roman"/>
          <w:lang w:val="en-GB"/>
        </w:rPr>
        <w:t xml:space="preserve">was seen as just one among the many other sectors. </w:t>
      </w:r>
      <w:r w:rsidR="003171DA" w:rsidRPr="0002056A">
        <w:rPr>
          <w:rFonts w:ascii="Georgia" w:hAnsi="Georgia" w:cs="Times New Roman"/>
          <w:lang w:val="en-GB"/>
        </w:rPr>
        <w:t>It</w:t>
      </w:r>
      <w:r w:rsidR="00A870E1" w:rsidRPr="0002056A">
        <w:rPr>
          <w:rFonts w:ascii="Georgia" w:hAnsi="Georgia" w:cs="Times New Roman"/>
          <w:lang w:val="en-GB"/>
        </w:rPr>
        <w:t xml:space="preserve"> </w:t>
      </w:r>
      <w:r w:rsidR="0014138C" w:rsidRPr="0002056A">
        <w:rPr>
          <w:rFonts w:ascii="Georgia" w:hAnsi="Georgia" w:cs="Times New Roman"/>
          <w:lang w:val="en-GB"/>
        </w:rPr>
        <w:t>was</w:t>
      </w:r>
      <w:r w:rsidR="009A0B3E" w:rsidRPr="0002056A">
        <w:rPr>
          <w:rFonts w:ascii="Georgia" w:hAnsi="Georgia" w:cs="Times New Roman"/>
          <w:lang w:val="en-GB"/>
        </w:rPr>
        <w:t xml:space="preserve"> rather a matter of political willingness and </w:t>
      </w:r>
      <w:r w:rsidR="003171DA" w:rsidRPr="0002056A">
        <w:rPr>
          <w:rFonts w:ascii="Georgia" w:hAnsi="Georgia" w:cs="Times New Roman"/>
          <w:lang w:val="en-GB"/>
        </w:rPr>
        <w:t xml:space="preserve">existing </w:t>
      </w:r>
      <w:r w:rsidR="009A0B3E" w:rsidRPr="0002056A">
        <w:rPr>
          <w:rFonts w:ascii="Georgia" w:hAnsi="Georgia" w:cs="Times New Roman"/>
          <w:lang w:val="en-GB"/>
        </w:rPr>
        <w:t>capacit</w:t>
      </w:r>
      <w:r w:rsidR="003171DA" w:rsidRPr="0002056A">
        <w:rPr>
          <w:rFonts w:ascii="Georgia" w:hAnsi="Georgia" w:cs="Times New Roman"/>
          <w:lang w:val="en-GB"/>
        </w:rPr>
        <w:t>ies</w:t>
      </w:r>
      <w:r w:rsidR="009A0B3E" w:rsidRPr="0002056A">
        <w:rPr>
          <w:rFonts w:ascii="Georgia" w:hAnsi="Georgia" w:cs="Times New Roman"/>
          <w:lang w:val="en-GB"/>
        </w:rPr>
        <w:t xml:space="preserve"> than </w:t>
      </w:r>
      <w:r w:rsidR="000A3607" w:rsidRPr="0002056A">
        <w:rPr>
          <w:rFonts w:ascii="Georgia" w:hAnsi="Georgia" w:cs="Times New Roman"/>
          <w:lang w:val="en-GB"/>
        </w:rPr>
        <w:t xml:space="preserve">the existence of </w:t>
      </w:r>
      <w:r w:rsidR="009A0B3E" w:rsidRPr="0002056A">
        <w:rPr>
          <w:rFonts w:ascii="Georgia" w:hAnsi="Georgia" w:cs="Times New Roman"/>
          <w:lang w:val="en-GB"/>
        </w:rPr>
        <w:t xml:space="preserve">particular instruments </w:t>
      </w:r>
      <w:r w:rsidR="00C567B0" w:rsidRPr="0002056A">
        <w:rPr>
          <w:rFonts w:ascii="Georgia" w:hAnsi="Georgia" w:cs="Times New Roman"/>
          <w:lang w:val="en-GB"/>
        </w:rPr>
        <w:t>or high</w:t>
      </w:r>
      <w:r w:rsidR="009A0B3E" w:rsidRPr="0002056A">
        <w:rPr>
          <w:rFonts w:ascii="Georgia" w:hAnsi="Georgia" w:cs="Times New Roman"/>
          <w:lang w:val="en-GB"/>
        </w:rPr>
        <w:t xml:space="preserve"> climate change vulnerability if spatial planning play</w:t>
      </w:r>
      <w:r w:rsidR="000A3607" w:rsidRPr="0002056A">
        <w:rPr>
          <w:rFonts w:ascii="Georgia" w:hAnsi="Georgia" w:cs="Times New Roman"/>
          <w:lang w:val="en-GB"/>
        </w:rPr>
        <w:t>ed</w:t>
      </w:r>
      <w:r w:rsidR="009A0B3E" w:rsidRPr="0002056A">
        <w:rPr>
          <w:rFonts w:ascii="Georgia" w:hAnsi="Georgia" w:cs="Times New Roman"/>
          <w:lang w:val="en-GB"/>
        </w:rPr>
        <w:t xml:space="preserve"> an important role in a</w:t>
      </w:r>
      <w:r w:rsidR="000A3607" w:rsidRPr="0002056A">
        <w:rPr>
          <w:rFonts w:ascii="Georgia" w:hAnsi="Georgia" w:cs="Times New Roman"/>
          <w:lang w:val="en-GB"/>
        </w:rPr>
        <w:t xml:space="preserve"> give</w:t>
      </w:r>
      <w:r w:rsidR="009A0B3E" w:rsidRPr="0002056A">
        <w:rPr>
          <w:rFonts w:ascii="Georgia" w:hAnsi="Georgia" w:cs="Times New Roman"/>
          <w:lang w:val="en-GB"/>
        </w:rPr>
        <w:t>n NAS (</w:t>
      </w:r>
      <w:r w:rsidR="009A0B3E" w:rsidRPr="0002056A">
        <w:rPr>
          <w:rFonts w:ascii="Georgia" w:hAnsi="Georgia" w:cs="Times New Roman"/>
          <w:smallCaps/>
          <w:lang w:val="en-GB"/>
        </w:rPr>
        <w:t>Greiving&amp;Fleischhauer, 2010</w:t>
      </w:r>
      <w:r w:rsidR="009A0B3E" w:rsidRPr="0002056A">
        <w:rPr>
          <w:rFonts w:ascii="Georgia" w:hAnsi="Georgia" w:cs="Times New Roman"/>
          <w:lang w:val="en-GB"/>
        </w:rPr>
        <w:t xml:space="preserve">). </w:t>
      </w:r>
      <w:r w:rsidR="00F60790" w:rsidRPr="0002056A">
        <w:rPr>
          <w:rFonts w:ascii="Georgia" w:hAnsi="Georgia"/>
          <w:lang w:val="en-GB"/>
        </w:rPr>
        <w:t xml:space="preserve">In Dosch and his colleagues’ article, special mention </w:t>
      </w:r>
      <w:r w:rsidR="003171DA" w:rsidRPr="0002056A">
        <w:rPr>
          <w:rFonts w:ascii="Georgia" w:hAnsi="Georgia"/>
          <w:lang w:val="en-GB"/>
        </w:rPr>
        <w:t>wa</w:t>
      </w:r>
      <w:r w:rsidR="00F60790" w:rsidRPr="0002056A">
        <w:rPr>
          <w:rFonts w:ascii="Georgia" w:hAnsi="Georgia"/>
          <w:lang w:val="en-GB"/>
        </w:rPr>
        <w:t xml:space="preserve">s made about </w:t>
      </w:r>
      <w:r w:rsidR="00F60790" w:rsidRPr="0002056A">
        <w:rPr>
          <w:rFonts w:ascii="Georgia" w:hAnsi="Georgia"/>
          <w:b/>
          <w:bCs/>
          <w:lang w:val="en-GB"/>
        </w:rPr>
        <w:t xml:space="preserve">urban, regional and physical planning as tools </w:t>
      </w:r>
      <w:r w:rsidR="00F60790" w:rsidRPr="0002056A">
        <w:rPr>
          <w:rFonts w:ascii="Georgia" w:hAnsi="Georgia"/>
          <w:lang w:val="en-GB"/>
        </w:rPr>
        <w:t xml:space="preserve">of sustainable and quality-wise development of </w:t>
      </w:r>
      <w:r w:rsidR="002861E5">
        <w:rPr>
          <w:rFonts w:ascii="Georgia" w:hAnsi="Georgia"/>
          <w:lang w:val="en-GB"/>
        </w:rPr>
        <w:t>the environment and spatial structures,</w:t>
      </w:r>
      <w:r w:rsidR="006826CD" w:rsidRPr="0002056A">
        <w:rPr>
          <w:rFonts w:ascii="Georgia" w:hAnsi="Georgia"/>
          <w:lang w:val="en-GB"/>
        </w:rPr>
        <w:t xml:space="preserve"> </w:t>
      </w:r>
      <w:r w:rsidR="00F60790" w:rsidRPr="0002056A">
        <w:rPr>
          <w:rFonts w:ascii="Georgia" w:hAnsi="Georgia"/>
          <w:lang w:val="en-GB"/>
        </w:rPr>
        <w:t xml:space="preserve">if these fields take into consideration climate adaptation aspects properly. </w:t>
      </w:r>
      <w:r w:rsidR="006826CD" w:rsidRPr="0002056A">
        <w:rPr>
          <w:rFonts w:ascii="Georgia" w:hAnsi="Georgia"/>
          <w:lang w:val="en-GB"/>
        </w:rPr>
        <w:t>The study</w:t>
      </w:r>
      <w:r w:rsidR="00F60790" w:rsidRPr="0002056A">
        <w:rPr>
          <w:rFonts w:ascii="Georgia" w:hAnsi="Georgia"/>
          <w:lang w:val="en-GB"/>
        </w:rPr>
        <w:t xml:space="preserve"> identifies spatial (physical) planning as a cross-sectoral field and </w:t>
      </w:r>
      <w:r w:rsidR="002861E5">
        <w:rPr>
          <w:rFonts w:ascii="Georgia" w:hAnsi="Georgia"/>
          <w:lang w:val="en-GB"/>
        </w:rPr>
        <w:t xml:space="preserve">a </w:t>
      </w:r>
      <w:r w:rsidR="00F60790" w:rsidRPr="0002056A">
        <w:rPr>
          <w:rFonts w:ascii="Georgia" w:hAnsi="Georgia"/>
          <w:lang w:val="en-GB"/>
        </w:rPr>
        <w:t>suitable instrument for determining cost-effective adaptation interventions and serving as an integrative framework for vulnerability and risk assessments, creating decarbonisation-</w:t>
      </w:r>
      <w:r w:rsidR="00F60790" w:rsidRPr="0002056A">
        <w:rPr>
          <w:rFonts w:ascii="Georgia" w:hAnsi="Georgia"/>
          <w:lang w:val="en-GB"/>
        </w:rPr>
        <w:lastRenderedPageBreak/>
        <w:t>oriented spatial structures and d</w:t>
      </w:r>
      <w:r w:rsidR="009309F5" w:rsidRPr="0002056A">
        <w:rPr>
          <w:rFonts w:ascii="Georgia" w:hAnsi="Georgia"/>
          <w:lang w:val="en-GB"/>
        </w:rPr>
        <w:t>iminishing</w:t>
      </w:r>
      <w:r w:rsidR="00F60790" w:rsidRPr="0002056A">
        <w:rPr>
          <w:rFonts w:ascii="Georgia" w:hAnsi="Georgia"/>
          <w:lang w:val="en-GB"/>
        </w:rPr>
        <w:t xml:space="preserve"> regional vulnerability</w:t>
      </w:r>
      <w:r w:rsidR="00A71499" w:rsidRPr="0002056A">
        <w:rPr>
          <w:rFonts w:ascii="Georgia" w:hAnsi="Georgia"/>
          <w:lang w:val="en-GB"/>
        </w:rPr>
        <w:t xml:space="preserve"> </w:t>
      </w:r>
      <w:r w:rsidR="00F60790" w:rsidRPr="0002056A">
        <w:rPr>
          <w:rFonts w:ascii="Georgia" w:hAnsi="Georgia"/>
          <w:lang w:val="en-GB"/>
        </w:rPr>
        <w:t>(</w:t>
      </w:r>
      <w:r w:rsidR="00F60790" w:rsidRPr="0002056A">
        <w:rPr>
          <w:rFonts w:ascii="Georgia" w:hAnsi="Georgia" w:cstheme="minorHAnsi"/>
          <w:smallCaps/>
          <w:lang w:val="en-GB"/>
        </w:rPr>
        <w:t>Dosch et al., 2008</w:t>
      </w:r>
      <w:r w:rsidR="00F60790" w:rsidRPr="0002056A">
        <w:rPr>
          <w:rFonts w:ascii="Georgia" w:hAnsi="Georgia"/>
          <w:lang w:val="en-GB"/>
        </w:rPr>
        <w:t>).</w:t>
      </w:r>
      <w:r w:rsidR="00C81FD2" w:rsidRPr="0002056A">
        <w:rPr>
          <w:rFonts w:ascii="Georgia" w:hAnsi="Georgia"/>
          <w:lang w:val="en-GB"/>
        </w:rPr>
        <w:t xml:space="preserve"> </w:t>
      </w:r>
      <w:r w:rsidR="00C81FD2" w:rsidRPr="0002056A">
        <w:rPr>
          <w:rFonts w:ascii="Georgia" w:eastAsia="Times New Roman" w:hAnsi="Georgia" w:cs="Times New Roman"/>
          <w:lang w:val="en-GB" w:eastAsia="hu-HU"/>
        </w:rPr>
        <w:t>Swart and his colleagues underline</w:t>
      </w:r>
      <w:r w:rsidR="00C81FD2" w:rsidRPr="0002056A">
        <w:rPr>
          <w:rFonts w:ascii="Georgia" w:hAnsi="Georgia"/>
          <w:lang w:val="en-GB"/>
        </w:rPr>
        <w:t xml:space="preserve"> the </w:t>
      </w:r>
      <w:r w:rsidR="00C81FD2" w:rsidRPr="0002056A">
        <w:rPr>
          <w:rFonts w:ascii="Georgia" w:hAnsi="Georgia"/>
          <w:b/>
          <w:bCs/>
          <w:lang w:val="en-GB"/>
        </w:rPr>
        <w:t xml:space="preserve">importance of spatial </w:t>
      </w:r>
      <w:r w:rsidR="00AE59A3" w:rsidRPr="0002056A">
        <w:rPr>
          <w:rFonts w:ascii="Georgia" w:hAnsi="Georgia"/>
          <w:b/>
          <w:bCs/>
          <w:lang w:val="en-GB"/>
        </w:rPr>
        <w:t xml:space="preserve">development </w:t>
      </w:r>
      <w:r w:rsidR="00C81FD2" w:rsidRPr="0002056A">
        <w:rPr>
          <w:rFonts w:ascii="Georgia" w:hAnsi="Georgia"/>
          <w:b/>
          <w:bCs/>
          <w:lang w:val="en-GB"/>
        </w:rPr>
        <w:t>planning instruments</w:t>
      </w:r>
      <w:r w:rsidR="00C81FD2" w:rsidRPr="0002056A">
        <w:rPr>
          <w:rFonts w:ascii="Georgia" w:hAnsi="Georgia"/>
          <w:lang w:val="en-GB"/>
        </w:rPr>
        <w:t xml:space="preserve"> in the assessment of all kinds of (spatial) developmen</w:t>
      </w:r>
      <w:r w:rsidR="00C567B0" w:rsidRPr="0002056A">
        <w:rPr>
          <w:rFonts w:ascii="Georgia" w:hAnsi="Georgia"/>
          <w:lang w:val="en-GB"/>
        </w:rPr>
        <w:t>t</w:t>
      </w:r>
      <w:r w:rsidR="00C81FD2" w:rsidRPr="0002056A">
        <w:rPr>
          <w:rFonts w:ascii="Georgia" w:hAnsi="Georgia"/>
          <w:lang w:val="en-GB"/>
        </w:rPr>
        <w:t xml:space="preserve"> and setting of specific regional and sectoral adaptation goals and appropriate indicators </w:t>
      </w:r>
      <w:r w:rsidR="00AE59A3" w:rsidRPr="0002056A">
        <w:rPr>
          <w:rFonts w:ascii="Georgia" w:hAnsi="Georgia"/>
          <w:lang w:val="en-GB"/>
        </w:rPr>
        <w:t xml:space="preserve">as well as </w:t>
      </w:r>
      <w:r w:rsidR="00C81FD2" w:rsidRPr="0002056A">
        <w:rPr>
          <w:rFonts w:ascii="Georgia" w:hAnsi="Georgia"/>
          <w:lang w:val="en-GB"/>
        </w:rPr>
        <w:t>a formal frame for continuous monitoring (</w:t>
      </w:r>
      <w:r w:rsidR="00C81FD2" w:rsidRPr="0002056A">
        <w:rPr>
          <w:rFonts w:ascii="Georgia" w:hAnsi="Georgia" w:cstheme="minorHAnsi"/>
          <w:smallCaps/>
          <w:lang w:val="en-GB"/>
        </w:rPr>
        <w:t>Swart et al., 2009</w:t>
      </w:r>
      <w:r w:rsidR="00C81FD2" w:rsidRPr="0002056A">
        <w:rPr>
          <w:rFonts w:ascii="Georgia" w:hAnsi="Georgia"/>
          <w:lang w:val="en-GB"/>
        </w:rPr>
        <w:t>).</w:t>
      </w:r>
    </w:p>
    <w:p w14:paraId="3DC204C7" w14:textId="15F7553F" w:rsidR="0051469C" w:rsidRPr="0002056A" w:rsidRDefault="00DC2C71" w:rsidP="00CD5BF3">
      <w:pPr>
        <w:spacing w:before="120" w:after="120"/>
        <w:jc w:val="both"/>
        <w:rPr>
          <w:rFonts w:ascii="Georgia" w:hAnsi="Georgia" w:cs="Times New Roman"/>
          <w:lang w:val="en-GB"/>
        </w:rPr>
      </w:pPr>
      <w:r w:rsidRPr="0002056A">
        <w:rPr>
          <w:rFonts w:ascii="Georgia" w:hAnsi="Georgia" w:cs="Times New Roman"/>
          <w:smallCaps/>
          <w:lang w:val="en-GB"/>
        </w:rPr>
        <w:t xml:space="preserve">Schuster </w:t>
      </w:r>
      <w:r w:rsidRPr="0002056A">
        <w:rPr>
          <w:rFonts w:ascii="Georgia" w:hAnsi="Georgia" w:cs="Times New Roman"/>
          <w:lang w:val="en-GB"/>
        </w:rPr>
        <w:t>in 2008</w:t>
      </w:r>
      <w:r w:rsidRPr="0002056A">
        <w:rPr>
          <w:rFonts w:ascii="Georgia" w:hAnsi="Georgia" w:cs="Times New Roman"/>
          <w:smallCaps/>
          <w:lang w:val="en-GB"/>
        </w:rPr>
        <w:t xml:space="preserve">, Wilson </w:t>
      </w:r>
      <w:r w:rsidRPr="0002056A">
        <w:rPr>
          <w:rFonts w:ascii="Georgia" w:hAnsi="Georgia" w:cs="Times New Roman"/>
          <w:lang w:val="en-GB"/>
        </w:rPr>
        <w:t>and</w:t>
      </w:r>
      <w:r w:rsidRPr="0002056A">
        <w:rPr>
          <w:rFonts w:ascii="Georgia" w:hAnsi="Georgia" w:cs="Times New Roman"/>
          <w:smallCaps/>
          <w:lang w:val="en-GB"/>
        </w:rPr>
        <w:t xml:space="preserve"> Piper </w:t>
      </w:r>
      <w:r w:rsidRPr="0002056A">
        <w:rPr>
          <w:rFonts w:ascii="Georgia" w:hAnsi="Georgia" w:cs="Times New Roman"/>
          <w:lang w:val="en-GB"/>
        </w:rPr>
        <w:t>in 2010</w:t>
      </w:r>
      <w:r w:rsidR="00E668EC" w:rsidRPr="0002056A">
        <w:rPr>
          <w:rFonts w:ascii="Georgia" w:hAnsi="Georgia" w:cs="Times New Roman"/>
          <w:lang w:val="en-GB"/>
        </w:rPr>
        <w:t>,</w:t>
      </w:r>
      <w:r w:rsidRPr="0002056A">
        <w:rPr>
          <w:rFonts w:ascii="Georgia" w:hAnsi="Georgia" w:cs="Times New Roman"/>
          <w:lang w:val="en-GB"/>
        </w:rPr>
        <w:t xml:space="preserve"> </w:t>
      </w:r>
      <w:r w:rsidRPr="0002056A">
        <w:rPr>
          <w:rFonts w:ascii="Georgia" w:hAnsi="Georgia" w:cs="Times New Roman"/>
          <w:smallCaps/>
          <w:lang w:val="en-GB"/>
        </w:rPr>
        <w:t>Roggema</w:t>
      </w:r>
      <w:r w:rsidRPr="0002056A">
        <w:rPr>
          <w:rFonts w:ascii="Georgia" w:hAnsi="Georgia" w:cs="Times New Roman"/>
          <w:lang w:val="en-GB"/>
        </w:rPr>
        <w:t xml:space="preserve"> in his different works in 2009 and 2012</w:t>
      </w:r>
      <w:r w:rsidR="00E668EC" w:rsidRPr="0002056A">
        <w:rPr>
          <w:rFonts w:ascii="Georgia" w:hAnsi="Georgia" w:cs="Times New Roman"/>
          <w:lang w:val="en-GB"/>
        </w:rPr>
        <w:t xml:space="preserve">, </w:t>
      </w:r>
      <w:r w:rsidR="00E668EC" w:rsidRPr="0002056A">
        <w:rPr>
          <w:rFonts w:ascii="Georgia" w:hAnsi="Georgia" w:cs="Times New Roman"/>
          <w:smallCaps/>
          <w:lang w:val="en-GB"/>
        </w:rPr>
        <w:t>Ledda et al. in 2015</w:t>
      </w:r>
      <w:r w:rsidR="002861E5">
        <w:rPr>
          <w:rFonts w:ascii="Georgia" w:hAnsi="Georgia" w:cs="Times New Roman"/>
          <w:smallCaps/>
          <w:lang w:val="en-GB"/>
        </w:rPr>
        <w:t>,</w:t>
      </w:r>
      <w:r w:rsidR="00E668EC" w:rsidRPr="0002056A">
        <w:rPr>
          <w:rFonts w:ascii="Georgia" w:hAnsi="Georgia" w:cs="Times New Roman"/>
          <w:smallCaps/>
          <w:lang w:val="en-GB"/>
        </w:rPr>
        <w:t xml:space="preserve"> </w:t>
      </w:r>
      <w:r w:rsidRPr="0002056A">
        <w:rPr>
          <w:rFonts w:ascii="Georgia" w:hAnsi="Georgia" w:cs="Times New Roman"/>
          <w:lang w:val="en-GB"/>
        </w:rPr>
        <w:t xml:space="preserve">and </w:t>
      </w:r>
      <w:r w:rsidRPr="0002056A">
        <w:rPr>
          <w:rFonts w:ascii="Georgia" w:hAnsi="Georgia" w:cs="Times New Roman"/>
          <w:smallCaps/>
          <w:lang w:val="en-GB"/>
        </w:rPr>
        <w:t>Péti</w:t>
      </w:r>
      <w:r w:rsidRPr="0002056A">
        <w:rPr>
          <w:rFonts w:ascii="Georgia" w:hAnsi="Georgia" w:cs="Times New Roman"/>
          <w:lang w:val="en-GB"/>
        </w:rPr>
        <w:t xml:space="preserve"> also dealt with </w:t>
      </w:r>
      <w:r w:rsidR="002861E5">
        <w:rPr>
          <w:rFonts w:ascii="Georgia" w:hAnsi="Georgia" w:cs="Times New Roman"/>
          <w:lang w:val="en-GB"/>
        </w:rPr>
        <w:t xml:space="preserve">the </w:t>
      </w:r>
      <w:r w:rsidRPr="0002056A">
        <w:rPr>
          <w:rFonts w:ascii="Georgia" w:hAnsi="Georgia" w:cs="Times New Roman"/>
          <w:lang w:val="en-GB"/>
        </w:rPr>
        <w:t xml:space="preserve">relationship between changing climatic factors and spatial </w:t>
      </w:r>
      <w:r w:rsidR="002A0BFD" w:rsidRPr="0002056A">
        <w:rPr>
          <w:rFonts w:ascii="Georgia" w:hAnsi="Georgia" w:cs="Times New Roman"/>
          <w:lang w:val="en-GB"/>
        </w:rPr>
        <w:t xml:space="preserve">development </w:t>
      </w:r>
      <w:r w:rsidRPr="0002056A">
        <w:rPr>
          <w:rFonts w:ascii="Georgia" w:hAnsi="Georgia" w:cs="Times New Roman"/>
          <w:lang w:val="en-GB"/>
        </w:rPr>
        <w:t>planning</w:t>
      </w:r>
      <w:r w:rsidRPr="0002056A">
        <w:rPr>
          <w:rFonts w:ascii="Georgia" w:hAnsi="Georgia" w:cs="Times New Roman"/>
          <w:i/>
          <w:iCs/>
          <w:lang w:val="en-GB"/>
        </w:rPr>
        <w:t xml:space="preserve"> </w:t>
      </w:r>
      <w:r w:rsidRPr="0002056A">
        <w:rPr>
          <w:rFonts w:ascii="Georgia" w:hAnsi="Georgia" w:cs="Times New Roman"/>
          <w:lang w:val="en-GB"/>
        </w:rPr>
        <w:t>or</w:t>
      </w:r>
      <w:r w:rsidRPr="0002056A">
        <w:rPr>
          <w:rFonts w:ascii="Georgia" w:hAnsi="Georgia" w:cs="Times New Roman"/>
          <w:i/>
          <w:iCs/>
          <w:lang w:val="en-GB"/>
        </w:rPr>
        <w:t xml:space="preserve"> </w:t>
      </w:r>
      <w:r w:rsidRPr="0002056A">
        <w:rPr>
          <w:rFonts w:ascii="Georgia" w:hAnsi="Georgia" w:cs="Times New Roman"/>
          <w:b/>
          <w:bCs/>
          <w:lang w:val="en-GB"/>
        </w:rPr>
        <w:t>the linkages between climate challenges and spatial policy</w:t>
      </w:r>
      <w:r w:rsidRPr="0002056A">
        <w:rPr>
          <w:rFonts w:ascii="Georgia" w:hAnsi="Georgia" w:cs="Times New Roman"/>
          <w:i/>
          <w:iCs/>
          <w:lang w:val="en-GB"/>
        </w:rPr>
        <w:t xml:space="preserve"> </w:t>
      </w:r>
      <w:r w:rsidRPr="0002056A">
        <w:rPr>
          <w:rFonts w:ascii="Georgia" w:hAnsi="Georgia" w:cs="Times New Roman"/>
          <w:lang w:val="en-GB"/>
        </w:rPr>
        <w:t>(</w:t>
      </w:r>
      <w:r w:rsidRPr="0002056A">
        <w:rPr>
          <w:rFonts w:ascii="Georgia" w:hAnsi="Georgia" w:cs="Times New Roman"/>
          <w:smallCaps/>
          <w:lang w:val="en-GB"/>
        </w:rPr>
        <w:t>Péti et al., 2009; Péti, 2011 and 2012;)</w:t>
      </w:r>
      <w:r w:rsidRPr="0002056A">
        <w:rPr>
          <w:rFonts w:ascii="Georgia" w:hAnsi="Georgia" w:cs="Times New Roman"/>
          <w:lang w:val="en-GB"/>
        </w:rPr>
        <w:t xml:space="preserve">, seeking for theoretical/policy-oriented explanations of the challenges planning </w:t>
      </w:r>
      <w:r w:rsidR="002861E5">
        <w:rPr>
          <w:rFonts w:ascii="Georgia" w:hAnsi="Georgia" w:cs="Times New Roman"/>
          <w:lang w:val="en-GB"/>
        </w:rPr>
        <w:t xml:space="preserve">is </w:t>
      </w:r>
      <w:r w:rsidRPr="0002056A">
        <w:rPr>
          <w:rFonts w:ascii="Georgia" w:hAnsi="Georgia" w:cs="Times New Roman"/>
          <w:lang w:val="en-GB"/>
        </w:rPr>
        <w:t xml:space="preserve">facing with. </w:t>
      </w:r>
      <w:r w:rsidR="0051469C" w:rsidRPr="0002056A">
        <w:rPr>
          <w:rFonts w:ascii="Georgia" w:hAnsi="Georgia"/>
          <w:lang w:val="en-GB"/>
        </w:rPr>
        <w:t>Schuster even nominate</w:t>
      </w:r>
      <w:r w:rsidR="006515C5" w:rsidRPr="0002056A">
        <w:rPr>
          <w:rFonts w:ascii="Georgia" w:hAnsi="Georgia"/>
          <w:lang w:val="en-GB"/>
        </w:rPr>
        <w:t>d</w:t>
      </w:r>
      <w:r w:rsidR="0051469C" w:rsidRPr="0002056A">
        <w:rPr>
          <w:rFonts w:ascii="Georgia" w:hAnsi="Georgia"/>
          <w:lang w:val="en-GB"/>
        </w:rPr>
        <w:t xml:space="preserve"> those sectors which are especially relevant in the spatial planning - adaptation relation</w:t>
      </w:r>
      <w:r w:rsidR="0051469C" w:rsidRPr="0002056A">
        <w:rPr>
          <w:rStyle w:val="Lbjegyzet-hivatkozs"/>
          <w:rFonts w:ascii="Georgia" w:hAnsi="Georgia"/>
          <w:lang w:val="en-GB"/>
        </w:rPr>
        <w:footnoteReference w:id="42"/>
      </w:r>
      <w:r w:rsidR="0051469C" w:rsidRPr="0002056A">
        <w:rPr>
          <w:rFonts w:ascii="Georgia" w:hAnsi="Georgia"/>
          <w:lang w:val="en-GB"/>
        </w:rPr>
        <w:t xml:space="preserve">, and beyond water management, housing, architecture and energy efficiency, recreation and tourism, transport, infrastructure and energy he also mentioned the spatially oriented adaptation to </w:t>
      </w:r>
      <w:r w:rsidR="006515C5" w:rsidRPr="0002056A">
        <w:rPr>
          <w:rFonts w:ascii="Georgia" w:hAnsi="Georgia"/>
          <w:lang w:val="en-GB"/>
        </w:rPr>
        <w:t>local</w:t>
      </w:r>
      <w:r w:rsidR="0051469C" w:rsidRPr="0002056A">
        <w:rPr>
          <w:rFonts w:ascii="Georgia" w:hAnsi="Georgia"/>
          <w:lang w:val="en-GB"/>
        </w:rPr>
        <w:t xml:space="preserve"> risks and natural hazards (hazard mapping), coastal region management and urban planning (</w:t>
      </w:r>
      <w:r w:rsidR="0051469C" w:rsidRPr="0002056A">
        <w:rPr>
          <w:rFonts w:ascii="Georgia" w:hAnsi="Georgia"/>
          <w:smallCaps/>
          <w:lang w:val="en-GB"/>
        </w:rPr>
        <w:t>Schuster</w:t>
      </w:r>
      <w:r w:rsidR="0051469C" w:rsidRPr="0002056A">
        <w:rPr>
          <w:rFonts w:ascii="Georgia" w:hAnsi="Georgia"/>
          <w:lang w:val="en-GB"/>
        </w:rPr>
        <w:t>, 2008)</w:t>
      </w:r>
      <w:r w:rsidR="006515C5" w:rsidRPr="0002056A">
        <w:rPr>
          <w:rStyle w:val="Lbjegyzet-hivatkozs"/>
          <w:rFonts w:ascii="Georgia" w:hAnsi="Georgia"/>
          <w:lang w:val="en-GB"/>
        </w:rPr>
        <w:footnoteReference w:id="43"/>
      </w:r>
      <w:r w:rsidR="0051469C" w:rsidRPr="0002056A">
        <w:rPr>
          <w:rFonts w:ascii="Georgia" w:hAnsi="Georgia"/>
          <w:lang w:val="en-GB"/>
        </w:rPr>
        <w:t>. Roggema i</w:t>
      </w:r>
      <w:r w:rsidR="0051469C" w:rsidRPr="0002056A">
        <w:rPr>
          <w:rFonts w:ascii="Georgia" w:hAnsi="Georgia" w:cs="Segoe UI"/>
          <w:lang w:val="en-GB"/>
        </w:rPr>
        <w:t xml:space="preserve">n his 2009 book raised the question, </w:t>
      </w:r>
      <w:r w:rsidR="00A67FF0" w:rsidRPr="0002056A">
        <w:rPr>
          <w:rFonts w:ascii="Georgia" w:hAnsi="Georgia" w:cs="Segoe UI"/>
          <w:lang w:val="en-GB"/>
        </w:rPr>
        <w:t xml:space="preserve">whether </w:t>
      </w:r>
      <w:r w:rsidR="0051469C" w:rsidRPr="0002056A">
        <w:rPr>
          <w:rFonts w:ascii="Georgia" w:hAnsi="Georgia" w:cs="Segoe UI"/>
          <w:lang w:val="en-GB"/>
        </w:rPr>
        <w:t xml:space="preserve">how climate change is tackled in water management, ecology, coastal defence, urban </w:t>
      </w:r>
      <w:r w:rsidR="00A67FF0" w:rsidRPr="0002056A">
        <w:rPr>
          <w:rFonts w:ascii="Georgia" w:hAnsi="Georgia" w:cs="Segoe UI"/>
          <w:lang w:val="en-GB"/>
        </w:rPr>
        <w:t>development</w:t>
      </w:r>
      <w:r w:rsidR="0051469C" w:rsidRPr="0002056A">
        <w:rPr>
          <w:rFonts w:ascii="Georgia" w:hAnsi="Georgia" w:cs="Segoe UI"/>
          <w:lang w:val="en-GB"/>
        </w:rPr>
        <w:t xml:space="preserve"> and energy; </w:t>
      </w:r>
      <w:r w:rsidR="00725DA2" w:rsidRPr="0002056A">
        <w:rPr>
          <w:rFonts w:ascii="Georgia" w:hAnsi="Georgia" w:cs="Segoe UI"/>
          <w:lang w:val="en-GB"/>
        </w:rPr>
        <w:t xml:space="preserve">and </w:t>
      </w:r>
      <w:r w:rsidR="0051469C" w:rsidRPr="0002056A">
        <w:rPr>
          <w:rFonts w:ascii="Georgia" w:hAnsi="Georgia" w:cs="Segoe UI"/>
          <w:lang w:val="en-GB"/>
        </w:rPr>
        <w:t xml:space="preserve">how these sectors anticipate adapting to climate change </w:t>
      </w:r>
      <w:r w:rsidR="00CE4B2A" w:rsidRPr="0002056A">
        <w:rPr>
          <w:rFonts w:ascii="Georgia" w:hAnsi="Georgia" w:cs="Segoe UI"/>
          <w:lang w:val="en-GB"/>
        </w:rPr>
        <w:t>considering</w:t>
      </w:r>
      <w:r w:rsidR="0051469C" w:rsidRPr="0002056A">
        <w:rPr>
          <w:rFonts w:ascii="Georgia" w:hAnsi="Georgia"/>
          <w:lang w:val="en-GB"/>
        </w:rPr>
        <w:t xml:space="preserve"> its integrati</w:t>
      </w:r>
      <w:r w:rsidR="00CE4B2A" w:rsidRPr="0002056A">
        <w:rPr>
          <w:rFonts w:ascii="Georgia" w:hAnsi="Georgia"/>
          <w:lang w:val="en-GB"/>
        </w:rPr>
        <w:t>ve</w:t>
      </w:r>
      <w:r w:rsidR="0051469C" w:rsidRPr="0002056A">
        <w:rPr>
          <w:rFonts w:ascii="Georgia" w:hAnsi="Georgia"/>
          <w:lang w:val="en-GB"/>
        </w:rPr>
        <w:t xml:space="preserve"> character. </w:t>
      </w:r>
      <w:r w:rsidR="0051469C" w:rsidRPr="0002056A">
        <w:rPr>
          <w:rFonts w:ascii="Georgia" w:hAnsi="Georgia" w:cs="Segoe UI"/>
          <w:lang w:val="en-GB"/>
        </w:rPr>
        <w:t>(</w:t>
      </w:r>
      <w:r w:rsidR="0051469C" w:rsidRPr="0002056A">
        <w:rPr>
          <w:rFonts w:ascii="Georgia" w:hAnsi="Georgia"/>
          <w:smallCaps/>
          <w:lang w:val="en-GB"/>
        </w:rPr>
        <w:t>Roggema, 2009</w:t>
      </w:r>
      <w:r w:rsidR="0051469C" w:rsidRPr="0002056A">
        <w:rPr>
          <w:rFonts w:ascii="Georgia" w:hAnsi="Georgia" w:cs="Segoe UI"/>
          <w:lang w:val="en-GB"/>
        </w:rPr>
        <w:t>).</w:t>
      </w:r>
      <w:r w:rsidR="0051469C" w:rsidRPr="0002056A">
        <w:rPr>
          <w:rFonts w:ascii="Georgia" w:hAnsi="Georgia"/>
          <w:lang w:val="en-GB"/>
        </w:rPr>
        <w:t xml:space="preserve"> Th</w:t>
      </w:r>
      <w:r w:rsidR="00CE4B2A" w:rsidRPr="0002056A">
        <w:rPr>
          <w:rFonts w:ascii="Georgia" w:hAnsi="Georgia"/>
          <w:lang w:val="en-GB"/>
        </w:rPr>
        <w:t xml:space="preserve">e reason for the author’s interest </w:t>
      </w:r>
      <w:r w:rsidR="0051469C" w:rsidRPr="0002056A">
        <w:rPr>
          <w:rFonts w:ascii="Georgia" w:hAnsi="Georgia"/>
          <w:lang w:val="en-GB"/>
        </w:rPr>
        <w:t xml:space="preserve">might be the fact that Roggema is Dutch and that the Netherlands are the only country in </w:t>
      </w:r>
      <w:r w:rsidR="00806069" w:rsidRPr="0002056A">
        <w:rPr>
          <w:rFonts w:ascii="Georgia" w:hAnsi="Georgia"/>
          <w:lang w:val="en-GB"/>
        </w:rPr>
        <w:t>Greiving and Fleischhauer’s above-mentioned</w:t>
      </w:r>
      <w:r w:rsidR="0051469C" w:rsidRPr="0002056A">
        <w:rPr>
          <w:rFonts w:ascii="Georgia" w:hAnsi="Georgia"/>
          <w:lang w:val="en-GB"/>
        </w:rPr>
        <w:t xml:space="preserve"> study that assign</w:t>
      </w:r>
      <w:r w:rsidR="00806069" w:rsidRPr="0002056A">
        <w:rPr>
          <w:rFonts w:ascii="Georgia" w:hAnsi="Georgia"/>
          <w:lang w:val="en-GB"/>
        </w:rPr>
        <w:t>ed</w:t>
      </w:r>
      <w:r w:rsidR="0051469C" w:rsidRPr="0002056A">
        <w:rPr>
          <w:rFonts w:ascii="Georgia" w:hAnsi="Georgia"/>
          <w:lang w:val="en-GB"/>
        </w:rPr>
        <w:t xml:space="preserve"> a key role to spatial planning in climate change adaptation</w:t>
      </w:r>
      <w:r w:rsidR="009036AA" w:rsidRPr="0002056A">
        <w:rPr>
          <w:rFonts w:ascii="Georgia" w:hAnsi="Georgia"/>
          <w:lang w:val="en-GB"/>
        </w:rPr>
        <w:t xml:space="preserve"> already in the late 2000s – early 2010s</w:t>
      </w:r>
      <w:r w:rsidR="0051469C" w:rsidRPr="0002056A">
        <w:rPr>
          <w:rFonts w:ascii="Georgia" w:hAnsi="Georgia"/>
          <w:lang w:val="en-GB"/>
        </w:rPr>
        <w:t xml:space="preserve"> (</w:t>
      </w:r>
      <w:r w:rsidR="0051469C" w:rsidRPr="0002056A">
        <w:rPr>
          <w:rFonts w:ascii="Georgia" w:hAnsi="Georgia"/>
          <w:smallCaps/>
          <w:lang w:val="en-GB"/>
        </w:rPr>
        <w:t>Greiving&amp;Fleischhauer, 2010</w:t>
      </w:r>
      <w:r w:rsidR="0051469C" w:rsidRPr="0002056A">
        <w:rPr>
          <w:rFonts w:ascii="Georgia" w:hAnsi="Georgia"/>
          <w:lang w:val="en-GB"/>
        </w:rPr>
        <w:t>).</w:t>
      </w:r>
      <w:r w:rsidR="00806069" w:rsidRPr="0002056A">
        <w:rPr>
          <w:rFonts w:ascii="Georgia" w:hAnsi="Georgia"/>
          <w:lang w:val="en-GB"/>
        </w:rPr>
        <w:t xml:space="preserve"> </w:t>
      </w:r>
      <w:r w:rsidR="0051469C" w:rsidRPr="0002056A">
        <w:rPr>
          <w:rFonts w:ascii="Georgia" w:hAnsi="Georgia" w:cs="Times New Roman"/>
          <w:lang w:val="en-GB"/>
        </w:rPr>
        <w:t>In his 2012 article</w:t>
      </w:r>
      <w:r w:rsidR="0051469C" w:rsidRPr="0002056A">
        <w:rPr>
          <w:rFonts w:ascii="Georgia" w:hAnsi="Georgia" w:cs="Times New Roman"/>
          <w:vertAlign w:val="superscript"/>
          <w:lang w:val="en-GB"/>
        </w:rPr>
        <w:footnoteReference w:id="44"/>
      </w:r>
      <w:r w:rsidR="0051469C" w:rsidRPr="0002056A">
        <w:rPr>
          <w:rFonts w:ascii="Georgia" w:hAnsi="Georgia" w:cs="Times New Roman"/>
          <w:lang w:val="en-GB"/>
        </w:rPr>
        <w:t xml:space="preserve"> Roggema especially calls our attention to the uncertainty and long-term nature of climate change impacts that, as he argues, demand new spatial planning approaches. He also nominates this new approach, called it “swarm planning” as a method that makes us capable of planning complex adaptive systems. The essence of this</w:t>
      </w:r>
      <w:r w:rsidR="0051469C" w:rsidRPr="0002056A">
        <w:rPr>
          <w:rFonts w:ascii="Georgia" w:hAnsi="Georgia" w:cs="Times New Roman"/>
          <w:vertAlign w:val="superscript"/>
          <w:lang w:val="en-GB"/>
        </w:rPr>
        <w:t xml:space="preserve"> </w:t>
      </w:r>
      <w:r w:rsidR="0051469C" w:rsidRPr="0002056A">
        <w:rPr>
          <w:rFonts w:ascii="Georgia" w:hAnsi="Georgia" w:cs="Times New Roman"/>
          <w:lang w:val="en-GB"/>
        </w:rPr>
        <w:t>is the combination of networks and functions which are put in a common map</w:t>
      </w:r>
      <w:r w:rsidR="0051469C" w:rsidRPr="0002056A">
        <w:rPr>
          <w:rStyle w:val="Lbjegyzet-hivatkozs"/>
          <w:rFonts w:ascii="Georgia" w:hAnsi="Georgia" w:cs="Times New Roman"/>
          <w:lang w:val="en-GB"/>
        </w:rPr>
        <w:footnoteReference w:id="45"/>
      </w:r>
      <w:r w:rsidR="0051469C" w:rsidRPr="0002056A">
        <w:rPr>
          <w:rFonts w:ascii="Georgia" w:hAnsi="Georgia" w:cs="Times New Roman"/>
          <w:lang w:val="en-GB"/>
        </w:rPr>
        <w:t xml:space="preserve"> (</w:t>
      </w:r>
      <w:r w:rsidR="0051469C" w:rsidRPr="0002056A">
        <w:rPr>
          <w:rFonts w:ascii="Georgia" w:hAnsi="Georgia" w:cs="Times New Roman"/>
          <w:smallCaps/>
          <w:lang w:val="en-GB"/>
        </w:rPr>
        <w:t>Roggema, 2012</w:t>
      </w:r>
      <w:r w:rsidR="00FA0D89" w:rsidRPr="0002056A">
        <w:rPr>
          <w:rFonts w:ascii="Georgia" w:hAnsi="Georgia" w:cs="Times New Roman"/>
          <w:smallCaps/>
          <w:lang w:val="en-GB"/>
        </w:rPr>
        <w:t>; Roggema (ed) 2012</w:t>
      </w:r>
      <w:r w:rsidR="00304AF1" w:rsidRPr="0002056A">
        <w:rPr>
          <w:rFonts w:ascii="Georgia" w:hAnsi="Georgia" w:cs="Times New Roman"/>
          <w:smallCaps/>
          <w:lang w:val="en-GB"/>
        </w:rPr>
        <w:t>; Roggema et al, 2012</w:t>
      </w:r>
      <w:r w:rsidR="0051469C" w:rsidRPr="0002056A">
        <w:rPr>
          <w:rFonts w:ascii="Georgia" w:hAnsi="Georgia" w:cs="Times New Roman"/>
          <w:smallCaps/>
          <w:lang w:val="en-GB"/>
        </w:rPr>
        <w:t>)</w:t>
      </w:r>
      <w:r w:rsidR="0051469C" w:rsidRPr="0002056A">
        <w:rPr>
          <w:rFonts w:ascii="Georgia" w:hAnsi="Georgia" w:cs="Times New Roman"/>
          <w:lang w:val="en-GB"/>
        </w:rPr>
        <w:t>.</w:t>
      </w:r>
    </w:p>
    <w:p w14:paraId="3E8CCC6C" w14:textId="7B7359AE" w:rsidR="006844B4" w:rsidRPr="0002056A" w:rsidRDefault="006844B4" w:rsidP="00CD5BF3">
      <w:pPr>
        <w:spacing w:before="120" w:after="120"/>
        <w:jc w:val="both"/>
        <w:rPr>
          <w:rFonts w:ascii="Georgia" w:eastAsia="Times New Roman" w:hAnsi="Georgia" w:cs="Arial"/>
          <w:lang w:val="en-GB" w:eastAsia="hu-HU"/>
        </w:rPr>
      </w:pPr>
      <w:r w:rsidRPr="0002056A">
        <w:rPr>
          <w:rFonts w:ascii="Georgia" w:hAnsi="Georgia"/>
          <w:lang w:val="en-GB"/>
        </w:rPr>
        <w:t>If we go down on the spatial hierarchy, we find authors who concentrate on</w:t>
      </w:r>
      <w:r w:rsidRPr="0002056A">
        <w:rPr>
          <w:rFonts w:ascii="Georgia" w:hAnsi="Georgia" w:cs="Times New Roman"/>
          <w:lang w:val="en-GB"/>
        </w:rPr>
        <w:t xml:space="preserve"> the town level, saying that </w:t>
      </w:r>
      <w:r w:rsidRPr="0002056A">
        <w:rPr>
          <w:rFonts w:ascii="Georgia" w:eastAsia="Times New Roman" w:hAnsi="Georgia" w:cs="Times New Roman"/>
          <w:b/>
          <w:bCs/>
          <w:lang w:val="en-GB" w:eastAsia="hu-HU"/>
        </w:rPr>
        <w:t>spatial configuration of cities has also significant effects on climate change impacts</w:t>
      </w:r>
      <w:r w:rsidRPr="0002056A">
        <w:rPr>
          <w:rFonts w:ascii="Georgia" w:eastAsia="Times New Roman" w:hAnsi="Georgia" w:cs="Times New Roman"/>
          <w:lang w:val="en-GB" w:eastAsia="hu-HU"/>
        </w:rPr>
        <w:t xml:space="preserve"> and can be regarded as a crucial factor </w:t>
      </w:r>
      <w:r w:rsidR="00882AD3" w:rsidRPr="0002056A">
        <w:rPr>
          <w:rFonts w:ascii="Georgia" w:eastAsia="Times New Roman" w:hAnsi="Georgia" w:cs="Times New Roman"/>
          <w:lang w:val="en-GB" w:eastAsia="hu-HU"/>
        </w:rPr>
        <w:t>in</w:t>
      </w:r>
      <w:r w:rsidRPr="0002056A">
        <w:rPr>
          <w:rFonts w:ascii="Georgia" w:eastAsia="Times New Roman" w:hAnsi="Georgia" w:cs="Times New Roman"/>
          <w:lang w:val="en-GB" w:eastAsia="hu-HU"/>
        </w:rPr>
        <w:t xml:space="preserve"> enacting adaptive responses within a resilient framework. </w:t>
      </w:r>
      <w:r w:rsidR="00F13D13" w:rsidRPr="0002056A">
        <w:rPr>
          <w:rFonts w:ascii="Georgia" w:eastAsia="Times New Roman" w:hAnsi="Georgia" w:cs="Times New Roman"/>
          <w:lang w:val="en-GB" w:eastAsia="hu-HU"/>
        </w:rPr>
        <w:t xml:space="preserve">Other </w:t>
      </w:r>
      <w:r w:rsidR="00AB6ADE" w:rsidRPr="0002056A">
        <w:rPr>
          <w:rFonts w:ascii="Georgia" w:eastAsia="Times New Roman" w:hAnsi="Georgia" w:cs="Times New Roman"/>
          <w:lang w:val="en-GB" w:eastAsia="hu-HU"/>
        </w:rPr>
        <w:t>authors urge</w:t>
      </w:r>
      <w:r w:rsidRPr="0002056A">
        <w:rPr>
          <w:rFonts w:ascii="Georgia" w:eastAsia="Times New Roman" w:hAnsi="Georgia" w:cs="Times New Roman"/>
          <w:lang w:val="en-GB" w:eastAsia="hu-HU"/>
        </w:rPr>
        <w:t xml:space="preserve"> to understand why cities continue to engage </w:t>
      </w:r>
      <w:r w:rsidR="00882AD3" w:rsidRPr="0002056A">
        <w:rPr>
          <w:rFonts w:ascii="Georgia" w:eastAsia="Times New Roman" w:hAnsi="Georgia" w:cs="Times New Roman"/>
          <w:lang w:val="en-GB" w:eastAsia="hu-HU"/>
        </w:rPr>
        <w:t xml:space="preserve">in </w:t>
      </w:r>
      <w:r w:rsidRPr="0002056A">
        <w:rPr>
          <w:rFonts w:ascii="Georgia" w:eastAsia="Times New Roman" w:hAnsi="Georgia" w:cs="Times New Roman"/>
          <w:lang w:val="en-GB" w:eastAsia="hu-HU"/>
        </w:rPr>
        <w:t xml:space="preserve">adaptation planning, </w:t>
      </w:r>
      <w:r w:rsidR="00882AD3" w:rsidRPr="0002056A">
        <w:rPr>
          <w:rFonts w:ascii="Georgia" w:eastAsia="Times New Roman" w:hAnsi="Georgia" w:cs="Times New Roman"/>
          <w:lang w:val="en-GB" w:eastAsia="hu-HU"/>
        </w:rPr>
        <w:t xml:space="preserve">saying that </w:t>
      </w:r>
      <w:r w:rsidRPr="0002056A">
        <w:rPr>
          <w:rFonts w:ascii="Georgia" w:eastAsia="Times New Roman" w:hAnsi="Georgia" w:cs="Times New Roman"/>
          <w:lang w:val="en-GB" w:eastAsia="hu-HU"/>
        </w:rPr>
        <w:t>urban planning’s vision-oriented strategies and action-based plans for adaptation towards resilience can bring the responses (</w:t>
      </w:r>
      <w:r w:rsidRPr="0002056A">
        <w:rPr>
          <w:rFonts w:ascii="Georgia" w:hAnsi="Georgia" w:cs="Times New Roman"/>
          <w:smallCaps/>
          <w:lang w:val="en-GB"/>
        </w:rPr>
        <w:t>Birkmann et al., 2014; Brunetta&amp;Caldarice, 2018</w:t>
      </w:r>
      <w:r w:rsidRPr="0002056A">
        <w:rPr>
          <w:rFonts w:ascii="Georgia" w:eastAsia="Times New Roman" w:hAnsi="Georgia" w:cs="Times New Roman"/>
          <w:lang w:val="en-GB" w:eastAsia="hu-HU"/>
        </w:rPr>
        <w:t xml:space="preserve">). </w:t>
      </w:r>
      <w:r w:rsidR="00B31E32" w:rsidRPr="0002056A">
        <w:rPr>
          <w:rFonts w:ascii="Georgia" w:hAnsi="Georgia" w:cs="Times New Roman"/>
          <w:lang w:val="en-GB"/>
        </w:rPr>
        <w:t xml:space="preserve">Wheeler emphasises the importance of creative and proactive </w:t>
      </w:r>
      <w:r w:rsidR="002861E5">
        <w:rPr>
          <w:rFonts w:ascii="Georgia" w:hAnsi="Georgia" w:cs="Times New Roman"/>
          <w:lang w:val="en-GB"/>
        </w:rPr>
        <w:t xml:space="preserve">urban planning strategies and introduces new tools (e.g., the use of sustainability indicators, green development rating systems, ecological footprint analysis and educational and consensus-building processes) that have also been developed in consideration of sustainable development and climate adaptation </w:t>
      </w:r>
      <w:r w:rsidR="00B31E32" w:rsidRPr="0002056A">
        <w:rPr>
          <w:rFonts w:ascii="Georgia" w:hAnsi="Georgia" w:cs="Times New Roman"/>
          <w:lang w:val="en-GB"/>
        </w:rPr>
        <w:t>(</w:t>
      </w:r>
      <w:r w:rsidR="00B31E32" w:rsidRPr="0002056A">
        <w:rPr>
          <w:rFonts w:ascii="Georgia" w:hAnsi="Georgia" w:cs="Times New Roman"/>
          <w:smallCaps/>
          <w:lang w:val="en-GB"/>
        </w:rPr>
        <w:t>Wheeler, 2013</w:t>
      </w:r>
      <w:r w:rsidR="00B31E32" w:rsidRPr="0002056A">
        <w:rPr>
          <w:rFonts w:ascii="Georgia" w:hAnsi="Georgia" w:cs="Times New Roman"/>
          <w:lang w:val="en-GB"/>
        </w:rPr>
        <w:t xml:space="preserve">). </w:t>
      </w:r>
      <w:r w:rsidR="00AD33ED" w:rsidRPr="0002056A">
        <w:rPr>
          <w:rFonts w:ascii="Georgia" w:eastAsia="Times New Roman" w:hAnsi="Georgia" w:cs="Times New Roman"/>
          <w:lang w:val="en-GB" w:eastAsia="hu-HU"/>
        </w:rPr>
        <w:t xml:space="preserve">Birkmann and his </w:t>
      </w:r>
      <w:r w:rsidR="002861E5">
        <w:rPr>
          <w:rFonts w:ascii="Georgia" w:eastAsia="Times New Roman" w:hAnsi="Georgia" w:cs="Times New Roman"/>
          <w:lang w:val="en-GB" w:eastAsia="hu-HU"/>
        </w:rPr>
        <w:t>co-authors, in particular, have a strong suggestion</w:t>
      </w:r>
      <w:r w:rsidR="00AD33ED" w:rsidRPr="0002056A">
        <w:rPr>
          <w:rFonts w:ascii="Georgia" w:eastAsia="Times New Roman" w:hAnsi="Georgia" w:cs="Times New Roman"/>
          <w:lang w:val="en-GB" w:eastAsia="hu-HU"/>
        </w:rPr>
        <w:t xml:space="preserve"> that </w:t>
      </w:r>
      <w:r w:rsidR="00AD33ED" w:rsidRPr="0002056A">
        <w:rPr>
          <w:rFonts w:ascii="Georgia" w:eastAsia="Times New Roman" w:hAnsi="Georgia" w:cs="Times New Roman"/>
          <w:b/>
          <w:bCs/>
          <w:lang w:val="en-GB" w:eastAsia="hu-HU"/>
        </w:rPr>
        <w:t xml:space="preserve">adaptive urban governance and strategic </w:t>
      </w:r>
      <w:r w:rsidR="00AD33ED" w:rsidRPr="0002056A">
        <w:rPr>
          <w:rFonts w:ascii="Georgia" w:eastAsia="Times New Roman" w:hAnsi="Georgia" w:cs="Times New Roman"/>
          <w:b/>
          <w:bCs/>
          <w:lang w:val="en-GB" w:eastAsia="hu-HU"/>
        </w:rPr>
        <w:lastRenderedPageBreak/>
        <w:t>spatial planning must be linked</w:t>
      </w:r>
      <w:r w:rsidR="00C01895" w:rsidRPr="0002056A">
        <w:rPr>
          <w:rFonts w:ascii="Georgia" w:eastAsia="Times New Roman" w:hAnsi="Georgia" w:cs="Times New Roman"/>
          <w:lang w:val="en-GB" w:eastAsia="hu-HU"/>
        </w:rPr>
        <w:t>.</w:t>
      </w:r>
      <w:r w:rsidR="00AD33ED" w:rsidRPr="0002056A">
        <w:rPr>
          <w:rFonts w:ascii="Georgia" w:eastAsia="Times New Roman" w:hAnsi="Georgia" w:cs="Times New Roman"/>
          <w:lang w:val="en-GB" w:eastAsia="hu-HU"/>
        </w:rPr>
        <w:t xml:space="preserve"> </w:t>
      </w:r>
      <w:r w:rsidR="00C01895" w:rsidRPr="0002056A">
        <w:rPr>
          <w:rFonts w:ascii="Georgia" w:eastAsia="Times New Roman" w:hAnsi="Georgia" w:cs="Times New Roman"/>
          <w:lang w:val="en-GB" w:eastAsia="hu-HU"/>
        </w:rPr>
        <w:t>They</w:t>
      </w:r>
      <w:r w:rsidR="00C01895" w:rsidRPr="0002056A">
        <w:rPr>
          <w:rFonts w:ascii="Georgia" w:hAnsi="Georgia" w:cs="Times New Roman"/>
          <w:lang w:val="en-GB"/>
        </w:rPr>
        <w:t xml:space="preserve"> dealt with new challenges for adaptive urban and spatial governance, examining whether or not existing planning systems and tools meet the requirements of new conditions and processes</w:t>
      </w:r>
      <w:r w:rsidR="00C01895" w:rsidRPr="0002056A">
        <w:rPr>
          <w:rStyle w:val="Lbjegyzet-hivatkozs"/>
          <w:rFonts w:ascii="Georgia" w:hAnsi="Georgia" w:cs="Times New Roman"/>
          <w:lang w:val="en-GB"/>
        </w:rPr>
        <w:footnoteReference w:id="46"/>
      </w:r>
      <w:r w:rsidR="00C01895" w:rsidRPr="0002056A">
        <w:rPr>
          <w:rFonts w:ascii="Georgia" w:hAnsi="Georgia" w:cs="Times New Roman"/>
          <w:lang w:val="en-GB"/>
        </w:rPr>
        <w:t xml:space="preserve">. According to the article’s conclusion, </w:t>
      </w:r>
      <w:r w:rsidR="00C01895" w:rsidRPr="0002056A">
        <w:rPr>
          <w:rFonts w:ascii="Georgia" w:hAnsi="Georgia" w:cs="Times New Roman"/>
          <w:bCs/>
          <w:lang w:val="en-GB"/>
        </w:rPr>
        <w:t xml:space="preserve">adaptive urban governance and strategic planning </w:t>
      </w:r>
      <w:r w:rsidR="002861E5">
        <w:rPr>
          <w:rFonts w:ascii="Georgia" w:hAnsi="Georgia" w:cs="Times New Roman"/>
          <w:bCs/>
          <w:lang w:val="en-GB"/>
        </w:rPr>
        <w:t>are both particularly relevant „in highly dynamic environments,” and consequently,</w:t>
      </w:r>
      <w:r w:rsidR="00C01895" w:rsidRPr="0002056A">
        <w:rPr>
          <w:rFonts w:ascii="Georgia" w:hAnsi="Georgia" w:cs="Times New Roman"/>
          <w:lang w:val="en-GB"/>
        </w:rPr>
        <w:t xml:space="preserve"> formal planning tools must incorporate vulnerability information</w:t>
      </w:r>
      <w:r w:rsidR="00C01895" w:rsidRPr="0002056A">
        <w:rPr>
          <w:rStyle w:val="Lbjegyzet-hivatkozs"/>
          <w:rFonts w:ascii="Georgia" w:hAnsi="Georgia" w:cs="Times New Roman"/>
          <w:lang w:val="en-GB"/>
        </w:rPr>
        <w:footnoteReference w:id="47"/>
      </w:r>
      <w:r w:rsidR="00C01895" w:rsidRPr="0002056A">
        <w:rPr>
          <w:rFonts w:ascii="Georgia" w:hAnsi="Georgia" w:cs="Times New Roman"/>
          <w:lang w:val="en-GB"/>
        </w:rPr>
        <w:t xml:space="preserve"> </w:t>
      </w:r>
      <w:r w:rsidR="00AD33ED" w:rsidRPr="0002056A">
        <w:rPr>
          <w:rFonts w:ascii="Georgia" w:eastAsia="Times New Roman" w:hAnsi="Georgia" w:cs="Times New Roman"/>
          <w:lang w:val="en-GB" w:eastAsia="hu-HU"/>
        </w:rPr>
        <w:t>(</w:t>
      </w:r>
      <w:r w:rsidR="00AD33ED" w:rsidRPr="0002056A">
        <w:rPr>
          <w:rFonts w:ascii="Georgia" w:hAnsi="Georgia" w:cs="Times New Roman"/>
          <w:smallCaps/>
          <w:lang w:val="en-GB"/>
        </w:rPr>
        <w:t>Birkmann et al., 2014</w:t>
      </w:r>
      <w:r w:rsidR="00AD33ED" w:rsidRPr="0002056A">
        <w:rPr>
          <w:rFonts w:ascii="Georgia" w:eastAsia="Times New Roman" w:hAnsi="Georgia" w:cs="Times New Roman"/>
          <w:lang w:val="en-GB" w:eastAsia="hu-HU"/>
        </w:rPr>
        <w:t xml:space="preserve">). </w:t>
      </w:r>
      <w:r w:rsidR="00B31E32" w:rsidRPr="0002056A">
        <w:rPr>
          <w:rFonts w:ascii="Georgia" w:hAnsi="Georgia" w:cs="Times New Roman"/>
          <w:lang w:val="en-GB"/>
        </w:rPr>
        <w:t>It is good to see that these directions have been increasingly integrated into Hungarian climate policy planning during the last years (indicated by the content of the</w:t>
      </w:r>
      <w:r w:rsidR="00B31E32" w:rsidRPr="0002056A">
        <w:rPr>
          <w:rFonts w:ascii="Georgia" w:hAnsi="Georgia" w:cs="Times New Roman"/>
          <w:vertAlign w:val="superscript"/>
          <w:lang w:val="en-GB"/>
        </w:rPr>
        <w:t xml:space="preserve"> </w:t>
      </w:r>
      <w:r w:rsidR="00B31E32" w:rsidRPr="0002056A">
        <w:rPr>
          <w:rFonts w:ascii="Georgia" w:hAnsi="Georgia" w:cs="Times New Roman"/>
          <w:lang w:val="en-GB"/>
        </w:rPr>
        <w:t>2</w:t>
      </w:r>
      <w:r w:rsidR="00B31E32" w:rsidRPr="0002056A">
        <w:rPr>
          <w:rFonts w:ascii="Georgia" w:hAnsi="Georgia" w:cs="Times New Roman"/>
          <w:vertAlign w:val="superscript"/>
          <w:lang w:val="en-GB"/>
        </w:rPr>
        <w:t>nd</w:t>
      </w:r>
      <w:r w:rsidR="00B31E32" w:rsidRPr="0002056A">
        <w:rPr>
          <w:rFonts w:ascii="Georgia" w:hAnsi="Georgia" w:cs="Times New Roman"/>
          <w:lang w:val="en-GB"/>
        </w:rPr>
        <w:t xml:space="preserve"> National Climate Change Strategy or the county-level and municipal climate adaptation strategies). </w:t>
      </w:r>
      <w:r w:rsidR="00AB6ADE" w:rsidRPr="0002056A">
        <w:rPr>
          <w:rFonts w:ascii="Georgia" w:eastAsia="Times New Roman" w:hAnsi="Georgia" w:cs="Times New Roman"/>
          <w:lang w:val="en-GB" w:eastAsia="hu-HU"/>
        </w:rPr>
        <w:t>More up-to-date</w:t>
      </w:r>
      <w:r w:rsidRPr="0002056A">
        <w:rPr>
          <w:rFonts w:ascii="Georgia" w:eastAsia="Times New Roman" w:hAnsi="Georgia" w:cs="Times New Roman"/>
          <w:lang w:val="en-GB" w:eastAsia="hu-HU"/>
        </w:rPr>
        <w:t xml:space="preserve"> articles suggest that c</w:t>
      </w:r>
      <w:r w:rsidRPr="0002056A">
        <w:rPr>
          <w:rFonts w:ascii="Georgia" w:eastAsia="Times New Roman" w:hAnsi="Georgia" w:cs="Arial"/>
          <w:lang w:val="en-GB" w:eastAsia="hu-HU"/>
        </w:rPr>
        <w:t xml:space="preserve">ontemporary urban planning should merge future threats (among them the climate-related ones) with older and unsolved problems (e.g. social inequities and urban conflicts). The so-called retrofitting planning processes and redefinition of urban objectives require the development of innovative spatial information frameworks. Within these, climate adaptation issues must be </w:t>
      </w:r>
      <w:r w:rsidR="00AB6ADE" w:rsidRPr="0002056A">
        <w:rPr>
          <w:rFonts w:ascii="Georgia" w:eastAsia="Times New Roman" w:hAnsi="Georgia" w:cs="Arial"/>
          <w:lang w:val="en-GB" w:eastAsia="hu-HU"/>
        </w:rPr>
        <w:t>considered</w:t>
      </w:r>
      <w:r w:rsidRPr="0002056A">
        <w:rPr>
          <w:rFonts w:ascii="Georgia" w:eastAsia="Times New Roman" w:hAnsi="Georgia" w:cs="Arial"/>
          <w:lang w:val="en-GB" w:eastAsia="hu-HU"/>
        </w:rPr>
        <w:t xml:space="preserve"> (</w:t>
      </w:r>
      <w:r w:rsidRPr="0002056A">
        <w:rPr>
          <w:rFonts w:ascii="Georgia" w:hAnsi="Georgia" w:cs="Times New Roman"/>
          <w:smallCaps/>
          <w:lang w:val="en-GB"/>
        </w:rPr>
        <w:t>Maragno et al., 2021</w:t>
      </w:r>
      <w:r w:rsidRPr="0002056A">
        <w:rPr>
          <w:rFonts w:ascii="Georgia" w:eastAsia="Times New Roman" w:hAnsi="Georgia" w:cs="Arial"/>
          <w:lang w:val="en-GB" w:eastAsia="hu-HU"/>
        </w:rPr>
        <w:t>).</w:t>
      </w:r>
    </w:p>
    <w:p w14:paraId="6A779F8A" w14:textId="5463A23E" w:rsidR="00DC2C71" w:rsidRPr="0002056A" w:rsidRDefault="00DC2C71" w:rsidP="00CD5BF3">
      <w:pPr>
        <w:spacing w:before="120" w:after="120"/>
        <w:jc w:val="both"/>
        <w:rPr>
          <w:rFonts w:ascii="Georgia" w:hAnsi="Georgia" w:cs="Times New Roman"/>
          <w:lang w:val="en-GB"/>
        </w:rPr>
      </w:pPr>
      <w:r w:rsidRPr="0002056A">
        <w:rPr>
          <w:rFonts w:ascii="Georgia" w:hAnsi="Georgia" w:cs="Times New Roman"/>
          <w:lang w:val="en-GB"/>
        </w:rPr>
        <w:t xml:space="preserve">Another Dutch group of authors, </w:t>
      </w:r>
      <w:r w:rsidRPr="0002056A">
        <w:rPr>
          <w:rFonts w:ascii="Georgia" w:hAnsi="Georgia" w:cs="Times New Roman"/>
          <w:smallCaps/>
          <w:lang w:val="en-GB"/>
        </w:rPr>
        <w:t>Uittenbroek</w:t>
      </w:r>
      <w:r w:rsidRPr="0002056A">
        <w:rPr>
          <w:rFonts w:ascii="Georgia" w:hAnsi="Georgia" w:cs="Times New Roman"/>
          <w:lang w:val="en-GB"/>
        </w:rPr>
        <w:t xml:space="preserve"> and her colleagues found in the middle of the 2010s that adaptation actions were not effective enough to solve emerging challenges. They said that to solve this problem, the </w:t>
      </w:r>
      <w:r w:rsidRPr="0002056A">
        <w:rPr>
          <w:rFonts w:ascii="Georgia" w:hAnsi="Georgia" w:cs="Times New Roman"/>
          <w:b/>
          <w:bCs/>
          <w:lang w:val="en-GB"/>
        </w:rPr>
        <w:t xml:space="preserve">mainstreaming of adaptation objectives into </w:t>
      </w:r>
      <w:r w:rsidRPr="0002056A">
        <w:rPr>
          <w:rFonts w:ascii="Georgia" w:hAnsi="Georgia" w:cs="Times New Roman"/>
          <w:lang w:val="en-GB"/>
        </w:rPr>
        <w:t>existing policy domains (especially</w:t>
      </w:r>
      <w:r w:rsidRPr="0002056A">
        <w:rPr>
          <w:rFonts w:ascii="Georgia" w:hAnsi="Georgia" w:cs="Times New Roman"/>
          <w:b/>
          <w:bCs/>
          <w:lang w:val="en-GB"/>
        </w:rPr>
        <w:t xml:space="preserve"> urban planning</w:t>
      </w:r>
      <w:r w:rsidRPr="0002056A">
        <w:rPr>
          <w:rFonts w:ascii="Georgia" w:hAnsi="Georgia" w:cs="Times New Roman"/>
          <w:lang w:val="en-GB"/>
        </w:rPr>
        <w:t>) would be also necessary. According to the authors, for the better understanding of this process, a conceptual model is needed about adaptation mainstreaming, adaptation barriers and strategies to overcome these (</w:t>
      </w:r>
      <w:r w:rsidRPr="0002056A">
        <w:rPr>
          <w:rFonts w:ascii="Georgia" w:hAnsi="Georgia" w:cs="Times New Roman"/>
          <w:smallCaps/>
          <w:lang w:val="en-GB"/>
        </w:rPr>
        <w:t>Uittenbroek et al., 2013</w:t>
      </w:r>
      <w:r w:rsidRPr="0002056A">
        <w:rPr>
          <w:rFonts w:ascii="Georgia" w:hAnsi="Georgia" w:cs="Times New Roman"/>
          <w:lang w:val="en-GB"/>
        </w:rPr>
        <w:t xml:space="preserve">). Regarding urban governance and planning </w:t>
      </w:r>
      <w:r w:rsidRPr="0002056A">
        <w:rPr>
          <w:rFonts w:ascii="Georgia" w:hAnsi="Georgia" w:cs="Times New Roman"/>
          <w:smallCaps/>
          <w:lang w:val="en-GB"/>
        </w:rPr>
        <w:t xml:space="preserve">Salamin </w:t>
      </w:r>
      <w:r w:rsidRPr="0002056A">
        <w:rPr>
          <w:rFonts w:ascii="Georgia" w:hAnsi="Georgia" w:cs="Times New Roman"/>
          <w:lang w:val="en-GB"/>
        </w:rPr>
        <w:t xml:space="preserve">in his 2018 dissertation also articulated important messages. </w:t>
      </w:r>
      <w:r w:rsidR="00AF2D8B" w:rsidRPr="0002056A">
        <w:rPr>
          <w:rFonts w:ascii="Georgia" w:hAnsi="Georgia" w:cs="Times New Roman"/>
          <w:b/>
          <w:bCs/>
          <w:lang w:val="en-GB"/>
        </w:rPr>
        <w:t xml:space="preserve">Proper management of climate impacts </w:t>
      </w:r>
      <w:r w:rsidR="00AF2D8B" w:rsidRPr="0002056A">
        <w:rPr>
          <w:rFonts w:ascii="Georgia" w:hAnsi="Georgia" w:cs="Times New Roman"/>
          <w:lang w:val="en-GB"/>
        </w:rPr>
        <w:t>has become</w:t>
      </w:r>
      <w:r w:rsidR="00AF2D8B" w:rsidRPr="0002056A">
        <w:rPr>
          <w:rFonts w:ascii="Georgia" w:hAnsi="Georgia" w:cs="Times New Roman"/>
          <w:b/>
          <w:bCs/>
          <w:lang w:val="en-GB"/>
        </w:rPr>
        <w:t xml:space="preserve"> one of urban planning’s hot topics</w:t>
      </w:r>
      <w:r w:rsidR="00AF2D8B" w:rsidRPr="0002056A">
        <w:rPr>
          <w:rFonts w:ascii="Georgia" w:hAnsi="Georgia" w:cs="Times New Roman"/>
          <w:lang w:val="en-GB"/>
        </w:rPr>
        <w:t xml:space="preserve"> in the 2010s, so </w:t>
      </w:r>
      <w:r w:rsidR="004C4DFD" w:rsidRPr="0002056A">
        <w:rPr>
          <w:rFonts w:ascii="Georgia" w:hAnsi="Georgia" w:cs="Times New Roman"/>
          <w:lang w:val="en-GB"/>
        </w:rPr>
        <w:t xml:space="preserve">the field’s </w:t>
      </w:r>
      <w:r w:rsidR="00AF2D8B" w:rsidRPr="0002056A">
        <w:rPr>
          <w:rFonts w:ascii="Georgia" w:hAnsi="Georgia" w:cs="Times New Roman"/>
          <w:lang w:val="en-GB"/>
        </w:rPr>
        <w:t>increasing role in handling climate change impacts and consequences have been clearly recognized (</w:t>
      </w:r>
      <w:r w:rsidR="00AF2D8B" w:rsidRPr="0002056A">
        <w:rPr>
          <w:rFonts w:ascii="Georgia" w:hAnsi="Georgia" w:cs="Times New Roman"/>
          <w:smallCaps/>
          <w:lang w:val="en-GB"/>
        </w:rPr>
        <w:t>Salamin, 2018)</w:t>
      </w:r>
      <w:r w:rsidR="004C4DFD" w:rsidRPr="0002056A">
        <w:rPr>
          <w:rStyle w:val="Lbjegyzet-hivatkozs"/>
          <w:rFonts w:ascii="Georgia" w:hAnsi="Georgia" w:cs="Times New Roman"/>
          <w:lang w:val="en-GB"/>
        </w:rPr>
        <w:t xml:space="preserve"> </w:t>
      </w:r>
      <w:r w:rsidR="004C4DFD" w:rsidRPr="0002056A">
        <w:rPr>
          <w:rStyle w:val="Lbjegyzet-hivatkozs"/>
          <w:rFonts w:ascii="Georgia" w:hAnsi="Georgia" w:cs="Times New Roman"/>
          <w:lang w:val="en-GB"/>
        </w:rPr>
        <w:footnoteReference w:id="48"/>
      </w:r>
      <w:r w:rsidR="00AF2D8B" w:rsidRPr="0002056A">
        <w:rPr>
          <w:rFonts w:ascii="Georgia" w:hAnsi="Georgia" w:cs="Times New Roman"/>
          <w:smallCaps/>
          <w:lang w:val="en-GB"/>
        </w:rPr>
        <w:t xml:space="preserve">. </w:t>
      </w:r>
      <w:r w:rsidRPr="0002056A">
        <w:rPr>
          <w:rFonts w:ascii="Georgia" w:hAnsi="Georgia" w:cs="Times New Roman"/>
          <w:lang w:val="en-GB"/>
        </w:rPr>
        <w:t>He examined the changing emphases in European territorial policies and their implications on given sectors, e.g., urban planning. He underlines that since the 2011 Budapest Declaration and the publication of Hungarian EU Presidency’s Climate Friendly Cities Handbook (</w:t>
      </w:r>
      <w:r w:rsidRPr="0002056A">
        <w:rPr>
          <w:rFonts w:ascii="Georgia" w:eastAsia="Times New Roman" w:hAnsi="Georgia" w:cs="Times New Roman"/>
          <w:iCs/>
          <w:smallCaps/>
          <w:lang w:val="en-GB" w:eastAsia="hu-HU"/>
        </w:rPr>
        <w:t>Salamin G. et al (ed), 2011</w:t>
      </w:r>
      <w:r w:rsidRPr="0002056A">
        <w:rPr>
          <w:rFonts w:ascii="Georgia" w:eastAsia="Times New Roman" w:hAnsi="Georgia" w:cs="Times New Roman"/>
          <w:iCs/>
          <w:lang w:val="en-GB" w:eastAsia="hu-HU"/>
        </w:rPr>
        <w:t>)</w:t>
      </w:r>
      <w:r w:rsidRPr="0002056A">
        <w:rPr>
          <w:rFonts w:ascii="Georgia" w:hAnsi="Georgia" w:cs="Times New Roman"/>
          <w:lang w:val="en-GB"/>
        </w:rPr>
        <w:t xml:space="preserve">, aspects of demographic and climate change-related challenges have been increasingly integrated into European urban development and planning activities. </w:t>
      </w:r>
    </w:p>
    <w:p w14:paraId="6E82F3FD" w14:textId="77777777" w:rsidR="00B055EA" w:rsidRPr="0002056A" w:rsidRDefault="00B055EA" w:rsidP="00CD5BF3">
      <w:pPr>
        <w:spacing w:before="120" w:after="120"/>
        <w:jc w:val="both"/>
        <w:rPr>
          <w:rFonts w:ascii="Georgia" w:hAnsi="Georgia" w:cs="Times New Roman"/>
          <w:lang w:val="en-GB"/>
        </w:rPr>
      </w:pPr>
      <w:r w:rsidRPr="0002056A">
        <w:rPr>
          <w:rFonts w:ascii="Georgia" w:hAnsi="Georgia" w:cs="Times New Roman"/>
          <w:lang w:val="en-GB"/>
        </w:rPr>
        <w:t xml:space="preserve">Another group of literature items seeks </w:t>
      </w:r>
      <w:r w:rsidRPr="0002056A">
        <w:rPr>
          <w:rFonts w:ascii="Georgia" w:hAnsi="Georgia" w:cs="Times New Roman"/>
          <w:b/>
          <w:bCs/>
          <w:lang w:val="en-GB"/>
        </w:rPr>
        <w:t>signs of relevant changes in strategic, spatial and adaptation planning paradigms.</w:t>
      </w:r>
      <w:r w:rsidRPr="0002056A">
        <w:rPr>
          <w:rFonts w:ascii="Georgia" w:hAnsi="Georgia" w:cs="Times New Roman"/>
          <w:lang w:val="en-GB"/>
        </w:rPr>
        <w:t xml:space="preserve"> Looking at the historical evolution of strategic planning over the last century, for example, </w:t>
      </w:r>
      <w:r w:rsidRPr="0002056A">
        <w:rPr>
          <w:rFonts w:ascii="Georgia" w:hAnsi="Georgia" w:cs="Times New Roman"/>
          <w:smallCaps/>
          <w:lang w:val="en-GB"/>
        </w:rPr>
        <w:t>Malekpour</w:t>
      </w:r>
      <w:r w:rsidRPr="0002056A">
        <w:rPr>
          <w:rFonts w:ascii="Georgia" w:hAnsi="Georgia" w:cs="Times New Roman"/>
          <w:lang w:val="en-GB"/>
        </w:rPr>
        <w:t xml:space="preserve"> and his colleagues</w:t>
      </w:r>
      <w:r w:rsidRPr="0002056A">
        <w:rPr>
          <w:rFonts w:ascii="Georgia" w:hAnsi="Georgia" w:cs="Times New Roman"/>
          <w:smallCaps/>
          <w:lang w:val="en-GB"/>
        </w:rPr>
        <w:t xml:space="preserve"> </w:t>
      </w:r>
      <w:r w:rsidRPr="0002056A">
        <w:rPr>
          <w:rFonts w:ascii="Georgia" w:hAnsi="Georgia" w:cs="Times New Roman"/>
          <w:lang w:val="en-GB"/>
        </w:rPr>
        <w:t>observed path-dependent attributes in strategic thinking that hinder new, alternative solutions. They found that the traditional incremental approach of strategic planning (that had been the dominant approach of infrastructure planning for decades) wanted and still wants to optimize the status quo instead of creating possibilities for change, making it difficult to meet the requirements of sustainable transitions and effective climate adaptation (</w:t>
      </w:r>
      <w:r w:rsidRPr="0002056A">
        <w:rPr>
          <w:rFonts w:ascii="Georgia" w:hAnsi="Georgia" w:cs="Times New Roman"/>
          <w:smallCaps/>
          <w:lang w:val="en-GB"/>
        </w:rPr>
        <w:t>Malekpour et al. 2015</w:t>
      </w:r>
      <w:r w:rsidRPr="0002056A">
        <w:rPr>
          <w:rFonts w:ascii="Georgia" w:hAnsi="Georgia" w:cs="Times New Roman"/>
          <w:lang w:val="en-GB"/>
        </w:rPr>
        <w:t>)</w:t>
      </w:r>
      <w:r w:rsidRPr="0002056A">
        <w:rPr>
          <w:rFonts w:ascii="Georgia" w:hAnsi="Georgia"/>
          <w:vertAlign w:val="superscript"/>
          <w:lang w:val="en-GB"/>
        </w:rPr>
        <w:footnoteReference w:id="49"/>
      </w:r>
      <w:r w:rsidRPr="0002056A">
        <w:rPr>
          <w:rFonts w:ascii="Georgia" w:hAnsi="Georgia" w:cs="Times New Roman"/>
          <w:lang w:val="en-GB"/>
        </w:rPr>
        <w:t xml:space="preserve">. </w:t>
      </w:r>
    </w:p>
    <w:p w14:paraId="486A6F64" w14:textId="467D6B2C" w:rsidR="00B055EA" w:rsidRPr="0002056A" w:rsidRDefault="00B055EA" w:rsidP="00CD5BF3">
      <w:pPr>
        <w:spacing w:before="120" w:after="120"/>
        <w:jc w:val="both"/>
        <w:rPr>
          <w:rFonts w:ascii="Georgia" w:hAnsi="Georgia" w:cs="Times New Roman"/>
          <w:lang w:val="en-GB"/>
        </w:rPr>
      </w:pPr>
      <w:r w:rsidRPr="0002056A">
        <w:rPr>
          <w:rFonts w:ascii="Georgia" w:hAnsi="Georgia" w:cs="Times New Roman"/>
          <w:lang w:val="en-GB"/>
        </w:rPr>
        <w:lastRenderedPageBreak/>
        <w:t>During the recent decades, with the increasing attention on global environmental and social challenges, quite new directions are outlined. Significant part of the reviewed adaptation-oriented literature concentrates on benefits of adaptation policy activities. Numerous important</w:t>
      </w:r>
      <w:r w:rsidRPr="0002056A">
        <w:rPr>
          <w:rFonts w:ascii="Georgia" w:hAnsi="Georgia" w:cs="Times New Roman"/>
          <w:bCs/>
          <w:lang w:val="en-GB"/>
        </w:rPr>
        <w:t xml:space="preserve"> factors and notions of environmental economy and sustainability theories</w:t>
      </w:r>
      <w:r w:rsidRPr="0002056A">
        <w:rPr>
          <w:rFonts w:ascii="Georgia" w:hAnsi="Georgia" w:cs="Times New Roman"/>
          <w:lang w:val="en-GB"/>
        </w:rPr>
        <w:t xml:space="preserve"> (e.g. decoupling, circular economy, socially equal development, ecosystem-based solutions) </w:t>
      </w:r>
      <w:r w:rsidRPr="0002056A">
        <w:rPr>
          <w:rFonts w:ascii="Georgia" w:hAnsi="Georgia" w:cs="Times New Roman"/>
          <w:bCs/>
          <w:lang w:val="en-GB"/>
        </w:rPr>
        <w:t xml:space="preserve">can be propagated and </w:t>
      </w:r>
      <w:r w:rsidRPr="0002056A">
        <w:rPr>
          <w:rFonts w:ascii="Georgia" w:hAnsi="Georgia" w:cs="Times New Roman"/>
          <w:lang w:val="en-GB"/>
        </w:rPr>
        <w:t xml:space="preserve">territorially different impacts, vulnerabilities and adaptation challenges </w:t>
      </w:r>
      <w:r w:rsidRPr="0002056A">
        <w:rPr>
          <w:rFonts w:ascii="Georgia" w:hAnsi="Georgia" w:cs="Times New Roman"/>
          <w:bCs/>
          <w:lang w:val="en-GB"/>
        </w:rPr>
        <w:t>answered</w:t>
      </w:r>
      <w:r w:rsidRPr="0002056A">
        <w:rPr>
          <w:rFonts w:ascii="Georgia" w:hAnsi="Georgia" w:cs="Times New Roman"/>
          <w:lang w:val="en-GB"/>
        </w:rPr>
        <w:t xml:space="preserve"> among other things </w:t>
      </w:r>
      <w:r w:rsidRPr="0002056A">
        <w:rPr>
          <w:rFonts w:ascii="Georgia" w:hAnsi="Georgia" w:cs="Times New Roman"/>
          <w:bCs/>
          <w:lang w:val="en-GB"/>
        </w:rPr>
        <w:t>via conscious development planning</w:t>
      </w:r>
      <w:r w:rsidRPr="0002056A">
        <w:rPr>
          <w:rFonts w:ascii="Georgia" w:hAnsi="Georgia" w:cs="Times New Roman"/>
          <w:lang w:val="en-GB"/>
        </w:rPr>
        <w:t xml:space="preserve"> activities to find at least partial solutions for complex problems, independently from the nature of the problems (</w:t>
      </w:r>
      <w:r w:rsidRPr="0002056A">
        <w:rPr>
          <w:rFonts w:ascii="Georgia" w:hAnsi="Georgia" w:cs="Times New Roman"/>
          <w:smallCaps/>
          <w:lang w:val="en-GB"/>
        </w:rPr>
        <w:t>Chevalier, 2017; Roggema</w:t>
      </w:r>
      <w:r w:rsidR="00FA0D89" w:rsidRPr="0002056A">
        <w:rPr>
          <w:rFonts w:ascii="Georgia" w:hAnsi="Georgia" w:cs="Times New Roman"/>
          <w:smallCaps/>
          <w:lang w:val="en-GB"/>
        </w:rPr>
        <w:t xml:space="preserve"> et al</w:t>
      </w:r>
      <w:r w:rsidRPr="0002056A">
        <w:rPr>
          <w:rFonts w:ascii="Georgia" w:hAnsi="Georgia" w:cs="Times New Roman"/>
          <w:smallCaps/>
          <w:lang w:val="en-GB"/>
        </w:rPr>
        <w:t xml:space="preserve">, 2012; Sütő et al., 2023; EEA 2020, 2022; </w:t>
      </w:r>
      <w:r w:rsidR="001555B8" w:rsidRPr="0002056A">
        <w:rPr>
          <w:rFonts w:ascii="Georgia" w:hAnsi="Georgia" w:cs="Times New Roman"/>
          <w:smallCaps/>
          <w:lang w:val="en-GB"/>
        </w:rPr>
        <w:t xml:space="preserve">Csutora et al, 2021; </w:t>
      </w:r>
      <w:r w:rsidRPr="0002056A">
        <w:rPr>
          <w:rFonts w:ascii="Georgia" w:hAnsi="Georgia" w:cs="Times New Roman"/>
          <w:smallCaps/>
          <w:lang w:val="en-GB"/>
        </w:rPr>
        <w:t>OECD, 2023</w:t>
      </w:r>
      <w:r w:rsidRPr="0002056A">
        <w:rPr>
          <w:rFonts w:ascii="Georgia" w:hAnsi="Georgia" w:cs="Times New Roman"/>
          <w:lang w:val="en-GB"/>
        </w:rPr>
        <w:t>)</w:t>
      </w:r>
      <w:r w:rsidRPr="0002056A">
        <w:rPr>
          <w:rStyle w:val="Lbjegyzet-hivatkozs"/>
          <w:rFonts w:ascii="Georgia" w:hAnsi="Georgia" w:cs="Times New Roman"/>
          <w:lang w:val="en-GB"/>
        </w:rPr>
        <w:footnoteReference w:id="50"/>
      </w:r>
      <w:r w:rsidRPr="0002056A">
        <w:rPr>
          <w:rFonts w:ascii="Georgia" w:hAnsi="Georgia" w:cs="Times New Roman"/>
          <w:lang w:val="en-GB"/>
        </w:rPr>
        <w:t xml:space="preserve">. </w:t>
      </w:r>
      <w:r w:rsidRPr="0002056A">
        <w:rPr>
          <w:rFonts w:ascii="Georgia" w:hAnsi="Georgia" w:cs="Times New Roman"/>
          <w:bCs/>
          <w:lang w:val="en-GB"/>
        </w:rPr>
        <w:t>Nevertheless, the nature of the analysed problem is an important factor, which is dealt with by plenty of authors. Differences between wicked and tamed problems have got greater emphasis even in the climate change-related literature of the recent decades. Wicked (social) problems were originally defined as those complex challenges with uncertain nature that need collective actions but at the same time increasing uncertainty can be detected about their possible solutions (</w:t>
      </w:r>
      <w:r w:rsidRPr="0002056A">
        <w:rPr>
          <w:rFonts w:ascii="Georgia" w:hAnsi="Georgia" w:cs="Times New Roman"/>
          <w:smallCaps/>
          <w:lang w:val="en-GB"/>
        </w:rPr>
        <w:t>Rittel &amp; Melvin, 1973</w:t>
      </w:r>
      <w:r w:rsidRPr="0002056A">
        <w:rPr>
          <w:rFonts w:ascii="Georgia" w:hAnsi="Georgia" w:cs="Times New Roman"/>
          <w:bCs/>
          <w:lang w:val="en-GB"/>
        </w:rPr>
        <w:t xml:space="preserve">). Several current sources (e.g., </w:t>
      </w:r>
      <w:r w:rsidRPr="0002056A">
        <w:rPr>
          <w:rFonts w:ascii="Georgia" w:hAnsi="Georgia" w:cs="Times New Roman"/>
          <w:bCs/>
          <w:smallCaps/>
          <w:lang w:val="en-GB"/>
        </w:rPr>
        <w:t xml:space="preserve">Roggema, 2012; </w:t>
      </w:r>
      <w:r w:rsidR="00FA0D89" w:rsidRPr="0002056A">
        <w:rPr>
          <w:rFonts w:ascii="Georgia" w:hAnsi="Georgia" w:cs="Times New Roman"/>
          <w:bCs/>
          <w:smallCaps/>
          <w:lang w:val="en-GB"/>
        </w:rPr>
        <w:t xml:space="preserve">Roggema et al. 2012; Roggema (ed) 2012; </w:t>
      </w:r>
      <w:r w:rsidRPr="0002056A">
        <w:rPr>
          <w:rFonts w:ascii="Georgia" w:hAnsi="Georgia" w:cs="Times New Roman"/>
          <w:bCs/>
          <w:smallCaps/>
          <w:lang w:val="en-GB"/>
        </w:rPr>
        <w:t>Kerekes, 2021</w:t>
      </w:r>
      <w:r w:rsidRPr="0002056A">
        <w:rPr>
          <w:rFonts w:ascii="Georgia" w:hAnsi="Georgia" w:cs="Times New Roman"/>
          <w:bCs/>
          <w:lang w:val="en-GB"/>
        </w:rPr>
        <w:t xml:space="preserve">) concentrate on the </w:t>
      </w:r>
      <w:r w:rsidRPr="0002056A">
        <w:rPr>
          <w:rFonts w:ascii="Georgia" w:hAnsi="Georgia" w:cs="Times New Roman"/>
          <w:b/>
          <w:lang w:val="en-GB"/>
        </w:rPr>
        <w:t>wickedness of sustainability and climate change and the implications of this “wickedness” in planning approaches</w:t>
      </w:r>
      <w:r w:rsidRPr="0002056A">
        <w:rPr>
          <w:rFonts w:ascii="Georgia" w:hAnsi="Georgia" w:cs="Times New Roman"/>
          <w:bCs/>
          <w:lang w:val="en-GB"/>
        </w:rPr>
        <w:t>. The two authors i</w:t>
      </w:r>
      <w:r w:rsidRPr="0002056A">
        <w:rPr>
          <w:rFonts w:ascii="Georgia" w:hAnsi="Georgia" w:cs="Times New Roman"/>
          <w:lang w:val="en-GB"/>
        </w:rPr>
        <w:t xml:space="preserve">n their respective studies </w:t>
      </w:r>
      <w:r w:rsidRPr="0002056A">
        <w:rPr>
          <w:rFonts w:ascii="Georgia" w:hAnsi="Georgia" w:cs="Times New Roman"/>
          <w:bCs/>
          <w:lang w:val="en-GB"/>
        </w:rPr>
        <w:t>point it out that</w:t>
      </w:r>
      <w:r w:rsidRPr="0002056A">
        <w:rPr>
          <w:rFonts w:ascii="Georgia" w:hAnsi="Georgia" w:cs="Times New Roman"/>
          <w:lang w:val="en-GB"/>
        </w:rPr>
        <w:t xml:space="preserve"> although sustainable development is one of the most frequently discussed issues in current debates</w:t>
      </w:r>
      <w:r w:rsidRPr="0002056A">
        <w:rPr>
          <w:rFonts w:ascii="Georgia" w:hAnsi="Georgia" w:cs="Times New Roman"/>
          <w:bCs/>
          <w:lang w:val="en-GB"/>
        </w:rPr>
        <w:t>, everyone thinks about the future differently</w:t>
      </w:r>
      <w:r w:rsidRPr="0002056A">
        <w:rPr>
          <w:rFonts w:ascii="Georgia" w:hAnsi="Georgia" w:cs="Times New Roman"/>
          <w:lang w:val="en-GB"/>
        </w:rPr>
        <w:t xml:space="preserve">. Both Roggema and Kerekes came up with the idea that we should </w:t>
      </w:r>
      <w:r w:rsidRPr="0002056A">
        <w:rPr>
          <w:rFonts w:ascii="Georgia" w:hAnsi="Georgia" w:cs="Times New Roman"/>
          <w:b/>
          <w:bCs/>
          <w:lang w:val="en-GB"/>
        </w:rPr>
        <w:t>make use of the results and approaches of the “wicked problem phenomena”, especially interdisciplinary and horizontal thinking</w:t>
      </w:r>
      <w:r w:rsidRPr="0002056A">
        <w:rPr>
          <w:rFonts w:ascii="Georgia" w:hAnsi="Georgia" w:cs="Times New Roman"/>
          <w:lang w:val="en-GB"/>
        </w:rPr>
        <w:t xml:space="preserve"> </w:t>
      </w:r>
      <w:r w:rsidR="00A11D84" w:rsidRPr="0002056A">
        <w:rPr>
          <w:rFonts w:ascii="Georgia" w:hAnsi="Georgia" w:cs="Times New Roman"/>
          <w:lang w:val="en-GB"/>
        </w:rPr>
        <w:t>in</w:t>
      </w:r>
      <w:r w:rsidRPr="0002056A">
        <w:rPr>
          <w:rFonts w:ascii="Georgia" w:hAnsi="Georgia" w:cs="Times New Roman"/>
          <w:lang w:val="en-GB"/>
        </w:rPr>
        <w:t xml:space="preserve"> sustainable development and climate policy planning (</w:t>
      </w:r>
      <w:r w:rsidRPr="0002056A">
        <w:rPr>
          <w:rFonts w:ascii="Georgia" w:hAnsi="Georgia" w:cs="Times New Roman"/>
          <w:smallCaps/>
          <w:lang w:val="en-GB"/>
        </w:rPr>
        <w:t>Roggema, 2012; Kerekes, 2021</w:t>
      </w:r>
      <w:r w:rsidRPr="0002056A">
        <w:rPr>
          <w:rFonts w:ascii="Georgia" w:hAnsi="Georgia" w:cs="Times New Roman"/>
          <w:lang w:val="en-GB"/>
        </w:rPr>
        <w:t xml:space="preserve">). This holistic, multi-sectoral nature of sustainable development is emphasised </w:t>
      </w:r>
      <w:r w:rsidR="0037207C" w:rsidRPr="0002056A">
        <w:rPr>
          <w:rFonts w:ascii="Georgia" w:hAnsi="Georgia" w:cs="Times New Roman"/>
          <w:lang w:val="en-GB"/>
        </w:rPr>
        <w:t xml:space="preserve">also </w:t>
      </w:r>
      <w:r w:rsidRPr="0002056A">
        <w:rPr>
          <w:rFonts w:ascii="Georgia" w:hAnsi="Georgia" w:cs="Times New Roman"/>
          <w:lang w:val="en-GB"/>
        </w:rPr>
        <w:t>by Wheeler</w:t>
      </w:r>
      <w:r w:rsidRPr="0002056A">
        <w:rPr>
          <w:rStyle w:val="Lbjegyzet-hivatkozs"/>
          <w:rFonts w:ascii="Georgia" w:hAnsi="Georgia" w:cs="Times New Roman"/>
          <w:lang w:val="en-GB"/>
        </w:rPr>
        <w:footnoteReference w:id="51"/>
      </w:r>
      <w:r w:rsidRPr="0002056A">
        <w:rPr>
          <w:rFonts w:ascii="Georgia" w:hAnsi="Georgia" w:cs="Times New Roman"/>
          <w:lang w:val="en-GB"/>
        </w:rPr>
        <w:t xml:space="preserve"> (</w:t>
      </w:r>
      <w:r w:rsidRPr="0002056A">
        <w:rPr>
          <w:rFonts w:ascii="Georgia" w:hAnsi="Georgia" w:cs="Times New Roman"/>
          <w:smallCaps/>
          <w:lang w:val="en-GB"/>
        </w:rPr>
        <w:t>Wheeler 2013</w:t>
      </w:r>
      <w:r w:rsidRPr="0002056A">
        <w:rPr>
          <w:rFonts w:ascii="Georgia" w:hAnsi="Georgia" w:cs="Times New Roman"/>
          <w:lang w:val="en-GB"/>
        </w:rPr>
        <w:t xml:space="preserve">) meanwhile Birkmann and his colleagues underline the importance of </w:t>
      </w:r>
      <w:r w:rsidR="0096044B" w:rsidRPr="0002056A">
        <w:rPr>
          <w:rFonts w:ascii="Georgia" w:hAnsi="Georgia" w:cs="Times New Roman"/>
          <w:lang w:val="en-GB"/>
        </w:rPr>
        <w:t xml:space="preserve">synthetising </w:t>
      </w:r>
      <w:r w:rsidRPr="0002056A">
        <w:rPr>
          <w:rFonts w:ascii="Georgia" w:hAnsi="Georgia" w:cs="Times New Roman"/>
          <w:lang w:val="en-GB"/>
        </w:rPr>
        <w:t>different knowledge types in adaptive urban planning</w:t>
      </w:r>
      <w:r w:rsidRPr="0002056A">
        <w:rPr>
          <w:rStyle w:val="Lbjegyzet-hivatkozs"/>
          <w:rFonts w:ascii="Georgia" w:hAnsi="Georgia" w:cs="Times New Roman"/>
          <w:lang w:val="en-GB"/>
        </w:rPr>
        <w:footnoteReference w:id="52"/>
      </w:r>
      <w:r w:rsidRPr="0002056A">
        <w:rPr>
          <w:rFonts w:ascii="Georgia" w:hAnsi="Georgia" w:cs="Times New Roman"/>
          <w:lang w:val="en-GB"/>
        </w:rPr>
        <w:t xml:space="preserve"> (</w:t>
      </w:r>
      <w:r w:rsidRPr="0002056A">
        <w:rPr>
          <w:rFonts w:ascii="Georgia" w:hAnsi="Georgia" w:cs="Times New Roman"/>
          <w:smallCaps/>
          <w:lang w:val="en-GB"/>
        </w:rPr>
        <w:t>Birkmann et al., 2014</w:t>
      </w:r>
      <w:r w:rsidRPr="0002056A">
        <w:rPr>
          <w:rFonts w:ascii="Georgia" w:hAnsi="Georgia" w:cs="Times New Roman"/>
          <w:lang w:val="en-GB"/>
        </w:rPr>
        <w:t xml:space="preserve">). We can see: the recognition of horizontal/interdisciplinary thinking has already become an integrative part of both sustainable development theories and adaptation planning activities, and they seem to be </w:t>
      </w:r>
      <w:r w:rsidR="00E35C97" w:rsidRPr="0002056A">
        <w:rPr>
          <w:rFonts w:ascii="Georgia" w:hAnsi="Georgia" w:cs="Times New Roman"/>
          <w:lang w:val="en-GB"/>
        </w:rPr>
        <w:t>promising</w:t>
      </w:r>
      <w:r w:rsidRPr="0002056A">
        <w:rPr>
          <w:rFonts w:ascii="Georgia" w:hAnsi="Georgia" w:cs="Times New Roman"/>
          <w:lang w:val="en-GB"/>
        </w:rPr>
        <w:t xml:space="preserve"> tools when tackling wicked problems. </w:t>
      </w:r>
    </w:p>
    <w:p w14:paraId="36402C17" w14:textId="3A306961" w:rsidR="00B055EA" w:rsidRPr="0002056A" w:rsidRDefault="00B055EA" w:rsidP="00CD5BF3">
      <w:pPr>
        <w:pStyle w:val="NormlWeb"/>
        <w:shd w:val="clear" w:color="auto" w:fill="FFFFFF"/>
        <w:spacing w:before="120" w:beforeAutospacing="0" w:after="120" w:afterAutospacing="0" w:line="276" w:lineRule="auto"/>
        <w:jc w:val="both"/>
        <w:rPr>
          <w:rFonts w:ascii="Georgia" w:hAnsi="Georgia" w:cs="Segoe UI"/>
          <w:sz w:val="22"/>
          <w:szCs w:val="22"/>
          <w:lang w:val="en-GB"/>
        </w:rPr>
      </w:pPr>
      <w:r w:rsidRPr="0002056A">
        <w:rPr>
          <w:rFonts w:ascii="Georgia" w:hAnsi="Georgia"/>
          <w:sz w:val="22"/>
          <w:szCs w:val="22"/>
          <w:lang w:val="en-GB"/>
        </w:rPr>
        <w:t xml:space="preserve">The question is </w:t>
      </w:r>
      <w:r w:rsidRPr="0002056A">
        <w:rPr>
          <w:rFonts w:ascii="Georgia" w:hAnsi="Georgia"/>
          <w:b/>
          <w:sz w:val="22"/>
          <w:szCs w:val="22"/>
          <w:lang w:val="en-GB"/>
        </w:rPr>
        <w:t>wh</w:t>
      </w:r>
      <w:r w:rsidR="00B30686" w:rsidRPr="0002056A">
        <w:rPr>
          <w:rFonts w:ascii="Georgia" w:hAnsi="Georgia"/>
          <w:b/>
          <w:sz w:val="22"/>
          <w:szCs w:val="22"/>
          <w:lang w:val="en-GB"/>
        </w:rPr>
        <w:t>a</w:t>
      </w:r>
      <w:r w:rsidRPr="0002056A">
        <w:rPr>
          <w:rFonts w:ascii="Georgia" w:hAnsi="Georgia"/>
          <w:b/>
          <w:sz w:val="22"/>
          <w:szCs w:val="22"/>
          <w:lang w:val="en-GB"/>
        </w:rPr>
        <w:t>t we can do with traditional, conscious, long-term planning in an unpredictable and rapidly changing environment</w:t>
      </w:r>
      <w:r w:rsidRPr="0002056A">
        <w:rPr>
          <w:rFonts w:ascii="Georgia" w:hAnsi="Georgia"/>
          <w:bCs/>
          <w:sz w:val="22"/>
          <w:szCs w:val="22"/>
          <w:lang w:val="en-GB"/>
        </w:rPr>
        <w:t xml:space="preserve"> as </w:t>
      </w:r>
      <w:r w:rsidRPr="0002056A">
        <w:rPr>
          <w:rFonts w:ascii="Georgia" w:hAnsi="Georgia"/>
          <w:bCs/>
          <w:smallCaps/>
          <w:sz w:val="22"/>
          <w:szCs w:val="22"/>
          <w:lang w:val="en-GB"/>
        </w:rPr>
        <w:t xml:space="preserve">Rittel &amp; Melvin </w:t>
      </w:r>
      <w:r w:rsidRPr="0002056A">
        <w:rPr>
          <w:rFonts w:ascii="Georgia" w:hAnsi="Georgia"/>
          <w:bCs/>
          <w:sz w:val="22"/>
          <w:szCs w:val="22"/>
          <w:lang w:val="en-GB"/>
        </w:rPr>
        <w:t xml:space="preserve">characterised the circumstances of wicked and non-ergodic problems. I agree with </w:t>
      </w:r>
      <w:r w:rsidRPr="0002056A">
        <w:rPr>
          <w:rFonts w:ascii="Georgia" w:hAnsi="Georgia"/>
          <w:bCs/>
          <w:smallCaps/>
          <w:sz w:val="22"/>
          <w:szCs w:val="22"/>
          <w:lang w:val="en-GB"/>
        </w:rPr>
        <w:t>Kerekes</w:t>
      </w:r>
      <w:r w:rsidRPr="0002056A">
        <w:rPr>
          <w:rFonts w:ascii="Georgia" w:hAnsi="Georgia"/>
          <w:bCs/>
          <w:sz w:val="22"/>
          <w:szCs w:val="22"/>
          <w:lang w:val="en-GB"/>
        </w:rPr>
        <w:t>, that, beyond solving tame problems, we can always find ways of approaching wicked/non-ergodic problems</w:t>
      </w:r>
      <w:r w:rsidRPr="0002056A">
        <w:rPr>
          <w:rFonts w:ascii="Georgia" w:hAnsi="Georgia"/>
          <w:sz w:val="22"/>
          <w:szCs w:val="22"/>
          <w:lang w:val="en-GB"/>
        </w:rPr>
        <w:t xml:space="preserve"> as well, for example </w:t>
      </w:r>
      <w:r w:rsidR="00B30686" w:rsidRPr="0002056A">
        <w:rPr>
          <w:rFonts w:ascii="Georgia" w:hAnsi="Georgia"/>
          <w:sz w:val="22"/>
          <w:szCs w:val="22"/>
          <w:lang w:val="en-GB"/>
        </w:rPr>
        <w:t xml:space="preserve">in </w:t>
      </w:r>
      <w:r w:rsidRPr="0002056A">
        <w:rPr>
          <w:rFonts w:ascii="Georgia" w:hAnsi="Georgia"/>
          <w:sz w:val="22"/>
          <w:szCs w:val="22"/>
          <w:lang w:val="en-GB"/>
        </w:rPr>
        <w:t xml:space="preserve">the </w:t>
      </w:r>
      <w:r w:rsidR="00B30686" w:rsidRPr="0002056A">
        <w:rPr>
          <w:rFonts w:ascii="Georgia" w:hAnsi="Georgia"/>
          <w:sz w:val="22"/>
          <w:szCs w:val="22"/>
          <w:lang w:val="en-GB"/>
        </w:rPr>
        <w:t xml:space="preserve">form of </w:t>
      </w:r>
      <w:r w:rsidRPr="0002056A">
        <w:rPr>
          <w:rFonts w:ascii="Georgia" w:hAnsi="Georgia"/>
          <w:sz w:val="22"/>
          <w:szCs w:val="22"/>
          <w:lang w:val="en-GB"/>
        </w:rPr>
        <w:t>planning activities concentrating on processes like the climate challenge, that takes place under conditions of complexity and uncertainty (</w:t>
      </w:r>
      <w:r w:rsidRPr="0002056A">
        <w:rPr>
          <w:rFonts w:ascii="Georgia" w:hAnsi="Georgia"/>
          <w:smallCaps/>
          <w:sz w:val="22"/>
          <w:szCs w:val="22"/>
          <w:lang w:val="en-GB"/>
        </w:rPr>
        <w:t>Jensen et al., 2013</w:t>
      </w:r>
      <w:r w:rsidRPr="0002056A">
        <w:rPr>
          <w:rFonts w:ascii="Georgia" w:hAnsi="Georgia"/>
          <w:sz w:val="22"/>
          <w:szCs w:val="22"/>
          <w:lang w:val="en-GB"/>
        </w:rPr>
        <w:t xml:space="preserve">). Just in these cases we have to use new, tailor-made (and I must add that exactly geographically tailored) methods, taking into consideration </w:t>
      </w:r>
      <w:r w:rsidR="000D1C23" w:rsidRPr="0002056A">
        <w:rPr>
          <w:rFonts w:ascii="Georgia" w:hAnsi="Georgia"/>
          <w:sz w:val="22"/>
          <w:szCs w:val="22"/>
          <w:lang w:val="en-GB"/>
        </w:rPr>
        <w:t xml:space="preserve">the </w:t>
      </w:r>
      <w:r w:rsidRPr="0002056A">
        <w:rPr>
          <w:rFonts w:ascii="Georgia" w:hAnsi="Georgia"/>
          <w:sz w:val="22"/>
          <w:szCs w:val="22"/>
          <w:lang w:val="en-GB"/>
        </w:rPr>
        <w:t xml:space="preserve">ambiguous and changing nature of stakeholders and high volatility of planning conditions. All in all: </w:t>
      </w:r>
      <w:r w:rsidRPr="0002056A">
        <w:rPr>
          <w:rFonts w:ascii="Georgia" w:hAnsi="Georgia"/>
          <w:b/>
          <w:sz w:val="22"/>
          <w:szCs w:val="22"/>
          <w:lang w:val="en-GB"/>
        </w:rPr>
        <w:t xml:space="preserve">planning remains a useful tool, only we must change our traditional </w:t>
      </w:r>
      <w:r w:rsidRPr="0002056A">
        <w:rPr>
          <w:rFonts w:ascii="Georgia" w:hAnsi="Georgia"/>
          <w:b/>
          <w:sz w:val="22"/>
          <w:szCs w:val="22"/>
          <w:lang w:val="en-GB"/>
        </w:rPr>
        <w:lastRenderedPageBreak/>
        <w:t>viewpoint</w:t>
      </w:r>
      <w:r w:rsidRPr="0002056A">
        <w:rPr>
          <w:rFonts w:ascii="Georgia" w:hAnsi="Georgia"/>
          <w:bCs/>
          <w:sz w:val="22"/>
          <w:szCs w:val="22"/>
          <w:lang w:val="en-GB"/>
        </w:rPr>
        <w:t>,</w:t>
      </w:r>
      <w:r w:rsidRPr="0002056A">
        <w:rPr>
          <w:rFonts w:ascii="Georgia" w:hAnsi="Georgia"/>
          <w:sz w:val="22"/>
          <w:szCs w:val="22"/>
          <w:lang w:val="en-GB"/>
        </w:rPr>
        <w:t xml:space="preserve"> using multiple perspectives (</w:t>
      </w:r>
      <w:r w:rsidRPr="0002056A">
        <w:rPr>
          <w:rFonts w:ascii="Georgia" w:hAnsi="Georgia"/>
          <w:smallCaps/>
          <w:sz w:val="22"/>
          <w:szCs w:val="22"/>
          <w:lang w:val="en-GB"/>
        </w:rPr>
        <w:t>Kerekes, 2021</w:t>
      </w:r>
      <w:r w:rsidRPr="0002056A">
        <w:rPr>
          <w:rFonts w:ascii="Georgia" w:hAnsi="Georgia"/>
          <w:sz w:val="22"/>
          <w:szCs w:val="22"/>
          <w:lang w:val="en-GB"/>
        </w:rPr>
        <w:t>)</w:t>
      </w:r>
      <w:r w:rsidR="00B30686" w:rsidRPr="0002056A">
        <w:rPr>
          <w:rStyle w:val="Lbjegyzet-hivatkozs"/>
          <w:rFonts w:ascii="Georgia" w:hAnsi="Georgia"/>
          <w:sz w:val="22"/>
          <w:szCs w:val="22"/>
          <w:lang w:val="en-GB"/>
        </w:rPr>
        <w:footnoteReference w:id="53"/>
      </w:r>
      <w:r w:rsidRPr="0002056A">
        <w:rPr>
          <w:rFonts w:ascii="Georgia" w:hAnsi="Georgia"/>
          <w:sz w:val="22"/>
          <w:szCs w:val="22"/>
          <w:lang w:val="en-GB"/>
        </w:rPr>
        <w:t xml:space="preserve">. </w:t>
      </w:r>
      <w:r w:rsidRPr="0002056A">
        <w:rPr>
          <w:rFonts w:ascii="Georgia" w:hAnsi="Georgia" w:cs="Segoe UI"/>
          <w:sz w:val="22"/>
          <w:szCs w:val="22"/>
          <w:lang w:val="en-GB"/>
        </w:rPr>
        <w:t>Dealing with adaptation to climate change requires a shift in mindset; from a technical rational way of thinking towards an integral proactive one</w:t>
      </w:r>
      <w:r w:rsidR="0013079D" w:rsidRPr="0002056A">
        <w:rPr>
          <w:rFonts w:ascii="Georgia" w:hAnsi="Georgia" w:cs="Segoe UI"/>
          <w:sz w:val="22"/>
          <w:szCs w:val="22"/>
          <w:lang w:val="en-GB"/>
        </w:rPr>
        <w:t xml:space="preserve"> </w:t>
      </w:r>
      <w:r w:rsidRPr="0002056A">
        <w:rPr>
          <w:rFonts w:ascii="Georgia" w:hAnsi="Georgia" w:cs="Segoe UI"/>
          <w:sz w:val="22"/>
          <w:szCs w:val="22"/>
          <w:lang w:val="en-GB"/>
        </w:rPr>
        <w:t>(</w:t>
      </w:r>
      <w:r w:rsidRPr="0002056A">
        <w:rPr>
          <w:rFonts w:ascii="Georgia" w:eastAsiaTheme="minorHAnsi" w:hAnsi="Georgia"/>
          <w:smallCaps/>
          <w:sz w:val="22"/>
          <w:szCs w:val="22"/>
          <w:lang w:val="en-GB" w:eastAsia="en-US"/>
        </w:rPr>
        <w:t>Roggema, 2009</w:t>
      </w:r>
      <w:r w:rsidRPr="0002056A">
        <w:rPr>
          <w:rFonts w:ascii="Georgia" w:hAnsi="Georgia" w:cs="Segoe UI"/>
          <w:sz w:val="22"/>
          <w:szCs w:val="22"/>
          <w:lang w:val="en-GB"/>
        </w:rPr>
        <w:t>).</w:t>
      </w:r>
    </w:p>
    <w:p w14:paraId="1E930583" w14:textId="39412005" w:rsidR="00DC004B" w:rsidRPr="0002056A" w:rsidRDefault="00DC004B" w:rsidP="00CD5BF3">
      <w:pPr>
        <w:pStyle w:val="NormlWeb"/>
        <w:shd w:val="clear" w:color="auto" w:fill="FFFFFF"/>
        <w:spacing w:before="120" w:beforeAutospacing="0" w:after="120" w:afterAutospacing="0" w:line="276" w:lineRule="auto"/>
        <w:jc w:val="center"/>
        <w:rPr>
          <w:rFonts w:ascii="Georgia" w:hAnsi="Georgia" w:cs="Segoe UI"/>
          <w:sz w:val="22"/>
          <w:szCs w:val="22"/>
          <w:lang w:val="en-GB"/>
        </w:rPr>
      </w:pPr>
      <w:r w:rsidRPr="0002056A">
        <w:rPr>
          <w:rFonts w:ascii="Georgia" w:hAnsi="Georgia" w:cs="Segoe UI"/>
          <w:sz w:val="22"/>
          <w:szCs w:val="22"/>
          <w:lang w:val="en-GB"/>
        </w:rPr>
        <w:t>***</w:t>
      </w:r>
    </w:p>
    <w:p w14:paraId="52DBDA9A" w14:textId="1F59A99A" w:rsidR="0034326D" w:rsidRPr="0002056A" w:rsidRDefault="0034326D" w:rsidP="00CD5BF3">
      <w:pPr>
        <w:spacing w:before="120" w:after="120"/>
        <w:jc w:val="both"/>
        <w:rPr>
          <w:rFonts w:ascii="Georgia" w:hAnsi="Georgia"/>
          <w:lang w:val="en-GB"/>
        </w:rPr>
      </w:pPr>
      <w:r w:rsidRPr="0002056A">
        <w:rPr>
          <w:rFonts w:ascii="Georgia" w:hAnsi="Georgia"/>
          <w:lang w:val="en-GB"/>
        </w:rPr>
        <w:t xml:space="preserve">We can </w:t>
      </w:r>
      <w:r w:rsidR="00874ECC" w:rsidRPr="0002056A">
        <w:rPr>
          <w:rFonts w:ascii="Georgia" w:hAnsi="Georgia"/>
          <w:lang w:val="en-GB"/>
        </w:rPr>
        <w:t>see</w:t>
      </w:r>
      <w:r w:rsidRPr="0002056A">
        <w:rPr>
          <w:rFonts w:ascii="Georgia" w:hAnsi="Georgia"/>
          <w:lang w:val="en-GB"/>
        </w:rPr>
        <w:t xml:space="preserve"> </w:t>
      </w:r>
      <w:r w:rsidR="0013079D" w:rsidRPr="0002056A">
        <w:rPr>
          <w:rFonts w:ascii="Georgia" w:hAnsi="Georgia"/>
          <w:lang w:val="en-GB"/>
        </w:rPr>
        <w:t xml:space="preserve">as </w:t>
      </w:r>
      <w:r w:rsidRPr="0002056A">
        <w:rPr>
          <w:rFonts w:ascii="Georgia" w:hAnsi="Georgia"/>
          <w:lang w:val="en-GB"/>
        </w:rPr>
        <w:t>climate adaptation cannot be handled separately from the geographical space</w:t>
      </w:r>
      <w:r w:rsidR="0013079D" w:rsidRPr="0002056A">
        <w:rPr>
          <w:rFonts w:ascii="Georgia" w:hAnsi="Georgia"/>
          <w:lang w:val="en-GB"/>
        </w:rPr>
        <w:t xml:space="preserve">, </w:t>
      </w:r>
      <w:r w:rsidR="007A6406" w:rsidRPr="0002056A">
        <w:rPr>
          <w:rFonts w:ascii="Georgia" w:hAnsi="Georgia"/>
          <w:lang w:val="en-GB"/>
        </w:rPr>
        <w:t>geographical and spatial dimension</w:t>
      </w:r>
      <w:r w:rsidR="00A539A1" w:rsidRPr="0002056A">
        <w:rPr>
          <w:rFonts w:ascii="Georgia" w:hAnsi="Georgia"/>
          <w:lang w:val="en-GB"/>
        </w:rPr>
        <w:t>s a</w:t>
      </w:r>
      <w:r w:rsidR="007A6406" w:rsidRPr="0002056A">
        <w:rPr>
          <w:rFonts w:ascii="Georgia" w:hAnsi="Georgia"/>
          <w:lang w:val="en-GB"/>
        </w:rPr>
        <w:t xml:space="preserve">re important in climate adaptation planning and MRE. The first is indicated by the </w:t>
      </w:r>
      <w:r w:rsidR="005474B2" w:rsidRPr="0002056A">
        <w:rPr>
          <w:rFonts w:ascii="Georgia" w:hAnsi="Georgia"/>
          <w:lang w:val="en-GB"/>
        </w:rPr>
        <w:t>geographically</w:t>
      </w:r>
      <w:r w:rsidR="007A6406" w:rsidRPr="0002056A">
        <w:rPr>
          <w:rFonts w:ascii="Georgia" w:hAnsi="Georgia"/>
          <w:lang w:val="en-GB"/>
        </w:rPr>
        <w:t xml:space="preserve"> different climate impacts, sensitivities and adaptive capacities as well as vulnerabilities of each specific location. The second is present in the spatially different adaptation responses, the strong connection between spatial and land use planning AND adaptation planning; and these connections are examined by the international literature in a detailed way. </w:t>
      </w:r>
      <w:r w:rsidR="00047A48" w:rsidRPr="0002056A">
        <w:rPr>
          <w:rFonts w:ascii="Georgia" w:hAnsi="Georgia"/>
          <w:lang w:val="en-GB"/>
        </w:rPr>
        <w:t xml:space="preserve">Adaptation to climate change gradually </w:t>
      </w:r>
      <w:r w:rsidR="00A539A1" w:rsidRPr="0002056A">
        <w:rPr>
          <w:rFonts w:ascii="Georgia" w:hAnsi="Georgia"/>
          <w:lang w:val="en-GB"/>
        </w:rPr>
        <w:t xml:space="preserve">have </w:t>
      </w:r>
      <w:r w:rsidR="00047A48" w:rsidRPr="0002056A">
        <w:rPr>
          <w:rFonts w:ascii="Georgia" w:hAnsi="Georgia"/>
          <w:lang w:val="en-GB"/>
        </w:rPr>
        <w:t>become a guiding principle for all spatially relevant decisions, wrote Gr</w:t>
      </w:r>
      <w:r w:rsidR="00477FBC" w:rsidRPr="0002056A">
        <w:rPr>
          <w:rFonts w:ascii="Georgia" w:hAnsi="Georgia"/>
          <w:lang w:val="en-GB"/>
        </w:rPr>
        <w:t>e</w:t>
      </w:r>
      <w:r w:rsidR="00047A48" w:rsidRPr="0002056A">
        <w:rPr>
          <w:rFonts w:ascii="Georgia" w:hAnsi="Georgia"/>
          <w:lang w:val="en-GB"/>
        </w:rPr>
        <w:t xml:space="preserve">iving and Fleischhauer </w:t>
      </w:r>
      <w:r w:rsidR="00781A85" w:rsidRPr="0002056A">
        <w:rPr>
          <w:rFonts w:ascii="Georgia" w:hAnsi="Georgia"/>
          <w:lang w:val="en-GB"/>
        </w:rPr>
        <w:t>(</w:t>
      </w:r>
      <w:r w:rsidR="00781A85" w:rsidRPr="0002056A">
        <w:rPr>
          <w:rFonts w:ascii="Georgia" w:hAnsi="Georgia" w:cstheme="minorHAnsi"/>
          <w:smallCaps/>
          <w:lang w:val="en-GB"/>
        </w:rPr>
        <w:t>Greiving&amp;Fleischhauer</w:t>
      </w:r>
      <w:r w:rsidR="00781A85" w:rsidRPr="0002056A">
        <w:rPr>
          <w:rFonts w:ascii="Georgia" w:hAnsi="Georgia"/>
          <w:lang w:val="en-GB"/>
        </w:rPr>
        <w:t>, 2</w:t>
      </w:r>
      <w:r w:rsidR="00047A48" w:rsidRPr="0002056A">
        <w:rPr>
          <w:rFonts w:ascii="Georgia" w:hAnsi="Georgia"/>
          <w:lang w:val="en-GB"/>
        </w:rPr>
        <w:t>010</w:t>
      </w:r>
      <w:r w:rsidR="00781A85" w:rsidRPr="0002056A">
        <w:rPr>
          <w:rFonts w:ascii="Georgia" w:hAnsi="Georgia"/>
          <w:lang w:val="en-GB"/>
        </w:rPr>
        <w:t>)</w:t>
      </w:r>
      <w:r w:rsidR="00047A48" w:rsidRPr="0002056A">
        <w:rPr>
          <w:rFonts w:ascii="Georgia" w:hAnsi="Georgia"/>
          <w:lang w:val="en-GB"/>
        </w:rPr>
        <w:t xml:space="preserve">: today adaptation policy </w:t>
      </w:r>
      <w:r w:rsidR="00A539A1" w:rsidRPr="0002056A">
        <w:rPr>
          <w:rFonts w:ascii="Georgia" w:hAnsi="Georgia"/>
          <w:lang w:val="en-GB"/>
        </w:rPr>
        <w:t>starts to include</w:t>
      </w:r>
      <w:r w:rsidR="00047A48" w:rsidRPr="0002056A">
        <w:rPr>
          <w:rFonts w:ascii="Georgia" w:hAnsi="Georgia"/>
          <w:lang w:val="en-GB"/>
        </w:rPr>
        <w:t xml:space="preserve"> spatially determined and defined actions at national, regional nor local level.</w:t>
      </w:r>
      <w:r w:rsidR="000F0AB4" w:rsidRPr="0002056A">
        <w:rPr>
          <w:rFonts w:ascii="Georgia" w:hAnsi="Georgia"/>
          <w:lang w:val="en-GB"/>
        </w:rPr>
        <w:t xml:space="preserve"> The</w:t>
      </w:r>
      <w:r w:rsidR="00D33DF7" w:rsidRPr="0002056A">
        <w:rPr>
          <w:rFonts w:ascii="Georgia" w:hAnsi="Georgia"/>
          <w:lang w:val="en-GB"/>
        </w:rPr>
        <w:t xml:space="preserve"> next chapter </w:t>
      </w:r>
      <w:r w:rsidR="00216AD0" w:rsidRPr="0002056A">
        <w:rPr>
          <w:rFonts w:ascii="Georgia" w:hAnsi="Georgia"/>
          <w:lang w:val="en-GB"/>
        </w:rPr>
        <w:t>reviews</w:t>
      </w:r>
      <w:r w:rsidR="00D33DF7" w:rsidRPr="0002056A">
        <w:rPr>
          <w:rFonts w:ascii="Georgia" w:hAnsi="Georgia"/>
          <w:lang w:val="en-GB"/>
        </w:rPr>
        <w:t xml:space="preserve"> the </w:t>
      </w:r>
      <w:r w:rsidR="00FA1898" w:rsidRPr="0002056A">
        <w:rPr>
          <w:rFonts w:ascii="Georgia" w:hAnsi="Georgia"/>
          <w:lang w:val="en-GB"/>
        </w:rPr>
        <w:t xml:space="preserve">related </w:t>
      </w:r>
      <w:r w:rsidR="00D33DF7" w:rsidRPr="0002056A">
        <w:rPr>
          <w:rFonts w:ascii="Georgia" w:hAnsi="Georgia"/>
          <w:lang w:val="en-GB"/>
        </w:rPr>
        <w:t xml:space="preserve">literature on these </w:t>
      </w:r>
      <w:r w:rsidR="00FA1898" w:rsidRPr="0002056A">
        <w:rPr>
          <w:rFonts w:ascii="Georgia" w:hAnsi="Georgia"/>
          <w:lang w:val="en-GB"/>
        </w:rPr>
        <w:t>spatial governmental levels</w:t>
      </w:r>
      <w:r w:rsidR="00D33DF7" w:rsidRPr="0002056A">
        <w:rPr>
          <w:rFonts w:ascii="Georgia" w:hAnsi="Georgia"/>
          <w:lang w:val="en-GB"/>
        </w:rPr>
        <w:t>.</w:t>
      </w:r>
    </w:p>
    <w:p w14:paraId="173218AD" w14:textId="75E3482A" w:rsidR="004E603D" w:rsidRPr="0002056A" w:rsidRDefault="004E603D" w:rsidP="00214BD9">
      <w:pPr>
        <w:pStyle w:val="Cmsor3"/>
        <w:numPr>
          <w:ilvl w:val="2"/>
          <w:numId w:val="4"/>
        </w:numPr>
        <w:rPr>
          <w:lang w:val="en-GB"/>
        </w:rPr>
      </w:pPr>
      <w:bookmarkStart w:id="20" w:name="_Toc133854437"/>
      <w:bookmarkStart w:id="21" w:name="_Toc225578843"/>
      <w:r w:rsidRPr="0002056A">
        <w:rPr>
          <w:lang w:val="en-GB"/>
        </w:rPr>
        <w:t>Main characteristics, trends, and challenges of adaptation planning and MRE</w:t>
      </w:r>
      <w:bookmarkEnd w:id="20"/>
      <w:r w:rsidR="00695B77" w:rsidRPr="0002056A">
        <w:rPr>
          <w:lang w:val="en-GB"/>
        </w:rPr>
        <w:t xml:space="preserve"> at different spatial levels</w:t>
      </w:r>
      <w:bookmarkEnd w:id="21"/>
    </w:p>
    <w:p w14:paraId="64FC435D" w14:textId="77777777" w:rsidR="003D2186" w:rsidRPr="0002056A" w:rsidRDefault="00A963FD" w:rsidP="00CD5BF3">
      <w:pPr>
        <w:autoSpaceDE w:val="0"/>
        <w:autoSpaceDN w:val="0"/>
        <w:adjustRightInd w:val="0"/>
        <w:spacing w:after="0"/>
        <w:jc w:val="both"/>
        <w:rPr>
          <w:rFonts w:ascii="Georgia" w:hAnsi="Georgia" w:cs="Times New Roman"/>
          <w:bCs/>
          <w:lang w:val="en-GB"/>
        </w:rPr>
      </w:pPr>
      <w:r w:rsidRPr="0002056A">
        <w:rPr>
          <w:rFonts w:ascii="Georgia" w:hAnsi="Georgia" w:cs="Times New Roman"/>
          <w:lang w:val="en-GB"/>
        </w:rPr>
        <w:t xml:space="preserve">One of the most important and frequently examined aspects of climate adaptation (policy) in the literature is that </w:t>
      </w:r>
      <w:r w:rsidRPr="0002056A">
        <w:rPr>
          <w:rFonts w:ascii="Georgia" w:hAnsi="Georgia" w:cs="Times New Roman"/>
          <w:bCs/>
          <w:lang w:val="en-GB"/>
        </w:rPr>
        <w:t xml:space="preserve">climate change’s most characteristic impacts emerge in special geographic areas </w:t>
      </w:r>
      <w:r w:rsidRPr="0002056A">
        <w:rPr>
          <w:rFonts w:ascii="Georgia" w:hAnsi="Georgia" w:cs="Times New Roman"/>
          <w:lang w:val="en-GB"/>
        </w:rPr>
        <w:t>(EEA, 2015): both in big cities and in remote rural areas; both in coastal zones and landlocked continental plains; both in big</w:t>
      </w:r>
      <w:r w:rsidR="00AA368D" w:rsidRPr="0002056A">
        <w:rPr>
          <w:rFonts w:ascii="Georgia" w:hAnsi="Georgia" w:cs="Times New Roman"/>
          <w:lang w:val="en-GB"/>
        </w:rPr>
        <w:t>,</w:t>
      </w:r>
      <w:r w:rsidRPr="0002056A">
        <w:rPr>
          <w:rFonts w:ascii="Georgia" w:hAnsi="Georgia" w:cs="Times New Roman"/>
          <w:lang w:val="en-GB"/>
        </w:rPr>
        <w:t xml:space="preserve"> flat river valleys and hilly/mountainous areas. </w:t>
      </w:r>
      <w:r w:rsidRPr="0002056A">
        <w:rPr>
          <w:rFonts w:ascii="Georgia" w:hAnsi="Georgia" w:cs="Times New Roman"/>
          <w:bCs/>
          <w:lang w:val="en-GB"/>
        </w:rPr>
        <w:t>In these geographical areas special spatial answers have to be found for climate change</w:t>
      </w:r>
      <w:r w:rsidR="00AA368D" w:rsidRPr="0002056A">
        <w:rPr>
          <w:rFonts w:ascii="Georgia" w:hAnsi="Georgia" w:cs="Times New Roman"/>
          <w:bCs/>
          <w:lang w:val="en-GB"/>
        </w:rPr>
        <w:t>-related</w:t>
      </w:r>
      <w:r w:rsidRPr="0002056A">
        <w:rPr>
          <w:rFonts w:ascii="Georgia" w:hAnsi="Georgia" w:cs="Times New Roman"/>
          <w:bCs/>
          <w:lang w:val="en-GB"/>
        </w:rPr>
        <w:t xml:space="preserve"> challenges. This diversity of problems and responses gets us to the next question, in connection with spatiality and territorial governance: </w:t>
      </w:r>
      <w:r w:rsidRPr="0002056A">
        <w:rPr>
          <w:rFonts w:ascii="Georgia" w:hAnsi="Georgia" w:cs="Times New Roman"/>
          <w:b/>
          <w:lang w:val="en-GB"/>
        </w:rPr>
        <w:t xml:space="preserve">on what </w:t>
      </w:r>
      <w:r w:rsidR="00747816" w:rsidRPr="0002056A">
        <w:rPr>
          <w:rFonts w:ascii="Georgia" w:hAnsi="Georgia" w:cs="Times New Roman"/>
          <w:b/>
          <w:lang w:val="en-GB"/>
        </w:rPr>
        <w:t xml:space="preserve">spatial </w:t>
      </w:r>
      <w:r w:rsidRPr="0002056A">
        <w:rPr>
          <w:rFonts w:ascii="Georgia" w:hAnsi="Georgia" w:cs="Times New Roman"/>
          <w:b/>
          <w:lang w:val="en-GB"/>
        </w:rPr>
        <w:t>levels adaptation planning and MRE activities concentrate?</w:t>
      </w:r>
      <w:r w:rsidRPr="0002056A">
        <w:rPr>
          <w:rFonts w:ascii="Georgia" w:hAnsi="Georgia" w:cs="Times New Roman"/>
          <w:bCs/>
          <w:lang w:val="en-GB"/>
        </w:rPr>
        <w:t xml:space="preserve"> </w:t>
      </w:r>
    </w:p>
    <w:p w14:paraId="662A98D4" w14:textId="305A742B" w:rsidR="0084039E" w:rsidRPr="0002056A" w:rsidRDefault="00747816" w:rsidP="00CD5BF3">
      <w:pPr>
        <w:autoSpaceDE w:val="0"/>
        <w:autoSpaceDN w:val="0"/>
        <w:adjustRightInd w:val="0"/>
        <w:spacing w:after="0"/>
        <w:jc w:val="both"/>
        <w:rPr>
          <w:rFonts w:ascii="Georgia" w:hAnsi="Georgia" w:cs="Times New Roman"/>
          <w:lang w:val="en-GB"/>
        </w:rPr>
      </w:pPr>
      <w:r w:rsidRPr="0002056A">
        <w:rPr>
          <w:rFonts w:ascii="Georgia" w:hAnsi="Georgia" w:cs="Times New Roman"/>
          <w:bCs/>
          <w:lang w:val="en-GB"/>
        </w:rPr>
        <w:t>T</w:t>
      </w:r>
      <w:r w:rsidR="00A963FD" w:rsidRPr="0002056A">
        <w:rPr>
          <w:rFonts w:ascii="Georgia" w:hAnsi="Georgia" w:cs="STIX-Regular"/>
          <w:color w:val="000000"/>
          <w:lang w:val="en-GB"/>
        </w:rPr>
        <w:t xml:space="preserve">he </w:t>
      </w:r>
      <w:r w:rsidR="00A963FD" w:rsidRPr="0002056A">
        <w:rPr>
          <w:rFonts w:ascii="Georgia" w:hAnsi="Georgia" w:cs="STIX-Regular"/>
          <w:b/>
          <w:bCs/>
          <w:color w:val="000000"/>
          <w:lang w:val="en-GB"/>
        </w:rPr>
        <w:t xml:space="preserve">multi-scale nature of the </w:t>
      </w:r>
      <w:r w:rsidR="00AA368D" w:rsidRPr="0002056A">
        <w:rPr>
          <w:rFonts w:ascii="Georgia" w:hAnsi="Georgia" w:cs="STIX-Regular"/>
          <w:b/>
          <w:bCs/>
          <w:color w:val="000000"/>
          <w:lang w:val="en-GB"/>
        </w:rPr>
        <w:t>issue</w:t>
      </w:r>
      <w:r w:rsidR="00A963FD" w:rsidRPr="0002056A">
        <w:rPr>
          <w:rFonts w:ascii="Georgia" w:hAnsi="Georgia" w:cs="STIX-Regular"/>
          <w:color w:val="000000"/>
          <w:lang w:val="en-GB"/>
        </w:rPr>
        <w:t xml:space="preserve"> is widely recognized in the adaptation literature (</w:t>
      </w:r>
      <w:r w:rsidR="00A963FD" w:rsidRPr="0002056A">
        <w:rPr>
          <w:rFonts w:ascii="Georgia" w:hAnsi="Georgia" w:cs="STIX-Regular"/>
          <w:smallCaps/>
          <w:color w:val="000000"/>
          <w:lang w:val="en-GB"/>
        </w:rPr>
        <w:t xml:space="preserve">Davidse et </w:t>
      </w:r>
      <w:r w:rsidR="00A963FD" w:rsidRPr="0002056A">
        <w:rPr>
          <w:rFonts w:ascii="Georgia" w:hAnsi="Georgia" w:cs="STIX-Regular"/>
          <w:smallCaps/>
          <w:lang w:val="en-GB"/>
        </w:rPr>
        <w:t>al, 2015</w:t>
      </w:r>
      <w:r w:rsidR="00A963FD" w:rsidRPr="0002056A">
        <w:rPr>
          <w:rFonts w:ascii="Georgia" w:hAnsi="Georgia" w:cs="STIX-Regular"/>
          <w:lang w:val="en-GB"/>
        </w:rPr>
        <w:t xml:space="preserve">; </w:t>
      </w:r>
      <w:r w:rsidR="00A963FD" w:rsidRPr="0002056A">
        <w:rPr>
          <w:rFonts w:ascii="Georgia" w:hAnsi="Georgia" w:cs="STIX-Regular"/>
          <w:smallCaps/>
          <w:lang w:val="en-GB"/>
        </w:rPr>
        <w:t>Termeer et al. 2016; Benzie&amp;Persson, 2019; Sütő, 2023; UBA, 2025</w:t>
      </w:r>
      <w:r w:rsidR="00A963FD" w:rsidRPr="0002056A">
        <w:rPr>
          <w:rFonts w:ascii="Georgia" w:hAnsi="Georgia" w:cs="STIX-Regular"/>
          <w:color w:val="000000"/>
          <w:lang w:val="en-GB"/>
        </w:rPr>
        <w:t xml:space="preserve">). </w:t>
      </w:r>
      <w:r w:rsidR="00874ECC" w:rsidRPr="0002056A">
        <w:rPr>
          <w:rFonts w:ascii="Georgia" w:hAnsi="Georgia" w:cs="STIX-Regular"/>
          <w:color w:val="000000"/>
          <w:lang w:val="en-GB"/>
        </w:rPr>
        <w:t>Yet</w:t>
      </w:r>
      <w:r w:rsidR="00A963FD" w:rsidRPr="0002056A">
        <w:rPr>
          <w:rFonts w:ascii="Georgia" w:hAnsi="Georgia" w:cs="STIX-Regular"/>
          <w:color w:val="000000"/>
          <w:lang w:val="en-GB"/>
        </w:rPr>
        <w:t xml:space="preserve"> adaptation governance to date has been strongly focused on the national and sub-national levels.</w:t>
      </w:r>
      <w:r w:rsidRPr="0002056A">
        <w:rPr>
          <w:rFonts w:ascii="Georgia" w:hAnsi="Georgia" w:cs="STIX-Regular"/>
          <w:color w:val="000000"/>
          <w:lang w:val="en-GB"/>
        </w:rPr>
        <w:t xml:space="preserve"> </w:t>
      </w:r>
      <w:r w:rsidR="0084039E" w:rsidRPr="0002056A">
        <w:rPr>
          <w:rFonts w:ascii="Georgia" w:hAnsi="Georgia" w:cs="Times New Roman"/>
          <w:lang w:val="en-GB"/>
        </w:rPr>
        <w:t xml:space="preserve">Even in cases when one might expect the governing of borderless risks by cross-border </w:t>
      </w:r>
      <w:r w:rsidR="000D5994" w:rsidRPr="0002056A">
        <w:rPr>
          <w:rFonts w:ascii="Georgia" w:hAnsi="Georgia" w:cs="Times New Roman"/>
          <w:lang w:val="en-GB"/>
        </w:rPr>
        <w:t xml:space="preserve">or transnational </w:t>
      </w:r>
      <w:r w:rsidR="0084039E" w:rsidRPr="0002056A">
        <w:rPr>
          <w:rFonts w:ascii="Georgia" w:hAnsi="Georgia" w:cs="Times New Roman"/>
          <w:lang w:val="en-GB"/>
        </w:rPr>
        <w:t xml:space="preserve">organizations, transboundary co-governance of risks is rare. The UNFCCC or the EU can be considered in this context as the most important </w:t>
      </w:r>
      <w:r w:rsidR="000D5994" w:rsidRPr="0002056A">
        <w:rPr>
          <w:rFonts w:ascii="Georgia" w:hAnsi="Georgia" w:cs="Times New Roman"/>
          <w:lang w:val="en-GB"/>
        </w:rPr>
        <w:t>“</w:t>
      </w:r>
      <w:r w:rsidR="0084039E" w:rsidRPr="0002056A">
        <w:rPr>
          <w:rFonts w:ascii="Georgia" w:hAnsi="Georgia" w:cs="Times New Roman"/>
          <w:lang w:val="en-GB"/>
        </w:rPr>
        <w:t>arena</w:t>
      </w:r>
      <w:r w:rsidR="000D5994" w:rsidRPr="0002056A">
        <w:rPr>
          <w:rFonts w:ascii="Georgia" w:hAnsi="Georgia" w:cs="Times New Roman"/>
          <w:lang w:val="en-GB"/>
        </w:rPr>
        <w:t>s”</w:t>
      </w:r>
      <w:r w:rsidR="0084039E" w:rsidRPr="0002056A">
        <w:rPr>
          <w:rFonts w:ascii="Georgia" w:hAnsi="Georgia" w:cs="Times New Roman"/>
          <w:lang w:val="en-GB"/>
        </w:rPr>
        <w:t xml:space="preserve"> for norm-setting, but decision making </w:t>
      </w:r>
      <w:r w:rsidR="0021072E" w:rsidRPr="0002056A">
        <w:rPr>
          <w:rFonts w:ascii="Georgia" w:hAnsi="Georgia" w:cs="Times New Roman"/>
          <w:lang w:val="en-GB"/>
        </w:rPr>
        <w:t xml:space="preserve">has </w:t>
      </w:r>
      <w:r w:rsidR="0084039E" w:rsidRPr="0002056A">
        <w:rPr>
          <w:rFonts w:ascii="Georgia" w:hAnsi="Georgia" w:cs="Times New Roman"/>
          <w:lang w:val="en-GB"/>
        </w:rPr>
        <w:t>remained a local and/or national concern and responsibility so far, characteristically defining the fram</w:t>
      </w:r>
      <w:r w:rsidR="0021072E" w:rsidRPr="0002056A">
        <w:rPr>
          <w:rFonts w:ascii="Georgia" w:hAnsi="Georgia" w:cs="Times New Roman"/>
          <w:lang w:val="en-GB"/>
        </w:rPr>
        <w:t>es</w:t>
      </w:r>
      <w:r w:rsidR="0084039E" w:rsidRPr="0002056A">
        <w:rPr>
          <w:rFonts w:ascii="Georgia" w:hAnsi="Georgia" w:cs="Times New Roman"/>
          <w:lang w:val="en-GB"/>
        </w:rPr>
        <w:t xml:space="preserve"> of spatial adaptation (</w:t>
      </w:r>
      <w:r w:rsidR="0084039E" w:rsidRPr="0002056A">
        <w:rPr>
          <w:rFonts w:ascii="Georgia" w:hAnsi="Georgia" w:cs="Times New Roman"/>
          <w:smallCaps/>
          <w:lang w:val="en-GB"/>
        </w:rPr>
        <w:t>Benzie&amp;Persson, 2019</w:t>
      </w:r>
      <w:r w:rsidR="0084039E" w:rsidRPr="0002056A">
        <w:rPr>
          <w:rFonts w:ascii="Georgia" w:hAnsi="Georgia" w:cs="Times New Roman"/>
          <w:lang w:val="en-GB"/>
        </w:rPr>
        <w:t>)</w:t>
      </w:r>
      <w:r w:rsidR="00A963FD" w:rsidRPr="0002056A">
        <w:rPr>
          <w:rStyle w:val="Lbjegyzet-hivatkozs"/>
          <w:rFonts w:ascii="Georgia" w:hAnsi="Georgia" w:cs="Times New Roman"/>
          <w:lang w:val="en-GB"/>
        </w:rPr>
        <w:footnoteReference w:id="54"/>
      </w:r>
      <w:r w:rsidR="0084039E" w:rsidRPr="0002056A">
        <w:rPr>
          <w:rFonts w:ascii="Georgia" w:hAnsi="Georgia" w:cs="Times New Roman"/>
          <w:lang w:val="en-GB"/>
        </w:rPr>
        <w:t>.</w:t>
      </w:r>
    </w:p>
    <w:p w14:paraId="542AF7E0" w14:textId="1927753B" w:rsidR="004E603D" w:rsidRPr="0002056A" w:rsidRDefault="0010167B" w:rsidP="00CD5BF3">
      <w:pPr>
        <w:autoSpaceDE w:val="0"/>
        <w:autoSpaceDN w:val="0"/>
        <w:adjustRightInd w:val="0"/>
        <w:spacing w:before="60" w:after="60"/>
        <w:jc w:val="both"/>
        <w:rPr>
          <w:rFonts w:ascii="Georgia" w:hAnsi="Georgia" w:cs="Times New Roman"/>
          <w:lang w:val="en-GB"/>
        </w:rPr>
      </w:pPr>
      <w:r w:rsidRPr="0002056A">
        <w:rPr>
          <w:rFonts w:ascii="Georgia" w:hAnsi="Georgia" w:cs="Times New Roman"/>
          <w:bCs/>
          <w:lang w:val="en-GB"/>
        </w:rPr>
        <w:t>Several</w:t>
      </w:r>
      <w:r w:rsidR="004E603D" w:rsidRPr="0002056A">
        <w:rPr>
          <w:rFonts w:ascii="Georgia" w:hAnsi="Georgia" w:cs="Times New Roman"/>
          <w:lang w:val="en-GB"/>
        </w:rPr>
        <w:t xml:space="preserve"> articles underlined that </w:t>
      </w:r>
      <w:r w:rsidR="004E603D" w:rsidRPr="0002056A">
        <w:rPr>
          <w:rFonts w:ascii="Georgia" w:hAnsi="Georgia" w:cs="Times New Roman"/>
          <w:b/>
          <w:bCs/>
          <w:lang w:val="en-GB"/>
        </w:rPr>
        <w:t>climate adaptation is well suited to local government levels</w:t>
      </w:r>
      <w:r w:rsidR="004E603D" w:rsidRPr="0002056A">
        <w:rPr>
          <w:rStyle w:val="Lbjegyzet-hivatkozs"/>
          <w:rFonts w:ascii="Georgia" w:hAnsi="Georgia" w:cs="Times New Roman"/>
          <w:lang w:val="en-GB"/>
        </w:rPr>
        <w:footnoteReference w:id="55"/>
      </w:r>
      <w:r w:rsidR="004E603D" w:rsidRPr="0002056A">
        <w:rPr>
          <w:rFonts w:ascii="Georgia" w:hAnsi="Georgia" w:cs="Times New Roman"/>
          <w:i/>
          <w:lang w:val="en-GB"/>
        </w:rPr>
        <w:t xml:space="preserve"> </w:t>
      </w:r>
      <w:r w:rsidR="004E603D" w:rsidRPr="0002056A">
        <w:rPr>
          <w:rFonts w:ascii="Georgia" w:hAnsi="Georgia" w:cs="Times New Roman"/>
          <w:lang w:val="en-GB"/>
        </w:rPr>
        <w:t>(</w:t>
      </w:r>
      <w:r w:rsidR="004E603D" w:rsidRPr="0002056A">
        <w:rPr>
          <w:rFonts w:ascii="Georgia" w:hAnsi="Georgia" w:cs="Times New Roman"/>
          <w:smallCaps/>
          <w:lang w:val="en-GB"/>
        </w:rPr>
        <w:t>Hurlimann&amp;March</w:t>
      </w:r>
      <w:r w:rsidR="004E603D" w:rsidRPr="0002056A">
        <w:rPr>
          <w:rFonts w:ascii="Georgia" w:hAnsi="Georgia" w:cs="Times New Roman"/>
          <w:lang w:val="en-GB"/>
        </w:rPr>
        <w:t xml:space="preserve">, 2012; </w:t>
      </w:r>
      <w:r w:rsidR="004E603D" w:rsidRPr="0002056A">
        <w:rPr>
          <w:rFonts w:ascii="Georgia" w:hAnsi="Georgia" w:cs="Times New Roman"/>
          <w:smallCaps/>
          <w:lang w:val="en-GB"/>
        </w:rPr>
        <w:t>Picketts et al., 2013</w:t>
      </w:r>
      <w:r w:rsidR="006E70B9" w:rsidRPr="0002056A">
        <w:rPr>
          <w:rFonts w:ascii="Georgia" w:hAnsi="Georgia" w:cs="Times New Roman"/>
          <w:smallCaps/>
          <w:lang w:val="en-GB"/>
        </w:rPr>
        <w:t>;</w:t>
      </w:r>
      <w:r w:rsidR="004E603D" w:rsidRPr="0002056A">
        <w:rPr>
          <w:rFonts w:ascii="Georgia" w:hAnsi="Georgia" w:cs="Times New Roman"/>
          <w:smallCaps/>
          <w:lang w:val="en-GB"/>
        </w:rPr>
        <w:t xml:space="preserve"> Storbjörk&amp;Uggla, 2014; Davidse et al., 2015</w:t>
      </w:r>
      <w:r w:rsidR="006E70B9" w:rsidRPr="0002056A">
        <w:rPr>
          <w:rFonts w:ascii="Georgia" w:hAnsi="Georgia" w:cs="Times New Roman"/>
          <w:smallCaps/>
          <w:lang w:val="en-GB"/>
        </w:rPr>
        <w:t>;</w:t>
      </w:r>
      <w:r w:rsidR="004E603D" w:rsidRPr="0002056A">
        <w:rPr>
          <w:rFonts w:ascii="Georgia" w:hAnsi="Georgia" w:cs="Times New Roman"/>
          <w:smallCaps/>
          <w:lang w:val="en-GB"/>
        </w:rPr>
        <w:t xml:space="preserve"> UBA, 2025</w:t>
      </w:r>
      <w:r w:rsidR="004E603D" w:rsidRPr="0002056A">
        <w:rPr>
          <w:rFonts w:ascii="Georgia" w:hAnsi="Georgia" w:cs="Times New Roman"/>
          <w:lang w:val="en-GB"/>
        </w:rPr>
        <w:t xml:space="preserve">), where conscious, locally tailored, short-, mid- and long-term planning can bring solutions. Nevertheless, coordination of the lower </w:t>
      </w:r>
      <w:r w:rsidR="00012322" w:rsidRPr="0002056A">
        <w:rPr>
          <w:rFonts w:ascii="Georgia" w:hAnsi="Georgia" w:cs="Times New Roman"/>
          <w:lang w:val="en-GB"/>
        </w:rPr>
        <w:t>spatial (</w:t>
      </w:r>
      <w:r w:rsidR="004E603D" w:rsidRPr="0002056A">
        <w:rPr>
          <w:rFonts w:ascii="Georgia" w:hAnsi="Georgia" w:cs="Times New Roman"/>
          <w:lang w:val="en-GB"/>
        </w:rPr>
        <w:t>territorial</w:t>
      </w:r>
      <w:r w:rsidR="00012322" w:rsidRPr="0002056A">
        <w:rPr>
          <w:rFonts w:ascii="Georgia" w:hAnsi="Georgia" w:cs="Times New Roman"/>
          <w:lang w:val="en-GB"/>
        </w:rPr>
        <w:t>)</w:t>
      </w:r>
      <w:r w:rsidR="004E603D" w:rsidRPr="0002056A">
        <w:rPr>
          <w:rFonts w:ascii="Georgia" w:hAnsi="Georgia" w:cs="Times New Roman"/>
          <w:lang w:val="en-GB"/>
        </w:rPr>
        <w:t xml:space="preserve"> levels’ activities occurs usually at upper (regional, national) spatial hierarchical levels </w:t>
      </w:r>
      <w:r w:rsidR="004E603D" w:rsidRPr="0002056A">
        <w:rPr>
          <w:rFonts w:ascii="Georgia" w:hAnsi="Georgia" w:cs="Times New Roman"/>
          <w:lang w:val="en-GB"/>
        </w:rPr>
        <w:lastRenderedPageBreak/>
        <w:t>(</w:t>
      </w:r>
      <w:r w:rsidR="004E603D" w:rsidRPr="0002056A">
        <w:rPr>
          <w:rFonts w:ascii="Georgia" w:hAnsi="Georgia" w:cs="Times New Roman"/>
          <w:smallCaps/>
          <w:lang w:val="en-GB"/>
        </w:rPr>
        <w:t>Heidrich et al., 2016</w:t>
      </w:r>
      <w:r w:rsidR="004E603D" w:rsidRPr="0002056A">
        <w:rPr>
          <w:rFonts w:ascii="Georgia" w:hAnsi="Georgia" w:cs="Times New Roman"/>
          <w:lang w:val="en-GB"/>
        </w:rPr>
        <w:t xml:space="preserve">). The next subchapters summarize the literature’s results about these different spatial levels of adaptation activities. </w:t>
      </w:r>
    </w:p>
    <w:p w14:paraId="0F742505" w14:textId="604330A8" w:rsidR="004E603D" w:rsidRPr="0002056A" w:rsidRDefault="004E603D" w:rsidP="00214BD9">
      <w:pPr>
        <w:pStyle w:val="Cmsor4"/>
        <w:numPr>
          <w:ilvl w:val="3"/>
          <w:numId w:val="4"/>
        </w:numPr>
        <w:rPr>
          <w:lang w:val="en-GB"/>
        </w:rPr>
      </w:pPr>
      <w:r w:rsidRPr="0002056A">
        <w:rPr>
          <w:lang w:val="en-GB"/>
        </w:rPr>
        <w:t>The local level</w:t>
      </w:r>
    </w:p>
    <w:p w14:paraId="69DF8ACE" w14:textId="78508BD7" w:rsidR="004E603D" w:rsidRPr="0002056A" w:rsidRDefault="004E603D" w:rsidP="00CD5BF3">
      <w:pPr>
        <w:spacing w:before="120" w:after="120"/>
        <w:jc w:val="both"/>
        <w:rPr>
          <w:rFonts w:ascii="Georgia" w:hAnsi="Georgia"/>
          <w:lang w:val="en-GB"/>
        </w:rPr>
      </w:pPr>
      <w:r w:rsidRPr="0002056A">
        <w:rPr>
          <w:rFonts w:ascii="Georgia" w:hAnsi="Georgia"/>
          <w:lang w:val="en-GB"/>
        </w:rPr>
        <w:t xml:space="preserve">The </w:t>
      </w:r>
      <w:r w:rsidRPr="0002056A">
        <w:rPr>
          <w:rFonts w:ascii="Georgia" w:hAnsi="Georgia"/>
          <w:b/>
          <w:bCs/>
          <w:lang w:val="en-GB"/>
        </w:rPr>
        <w:t>prominent role of the local level</w:t>
      </w:r>
      <w:r w:rsidRPr="0002056A">
        <w:rPr>
          <w:rFonts w:ascii="Georgia" w:hAnsi="Georgia"/>
          <w:lang w:val="en-GB"/>
        </w:rPr>
        <w:t xml:space="preserve"> in adaptation </w:t>
      </w:r>
      <w:r w:rsidR="00CD0F40" w:rsidRPr="0002056A">
        <w:rPr>
          <w:rFonts w:ascii="Georgia" w:hAnsi="Georgia"/>
          <w:lang w:val="en-GB"/>
        </w:rPr>
        <w:t xml:space="preserve">policy </w:t>
      </w:r>
      <w:r w:rsidRPr="0002056A">
        <w:rPr>
          <w:rFonts w:ascii="Georgia" w:hAnsi="Georgia"/>
          <w:lang w:val="en-GB"/>
        </w:rPr>
        <w:t>planning</w:t>
      </w:r>
      <w:r w:rsidR="0010167B" w:rsidRPr="0002056A">
        <w:rPr>
          <w:rFonts w:ascii="Georgia" w:hAnsi="Georgia"/>
          <w:lang w:val="en-GB"/>
        </w:rPr>
        <w:t>, its</w:t>
      </w:r>
      <w:r w:rsidRPr="0002056A">
        <w:rPr>
          <w:rFonts w:ascii="Georgia" w:hAnsi="Georgia"/>
          <w:lang w:val="en-GB"/>
        </w:rPr>
        <w:t xml:space="preserve"> implementation and MRE is underlined by numerous literature sources: </w:t>
      </w:r>
      <w:r w:rsidRPr="0002056A">
        <w:rPr>
          <w:rFonts w:ascii="Georgia" w:hAnsi="Georgia"/>
          <w:b/>
          <w:bCs/>
          <w:lang w:val="en-GB"/>
        </w:rPr>
        <w:t>majority of the adaptation-related articles, studies, books and reports deals with this level</w:t>
      </w:r>
      <w:r w:rsidRPr="0002056A">
        <w:rPr>
          <w:rFonts w:ascii="Georgia" w:hAnsi="Georgia"/>
          <w:lang w:val="en-GB"/>
        </w:rPr>
        <w:t xml:space="preserve"> (especially with lager cities) (</w:t>
      </w:r>
      <w:r w:rsidRPr="0002056A">
        <w:rPr>
          <w:rFonts w:ascii="Georgia" w:hAnsi="Georgia" w:cstheme="minorHAnsi"/>
          <w:smallCaps/>
          <w:lang w:val="en-GB"/>
        </w:rPr>
        <w:t>Leiter, 2021</w:t>
      </w:r>
      <w:r w:rsidRPr="0002056A">
        <w:rPr>
          <w:rFonts w:ascii="Georgia" w:hAnsi="Georgia"/>
          <w:lang w:val="en-GB"/>
        </w:rPr>
        <w:t>), meanwhile the regional level got the smallest attention (</w:t>
      </w:r>
      <w:r w:rsidRPr="0002056A">
        <w:rPr>
          <w:rFonts w:ascii="Georgia" w:hAnsi="Georgia" w:cstheme="minorHAnsi"/>
          <w:smallCaps/>
          <w:lang w:val="en-GB"/>
        </w:rPr>
        <w:t>Birchall et al., 2022</w:t>
      </w:r>
      <w:r w:rsidRPr="0002056A">
        <w:rPr>
          <w:rFonts w:ascii="Georgia" w:hAnsi="Georgia"/>
          <w:lang w:val="en-GB"/>
        </w:rPr>
        <w:t>). I</w:t>
      </w:r>
      <w:r w:rsidRPr="0002056A">
        <w:rPr>
          <w:rFonts w:ascii="Georgia" w:hAnsi="Georgia" w:cs="ArialMT"/>
          <w:lang w:val="en-GB"/>
          <w14:ligatures w14:val="standardContextual"/>
        </w:rPr>
        <w:t xml:space="preserve">n 2019, local and regional governments accounted for 63% of climate-significant public expenditure and 69% of related public investment in 33 OECD countries and EU countries (OECD, 2023). </w:t>
      </w:r>
      <w:r w:rsidRPr="0002056A">
        <w:rPr>
          <w:rFonts w:ascii="Georgia" w:hAnsi="Georgia"/>
          <w:lang w:val="en-GB"/>
        </w:rPr>
        <w:t xml:space="preserve">The local level is regarded as the most important level for implementing </w:t>
      </w:r>
      <w:r w:rsidR="00A21C28" w:rsidRPr="0002056A">
        <w:rPr>
          <w:rFonts w:ascii="Georgia" w:hAnsi="Georgia"/>
          <w:lang w:val="en-GB"/>
        </w:rPr>
        <w:t xml:space="preserve">the intentions of </w:t>
      </w:r>
      <w:r w:rsidRPr="0002056A">
        <w:rPr>
          <w:rFonts w:ascii="Georgia" w:hAnsi="Georgia"/>
          <w:lang w:val="en-GB"/>
        </w:rPr>
        <w:t>national and regional adaptation strategies. This is due to local responsibilities for urban development and building permissions, but also to the fact that population trust in local authorities (</w:t>
      </w:r>
      <w:r w:rsidRPr="0002056A">
        <w:rPr>
          <w:rFonts w:ascii="Georgia" w:hAnsi="Georgia" w:cstheme="minorHAnsi"/>
          <w:smallCaps/>
          <w:lang w:val="en-GB"/>
        </w:rPr>
        <w:t>Greiving&amp;Fleischhauer, 2010</w:t>
      </w:r>
      <w:r w:rsidRPr="0002056A">
        <w:rPr>
          <w:rFonts w:ascii="Georgia" w:hAnsi="Georgia"/>
          <w:lang w:val="en-GB"/>
        </w:rPr>
        <w:t xml:space="preserve">). Among different types of municipalities </w:t>
      </w:r>
      <w:r w:rsidRPr="0002056A">
        <w:rPr>
          <w:rFonts w:ascii="Georgia" w:hAnsi="Georgia"/>
          <w:b/>
          <w:bCs/>
          <w:lang w:val="en-GB"/>
        </w:rPr>
        <w:t>urban settlements’ adaptation gets particular emphasis</w:t>
      </w:r>
      <w:r w:rsidRPr="0002056A">
        <w:rPr>
          <w:rFonts w:ascii="Georgia" w:hAnsi="Georgia"/>
          <w:lang w:val="en-GB"/>
        </w:rPr>
        <w:t xml:space="preserve"> in the literature, showing that climate change has emerged in urban areas as an important topic</w:t>
      </w:r>
      <w:r w:rsidR="00B613F3" w:rsidRPr="00B613F3">
        <w:rPr>
          <w:rFonts w:ascii="Georgia" w:hAnsi="Georgia"/>
          <w:lang w:val="en-GB"/>
        </w:rPr>
        <w:t xml:space="preserve"> </w:t>
      </w:r>
      <w:r w:rsidR="00B613F3" w:rsidRPr="0002056A">
        <w:rPr>
          <w:rFonts w:ascii="Georgia" w:hAnsi="Georgia"/>
          <w:lang w:val="en-GB"/>
        </w:rPr>
        <w:t>in the recent decades</w:t>
      </w:r>
      <w:r w:rsidRPr="0002056A">
        <w:rPr>
          <w:rFonts w:ascii="Georgia" w:hAnsi="Georgia"/>
          <w:lang w:val="en-GB"/>
        </w:rPr>
        <w:t>. Peltonen and his colleagues examined climate change’s challenges and their implications in urban planning (</w:t>
      </w:r>
      <w:r w:rsidRPr="0002056A">
        <w:rPr>
          <w:rFonts w:ascii="Georgia" w:hAnsi="Georgia" w:cstheme="minorHAnsi"/>
          <w:smallCaps/>
          <w:lang w:val="en-GB"/>
        </w:rPr>
        <w:t>Peltonen et al</w:t>
      </w:r>
      <w:r w:rsidRPr="0002056A">
        <w:rPr>
          <w:rFonts w:ascii="Georgia" w:hAnsi="Georgia"/>
          <w:lang w:val="en-GB"/>
        </w:rPr>
        <w:t>., 2005). Feldmayer and his co-authors regarded cities as multifaceted systems that contain several sub-systems, so improving their resilience is a special challenge (</w:t>
      </w:r>
      <w:r w:rsidRPr="0002056A">
        <w:rPr>
          <w:rFonts w:ascii="Georgia" w:hAnsi="Georgia" w:cstheme="minorHAnsi"/>
          <w:smallCaps/>
          <w:lang w:val="en-GB"/>
        </w:rPr>
        <w:t>Feldmayer et al</w:t>
      </w:r>
      <w:r w:rsidRPr="0002056A">
        <w:rPr>
          <w:rFonts w:ascii="Georgia" w:hAnsi="Georgia"/>
          <w:lang w:val="en-GB"/>
        </w:rPr>
        <w:t>., 2019). Ricci and Mariano analyse</w:t>
      </w:r>
      <w:r w:rsidR="00F90868" w:rsidRPr="0002056A">
        <w:rPr>
          <w:rFonts w:ascii="Georgia" w:hAnsi="Georgia"/>
          <w:lang w:val="en-GB"/>
        </w:rPr>
        <w:t>d</w:t>
      </w:r>
      <w:r w:rsidRPr="0002056A">
        <w:rPr>
          <w:rFonts w:ascii="Georgia" w:hAnsi="Georgia"/>
          <w:lang w:val="en-GB"/>
        </w:rPr>
        <w:t xml:space="preserve"> territorial governance’s role in climate adaptation, from the perspective of urban regeneration-related planning and development (</w:t>
      </w:r>
      <w:r w:rsidRPr="0002056A">
        <w:rPr>
          <w:rFonts w:ascii="Georgia" w:hAnsi="Georgia" w:cstheme="minorHAnsi"/>
          <w:smallCaps/>
          <w:lang w:val="en-GB"/>
        </w:rPr>
        <w:t>Ricci&amp;Mariano, 2023)</w:t>
      </w:r>
      <w:r w:rsidR="003E67E1" w:rsidRPr="0002056A">
        <w:rPr>
          <w:rFonts w:ascii="Georgia" w:hAnsi="Georgia" w:cstheme="minorHAnsi"/>
          <w:smallCaps/>
          <w:lang w:val="en-GB"/>
        </w:rPr>
        <w:t>.</w:t>
      </w:r>
      <w:r w:rsidRPr="0002056A">
        <w:rPr>
          <w:rFonts w:ascii="Georgia" w:hAnsi="Georgia"/>
          <w:lang w:val="en-GB"/>
        </w:rPr>
        <w:t xml:space="preserve"> Several </w:t>
      </w:r>
      <w:r w:rsidRPr="0002056A">
        <w:rPr>
          <w:rFonts w:ascii="Georgia" w:hAnsi="Georgia"/>
          <w:b/>
          <w:bCs/>
          <w:lang w:val="en-GB"/>
        </w:rPr>
        <w:t>comparative policy studies on urban climate actions</w:t>
      </w:r>
      <w:r w:rsidRPr="0002056A">
        <w:rPr>
          <w:rFonts w:ascii="Georgia" w:hAnsi="Georgia"/>
          <w:lang w:val="en-GB"/>
        </w:rPr>
        <w:t xml:space="preserve"> say that cities are taking an increasing role in climate policy, with well-documented mitigation experiences; these mitigation strategies were frequently precursors for adaptation documents (</w:t>
      </w:r>
      <w:r w:rsidRPr="0002056A">
        <w:rPr>
          <w:rFonts w:ascii="Georgia" w:hAnsi="Georgia" w:cstheme="minorHAnsi"/>
          <w:smallCaps/>
          <w:lang w:val="en-GB"/>
        </w:rPr>
        <w:t>Heidrich et al.</w:t>
      </w:r>
      <w:r w:rsidR="00036B54">
        <w:rPr>
          <w:rFonts w:ascii="Georgia" w:hAnsi="Georgia" w:cstheme="minorHAnsi"/>
          <w:smallCaps/>
          <w:lang w:val="en-GB"/>
        </w:rPr>
        <w:t>,</w:t>
      </w:r>
      <w:r w:rsidRPr="0002056A">
        <w:rPr>
          <w:rFonts w:ascii="Georgia" w:hAnsi="Georgia"/>
          <w:lang w:val="en-GB"/>
        </w:rPr>
        <w:t xml:space="preserve"> 2016; </w:t>
      </w:r>
      <w:r w:rsidRPr="0002056A">
        <w:rPr>
          <w:rFonts w:ascii="Georgia" w:hAnsi="Georgia" w:cstheme="minorHAnsi"/>
          <w:smallCaps/>
          <w:lang w:val="en-GB"/>
        </w:rPr>
        <w:t>Araos et al</w:t>
      </w:r>
      <w:r w:rsidRPr="0002056A">
        <w:rPr>
          <w:rFonts w:ascii="Georgia" w:hAnsi="Georgia"/>
          <w:lang w:val="en-GB"/>
        </w:rPr>
        <w:t xml:space="preserve">, 2016; </w:t>
      </w:r>
      <w:r w:rsidRPr="0002056A">
        <w:rPr>
          <w:rFonts w:ascii="Georgia" w:hAnsi="Georgia" w:cstheme="minorHAnsi"/>
          <w:smallCaps/>
          <w:lang w:val="en-GB"/>
        </w:rPr>
        <w:t>Birchall</w:t>
      </w:r>
      <w:r w:rsidR="00C60CF5" w:rsidRPr="0002056A">
        <w:rPr>
          <w:rFonts w:ascii="Georgia" w:hAnsi="Georgia" w:cstheme="minorHAnsi"/>
          <w:smallCaps/>
          <w:lang w:val="en-GB"/>
        </w:rPr>
        <w:t>&amp;</w:t>
      </w:r>
      <w:r w:rsidRPr="0002056A">
        <w:rPr>
          <w:rFonts w:ascii="Georgia" w:hAnsi="Georgia" w:cstheme="minorHAnsi"/>
          <w:smallCaps/>
          <w:lang w:val="en-GB"/>
        </w:rPr>
        <w:t xml:space="preserve"> Bonnet</w:t>
      </w:r>
      <w:r w:rsidRPr="0002056A">
        <w:rPr>
          <w:rFonts w:ascii="Georgia" w:hAnsi="Georgia"/>
          <w:lang w:val="en-GB"/>
        </w:rPr>
        <w:t xml:space="preserve">, 2020). Only a minority of European cities had their approved climate change strategies at the end of the 2010s, and </w:t>
      </w:r>
      <w:r w:rsidR="00036B54">
        <w:rPr>
          <w:rFonts w:ascii="Georgia" w:hAnsi="Georgia"/>
          <w:lang w:val="en-GB"/>
        </w:rPr>
        <w:t>Western European cities and larger municipalities performed better in this respect than Eastern European</w:t>
      </w:r>
      <w:r w:rsidRPr="0002056A">
        <w:rPr>
          <w:rFonts w:ascii="Georgia" w:hAnsi="Georgia"/>
          <w:lang w:val="en-GB"/>
        </w:rPr>
        <w:t xml:space="preserve"> and smaller towns (</w:t>
      </w:r>
      <w:r w:rsidRPr="0002056A">
        <w:rPr>
          <w:rFonts w:ascii="Georgia" w:hAnsi="Georgia" w:cstheme="minorHAnsi"/>
          <w:smallCaps/>
          <w:lang w:val="en-GB"/>
        </w:rPr>
        <w:t>Wright et al</w:t>
      </w:r>
      <w:r w:rsidRPr="0002056A">
        <w:rPr>
          <w:rFonts w:ascii="Georgia" w:hAnsi="Georgia"/>
          <w:lang w:val="en-GB"/>
        </w:rPr>
        <w:t xml:space="preserve">., 2021). </w:t>
      </w:r>
      <w:r w:rsidR="00E308AE" w:rsidRPr="0002056A">
        <w:rPr>
          <w:rFonts w:ascii="Georgia" w:hAnsi="Georgia" w:cstheme="minorHAnsi"/>
          <w:smallCaps/>
          <w:lang w:val="en-GB"/>
        </w:rPr>
        <w:t>Heidrich</w:t>
      </w:r>
      <w:r w:rsidR="00E308AE" w:rsidRPr="0002056A">
        <w:rPr>
          <w:rFonts w:ascii="Georgia" w:hAnsi="Georgia" w:cstheme="minorHAnsi"/>
          <w:lang w:val="en-GB"/>
        </w:rPr>
        <w:t xml:space="preserve"> and his co-authors </w:t>
      </w:r>
      <w:r w:rsidR="00E308AE" w:rsidRPr="0002056A">
        <w:rPr>
          <w:rFonts w:ascii="Georgia" w:hAnsi="Georgia"/>
          <w:lang w:val="en-GB"/>
        </w:rPr>
        <w:t>conducted comparative evaluation of 200 European cities’ climate change strategies from 11 countries. B</w:t>
      </w:r>
      <w:r w:rsidRPr="0002056A">
        <w:rPr>
          <w:rFonts w:ascii="Georgia" w:hAnsi="Georgia"/>
          <w:lang w:val="en-GB"/>
        </w:rPr>
        <w:t>ased on their pan-European comparative study</w:t>
      </w:r>
      <w:r w:rsidR="00036B54">
        <w:rPr>
          <w:rFonts w:ascii="Georgia" w:hAnsi="Georgia"/>
          <w:lang w:val="en-GB"/>
        </w:rPr>
        <w:t>,</w:t>
      </w:r>
      <w:r w:rsidRPr="0002056A">
        <w:rPr>
          <w:rFonts w:ascii="Georgia" w:hAnsi="Georgia"/>
          <w:lang w:val="en-GB"/>
        </w:rPr>
        <w:t xml:space="preserve"> </w:t>
      </w:r>
      <w:r w:rsidR="00E308AE" w:rsidRPr="0002056A">
        <w:rPr>
          <w:rFonts w:ascii="Georgia" w:hAnsi="Georgia"/>
          <w:lang w:val="en-GB"/>
        </w:rPr>
        <w:t xml:space="preserve">the authors </w:t>
      </w:r>
      <w:r w:rsidRPr="0002056A">
        <w:rPr>
          <w:rFonts w:ascii="Georgia" w:hAnsi="Georgia"/>
          <w:lang w:val="en-GB"/>
        </w:rPr>
        <w:t>call our attention to the role of European climate</w:t>
      </w:r>
      <w:r w:rsidR="0023600E" w:rsidRPr="0002056A">
        <w:rPr>
          <w:rFonts w:ascii="Georgia" w:hAnsi="Georgia"/>
          <w:lang w:val="en-GB"/>
        </w:rPr>
        <w:t xml:space="preserve">-related </w:t>
      </w:r>
      <w:r w:rsidRPr="0002056A">
        <w:rPr>
          <w:rFonts w:ascii="Georgia" w:hAnsi="Georgia"/>
          <w:lang w:val="en-GB"/>
        </w:rPr>
        <w:t xml:space="preserve">and other thematic networks. According to the authors, participation in those networks often supports the development of an explicit attitude to climate change, through easier access to best practices. They also pointed out that European national and regional policies can also stimulate </w:t>
      </w:r>
      <w:r w:rsidR="0023600E" w:rsidRPr="0002056A">
        <w:rPr>
          <w:rFonts w:ascii="Georgia" w:hAnsi="Georgia"/>
          <w:lang w:val="en-GB"/>
        </w:rPr>
        <w:t xml:space="preserve">the </w:t>
      </w:r>
      <w:r w:rsidRPr="0002056A">
        <w:rPr>
          <w:rFonts w:ascii="Georgia" w:hAnsi="Georgia"/>
          <w:lang w:val="en-GB"/>
        </w:rPr>
        <w:t>development of local strategies (</w:t>
      </w:r>
      <w:r w:rsidRPr="0002056A">
        <w:rPr>
          <w:rFonts w:ascii="Georgia" w:hAnsi="Georgia"/>
          <w:smallCaps/>
          <w:lang w:val="en-GB"/>
        </w:rPr>
        <w:t>Heidrich et al., 2016; EEA, 2015</w:t>
      </w:r>
      <w:r w:rsidRPr="0002056A">
        <w:rPr>
          <w:rFonts w:ascii="Georgia" w:hAnsi="Georgia"/>
          <w:lang w:val="en-GB"/>
        </w:rPr>
        <w:t>).</w:t>
      </w:r>
      <w:r w:rsidR="00BE63B0" w:rsidRPr="0002056A">
        <w:rPr>
          <w:rFonts w:ascii="Georgia" w:hAnsi="Georgia"/>
          <w:lang w:val="en-GB"/>
        </w:rPr>
        <w:t xml:space="preserve"> </w:t>
      </w:r>
      <w:r w:rsidRPr="0002056A">
        <w:rPr>
          <w:rFonts w:ascii="Georgia" w:hAnsi="Georgia"/>
          <w:lang w:val="en-GB"/>
        </w:rPr>
        <w:t xml:space="preserve">Other type of studies concentrates on specific </w:t>
      </w:r>
      <w:r w:rsidR="00036B54">
        <w:rPr>
          <w:rFonts w:ascii="Georgia" w:hAnsi="Georgia"/>
          <w:lang w:val="en-GB"/>
        </w:rPr>
        <w:t>local-level</w:t>
      </w:r>
      <w:r w:rsidRPr="0002056A">
        <w:rPr>
          <w:rFonts w:ascii="Georgia" w:hAnsi="Georgia"/>
          <w:lang w:val="en-GB"/>
        </w:rPr>
        <w:t xml:space="preserve"> pilot cases, like that of </w:t>
      </w:r>
      <w:r w:rsidRPr="0002056A">
        <w:rPr>
          <w:rFonts w:ascii="Georgia" w:hAnsi="Georgia" w:cstheme="minorHAnsi"/>
          <w:smallCaps/>
          <w:lang w:val="en-GB"/>
        </w:rPr>
        <w:t>Birchall &amp; Bonnet</w:t>
      </w:r>
      <w:r w:rsidRPr="0002056A">
        <w:rPr>
          <w:rFonts w:ascii="Georgia" w:hAnsi="Georgia"/>
          <w:lang w:val="en-GB"/>
        </w:rPr>
        <w:t>, who investigated threats to local adaptation policy development and implementation in Canada through document analysis and stakeholder narratives</w:t>
      </w:r>
      <w:r w:rsidRPr="0002056A">
        <w:rPr>
          <w:rStyle w:val="Lbjegyzet-hivatkozs"/>
          <w:rFonts w:ascii="Georgia" w:hAnsi="Georgia"/>
          <w:lang w:val="en-GB"/>
        </w:rPr>
        <w:footnoteReference w:id="56"/>
      </w:r>
      <w:r w:rsidRPr="0002056A">
        <w:rPr>
          <w:rFonts w:ascii="Georgia" w:hAnsi="Georgia"/>
          <w:lang w:val="en-GB"/>
        </w:rPr>
        <w:t xml:space="preserve"> (</w:t>
      </w:r>
      <w:r w:rsidRPr="0002056A">
        <w:rPr>
          <w:rFonts w:ascii="Georgia" w:hAnsi="Georgia" w:cstheme="minorHAnsi"/>
          <w:smallCaps/>
          <w:lang w:val="en-GB"/>
        </w:rPr>
        <w:t xml:space="preserve">Birchall </w:t>
      </w:r>
      <w:r w:rsidR="00036B54">
        <w:rPr>
          <w:rFonts w:ascii="Georgia" w:hAnsi="Georgia" w:cstheme="minorHAnsi"/>
          <w:smallCaps/>
          <w:lang w:val="en-GB"/>
        </w:rPr>
        <w:t>&amp;</w:t>
      </w:r>
      <w:r w:rsidR="00036B54" w:rsidRPr="0002056A">
        <w:rPr>
          <w:rFonts w:ascii="Georgia" w:hAnsi="Georgia" w:cstheme="minorHAnsi"/>
          <w:smallCaps/>
          <w:lang w:val="en-GB"/>
        </w:rPr>
        <w:t xml:space="preserve"> </w:t>
      </w:r>
      <w:r w:rsidRPr="0002056A">
        <w:rPr>
          <w:rFonts w:ascii="Georgia" w:hAnsi="Georgia" w:cstheme="minorHAnsi"/>
          <w:smallCaps/>
          <w:lang w:val="en-GB"/>
        </w:rPr>
        <w:t>Bonnet</w:t>
      </w:r>
      <w:r w:rsidRPr="0002056A">
        <w:rPr>
          <w:rFonts w:ascii="Georgia" w:hAnsi="Georgia"/>
          <w:lang w:val="en-GB"/>
        </w:rPr>
        <w:t>, 202</w:t>
      </w:r>
      <w:r w:rsidR="00A84768" w:rsidRPr="0002056A">
        <w:rPr>
          <w:rFonts w:ascii="Georgia" w:hAnsi="Georgia"/>
          <w:lang w:val="en-GB"/>
        </w:rPr>
        <w:t>1</w:t>
      </w:r>
      <w:r w:rsidRPr="0002056A">
        <w:rPr>
          <w:rFonts w:ascii="Georgia" w:hAnsi="Georgia"/>
          <w:lang w:val="en-GB"/>
        </w:rPr>
        <w:t>).</w:t>
      </w:r>
    </w:p>
    <w:p w14:paraId="3FDCEF81" w14:textId="57360C74" w:rsidR="004E603D" w:rsidRPr="0002056A" w:rsidRDefault="004E603D" w:rsidP="00CD5BF3">
      <w:pPr>
        <w:pStyle w:val="Default"/>
        <w:spacing w:before="120" w:after="120" w:line="276" w:lineRule="auto"/>
        <w:jc w:val="both"/>
        <w:rPr>
          <w:rFonts w:ascii="Georgia" w:hAnsi="Georgia"/>
          <w:color w:val="auto"/>
          <w:sz w:val="22"/>
          <w:szCs w:val="22"/>
          <w:lang w:val="en-GB"/>
        </w:rPr>
      </w:pPr>
      <w:r w:rsidRPr="0002056A">
        <w:rPr>
          <w:rFonts w:ascii="Georgia" w:hAnsi="Georgia"/>
          <w:color w:val="auto"/>
          <w:sz w:val="22"/>
          <w:szCs w:val="22"/>
          <w:lang w:val="en-GB"/>
        </w:rPr>
        <w:t xml:space="preserve">It is clear, that </w:t>
      </w:r>
      <w:r w:rsidRPr="0002056A">
        <w:rPr>
          <w:rFonts w:ascii="Georgia" w:hAnsi="Georgia"/>
          <w:b/>
          <w:bCs/>
          <w:color w:val="auto"/>
          <w:sz w:val="22"/>
          <w:szCs w:val="22"/>
          <w:lang w:val="en-GB"/>
        </w:rPr>
        <w:t>cities globally face significant risks from climate change, and are taking an active role in formulating adaptation plans/strategies</w:t>
      </w:r>
      <w:r w:rsidRPr="0002056A">
        <w:rPr>
          <w:rFonts w:ascii="Georgia" w:hAnsi="Georgia"/>
          <w:color w:val="auto"/>
          <w:sz w:val="22"/>
          <w:szCs w:val="22"/>
          <w:lang w:val="en-GB"/>
        </w:rPr>
        <w:t xml:space="preserve"> and implementing </w:t>
      </w:r>
      <w:r w:rsidR="00C66A4B" w:rsidRPr="0002056A">
        <w:rPr>
          <w:rFonts w:ascii="Georgia" w:hAnsi="Georgia"/>
          <w:color w:val="auto"/>
          <w:sz w:val="22"/>
          <w:szCs w:val="22"/>
          <w:lang w:val="en-GB"/>
        </w:rPr>
        <w:t xml:space="preserve">their </w:t>
      </w:r>
      <w:r w:rsidRPr="0002056A">
        <w:rPr>
          <w:rFonts w:ascii="Georgia" w:hAnsi="Georgia"/>
          <w:color w:val="auto"/>
          <w:sz w:val="22"/>
          <w:szCs w:val="22"/>
          <w:lang w:val="en-GB"/>
        </w:rPr>
        <w:t>climate adaptation policies (</w:t>
      </w:r>
      <w:r w:rsidRPr="0002056A">
        <w:rPr>
          <w:rFonts w:ascii="Georgia" w:hAnsi="Georgia"/>
          <w:smallCaps/>
          <w:color w:val="auto"/>
          <w:sz w:val="22"/>
          <w:szCs w:val="22"/>
          <w:lang w:val="en-GB"/>
        </w:rPr>
        <w:t>Hallegatte</w:t>
      </w:r>
      <w:r w:rsidRPr="0002056A">
        <w:rPr>
          <w:rFonts w:ascii="Georgia" w:hAnsi="Georgia"/>
          <w:color w:val="auto"/>
          <w:sz w:val="22"/>
          <w:szCs w:val="22"/>
          <w:lang w:val="en-GB"/>
        </w:rPr>
        <w:t xml:space="preserve"> S. , 2009; </w:t>
      </w:r>
      <w:r w:rsidRPr="0002056A">
        <w:rPr>
          <w:rFonts w:ascii="Georgia" w:hAnsi="Georgia"/>
          <w:smallCaps/>
          <w:color w:val="auto"/>
          <w:sz w:val="22"/>
          <w:szCs w:val="22"/>
          <w:lang w:val="en-GB"/>
        </w:rPr>
        <w:t>Romero Lankao &amp; Dodman</w:t>
      </w:r>
      <w:r w:rsidRPr="0002056A">
        <w:rPr>
          <w:rFonts w:ascii="Georgia" w:hAnsi="Georgia"/>
          <w:color w:val="auto"/>
          <w:sz w:val="22"/>
          <w:szCs w:val="22"/>
          <w:lang w:val="en-GB"/>
        </w:rPr>
        <w:t xml:space="preserve">, 2011; </w:t>
      </w:r>
      <w:r w:rsidRPr="0002056A">
        <w:rPr>
          <w:rFonts w:ascii="Georgia" w:hAnsi="Georgia"/>
          <w:smallCaps/>
          <w:color w:val="auto"/>
          <w:sz w:val="22"/>
          <w:szCs w:val="22"/>
          <w:lang w:val="en-GB"/>
        </w:rPr>
        <w:t>Davidse et al.,</w:t>
      </w:r>
      <w:r w:rsidRPr="0002056A">
        <w:rPr>
          <w:rFonts w:ascii="Georgia" w:hAnsi="Georgia"/>
          <w:color w:val="auto"/>
          <w:sz w:val="22"/>
          <w:szCs w:val="22"/>
          <w:lang w:val="en-GB"/>
        </w:rPr>
        <w:t xml:space="preserve"> 2015; </w:t>
      </w:r>
      <w:r w:rsidRPr="0002056A">
        <w:rPr>
          <w:rFonts w:ascii="Georgia" w:hAnsi="Georgia"/>
          <w:smallCaps/>
          <w:color w:val="auto"/>
          <w:sz w:val="22"/>
          <w:szCs w:val="22"/>
          <w:lang w:val="en-GB"/>
        </w:rPr>
        <w:t>Heidrich et al</w:t>
      </w:r>
      <w:r w:rsidRPr="0002056A">
        <w:rPr>
          <w:rFonts w:ascii="Georgia" w:hAnsi="Georgia"/>
          <w:color w:val="auto"/>
          <w:sz w:val="22"/>
          <w:szCs w:val="22"/>
          <w:lang w:val="en-GB"/>
        </w:rPr>
        <w:t xml:space="preserve">, 2016; </w:t>
      </w:r>
      <w:r w:rsidRPr="0002056A">
        <w:rPr>
          <w:rFonts w:ascii="Georgia" w:hAnsi="Georgia"/>
          <w:smallCaps/>
          <w:color w:val="auto"/>
          <w:sz w:val="22"/>
          <w:szCs w:val="22"/>
          <w:lang w:val="en-GB"/>
        </w:rPr>
        <w:t>Brunetta</w:t>
      </w:r>
      <w:r w:rsidR="008A41AF" w:rsidRPr="0002056A">
        <w:rPr>
          <w:rFonts w:ascii="Georgia" w:hAnsi="Georgia"/>
          <w:smallCaps/>
          <w:color w:val="auto"/>
          <w:sz w:val="22"/>
          <w:szCs w:val="22"/>
          <w:lang w:val="en-GB"/>
        </w:rPr>
        <w:t>&amp;</w:t>
      </w:r>
      <w:r w:rsidRPr="0002056A">
        <w:rPr>
          <w:rFonts w:ascii="Georgia" w:hAnsi="Georgia"/>
          <w:smallCaps/>
          <w:color w:val="auto"/>
          <w:sz w:val="22"/>
          <w:szCs w:val="22"/>
          <w:lang w:val="en-GB"/>
        </w:rPr>
        <w:t>Caldarice</w:t>
      </w:r>
      <w:r w:rsidRPr="0002056A">
        <w:rPr>
          <w:rFonts w:ascii="Georgia" w:hAnsi="Georgia"/>
          <w:color w:val="auto"/>
          <w:sz w:val="22"/>
          <w:szCs w:val="22"/>
          <w:lang w:val="en-GB"/>
        </w:rPr>
        <w:t xml:space="preserve">, 2018; </w:t>
      </w:r>
      <w:r w:rsidRPr="0002056A">
        <w:rPr>
          <w:rFonts w:ascii="Georgia" w:hAnsi="Georgia"/>
          <w:smallCaps/>
          <w:color w:val="auto"/>
          <w:sz w:val="22"/>
          <w:szCs w:val="22"/>
          <w:lang w:val="en-GB"/>
        </w:rPr>
        <w:t>Pieterse et al</w:t>
      </w:r>
      <w:r w:rsidRPr="0002056A">
        <w:rPr>
          <w:rFonts w:ascii="Georgia" w:hAnsi="Georgia"/>
          <w:color w:val="auto"/>
          <w:sz w:val="22"/>
          <w:szCs w:val="22"/>
          <w:lang w:val="en-GB"/>
        </w:rPr>
        <w:t xml:space="preserve">., 2018; </w:t>
      </w:r>
      <w:r w:rsidRPr="0002056A">
        <w:rPr>
          <w:rFonts w:ascii="Georgia" w:hAnsi="Georgia"/>
          <w:smallCaps/>
          <w:color w:val="auto"/>
          <w:sz w:val="22"/>
          <w:szCs w:val="22"/>
          <w:lang w:val="en-GB"/>
        </w:rPr>
        <w:t>Feldmeyer et al</w:t>
      </w:r>
      <w:r w:rsidRPr="0002056A">
        <w:rPr>
          <w:rFonts w:ascii="Georgia" w:hAnsi="Georgia"/>
          <w:color w:val="auto"/>
          <w:sz w:val="22"/>
          <w:szCs w:val="22"/>
          <w:lang w:val="en-GB"/>
        </w:rPr>
        <w:t xml:space="preserve">, 2019; </w:t>
      </w:r>
      <w:r w:rsidRPr="0002056A">
        <w:rPr>
          <w:rFonts w:ascii="Georgia" w:hAnsi="Georgia" w:cstheme="minorHAnsi"/>
          <w:smallCaps/>
          <w:color w:val="auto"/>
          <w:sz w:val="22"/>
          <w:szCs w:val="22"/>
          <w:lang w:val="en-GB"/>
        </w:rPr>
        <w:t>Birchall &amp; Bonnet</w:t>
      </w:r>
      <w:r w:rsidRPr="0002056A">
        <w:rPr>
          <w:rFonts w:ascii="Georgia" w:hAnsi="Georgia"/>
          <w:color w:val="auto"/>
          <w:sz w:val="22"/>
          <w:szCs w:val="22"/>
          <w:lang w:val="en-GB"/>
        </w:rPr>
        <w:t>, 202</w:t>
      </w:r>
      <w:r w:rsidR="00A84768" w:rsidRPr="0002056A">
        <w:rPr>
          <w:rFonts w:ascii="Georgia" w:hAnsi="Georgia"/>
          <w:color w:val="auto"/>
          <w:sz w:val="22"/>
          <w:szCs w:val="22"/>
          <w:lang w:val="en-GB"/>
        </w:rPr>
        <w:t>1</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Ye et al</w:t>
      </w:r>
      <w:r w:rsidRPr="0002056A">
        <w:rPr>
          <w:rFonts w:ascii="Georgia" w:hAnsi="Georgia"/>
          <w:color w:val="auto"/>
          <w:sz w:val="22"/>
          <w:szCs w:val="22"/>
          <w:lang w:val="en-GB"/>
        </w:rPr>
        <w:t>., 202</w:t>
      </w:r>
      <w:r w:rsidR="00BB5950" w:rsidRPr="0002056A">
        <w:rPr>
          <w:rFonts w:ascii="Georgia" w:hAnsi="Georgia"/>
          <w:color w:val="auto"/>
          <w:sz w:val="22"/>
          <w:szCs w:val="22"/>
          <w:lang w:val="en-GB"/>
        </w:rPr>
        <w:t>1</w:t>
      </w:r>
      <w:r w:rsidR="00036B54">
        <w:rPr>
          <w:rFonts w:ascii="Georgia" w:hAnsi="Georgia"/>
          <w:color w:val="auto"/>
          <w:sz w:val="22"/>
          <w:szCs w:val="22"/>
          <w:lang w:val="en-GB"/>
        </w:rPr>
        <w:t>;</w:t>
      </w:r>
      <w:r w:rsidR="00036B54" w:rsidRPr="0002056A">
        <w:rPr>
          <w:rFonts w:ascii="Georgia" w:hAnsi="Georgia"/>
          <w:color w:val="auto"/>
          <w:sz w:val="22"/>
          <w:szCs w:val="22"/>
          <w:lang w:val="en-GB"/>
        </w:rPr>
        <w:t xml:space="preserve"> </w:t>
      </w:r>
      <w:r w:rsidRPr="0002056A">
        <w:rPr>
          <w:rFonts w:ascii="Georgia" w:hAnsi="Georgia"/>
          <w:smallCaps/>
          <w:color w:val="auto"/>
          <w:sz w:val="22"/>
          <w:szCs w:val="22"/>
          <w:lang w:val="en-GB"/>
        </w:rPr>
        <w:t>Margano et al</w:t>
      </w:r>
      <w:r w:rsidRPr="0002056A">
        <w:rPr>
          <w:rFonts w:ascii="Georgia" w:hAnsi="Georgia"/>
          <w:color w:val="auto"/>
          <w:sz w:val="22"/>
          <w:szCs w:val="22"/>
          <w:lang w:val="en-GB"/>
        </w:rPr>
        <w:t xml:space="preserve">., 2021; </w:t>
      </w:r>
      <w:r w:rsidRPr="0002056A">
        <w:rPr>
          <w:rFonts w:ascii="Georgia" w:hAnsi="Georgia"/>
          <w:smallCaps/>
          <w:color w:val="auto"/>
          <w:sz w:val="22"/>
          <w:szCs w:val="22"/>
          <w:lang w:val="en-GB"/>
        </w:rPr>
        <w:t>Birchall et al</w:t>
      </w:r>
      <w:r w:rsidRPr="0002056A">
        <w:rPr>
          <w:rFonts w:ascii="Georgia" w:hAnsi="Georgia"/>
          <w:color w:val="auto"/>
          <w:sz w:val="22"/>
          <w:szCs w:val="22"/>
          <w:lang w:val="en-GB"/>
        </w:rPr>
        <w:t>., 2022), using risk assessments’ results, climate models and scenarios for better prediction of climate change impacts (</w:t>
      </w:r>
      <w:r w:rsidRPr="0002056A">
        <w:rPr>
          <w:rFonts w:ascii="Georgia" w:hAnsi="Georgia"/>
          <w:smallCaps/>
          <w:color w:val="auto"/>
          <w:sz w:val="22"/>
          <w:szCs w:val="22"/>
          <w:lang w:val="en-GB"/>
        </w:rPr>
        <w:t>Kerbler</w:t>
      </w:r>
      <w:r w:rsidRPr="0002056A">
        <w:rPr>
          <w:rFonts w:ascii="Georgia" w:hAnsi="Georgia"/>
          <w:color w:val="auto"/>
          <w:sz w:val="22"/>
          <w:szCs w:val="22"/>
          <w:lang w:val="en-GB"/>
        </w:rPr>
        <w:t xml:space="preserve">, 2016). The </w:t>
      </w:r>
      <w:r w:rsidR="00036B54">
        <w:rPr>
          <w:rFonts w:ascii="Georgia" w:hAnsi="Georgia"/>
          <w:b/>
          <w:bCs/>
          <w:color w:val="auto"/>
          <w:sz w:val="22"/>
          <w:szCs w:val="22"/>
          <w:lang w:val="en-GB"/>
        </w:rPr>
        <w:t xml:space="preserve">local-level-oriented adaptation planning literature mostly focuses on the characteristics of plans and </w:t>
      </w:r>
      <w:r w:rsidR="00036B54">
        <w:rPr>
          <w:rFonts w:ascii="Georgia" w:hAnsi="Georgia"/>
          <w:b/>
          <w:bCs/>
          <w:color w:val="auto"/>
          <w:sz w:val="22"/>
          <w:szCs w:val="22"/>
          <w:lang w:val="en-GB"/>
        </w:rPr>
        <w:lastRenderedPageBreak/>
        <w:t>potential ways to strengthen planning’s effectiveness and implementation</w:t>
      </w:r>
      <w:r w:rsidRPr="0002056A">
        <w:rPr>
          <w:rFonts w:ascii="Georgia" w:hAnsi="Georgia"/>
          <w:color w:val="auto"/>
          <w:sz w:val="22"/>
          <w:szCs w:val="22"/>
          <w:lang w:val="en-GB"/>
        </w:rPr>
        <w:t xml:space="preserve">. The literature sources identify </w:t>
      </w:r>
      <w:r w:rsidRPr="0002056A">
        <w:rPr>
          <w:rFonts w:ascii="Georgia" w:hAnsi="Georgia"/>
          <w:b/>
          <w:bCs/>
          <w:color w:val="auto"/>
          <w:sz w:val="22"/>
          <w:szCs w:val="22"/>
          <w:lang w:val="en-GB"/>
        </w:rPr>
        <w:t>also barriers</w:t>
      </w:r>
      <w:r w:rsidRPr="0002056A">
        <w:rPr>
          <w:rFonts w:ascii="Georgia" w:hAnsi="Georgia"/>
          <w:color w:val="auto"/>
          <w:sz w:val="22"/>
          <w:szCs w:val="22"/>
          <w:lang w:val="en-GB"/>
        </w:rPr>
        <w:t xml:space="preserve"> to effective local climate adaptation planning</w:t>
      </w:r>
      <w:r w:rsidRPr="0002056A">
        <w:rPr>
          <w:rFonts w:ascii="Georgia" w:hAnsi="Georgia"/>
          <w:color w:val="auto"/>
          <w:sz w:val="22"/>
          <w:szCs w:val="22"/>
          <w:vertAlign w:val="superscript"/>
          <w:lang w:val="en-GB"/>
        </w:rPr>
        <w:footnoteReference w:id="57"/>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Rannow</w:t>
      </w:r>
      <w:r w:rsidR="00F06CA6" w:rsidRPr="0002056A">
        <w:rPr>
          <w:rFonts w:ascii="Georgia" w:hAnsi="Georgia"/>
          <w:smallCaps/>
          <w:color w:val="auto"/>
          <w:sz w:val="22"/>
          <w:szCs w:val="22"/>
          <w:lang w:val="en-GB"/>
        </w:rPr>
        <w:t xml:space="preserve"> et al.,</w:t>
      </w:r>
      <w:r w:rsidRPr="0002056A">
        <w:rPr>
          <w:rFonts w:ascii="Georgia" w:hAnsi="Georgia"/>
          <w:color w:val="auto"/>
          <w:sz w:val="22"/>
          <w:szCs w:val="22"/>
          <w:lang w:val="en-GB"/>
        </w:rPr>
        <w:t xml:space="preserve"> 2010; </w:t>
      </w:r>
      <w:r w:rsidRPr="0002056A">
        <w:rPr>
          <w:rFonts w:ascii="Georgia" w:hAnsi="Georgia"/>
          <w:smallCaps/>
          <w:color w:val="auto"/>
          <w:sz w:val="22"/>
          <w:szCs w:val="22"/>
          <w:lang w:val="en-GB"/>
        </w:rPr>
        <w:t>Pringle, 2011; Baker et al, 2012; P</w:t>
      </w:r>
      <w:r w:rsidR="0058705F" w:rsidRPr="0002056A">
        <w:rPr>
          <w:rFonts w:ascii="Georgia" w:hAnsi="Georgia"/>
          <w:smallCaps/>
          <w:color w:val="auto"/>
          <w:sz w:val="22"/>
          <w:szCs w:val="22"/>
          <w:lang w:val="en-GB"/>
        </w:rPr>
        <w:t>h</w:t>
      </w:r>
      <w:r w:rsidRPr="0002056A">
        <w:rPr>
          <w:rFonts w:ascii="Georgia" w:hAnsi="Georgia"/>
          <w:smallCaps/>
          <w:color w:val="auto"/>
          <w:sz w:val="22"/>
          <w:szCs w:val="22"/>
          <w:lang w:val="en-GB"/>
        </w:rPr>
        <w:t>adke et al., 2015; Shi et al., 2015; Ford et al., 2015</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UNFCCC, 2015; Araos et al, 2016</w:t>
      </w:r>
      <w:r w:rsidRPr="0002056A">
        <w:rPr>
          <w:rFonts w:ascii="Georgia" w:hAnsi="Georgia"/>
          <w:color w:val="auto"/>
          <w:sz w:val="22"/>
          <w:szCs w:val="22"/>
          <w:lang w:val="en-GB"/>
        </w:rPr>
        <w:t>)</w:t>
      </w:r>
      <w:r w:rsidRPr="0002056A">
        <w:rPr>
          <w:rFonts w:ascii="Georgia" w:hAnsi="Georgia"/>
          <w:color w:val="auto"/>
          <w:sz w:val="22"/>
          <w:szCs w:val="22"/>
          <w:vertAlign w:val="superscript"/>
          <w:lang w:val="en-GB"/>
        </w:rPr>
        <w:footnoteReference w:id="58"/>
      </w:r>
      <w:r w:rsidRPr="0002056A">
        <w:rPr>
          <w:rFonts w:ascii="Georgia" w:hAnsi="Georgia"/>
          <w:color w:val="auto"/>
          <w:sz w:val="22"/>
          <w:szCs w:val="22"/>
          <w:lang w:val="en-GB"/>
        </w:rPr>
        <w:t xml:space="preserve">. Others </w:t>
      </w:r>
      <w:r w:rsidRPr="0002056A">
        <w:rPr>
          <w:rFonts w:ascii="Georgia" w:eastAsia="Times New Roman" w:hAnsi="Georgia" w:cs="Times New Roman"/>
          <w:color w:val="auto"/>
          <w:sz w:val="22"/>
          <w:szCs w:val="22"/>
          <w:lang w:val="en-GB" w:eastAsia="hu-HU"/>
        </w:rPr>
        <w:t xml:space="preserve">summarized the new research and literature results and discussed the </w:t>
      </w:r>
      <w:r w:rsidRPr="0002056A">
        <w:rPr>
          <w:rFonts w:ascii="Georgia" w:eastAsia="Times New Roman" w:hAnsi="Georgia" w:cs="Times New Roman"/>
          <w:b/>
          <w:bCs/>
          <w:color w:val="auto"/>
          <w:sz w:val="22"/>
          <w:szCs w:val="22"/>
          <w:lang w:val="en-GB" w:eastAsia="hu-HU"/>
        </w:rPr>
        <w:t xml:space="preserve">major methodological challenges to be overcome. </w:t>
      </w:r>
      <w:r w:rsidRPr="0002056A">
        <w:rPr>
          <w:rFonts w:ascii="Georgia" w:eastAsia="Times New Roman" w:hAnsi="Georgia" w:cs="Times New Roman"/>
          <w:color w:val="auto"/>
          <w:sz w:val="22"/>
          <w:szCs w:val="22"/>
          <w:lang w:val="en-GB" w:eastAsia="hu-HU"/>
        </w:rPr>
        <w:t xml:space="preserve">Ye and his colleagues </w:t>
      </w:r>
      <w:r w:rsidR="00036B54">
        <w:rPr>
          <w:rFonts w:ascii="Georgia" w:eastAsia="Times New Roman" w:hAnsi="Georgia" w:cs="Times New Roman"/>
          <w:color w:val="auto"/>
          <w:sz w:val="22"/>
          <w:szCs w:val="22"/>
          <w:lang w:val="en-GB" w:eastAsia="hu-HU"/>
        </w:rPr>
        <w:t>also identify</w:t>
      </w:r>
      <w:r w:rsidRPr="0002056A">
        <w:rPr>
          <w:rFonts w:ascii="Georgia" w:eastAsia="Times New Roman" w:hAnsi="Georgia" w:cs="Times New Roman"/>
          <w:color w:val="auto"/>
          <w:sz w:val="22"/>
          <w:szCs w:val="22"/>
          <w:lang w:val="en-GB" w:eastAsia="hu-HU"/>
        </w:rPr>
        <w:t xml:space="preserve"> future directions to advance quantitative assessments of urban-scale climate risks and improve related methodology</w:t>
      </w:r>
      <w:r w:rsidRPr="0002056A">
        <w:rPr>
          <w:rStyle w:val="Lbjegyzet-hivatkozs"/>
          <w:rFonts w:ascii="Georgia" w:eastAsia="Times New Roman" w:hAnsi="Georgia" w:cs="Times New Roman"/>
          <w:color w:val="auto"/>
          <w:sz w:val="22"/>
          <w:szCs w:val="22"/>
          <w:lang w:val="en-GB" w:eastAsia="hu-HU"/>
        </w:rPr>
        <w:footnoteReference w:id="59"/>
      </w:r>
      <w:r w:rsidRPr="0002056A">
        <w:rPr>
          <w:rFonts w:ascii="Georgia" w:eastAsia="Times New Roman" w:hAnsi="Georgia" w:cs="Times New Roman"/>
          <w:color w:val="auto"/>
          <w:sz w:val="22"/>
          <w:szCs w:val="22"/>
          <w:lang w:val="en-GB" w:eastAsia="hu-HU"/>
        </w:rPr>
        <w:t xml:space="preserve"> (</w:t>
      </w:r>
      <w:r w:rsidRPr="0002056A">
        <w:rPr>
          <w:rFonts w:ascii="Georgia" w:eastAsia="Times New Roman" w:hAnsi="Georgia" w:cs="Times New Roman"/>
          <w:smallCaps/>
          <w:color w:val="auto"/>
          <w:sz w:val="22"/>
          <w:szCs w:val="22"/>
          <w:lang w:val="en-GB" w:eastAsia="hu-HU"/>
        </w:rPr>
        <w:t>Ye et al</w:t>
      </w:r>
      <w:r w:rsidRPr="0002056A">
        <w:rPr>
          <w:rFonts w:ascii="Georgia" w:eastAsia="Times New Roman" w:hAnsi="Georgia" w:cs="Times New Roman"/>
          <w:color w:val="auto"/>
          <w:sz w:val="22"/>
          <w:szCs w:val="22"/>
          <w:lang w:val="en-GB" w:eastAsia="hu-HU"/>
        </w:rPr>
        <w:t>., 202</w:t>
      </w:r>
      <w:r w:rsidR="004D2939" w:rsidRPr="0002056A">
        <w:rPr>
          <w:rFonts w:ascii="Georgia" w:eastAsia="Times New Roman" w:hAnsi="Georgia" w:cs="Times New Roman"/>
          <w:color w:val="auto"/>
          <w:sz w:val="22"/>
          <w:szCs w:val="22"/>
          <w:lang w:val="en-GB" w:eastAsia="hu-HU"/>
        </w:rPr>
        <w:t>1</w:t>
      </w:r>
      <w:r w:rsidRPr="0002056A">
        <w:rPr>
          <w:rFonts w:ascii="Georgia" w:eastAsia="Times New Roman" w:hAnsi="Georgia" w:cs="Times New Roman"/>
          <w:color w:val="auto"/>
          <w:sz w:val="22"/>
          <w:szCs w:val="22"/>
          <w:lang w:val="en-GB" w:eastAsia="hu-HU"/>
        </w:rPr>
        <w:t xml:space="preserve">). </w:t>
      </w:r>
      <w:r w:rsidR="00C66A4B" w:rsidRPr="0002056A">
        <w:rPr>
          <w:rFonts w:ascii="Georgia" w:eastAsia="Times New Roman" w:hAnsi="Georgia" w:cs="Times New Roman"/>
          <w:color w:val="auto"/>
          <w:sz w:val="22"/>
          <w:szCs w:val="22"/>
          <w:lang w:val="en-GB" w:eastAsia="hu-HU"/>
        </w:rPr>
        <w:t>O</w:t>
      </w:r>
      <w:r w:rsidRPr="0002056A">
        <w:rPr>
          <w:rFonts w:ascii="Georgia" w:hAnsi="Georgia"/>
          <w:color w:val="auto"/>
          <w:sz w:val="22"/>
          <w:szCs w:val="22"/>
          <w:lang w:val="en-GB"/>
        </w:rPr>
        <w:t xml:space="preserve">thers emphasise that different </w:t>
      </w:r>
      <w:r w:rsidR="00E7357F" w:rsidRPr="0002056A">
        <w:rPr>
          <w:rFonts w:ascii="Georgia" w:hAnsi="Georgia"/>
          <w:color w:val="auto"/>
          <w:sz w:val="22"/>
          <w:szCs w:val="22"/>
          <w:lang w:val="en-GB"/>
        </w:rPr>
        <w:t xml:space="preserve">and diverse </w:t>
      </w:r>
      <w:r w:rsidRPr="0002056A">
        <w:rPr>
          <w:rFonts w:ascii="Georgia" w:hAnsi="Georgia"/>
          <w:color w:val="auto"/>
          <w:sz w:val="22"/>
          <w:szCs w:val="22"/>
          <w:lang w:val="en-GB"/>
        </w:rPr>
        <w:t xml:space="preserve">methodological approaches </w:t>
      </w:r>
      <w:r w:rsidR="00C66A4B" w:rsidRPr="0002056A">
        <w:rPr>
          <w:rFonts w:ascii="Georgia" w:hAnsi="Georgia"/>
          <w:color w:val="auto"/>
          <w:sz w:val="22"/>
          <w:szCs w:val="22"/>
          <w:lang w:val="en-GB"/>
        </w:rPr>
        <w:t xml:space="preserve">are </w:t>
      </w:r>
      <w:r w:rsidRPr="0002056A">
        <w:rPr>
          <w:rFonts w:ascii="Georgia" w:hAnsi="Georgia"/>
          <w:color w:val="auto"/>
          <w:sz w:val="22"/>
          <w:szCs w:val="22"/>
          <w:lang w:val="en-GB"/>
        </w:rPr>
        <w:t>used in urban level adaptation planning</w:t>
      </w:r>
      <w:r w:rsidR="00E7357F" w:rsidRPr="0002056A">
        <w:rPr>
          <w:rFonts w:ascii="Georgia" w:hAnsi="Georgia"/>
          <w:color w:val="auto"/>
          <w:sz w:val="22"/>
          <w:szCs w:val="22"/>
          <w:lang w:val="en-GB"/>
        </w:rPr>
        <w:t xml:space="preserve"> </w:t>
      </w:r>
      <w:r w:rsidRPr="0002056A">
        <w:rPr>
          <w:rFonts w:ascii="Georgia" w:hAnsi="Georgia"/>
          <w:color w:val="auto"/>
          <w:sz w:val="22"/>
          <w:szCs w:val="22"/>
          <w:lang w:val="en-GB"/>
        </w:rPr>
        <w:t>(both soft and hard tools, qualitative solutions and cost-benefit analyses etc.) (</w:t>
      </w:r>
      <w:r w:rsidRPr="0002056A">
        <w:rPr>
          <w:rFonts w:ascii="Georgia" w:hAnsi="Georgia"/>
          <w:smallCaps/>
          <w:color w:val="auto"/>
          <w:sz w:val="22"/>
          <w:szCs w:val="22"/>
          <w:lang w:val="en-GB"/>
        </w:rPr>
        <w:t>Goonesekera-Olazabal</w:t>
      </w:r>
      <w:r w:rsidRPr="0002056A">
        <w:rPr>
          <w:rFonts w:ascii="Georgia" w:hAnsi="Georgia"/>
          <w:color w:val="auto"/>
          <w:sz w:val="22"/>
          <w:szCs w:val="22"/>
          <w:lang w:val="en-GB"/>
        </w:rPr>
        <w:t>, 2022). Nevertheless, methodological and risk assessment-related literature remains limited in number, although quantifying and assessing these risks are of great importance for taking proactive measures against them (</w:t>
      </w:r>
      <w:r w:rsidRPr="0002056A">
        <w:rPr>
          <w:rFonts w:ascii="Georgia" w:hAnsi="Georgia"/>
          <w:smallCaps/>
          <w:color w:val="auto"/>
          <w:sz w:val="22"/>
          <w:szCs w:val="22"/>
          <w:lang w:val="en-GB"/>
        </w:rPr>
        <w:t>Ye et al</w:t>
      </w:r>
      <w:r w:rsidRPr="0002056A">
        <w:rPr>
          <w:rFonts w:ascii="Georgia" w:hAnsi="Georgia"/>
          <w:color w:val="auto"/>
          <w:sz w:val="22"/>
          <w:szCs w:val="22"/>
          <w:lang w:val="en-GB"/>
        </w:rPr>
        <w:t>., 202</w:t>
      </w:r>
      <w:r w:rsidR="004D2939" w:rsidRPr="0002056A">
        <w:rPr>
          <w:rFonts w:ascii="Georgia" w:hAnsi="Georgia"/>
          <w:color w:val="auto"/>
          <w:sz w:val="22"/>
          <w:szCs w:val="22"/>
          <w:lang w:val="en-GB"/>
        </w:rPr>
        <w:t>1</w:t>
      </w:r>
      <w:r w:rsidRPr="0002056A">
        <w:rPr>
          <w:rFonts w:ascii="Georgia" w:hAnsi="Georgia"/>
          <w:color w:val="auto"/>
          <w:sz w:val="22"/>
          <w:szCs w:val="22"/>
          <w:lang w:val="en-GB"/>
        </w:rPr>
        <w:t xml:space="preserve">). </w:t>
      </w:r>
    </w:p>
    <w:p w14:paraId="31A4111C" w14:textId="5DF457AB" w:rsidR="00E20F0F" w:rsidRPr="0002056A" w:rsidRDefault="00E20F0F" w:rsidP="00CD5BF3">
      <w:pPr>
        <w:pStyle w:val="Default"/>
        <w:spacing w:before="120" w:after="120" w:line="276" w:lineRule="auto"/>
        <w:jc w:val="both"/>
        <w:rPr>
          <w:rFonts w:ascii="Georgia" w:hAnsi="Georgia"/>
          <w:color w:val="auto"/>
          <w:sz w:val="22"/>
          <w:szCs w:val="22"/>
          <w:lang w:val="en-GB"/>
        </w:rPr>
      </w:pPr>
      <w:r w:rsidRPr="0002056A">
        <w:rPr>
          <w:rFonts w:ascii="Georgia" w:hAnsi="Georgia"/>
          <w:color w:val="auto"/>
          <w:sz w:val="22"/>
          <w:szCs w:val="22"/>
          <w:lang w:val="en-GB"/>
        </w:rPr>
        <w:t xml:space="preserve">A different group of authors examined </w:t>
      </w:r>
      <w:r w:rsidRPr="0002056A">
        <w:rPr>
          <w:rFonts w:ascii="Georgia" w:hAnsi="Georgia"/>
          <w:b/>
          <w:bCs/>
          <w:color w:val="auto"/>
          <w:sz w:val="22"/>
          <w:szCs w:val="22"/>
          <w:lang w:val="en-GB"/>
        </w:rPr>
        <w:t>changes in local adaptation-related strategic planning approaches</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Lombardi et al., 2011; Malekpour et al 2015</w:t>
      </w:r>
      <w:r w:rsidRPr="0002056A">
        <w:rPr>
          <w:rFonts w:ascii="Georgia" w:hAnsi="Georgia"/>
          <w:color w:val="auto"/>
          <w:sz w:val="22"/>
          <w:szCs w:val="22"/>
          <w:lang w:val="en-GB"/>
        </w:rPr>
        <w:t xml:space="preserve">,) </w:t>
      </w:r>
      <w:r w:rsidRPr="0002056A">
        <w:rPr>
          <w:rFonts w:ascii="Georgia" w:hAnsi="Georgia"/>
          <w:b/>
          <w:bCs/>
          <w:color w:val="auto"/>
          <w:sz w:val="22"/>
          <w:szCs w:val="22"/>
          <w:lang w:val="en-GB"/>
        </w:rPr>
        <w:t>or in thematic fields</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Brown, 2011; Yang et al., 2021</w:t>
      </w:r>
      <w:r w:rsidRPr="0002056A">
        <w:rPr>
          <w:rFonts w:ascii="Georgia" w:hAnsi="Georgia"/>
          <w:color w:val="auto"/>
          <w:sz w:val="22"/>
          <w:szCs w:val="22"/>
          <w:lang w:val="en-GB"/>
        </w:rPr>
        <w:t>). Some claim that over the last decades</w:t>
      </w:r>
      <w:r w:rsidR="00036B54">
        <w:rPr>
          <w:rFonts w:ascii="Georgia" w:hAnsi="Georgia"/>
          <w:color w:val="auto"/>
          <w:sz w:val="22"/>
          <w:szCs w:val="22"/>
          <w:lang w:val="en-GB"/>
        </w:rPr>
        <w:t>,</w:t>
      </w:r>
      <w:r w:rsidRPr="0002056A">
        <w:rPr>
          <w:rFonts w:ascii="Georgia" w:hAnsi="Georgia"/>
          <w:color w:val="auto"/>
          <w:sz w:val="22"/>
          <w:szCs w:val="22"/>
          <w:lang w:val="en-GB"/>
        </w:rPr>
        <w:t xml:space="preserve"> planning focus has shifted from sustainability to climate change and resilience, and traditional planning approaches are challenged by the uncertainty of processes and institutional constraints (</w:t>
      </w:r>
      <w:r w:rsidRPr="0002056A">
        <w:rPr>
          <w:rFonts w:ascii="Georgia" w:hAnsi="Georgia" w:cstheme="minorHAnsi"/>
          <w:smallCaps/>
          <w:color w:val="auto"/>
          <w:sz w:val="22"/>
          <w:szCs w:val="22"/>
          <w:lang w:val="en-GB"/>
        </w:rPr>
        <w:t xml:space="preserve">Birchall </w:t>
      </w:r>
      <w:r w:rsidR="00036B54">
        <w:rPr>
          <w:rFonts w:ascii="Georgia" w:hAnsi="Georgia" w:cstheme="minorHAnsi"/>
          <w:smallCaps/>
          <w:color w:val="auto"/>
          <w:sz w:val="22"/>
          <w:szCs w:val="22"/>
          <w:lang w:val="en-GB"/>
        </w:rPr>
        <w:t>&amp;</w:t>
      </w:r>
      <w:r w:rsidR="00036B54" w:rsidRPr="0002056A">
        <w:rPr>
          <w:rFonts w:ascii="Georgia" w:hAnsi="Georgia" w:cstheme="minorHAnsi"/>
          <w:smallCaps/>
          <w:color w:val="auto"/>
          <w:sz w:val="22"/>
          <w:szCs w:val="22"/>
          <w:lang w:val="en-GB"/>
        </w:rPr>
        <w:t xml:space="preserve"> </w:t>
      </w:r>
      <w:r w:rsidRPr="0002056A">
        <w:rPr>
          <w:rFonts w:ascii="Georgia" w:hAnsi="Georgia" w:cstheme="minorHAnsi"/>
          <w:smallCaps/>
          <w:color w:val="auto"/>
          <w:sz w:val="22"/>
          <w:szCs w:val="22"/>
          <w:lang w:val="en-GB"/>
        </w:rPr>
        <w:t>Bonnet</w:t>
      </w:r>
      <w:r w:rsidRPr="0002056A">
        <w:rPr>
          <w:rFonts w:ascii="Georgia" w:hAnsi="Georgia"/>
          <w:color w:val="auto"/>
          <w:sz w:val="22"/>
          <w:szCs w:val="22"/>
          <w:lang w:val="en-GB"/>
        </w:rPr>
        <w:t xml:space="preserve">, 2020). </w:t>
      </w:r>
    </w:p>
    <w:p w14:paraId="7E313DF4" w14:textId="3F2BC2B5" w:rsidR="00E20F0F" w:rsidRPr="0002056A" w:rsidRDefault="00E20F0F" w:rsidP="00CD5BF3">
      <w:pPr>
        <w:pStyle w:val="Default"/>
        <w:spacing w:before="120" w:after="120" w:line="276" w:lineRule="auto"/>
        <w:jc w:val="both"/>
        <w:rPr>
          <w:rFonts w:ascii="Georgia" w:hAnsi="Georgia"/>
          <w:color w:val="auto"/>
          <w:sz w:val="22"/>
          <w:szCs w:val="22"/>
          <w:highlight w:val="yellow"/>
          <w:lang w:val="en-GB"/>
        </w:rPr>
      </w:pPr>
      <w:r w:rsidRPr="0002056A">
        <w:rPr>
          <w:rFonts w:ascii="Georgia" w:hAnsi="Georgia"/>
          <w:color w:val="auto"/>
          <w:sz w:val="22"/>
          <w:szCs w:val="22"/>
          <w:lang w:val="en-GB"/>
        </w:rPr>
        <w:t xml:space="preserve">Another new emphasis that came up in local adaptation planning (right at the linking point between sustainable development and climate adaptation) is the </w:t>
      </w:r>
      <w:r w:rsidRPr="0002056A">
        <w:rPr>
          <w:rFonts w:ascii="Georgia" w:hAnsi="Georgia"/>
          <w:b/>
          <w:bCs/>
          <w:color w:val="auto"/>
          <w:sz w:val="22"/>
          <w:szCs w:val="22"/>
          <w:lang w:val="en-GB"/>
        </w:rPr>
        <w:t>evolution of the so-called ecosystem-, or nature-based adaptation measures</w:t>
      </w:r>
      <w:r w:rsidRPr="0002056A">
        <w:rPr>
          <w:rFonts w:ascii="Georgia" w:hAnsi="Georgia"/>
          <w:color w:val="auto"/>
          <w:sz w:val="22"/>
          <w:szCs w:val="22"/>
          <w:lang w:val="en-GB"/>
        </w:rPr>
        <w:t xml:space="preserve"> (EBA or NBA), whose promotion has recently been emerged both in the literature and in policies/practices at the local (especially the urban) level (</w:t>
      </w:r>
      <w:r w:rsidRPr="0002056A">
        <w:rPr>
          <w:rFonts w:ascii="Georgia" w:hAnsi="Georgia"/>
          <w:smallCaps/>
          <w:color w:val="auto"/>
          <w:sz w:val="22"/>
          <w:szCs w:val="22"/>
          <w:lang w:val="en-GB"/>
        </w:rPr>
        <w:t>Jones et al., 2012</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Geneletti-Zardo</w:t>
      </w:r>
      <w:r w:rsidRPr="0002056A">
        <w:rPr>
          <w:rFonts w:ascii="Georgia" w:hAnsi="Georgia"/>
          <w:color w:val="auto"/>
          <w:sz w:val="22"/>
          <w:szCs w:val="22"/>
          <w:lang w:val="en-GB"/>
        </w:rPr>
        <w:t>, 2016</w:t>
      </w:r>
      <w:r w:rsidR="00036B54">
        <w:rPr>
          <w:rFonts w:ascii="Georgia" w:hAnsi="Georgia"/>
          <w:color w:val="auto"/>
          <w:sz w:val="22"/>
          <w:szCs w:val="22"/>
          <w:lang w:val="en-GB"/>
        </w:rPr>
        <w:t>;</w:t>
      </w:r>
      <w:r w:rsidR="00036B54" w:rsidRPr="0002056A">
        <w:rPr>
          <w:rFonts w:ascii="Georgia" w:hAnsi="Georgia"/>
          <w:color w:val="auto"/>
          <w:sz w:val="22"/>
          <w:szCs w:val="22"/>
          <w:lang w:val="en-GB"/>
        </w:rPr>
        <w:t xml:space="preserve"> </w:t>
      </w:r>
      <w:r w:rsidRPr="0002056A">
        <w:rPr>
          <w:rFonts w:ascii="Georgia" w:hAnsi="Georgia"/>
          <w:color w:val="auto"/>
          <w:sz w:val="22"/>
          <w:szCs w:val="22"/>
          <w:lang w:val="en-GB"/>
        </w:rPr>
        <w:t>EEA, 2020)</w:t>
      </w:r>
      <w:r w:rsidRPr="0002056A">
        <w:rPr>
          <w:rStyle w:val="Lbjegyzet-hivatkozs"/>
          <w:rFonts w:ascii="Georgia" w:hAnsi="Georgia"/>
          <w:color w:val="auto"/>
          <w:sz w:val="22"/>
          <w:szCs w:val="22"/>
          <w:lang w:val="en-GB"/>
        </w:rPr>
        <w:footnoteReference w:id="60"/>
      </w:r>
      <w:r w:rsidRPr="0002056A">
        <w:rPr>
          <w:rFonts w:ascii="Georgia" w:hAnsi="Georgia"/>
          <w:color w:val="auto"/>
          <w:sz w:val="22"/>
          <w:szCs w:val="22"/>
          <w:lang w:val="en-GB"/>
        </w:rPr>
        <w:t>. Even the European Union’s related policy documents [both the first EU Climate Adaptation Strategy (</w:t>
      </w:r>
      <w:r w:rsidRPr="0002056A">
        <w:rPr>
          <w:rFonts w:ascii="Georgia" w:hAnsi="Georgia"/>
          <w:smallCaps/>
          <w:color w:val="auto"/>
          <w:sz w:val="22"/>
          <w:szCs w:val="22"/>
          <w:lang w:val="en-GB"/>
        </w:rPr>
        <w:t>EC, 2013</w:t>
      </w:r>
      <w:r w:rsidRPr="0002056A">
        <w:rPr>
          <w:rFonts w:ascii="Georgia" w:hAnsi="Georgia"/>
          <w:color w:val="auto"/>
          <w:sz w:val="22"/>
          <w:szCs w:val="22"/>
          <w:lang w:val="en-GB"/>
        </w:rPr>
        <w:t>) and its updated version (</w:t>
      </w:r>
      <w:r w:rsidRPr="0002056A">
        <w:rPr>
          <w:rFonts w:ascii="Georgia" w:hAnsi="Georgia"/>
          <w:smallCaps/>
          <w:color w:val="auto"/>
          <w:sz w:val="22"/>
          <w:szCs w:val="22"/>
          <w:lang w:val="en-GB"/>
        </w:rPr>
        <w:t>EC, 20</w:t>
      </w:r>
      <w:r w:rsidRPr="0002056A">
        <w:rPr>
          <w:rFonts w:ascii="Georgia" w:hAnsi="Georgia"/>
          <w:color w:val="auto"/>
          <w:sz w:val="22"/>
          <w:szCs w:val="22"/>
          <w:lang w:val="en-GB"/>
        </w:rPr>
        <w:t>21)</w:t>
      </w:r>
      <w:r w:rsidR="00036B54">
        <w:rPr>
          <w:rFonts w:ascii="Georgia" w:hAnsi="Georgia"/>
          <w:color w:val="auto"/>
          <w:sz w:val="22"/>
          <w:szCs w:val="22"/>
          <w:lang w:val="en-GB"/>
        </w:rPr>
        <w:t>, and the European Integrated Framework for Climate Resilience, currently under planning] explicitly encourage green infrastructure development and promote local ecosystem-based approaches to</w:t>
      </w:r>
      <w:r w:rsidRPr="0002056A">
        <w:rPr>
          <w:rFonts w:ascii="Georgia" w:hAnsi="Georgia"/>
          <w:color w:val="auto"/>
          <w:sz w:val="22"/>
          <w:szCs w:val="22"/>
          <w:lang w:val="en-GB"/>
        </w:rPr>
        <w:t xml:space="preserve"> adaptation.</w:t>
      </w:r>
    </w:p>
    <w:p w14:paraId="19DD0C92" w14:textId="4DE77E11" w:rsidR="004E603D" w:rsidRPr="0002056A" w:rsidRDefault="00C66A4B" w:rsidP="00CD5BF3">
      <w:pPr>
        <w:spacing w:before="120" w:after="120"/>
        <w:jc w:val="both"/>
        <w:rPr>
          <w:rFonts w:ascii="Georgia" w:hAnsi="Georgia" w:cs="Tahoma"/>
          <w:lang w:val="en-GB"/>
        </w:rPr>
      </w:pPr>
      <w:r w:rsidRPr="0002056A">
        <w:rPr>
          <w:rFonts w:ascii="Georgia" w:hAnsi="Georgia"/>
          <w:b/>
          <w:bCs/>
          <w:lang w:val="en-GB"/>
        </w:rPr>
        <w:t>A group of</w:t>
      </w:r>
      <w:r w:rsidR="004E603D" w:rsidRPr="0002056A">
        <w:rPr>
          <w:rFonts w:ascii="Georgia" w:hAnsi="Georgia"/>
          <w:b/>
          <w:bCs/>
          <w:lang w:val="en-GB"/>
        </w:rPr>
        <w:t xml:space="preserve"> articles focused directly on </w:t>
      </w:r>
      <w:r w:rsidR="00036B54">
        <w:rPr>
          <w:rFonts w:ascii="Georgia" w:hAnsi="Georgia"/>
          <w:b/>
          <w:bCs/>
          <w:lang w:val="en-GB"/>
        </w:rPr>
        <w:t>urban-level</w:t>
      </w:r>
      <w:r w:rsidR="004E603D" w:rsidRPr="0002056A">
        <w:rPr>
          <w:rFonts w:ascii="Georgia" w:hAnsi="Georgia"/>
          <w:b/>
          <w:bCs/>
          <w:lang w:val="en-GB"/>
        </w:rPr>
        <w:t xml:space="preserve"> indicators.</w:t>
      </w:r>
      <w:r w:rsidR="004E603D" w:rsidRPr="0002056A">
        <w:rPr>
          <w:rFonts w:ascii="Georgia" w:hAnsi="Georgia"/>
          <w:lang w:val="en-GB"/>
        </w:rPr>
        <w:t xml:space="preserve"> Feldmayer et al.</w:t>
      </w:r>
      <w:r w:rsidR="00036B54">
        <w:rPr>
          <w:rFonts w:ascii="Georgia" w:hAnsi="Georgia"/>
          <w:lang w:val="en-GB"/>
        </w:rPr>
        <w:t>,</w:t>
      </w:r>
      <w:r w:rsidR="004E603D" w:rsidRPr="0002056A">
        <w:rPr>
          <w:rFonts w:ascii="Georgia" w:hAnsi="Georgia"/>
          <w:lang w:val="en-GB"/>
        </w:rPr>
        <w:t xml:space="preserve"> in their study, based on literature review, online survey, validation workshops and sectoral </w:t>
      </w:r>
      <w:r w:rsidR="004E603D" w:rsidRPr="0002056A">
        <w:rPr>
          <w:rFonts w:ascii="Georgia" w:hAnsi="Georgia" w:cs="Tahoma"/>
          <w:lang w:val="en-GB"/>
        </w:rPr>
        <w:t>experts’ quality control, provided an indicator set to measure urban climate resilience and monitor adaptation activities</w:t>
      </w:r>
      <w:r w:rsidR="00E20F0F" w:rsidRPr="0002056A">
        <w:rPr>
          <w:rFonts w:ascii="Georgia" w:hAnsi="Georgia" w:cs="Tahoma"/>
          <w:lang w:val="en-GB"/>
        </w:rPr>
        <w:t>. They</w:t>
      </w:r>
      <w:r w:rsidR="004E603D" w:rsidRPr="0002056A">
        <w:rPr>
          <w:rFonts w:ascii="Georgia" w:hAnsi="Georgia" w:cs="Tahoma"/>
          <w:lang w:val="en-GB"/>
        </w:rPr>
        <w:t xml:space="preserve"> finally identified 24 indicators distributed over 24 action fields</w:t>
      </w:r>
      <w:r w:rsidR="004E603D" w:rsidRPr="0002056A">
        <w:rPr>
          <w:rFonts w:ascii="Georgia" w:hAnsi="Georgia"/>
          <w:lang w:val="en-GB"/>
        </w:rPr>
        <w:t xml:space="preserve">. As we will see later at the national level, too, the authors emphasise that existing indicator sets at the local level are good starting points to </w:t>
      </w:r>
      <w:r w:rsidR="00AC68D3" w:rsidRPr="0002056A">
        <w:rPr>
          <w:rFonts w:ascii="Georgia" w:hAnsi="Georgia"/>
          <w:lang w:val="en-GB"/>
        </w:rPr>
        <w:t xml:space="preserve">adaptation </w:t>
      </w:r>
      <w:r w:rsidR="004E603D" w:rsidRPr="0002056A">
        <w:rPr>
          <w:rFonts w:ascii="Georgia" w:hAnsi="Georgia"/>
          <w:lang w:val="en-GB"/>
        </w:rPr>
        <w:t xml:space="preserve">indicator </w:t>
      </w:r>
      <w:r w:rsidR="00AC68D3" w:rsidRPr="0002056A">
        <w:rPr>
          <w:rFonts w:ascii="Georgia" w:hAnsi="Georgia"/>
          <w:lang w:val="en-GB"/>
        </w:rPr>
        <w:t>sy</w:t>
      </w:r>
      <w:r w:rsidR="004E603D" w:rsidRPr="0002056A">
        <w:rPr>
          <w:rFonts w:ascii="Georgia" w:hAnsi="Georgia"/>
          <w:lang w:val="en-GB"/>
        </w:rPr>
        <w:t>st</w:t>
      </w:r>
      <w:r w:rsidR="00AC68D3" w:rsidRPr="0002056A">
        <w:rPr>
          <w:rFonts w:ascii="Georgia" w:hAnsi="Georgia"/>
          <w:lang w:val="en-GB"/>
        </w:rPr>
        <w:t>em</w:t>
      </w:r>
      <w:r w:rsidR="004E603D" w:rsidRPr="0002056A">
        <w:rPr>
          <w:rFonts w:ascii="Georgia" w:hAnsi="Georgia"/>
          <w:lang w:val="en-GB"/>
        </w:rPr>
        <w:t xml:space="preserve"> development but adjusting them to the special local circumstances is also essential (</w:t>
      </w:r>
      <w:r w:rsidR="004E603D" w:rsidRPr="0002056A">
        <w:rPr>
          <w:rFonts w:ascii="Georgia" w:hAnsi="Georgia"/>
          <w:smallCaps/>
          <w:lang w:val="en-GB"/>
        </w:rPr>
        <w:t>Feldmayer et al</w:t>
      </w:r>
      <w:r w:rsidR="004E603D" w:rsidRPr="0002056A">
        <w:rPr>
          <w:rFonts w:ascii="Georgia" w:hAnsi="Georgia"/>
          <w:lang w:val="en-GB"/>
        </w:rPr>
        <w:t>., 2019)</w:t>
      </w:r>
      <w:r w:rsidR="004E603D" w:rsidRPr="0002056A">
        <w:rPr>
          <w:rFonts w:ascii="Georgia" w:hAnsi="Georgia" w:cs="Tahoma"/>
          <w:lang w:val="en-GB"/>
        </w:rPr>
        <w:t>.</w:t>
      </w:r>
      <w:r w:rsidR="004E603D" w:rsidRPr="0002056A">
        <w:rPr>
          <w:rFonts w:ascii="Georgia" w:hAnsi="Georgia"/>
          <w:lang w:val="en-GB"/>
        </w:rPr>
        <w:t xml:space="preserve"> </w:t>
      </w:r>
      <w:r w:rsidR="004E603D" w:rsidRPr="0002056A">
        <w:rPr>
          <w:rFonts w:ascii="Georgia" w:hAnsi="Georgia" w:cs="Tahoma"/>
          <w:lang w:val="en-GB"/>
        </w:rPr>
        <w:t xml:space="preserve">Goonesekera and Olazabal surveyed the 136 largest coastal cities worldwide, concentrating on publicly available city-level adaptation planning documents to </w:t>
      </w:r>
      <w:r w:rsidR="004E603D" w:rsidRPr="0002056A">
        <w:rPr>
          <w:rFonts w:ascii="Georgia" w:hAnsi="Georgia" w:cs="Tahoma"/>
          <w:lang w:val="en-GB"/>
        </w:rPr>
        <w:lastRenderedPageBreak/>
        <w:t xml:space="preserve">examine </w:t>
      </w:r>
      <w:r w:rsidR="00036B54">
        <w:rPr>
          <w:rFonts w:ascii="Georgia" w:hAnsi="Georgia" w:cs="Tahoma"/>
          <w:lang w:val="en-GB"/>
        </w:rPr>
        <w:t xml:space="preserve">the indicators and metrics used </w:t>
      </w:r>
      <w:r w:rsidR="004E603D" w:rsidRPr="0002056A">
        <w:rPr>
          <w:rFonts w:ascii="Georgia" w:hAnsi="Georgia" w:cs="Tahoma"/>
          <w:lang w:val="en-GB"/>
        </w:rPr>
        <w:t>to track climate adaptation. Out of the analysed city documents</w:t>
      </w:r>
      <w:r w:rsidR="00036B54">
        <w:rPr>
          <w:rFonts w:ascii="Georgia" w:hAnsi="Georgia" w:cs="Tahoma"/>
          <w:lang w:val="en-GB"/>
        </w:rPr>
        <w:t>, only 13 identified adaptation indicators, showing the “globally embryonic</w:t>
      </w:r>
      <w:r w:rsidR="004E603D" w:rsidRPr="0002056A">
        <w:rPr>
          <w:rFonts w:ascii="Georgia" w:hAnsi="Georgia" w:cs="Tahoma"/>
          <w:lang w:val="en-GB"/>
        </w:rPr>
        <w:t xml:space="preserve"> state” of adaptation MRE</w:t>
      </w:r>
      <w:r w:rsidR="004E603D" w:rsidRPr="0002056A">
        <w:rPr>
          <w:rStyle w:val="Lbjegyzet-hivatkozs"/>
          <w:rFonts w:ascii="Georgia" w:hAnsi="Georgia" w:cs="Tahoma"/>
          <w:lang w:val="en-GB"/>
        </w:rPr>
        <w:footnoteReference w:id="61"/>
      </w:r>
      <w:r w:rsidR="004E603D" w:rsidRPr="0002056A">
        <w:rPr>
          <w:rFonts w:ascii="Georgia" w:hAnsi="Georgia" w:cs="Tahoma"/>
          <w:lang w:val="en-GB"/>
        </w:rPr>
        <w:t>. Therefore, the</w:t>
      </w:r>
      <w:r w:rsidR="00E20F0F" w:rsidRPr="0002056A">
        <w:rPr>
          <w:rFonts w:ascii="Georgia" w:hAnsi="Georgia" w:cs="Tahoma"/>
          <w:lang w:val="en-GB"/>
        </w:rPr>
        <w:t xml:space="preserve"> authors</w:t>
      </w:r>
      <w:r w:rsidR="004E603D" w:rsidRPr="0002056A">
        <w:rPr>
          <w:rFonts w:ascii="Georgia" w:hAnsi="Georgia" w:cs="Tahoma"/>
          <w:lang w:val="en-GB"/>
        </w:rPr>
        <w:t xml:space="preserve"> emphasise, connection between adaptation objectives and associated measures and results must be strengthened; MRE activities </w:t>
      </w:r>
      <w:r w:rsidR="00706115" w:rsidRPr="0002056A">
        <w:rPr>
          <w:rFonts w:ascii="Georgia" w:hAnsi="Georgia" w:cs="Tahoma"/>
          <w:lang w:val="en-GB"/>
        </w:rPr>
        <w:t xml:space="preserve">must </w:t>
      </w:r>
      <w:r w:rsidR="00E20F0F" w:rsidRPr="0002056A">
        <w:rPr>
          <w:rFonts w:ascii="Georgia" w:hAnsi="Georgia" w:cs="Tahoma"/>
          <w:lang w:val="en-GB"/>
        </w:rPr>
        <w:t xml:space="preserve">play </w:t>
      </w:r>
      <w:r w:rsidR="004E603D" w:rsidRPr="0002056A">
        <w:rPr>
          <w:rFonts w:ascii="Georgia" w:hAnsi="Georgia" w:cs="Tahoma"/>
          <w:lang w:val="en-GB"/>
        </w:rPr>
        <w:t>a key role in this (</w:t>
      </w:r>
      <w:r w:rsidR="004E603D" w:rsidRPr="0002056A">
        <w:rPr>
          <w:rFonts w:ascii="Georgia" w:hAnsi="Georgia" w:cs="Tahoma"/>
          <w:smallCaps/>
          <w:lang w:val="en-GB"/>
        </w:rPr>
        <w:t xml:space="preserve">Goonesekera </w:t>
      </w:r>
      <w:r w:rsidR="00036B54">
        <w:rPr>
          <w:rFonts w:ascii="Georgia" w:hAnsi="Georgia" w:cs="Tahoma"/>
          <w:smallCaps/>
          <w:lang w:val="en-GB"/>
        </w:rPr>
        <w:t>&amp;</w:t>
      </w:r>
      <w:r w:rsidR="00036B54" w:rsidRPr="0002056A">
        <w:rPr>
          <w:rFonts w:ascii="Georgia" w:hAnsi="Georgia" w:cs="Tahoma"/>
          <w:smallCaps/>
          <w:lang w:val="en-GB"/>
        </w:rPr>
        <w:t xml:space="preserve"> </w:t>
      </w:r>
      <w:r w:rsidR="004E603D" w:rsidRPr="0002056A">
        <w:rPr>
          <w:rFonts w:ascii="Georgia" w:hAnsi="Georgia" w:cs="Tahoma"/>
          <w:smallCaps/>
          <w:lang w:val="en-GB"/>
        </w:rPr>
        <w:t>Olazabal</w:t>
      </w:r>
      <w:r w:rsidR="004E603D" w:rsidRPr="0002056A">
        <w:rPr>
          <w:rFonts w:ascii="Georgia" w:hAnsi="Georgia" w:cs="Tahoma"/>
          <w:lang w:val="en-GB"/>
        </w:rPr>
        <w:t>, 2022).</w:t>
      </w:r>
    </w:p>
    <w:p w14:paraId="104309ED" w14:textId="5DD042C1" w:rsidR="00F51778" w:rsidRPr="0002056A" w:rsidRDefault="004E603D" w:rsidP="00CD5BF3">
      <w:pPr>
        <w:spacing w:before="120" w:after="120"/>
        <w:jc w:val="both"/>
        <w:rPr>
          <w:rFonts w:ascii="Georgia" w:hAnsi="Georgia" w:cs="Times New Roman"/>
          <w:lang w:val="en-GB"/>
        </w:rPr>
      </w:pPr>
      <w:r w:rsidRPr="0002056A">
        <w:rPr>
          <w:rFonts w:ascii="Georgia" w:hAnsi="Georgia" w:cs="Times New Roman"/>
          <w:lang w:val="en-GB"/>
        </w:rPr>
        <w:t xml:space="preserve">While </w:t>
      </w:r>
      <w:r w:rsidR="00036B54">
        <w:rPr>
          <w:rFonts w:ascii="Georgia" w:hAnsi="Georgia" w:cs="Times New Roman"/>
          <w:lang w:val="en-GB"/>
        </w:rPr>
        <w:t>urbanisation and climate change had already been acknowledged as important dimensions and drivers of global change for decades, the significant challenges for urban and spatial governance emerging at their interface were recognised</w:t>
      </w:r>
      <w:r w:rsidRPr="0002056A">
        <w:rPr>
          <w:rFonts w:ascii="Georgia" w:hAnsi="Georgia" w:cs="Times New Roman"/>
          <w:lang w:val="en-GB"/>
        </w:rPr>
        <w:t xml:space="preserve"> only at the beginning of the 2010’s.</w:t>
      </w:r>
      <w:r w:rsidR="00F51778" w:rsidRPr="0002056A">
        <w:rPr>
          <w:rFonts w:ascii="Georgia" w:hAnsi="Georgia" w:cs="Times New Roman"/>
          <w:lang w:val="en-GB"/>
        </w:rPr>
        <w:t xml:space="preserve"> The earlier </w:t>
      </w:r>
      <w:r w:rsidR="007F29D8" w:rsidRPr="0002056A">
        <w:rPr>
          <w:rFonts w:ascii="Georgia" w:hAnsi="Georgia" w:cs="Times New Roman"/>
          <w:lang w:val="en-GB"/>
        </w:rPr>
        <w:t>introduced (Chapter 3.4.1.)</w:t>
      </w:r>
      <w:r w:rsidR="00F51778" w:rsidRPr="0002056A">
        <w:rPr>
          <w:rFonts w:ascii="Georgia" w:hAnsi="Georgia" w:cs="Times New Roman"/>
          <w:lang w:val="en-GB"/>
        </w:rPr>
        <w:t xml:space="preserve"> works of Wheeler and Birkmann should be mentioned here again (</w:t>
      </w:r>
      <w:r w:rsidR="00F51778" w:rsidRPr="0002056A">
        <w:rPr>
          <w:rFonts w:ascii="Georgia" w:hAnsi="Georgia" w:cs="Times New Roman"/>
          <w:smallCaps/>
          <w:lang w:val="en-GB"/>
        </w:rPr>
        <w:t>Wheeler, 2013; Birkmann et al., 2014</w:t>
      </w:r>
      <w:r w:rsidR="00F51778" w:rsidRPr="0002056A">
        <w:rPr>
          <w:rFonts w:ascii="Georgia" w:hAnsi="Georgia" w:cs="Times New Roman"/>
          <w:lang w:val="en-GB"/>
        </w:rPr>
        <w:t>).</w:t>
      </w:r>
    </w:p>
    <w:p w14:paraId="5B0C1B27" w14:textId="1584D89E" w:rsidR="004E603D" w:rsidRPr="0002056A" w:rsidRDefault="004E603D" w:rsidP="00214BD9">
      <w:pPr>
        <w:pStyle w:val="Cmsor4"/>
        <w:numPr>
          <w:ilvl w:val="3"/>
          <w:numId w:val="4"/>
        </w:numPr>
        <w:rPr>
          <w:lang w:val="en-GB"/>
        </w:rPr>
      </w:pPr>
      <w:r w:rsidRPr="0002056A">
        <w:rPr>
          <w:lang w:val="en-GB"/>
        </w:rPr>
        <w:t>The subnational level</w:t>
      </w:r>
    </w:p>
    <w:p w14:paraId="7A7A9E13" w14:textId="2E339036" w:rsidR="004E603D" w:rsidRPr="0002056A" w:rsidRDefault="004E603D" w:rsidP="00CD5BF3">
      <w:pPr>
        <w:spacing w:before="120" w:after="120"/>
        <w:jc w:val="both"/>
        <w:rPr>
          <w:rFonts w:ascii="Georgia" w:hAnsi="Georgia" w:cstheme="minorHAnsi"/>
          <w:lang w:val="en-GB"/>
        </w:rPr>
      </w:pPr>
      <w:r w:rsidRPr="0002056A">
        <w:rPr>
          <w:rFonts w:ascii="Georgia" w:hAnsi="Georgia" w:cstheme="minorHAnsi"/>
          <w:lang w:val="en-GB"/>
        </w:rPr>
        <w:t xml:space="preserve">According to the reviewed literature, globalisation </w:t>
      </w:r>
      <w:r w:rsidR="006D4EA0" w:rsidRPr="0002056A">
        <w:rPr>
          <w:rFonts w:ascii="Georgia" w:hAnsi="Georgia" w:cstheme="minorHAnsi"/>
          <w:lang w:val="en-GB"/>
        </w:rPr>
        <w:t>goes hand in hand with</w:t>
      </w:r>
      <w:r w:rsidRPr="0002056A">
        <w:rPr>
          <w:rFonts w:ascii="Georgia" w:hAnsi="Georgia" w:cstheme="minorHAnsi"/>
          <w:lang w:val="en-GB"/>
        </w:rPr>
        <w:t xml:space="preserve"> the growing role of sub- and supra-national levels in economic </w:t>
      </w:r>
      <w:r w:rsidR="00036B54">
        <w:rPr>
          <w:rFonts w:ascii="Georgia" w:hAnsi="Georgia" w:cstheme="minorHAnsi"/>
          <w:lang w:val="en-GB"/>
        </w:rPr>
        <w:t>development</w:t>
      </w:r>
      <w:r w:rsidRPr="0002056A">
        <w:rPr>
          <w:rFonts w:ascii="Georgia" w:hAnsi="Georgia" w:cstheme="minorHAnsi"/>
          <w:lang w:val="en-GB"/>
        </w:rPr>
        <w:t xml:space="preserve"> and territorial governance. </w:t>
      </w:r>
      <w:r w:rsidR="00036B54">
        <w:rPr>
          <w:rFonts w:ascii="Georgia" w:hAnsi="Georgia" w:cstheme="minorHAnsi"/>
          <w:lang w:val="en-GB"/>
        </w:rPr>
        <w:t>Numerous</w:t>
      </w:r>
      <w:r w:rsidR="00036B54" w:rsidRPr="0002056A">
        <w:rPr>
          <w:rFonts w:ascii="Georgia" w:hAnsi="Georgia" w:cstheme="minorHAnsi"/>
          <w:lang w:val="en-GB"/>
        </w:rPr>
        <w:t xml:space="preserve"> </w:t>
      </w:r>
      <w:r w:rsidRPr="0002056A">
        <w:rPr>
          <w:rFonts w:ascii="Georgia" w:hAnsi="Georgia" w:cstheme="minorHAnsi"/>
          <w:lang w:val="en-GB"/>
        </w:rPr>
        <w:t xml:space="preserve">authors (above all </w:t>
      </w:r>
      <w:r w:rsidRPr="0002056A">
        <w:rPr>
          <w:rFonts w:ascii="Georgia" w:hAnsi="Georgia" w:cstheme="minorHAnsi"/>
          <w:smallCaps/>
          <w:lang w:val="en-GB"/>
        </w:rPr>
        <w:t xml:space="preserve">Rosenau, 1995; </w:t>
      </w:r>
      <w:r w:rsidRPr="0002056A">
        <w:rPr>
          <w:rFonts w:ascii="Georgia" w:hAnsi="Georgia" w:cstheme="minorHAnsi"/>
          <w:lang w:val="en-GB"/>
        </w:rPr>
        <w:t xml:space="preserve">then </w:t>
      </w:r>
      <w:r w:rsidR="00036B54">
        <w:rPr>
          <w:rFonts w:ascii="Georgia" w:hAnsi="Georgia" w:cstheme="minorHAnsi"/>
          <w:lang w:val="en-GB"/>
        </w:rPr>
        <w:t>(</w:t>
      </w:r>
      <w:r w:rsidRPr="0002056A">
        <w:rPr>
          <w:rFonts w:ascii="Georgia" w:hAnsi="Georgia" w:cstheme="minorHAnsi"/>
          <w:smallCaps/>
          <w:lang w:val="en-GB"/>
        </w:rPr>
        <w:t>Lennox, 2008; Vogler, 2017</w:t>
      </w:r>
      <w:r w:rsidR="00185444" w:rsidRPr="0002056A">
        <w:rPr>
          <w:rFonts w:ascii="Georgia" w:hAnsi="Georgia" w:cstheme="minorHAnsi"/>
          <w:smallCaps/>
          <w:lang w:val="en-GB"/>
        </w:rPr>
        <w:t>;</w:t>
      </w:r>
      <w:r w:rsidRPr="0002056A">
        <w:rPr>
          <w:rFonts w:ascii="Georgia" w:hAnsi="Georgia" w:cstheme="minorHAnsi"/>
          <w:smallCaps/>
          <w:lang w:val="en-GB"/>
        </w:rPr>
        <w:t xml:space="preserve"> </w:t>
      </w:r>
      <w:r w:rsidRPr="0002056A">
        <w:rPr>
          <w:rFonts w:ascii="Georgia" w:hAnsi="Georgia" w:cstheme="minorHAnsi"/>
          <w:lang w:val="en-GB"/>
        </w:rPr>
        <w:t>and</w:t>
      </w:r>
      <w:r w:rsidRPr="0002056A">
        <w:rPr>
          <w:rFonts w:ascii="Georgia" w:hAnsi="Georgia" w:cstheme="minorHAnsi"/>
          <w:smallCaps/>
          <w:lang w:val="en-GB"/>
        </w:rPr>
        <w:t xml:space="preserve"> Baylis et al.</w:t>
      </w:r>
      <w:r w:rsidRPr="0002056A">
        <w:rPr>
          <w:rFonts w:ascii="Georgia" w:hAnsi="Georgia" w:cstheme="minorHAnsi"/>
          <w:lang w:val="en-GB"/>
        </w:rPr>
        <w:t>, 20</w:t>
      </w:r>
      <w:r w:rsidR="00F95268" w:rsidRPr="0002056A">
        <w:rPr>
          <w:rFonts w:ascii="Georgia" w:hAnsi="Georgia" w:cstheme="minorHAnsi"/>
          <w:lang w:val="en-GB"/>
        </w:rPr>
        <w:t>17</w:t>
      </w:r>
      <w:r w:rsidRPr="0002056A">
        <w:rPr>
          <w:rFonts w:ascii="Georgia" w:hAnsi="Georgia" w:cstheme="minorHAnsi"/>
          <w:lang w:val="en-GB"/>
        </w:rPr>
        <w:t xml:space="preserve">) mentioned </w:t>
      </w:r>
      <w:r w:rsidR="00E349DE" w:rsidRPr="0002056A">
        <w:rPr>
          <w:rFonts w:ascii="Georgia" w:hAnsi="Georgia" w:cstheme="minorHAnsi"/>
          <w:lang w:val="en-GB"/>
        </w:rPr>
        <w:t xml:space="preserve">(but the main thoughts come from Rosenau) </w:t>
      </w:r>
      <w:r w:rsidRPr="0002056A">
        <w:rPr>
          <w:rFonts w:ascii="Georgia" w:hAnsi="Georgia" w:cstheme="minorHAnsi"/>
          <w:lang w:val="en-GB"/>
        </w:rPr>
        <w:t>the role of city regions or cities-and-their-hinterland units</w:t>
      </w:r>
      <w:r w:rsidRPr="0002056A">
        <w:rPr>
          <w:rStyle w:val="Lbjegyzet-hivatkozs"/>
          <w:rFonts w:ascii="Georgia" w:hAnsi="Georgia" w:cstheme="minorHAnsi"/>
          <w:lang w:val="en-GB"/>
        </w:rPr>
        <w:footnoteReference w:id="62"/>
      </w:r>
      <w:r w:rsidR="00185444" w:rsidRPr="0002056A">
        <w:rPr>
          <w:rFonts w:ascii="Georgia" w:hAnsi="Georgia" w:cstheme="minorHAnsi"/>
          <w:lang w:val="en-GB"/>
        </w:rPr>
        <w:t xml:space="preserve"> in this context</w:t>
      </w:r>
      <w:r w:rsidRPr="0002056A">
        <w:rPr>
          <w:rFonts w:ascii="Georgia" w:hAnsi="Georgia" w:cstheme="minorHAnsi"/>
          <w:lang w:val="en-GB"/>
        </w:rPr>
        <w:t xml:space="preserve">. Taylor calls </w:t>
      </w:r>
      <w:r w:rsidR="00036B54">
        <w:rPr>
          <w:rFonts w:ascii="Georgia" w:hAnsi="Georgia" w:cstheme="minorHAnsi"/>
          <w:lang w:val="en-GB"/>
        </w:rPr>
        <w:t xml:space="preserve">attention to the fact that the globalisation-caused growing regional complexity necessarily weakens state sovereignty, and sustainable regions also demand economic functions from </w:t>
      </w:r>
      <w:r w:rsidRPr="0002056A">
        <w:rPr>
          <w:rFonts w:ascii="Georgia" w:hAnsi="Georgia" w:cstheme="minorHAnsi"/>
          <w:lang w:val="en-GB"/>
        </w:rPr>
        <w:t>modern states. Nevertheless, states would remain important political and cultural players (</w:t>
      </w:r>
      <w:r w:rsidRPr="0002056A">
        <w:rPr>
          <w:rFonts w:ascii="Georgia" w:hAnsi="Georgia" w:cstheme="minorHAnsi"/>
          <w:smallCaps/>
          <w:lang w:val="en-GB"/>
        </w:rPr>
        <w:t>Taylor, 2023</w:t>
      </w:r>
      <w:r w:rsidRPr="0002056A">
        <w:rPr>
          <w:rFonts w:ascii="Georgia" w:hAnsi="Georgia" w:cstheme="minorHAnsi"/>
          <w:lang w:val="en-GB"/>
        </w:rPr>
        <w:t xml:space="preserve">). </w:t>
      </w:r>
    </w:p>
    <w:p w14:paraId="4D0F4938" w14:textId="266A1B36" w:rsidR="004E603D" w:rsidRPr="0002056A" w:rsidRDefault="004E603D" w:rsidP="00CD5BF3">
      <w:pPr>
        <w:spacing w:before="60" w:after="60"/>
        <w:jc w:val="both"/>
        <w:rPr>
          <w:rFonts w:ascii="Georgia" w:hAnsi="Georgia" w:cs="Times New Roman"/>
          <w:lang w:val="en-GB"/>
        </w:rPr>
      </w:pPr>
      <w:r w:rsidRPr="0002056A">
        <w:rPr>
          <w:rFonts w:ascii="Georgia" w:hAnsi="Georgia" w:cs="Times New Roman"/>
          <w:lang w:val="en-GB"/>
        </w:rPr>
        <w:t xml:space="preserve">Spatial levels between the national and local comprise more than one </w:t>
      </w:r>
      <w:r w:rsidR="00036B54">
        <w:rPr>
          <w:rFonts w:ascii="Georgia" w:hAnsi="Georgia" w:cs="Times New Roman"/>
          <w:lang w:val="en-GB"/>
        </w:rPr>
        <w:t>scale: regions, sub- or micro-regions, groups</w:t>
      </w:r>
      <w:r w:rsidRPr="0002056A">
        <w:rPr>
          <w:rFonts w:ascii="Georgia" w:hAnsi="Georgia" w:cs="Times New Roman"/>
          <w:lang w:val="en-GB"/>
        </w:rPr>
        <w:t xml:space="preserve"> of settlements, functional urban areas, etc. In the</w:t>
      </w:r>
      <w:r w:rsidR="00E349DE" w:rsidRPr="0002056A">
        <w:rPr>
          <w:rFonts w:ascii="Georgia" w:hAnsi="Georgia" w:cs="Times New Roman"/>
          <w:lang w:val="en-GB"/>
        </w:rPr>
        <w:t xml:space="preserve"> reviewed </w:t>
      </w:r>
      <w:r w:rsidRPr="0002056A">
        <w:rPr>
          <w:rFonts w:ascii="Georgia" w:hAnsi="Georgia" w:cs="Times New Roman"/>
          <w:lang w:val="en-GB"/>
        </w:rPr>
        <w:t>literature</w:t>
      </w:r>
      <w:r w:rsidR="00FA2DDB" w:rsidRPr="0002056A">
        <w:rPr>
          <w:rFonts w:ascii="Georgia" w:hAnsi="Georgia" w:cs="Times New Roman"/>
          <w:lang w:val="en-GB"/>
        </w:rPr>
        <w:t>,</w:t>
      </w:r>
      <w:r w:rsidRPr="0002056A">
        <w:rPr>
          <w:rFonts w:ascii="Georgia" w:hAnsi="Georgia" w:cs="Times New Roman"/>
          <w:lang w:val="en-GB"/>
        </w:rPr>
        <w:t xml:space="preserve"> only </w:t>
      </w:r>
      <w:r w:rsidR="00036B54">
        <w:rPr>
          <w:rFonts w:ascii="Georgia" w:hAnsi="Georgia" w:cs="Times New Roman"/>
          <w:lang w:val="en-GB"/>
        </w:rPr>
        <w:t xml:space="preserve">a </w:t>
      </w:r>
      <w:r w:rsidRPr="0002056A">
        <w:rPr>
          <w:rFonts w:ascii="Georgia" w:hAnsi="Georgia" w:cs="Times New Roman"/>
          <w:lang w:val="en-GB"/>
        </w:rPr>
        <w:t xml:space="preserve">few studies mention these. Heidrich and his colleagues emphasised that while national frameworks are not always sufficient to trigger climate adaptation on the ground, regions, however, might often be the relevant scale for tackling climate </w:t>
      </w:r>
      <w:r w:rsidR="004C1582" w:rsidRPr="0002056A">
        <w:rPr>
          <w:rFonts w:ascii="Georgia" w:hAnsi="Georgia" w:cs="Times New Roman"/>
          <w:lang w:val="en-GB"/>
        </w:rPr>
        <w:t>adaptation-related challenges</w:t>
      </w:r>
      <w:r w:rsidRPr="0002056A">
        <w:rPr>
          <w:rFonts w:ascii="Georgia" w:hAnsi="Georgia" w:cs="Times New Roman"/>
          <w:lang w:val="en-GB"/>
        </w:rPr>
        <w:t xml:space="preserve">, e.g., in connection with urban sprawl’s negative impacts or flood risk. They propose </w:t>
      </w:r>
      <w:r w:rsidR="00036B54">
        <w:rPr>
          <w:rFonts w:ascii="Georgia" w:hAnsi="Georgia" w:cs="Times New Roman"/>
          <w:lang w:val="en-GB"/>
        </w:rPr>
        <w:t>creating larger planning units for adaptation issues (e.g., by grouping municipalities) to facilitate and enable collective action</w:t>
      </w:r>
      <w:r w:rsidRPr="0002056A">
        <w:rPr>
          <w:rFonts w:ascii="Georgia" w:hAnsi="Georgia" w:cs="Times New Roman"/>
          <w:lang w:val="en-GB"/>
        </w:rPr>
        <w:t xml:space="preserve"> </w:t>
      </w:r>
      <w:r w:rsidRPr="0002056A">
        <w:rPr>
          <w:rFonts w:ascii="Georgia" w:eastAsia="Times New Roman" w:hAnsi="Georgia" w:cs="Times New Roman"/>
          <w:lang w:val="en-GB" w:eastAsia="hu-HU"/>
        </w:rPr>
        <w:t>(</w:t>
      </w:r>
      <w:r w:rsidRPr="0002056A">
        <w:rPr>
          <w:rFonts w:ascii="Georgia" w:eastAsia="Times New Roman" w:hAnsi="Georgia" w:cs="Times New Roman"/>
          <w:smallCaps/>
          <w:lang w:val="en-GB" w:eastAsia="hu-HU"/>
        </w:rPr>
        <w:t>Heidrich et al</w:t>
      </w:r>
      <w:r w:rsidRPr="0002056A">
        <w:rPr>
          <w:rFonts w:ascii="Georgia" w:eastAsia="Times New Roman" w:hAnsi="Georgia" w:cs="Times New Roman"/>
          <w:lang w:val="en-GB" w:eastAsia="hu-HU"/>
        </w:rPr>
        <w:t>., 2016)</w:t>
      </w:r>
      <w:r w:rsidRPr="0002056A">
        <w:rPr>
          <w:rFonts w:ascii="Georgia" w:hAnsi="Georgia" w:cs="Times New Roman"/>
          <w:lang w:val="en-GB"/>
        </w:rPr>
        <w:t>.</w:t>
      </w:r>
    </w:p>
    <w:p w14:paraId="5E78CF2B" w14:textId="4FA2B6A4" w:rsidR="004E603D" w:rsidRPr="0002056A" w:rsidRDefault="004E603D" w:rsidP="00CD5BF3">
      <w:pPr>
        <w:spacing w:after="0"/>
        <w:jc w:val="both"/>
        <w:rPr>
          <w:rFonts w:ascii="Georgia" w:eastAsia="Times New Roman" w:hAnsi="Georgia" w:cs="Times New Roman"/>
          <w:color w:val="000000"/>
          <w:lang w:val="en-GB" w:eastAsia="hu-HU"/>
        </w:rPr>
      </w:pPr>
      <w:r w:rsidRPr="0002056A">
        <w:rPr>
          <w:rFonts w:ascii="Georgia" w:hAnsi="Georgia" w:cs="Times New Roman"/>
          <w:lang w:val="en-GB"/>
        </w:rPr>
        <w:t xml:space="preserve">Ottaviani Aalmo and her group </w:t>
      </w:r>
      <w:r w:rsidRPr="0002056A">
        <w:rPr>
          <w:rFonts w:ascii="Georgia" w:eastAsia="Times New Roman" w:hAnsi="Georgia" w:cs="Times New Roman"/>
          <w:color w:val="000000"/>
          <w:lang w:val="en-GB" w:eastAsia="hu-HU"/>
        </w:rPr>
        <w:t xml:space="preserve">recommended a new framework for </w:t>
      </w:r>
      <w:r w:rsidR="00036B54">
        <w:rPr>
          <w:rFonts w:ascii="Georgia" w:eastAsia="Times New Roman" w:hAnsi="Georgia" w:cs="Times New Roman"/>
          <w:color w:val="000000"/>
          <w:lang w:val="en-GB" w:eastAsia="hu-HU"/>
        </w:rPr>
        <w:t>improving and assessing climate adaptation and mitigation actions in Europe,</w:t>
      </w:r>
      <w:r w:rsidRPr="0002056A">
        <w:rPr>
          <w:rFonts w:ascii="Georgia" w:eastAsia="Times New Roman" w:hAnsi="Georgia" w:cs="Times New Roman"/>
          <w:color w:val="000000"/>
          <w:lang w:val="en-GB" w:eastAsia="hu-HU"/>
        </w:rPr>
        <w:t xml:space="preserve"> and for strengthening the role of regions</w:t>
      </w:r>
      <w:r w:rsidRPr="0002056A">
        <w:rPr>
          <w:rStyle w:val="Lbjegyzet-hivatkozs"/>
          <w:rFonts w:ascii="Georgia" w:eastAsia="Times New Roman" w:hAnsi="Georgia" w:cs="Times New Roman"/>
          <w:color w:val="000000"/>
          <w:lang w:val="en-GB" w:eastAsia="hu-HU"/>
        </w:rPr>
        <w:footnoteReference w:id="63"/>
      </w:r>
      <w:r w:rsidRPr="0002056A">
        <w:rPr>
          <w:rFonts w:ascii="Georgia" w:eastAsia="Times New Roman" w:hAnsi="Georgia" w:cs="Times New Roman"/>
          <w:color w:val="000000"/>
          <w:lang w:val="en-GB" w:eastAsia="hu-HU"/>
        </w:rPr>
        <w:t xml:space="preserve">. </w:t>
      </w:r>
      <w:r w:rsidR="004C1582" w:rsidRPr="0002056A">
        <w:rPr>
          <w:rFonts w:ascii="Georgia" w:eastAsia="Times New Roman" w:hAnsi="Georgia" w:cs="Times New Roman"/>
          <w:color w:val="000000"/>
          <w:lang w:val="en-GB" w:eastAsia="hu-HU"/>
        </w:rPr>
        <w:t>They claim that e</w:t>
      </w:r>
      <w:r w:rsidRPr="0002056A">
        <w:rPr>
          <w:rFonts w:ascii="Georgia" w:eastAsia="Times New Roman" w:hAnsi="Georgia" w:cs="Times New Roman"/>
          <w:color w:val="000000"/>
          <w:lang w:val="en-GB" w:eastAsia="hu-HU"/>
        </w:rPr>
        <w:t xml:space="preserve">xisting </w:t>
      </w:r>
      <w:r w:rsidR="00AC7E30" w:rsidRPr="0002056A">
        <w:rPr>
          <w:rFonts w:ascii="Georgia" w:eastAsia="Times New Roman" w:hAnsi="Georgia" w:cs="Times New Roman"/>
          <w:color w:val="000000"/>
          <w:lang w:val="en-GB" w:eastAsia="hu-HU"/>
        </w:rPr>
        <w:t>adaptation intervention</w:t>
      </w:r>
      <w:r w:rsidRPr="0002056A">
        <w:rPr>
          <w:rFonts w:ascii="Georgia" w:eastAsia="Times New Roman" w:hAnsi="Georgia" w:cs="Times New Roman"/>
          <w:color w:val="000000"/>
          <w:lang w:val="en-GB" w:eastAsia="hu-HU"/>
        </w:rPr>
        <w:t xml:space="preserve">s focus mostly on cities or countries with </w:t>
      </w:r>
      <w:r w:rsidR="00036B54">
        <w:rPr>
          <w:rFonts w:ascii="Georgia" w:eastAsia="Times New Roman" w:hAnsi="Georgia" w:cs="Times New Roman"/>
          <w:color w:val="000000"/>
          <w:lang w:val="en-GB" w:eastAsia="hu-HU"/>
        </w:rPr>
        <w:t xml:space="preserve">a </w:t>
      </w:r>
      <w:r w:rsidRPr="0002056A">
        <w:rPr>
          <w:rFonts w:ascii="Georgia" w:eastAsia="Times New Roman" w:hAnsi="Georgia" w:cs="Times New Roman"/>
          <w:color w:val="000000"/>
          <w:lang w:val="en-GB" w:eastAsia="hu-HU"/>
        </w:rPr>
        <w:t>much lesser role of regions in this process</w:t>
      </w:r>
      <w:r w:rsidR="00531316" w:rsidRPr="0002056A">
        <w:rPr>
          <w:rFonts w:ascii="Georgia" w:eastAsia="Times New Roman" w:hAnsi="Georgia" w:cs="Times New Roman"/>
          <w:color w:val="000000"/>
          <w:lang w:val="en-GB" w:eastAsia="hu-HU"/>
        </w:rPr>
        <w:t>. H</w:t>
      </w:r>
      <w:r w:rsidRPr="0002056A">
        <w:rPr>
          <w:rFonts w:ascii="Georgia" w:eastAsia="Times New Roman" w:hAnsi="Georgia" w:cs="Times New Roman"/>
          <w:color w:val="000000"/>
          <w:lang w:val="en-GB" w:eastAsia="hu-HU"/>
        </w:rPr>
        <w:t>owever, th</w:t>
      </w:r>
      <w:r w:rsidR="00531316" w:rsidRPr="0002056A">
        <w:rPr>
          <w:rFonts w:ascii="Georgia" w:eastAsia="Times New Roman" w:hAnsi="Georgia" w:cs="Times New Roman"/>
          <w:color w:val="000000"/>
          <w:lang w:val="en-GB" w:eastAsia="hu-HU"/>
        </w:rPr>
        <w:t>e</w:t>
      </w:r>
      <w:r w:rsidRPr="0002056A">
        <w:rPr>
          <w:rFonts w:ascii="Georgia" w:eastAsia="Times New Roman" w:hAnsi="Georgia" w:cs="Times New Roman"/>
          <w:color w:val="000000"/>
          <w:lang w:val="en-GB" w:eastAsia="hu-HU"/>
        </w:rPr>
        <w:t xml:space="preserve"> latter territorial level could be a proper geographical scale to tackle geographic specificities. The article, consequently, urges regional governance solutions in adaptation with flexible and integrated approaches and regional networking, promoting the involvement of subnational governments into the adaptation process (</w:t>
      </w:r>
      <w:r w:rsidRPr="0002056A">
        <w:rPr>
          <w:rFonts w:ascii="Georgia" w:eastAsia="Times New Roman" w:hAnsi="Georgia" w:cs="Times New Roman"/>
          <w:smallCaps/>
          <w:color w:val="000000"/>
          <w:lang w:val="en-GB" w:eastAsia="hu-HU"/>
        </w:rPr>
        <w:t>Ottaviani Aalmo et al.</w:t>
      </w:r>
      <w:r w:rsidRPr="0002056A">
        <w:rPr>
          <w:rFonts w:ascii="Georgia" w:eastAsia="Times New Roman" w:hAnsi="Georgia" w:cs="Times New Roman"/>
          <w:color w:val="000000"/>
          <w:lang w:val="en-GB" w:eastAsia="hu-HU"/>
        </w:rPr>
        <w:t xml:space="preserve">, 2022). The </w:t>
      </w:r>
      <w:r w:rsidR="00531316" w:rsidRPr="0002056A">
        <w:rPr>
          <w:rFonts w:ascii="Georgia" w:eastAsia="Times New Roman" w:hAnsi="Georgia" w:cs="Times New Roman"/>
          <w:color w:val="000000"/>
          <w:lang w:val="en-GB" w:eastAsia="hu-HU"/>
        </w:rPr>
        <w:t xml:space="preserve">enhanced </w:t>
      </w:r>
      <w:r w:rsidRPr="0002056A">
        <w:rPr>
          <w:rFonts w:ascii="Georgia" w:eastAsia="Times New Roman" w:hAnsi="Georgia" w:cs="Times New Roman"/>
          <w:color w:val="000000"/>
          <w:lang w:val="en-GB" w:eastAsia="hu-HU"/>
        </w:rPr>
        <w:t xml:space="preserve">role of the regional government structures as </w:t>
      </w:r>
      <w:r w:rsidR="00036B54">
        <w:rPr>
          <w:rFonts w:ascii="Georgia" w:eastAsia="Times New Roman" w:hAnsi="Georgia" w:cs="Times New Roman"/>
          <w:color w:val="000000"/>
          <w:lang w:val="en-GB" w:eastAsia="hu-HU"/>
        </w:rPr>
        <w:t xml:space="preserve">a </w:t>
      </w:r>
      <w:r w:rsidRPr="0002056A">
        <w:rPr>
          <w:rFonts w:ascii="Georgia" w:eastAsia="Times New Roman" w:hAnsi="Georgia" w:cs="Times New Roman"/>
          <w:color w:val="000000"/>
          <w:lang w:val="en-GB" w:eastAsia="hu-HU"/>
        </w:rPr>
        <w:t xml:space="preserve">novel opportunity for coordinating local stakeholders to increase adaptation capacity and resilience is also underlined by Birchall and his colleagues. They emphasise the potential of the regional approach in tackling spatially broad and complex </w:t>
      </w:r>
      <w:r w:rsidRPr="0002056A">
        <w:rPr>
          <w:rFonts w:ascii="Georgia" w:eastAsia="Times New Roman" w:hAnsi="Georgia" w:cs="Times New Roman"/>
          <w:color w:val="000000"/>
          <w:lang w:val="en-GB" w:eastAsia="hu-HU"/>
        </w:rPr>
        <w:lastRenderedPageBreak/>
        <w:t>measures, such as climate change</w:t>
      </w:r>
      <w:r w:rsidR="00036B54">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through regional governments’ greater political jurisdiction, authority and coordinative role</w:t>
      </w:r>
      <w:r w:rsidRPr="0002056A">
        <w:rPr>
          <w:rStyle w:val="Lbjegyzet-hivatkozs"/>
          <w:rFonts w:ascii="Georgia" w:eastAsia="Times New Roman" w:hAnsi="Georgia" w:cs="Times New Roman"/>
          <w:color w:val="000000"/>
          <w:lang w:val="en-GB" w:eastAsia="hu-HU"/>
        </w:rPr>
        <w:footnoteReference w:id="64"/>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smallCaps/>
          <w:color w:val="000000"/>
          <w:lang w:val="en-GB" w:eastAsia="hu-HU"/>
        </w:rPr>
        <w:t>Birchall et al</w:t>
      </w:r>
      <w:r w:rsidRPr="0002056A">
        <w:rPr>
          <w:rFonts w:ascii="Georgia" w:eastAsia="Times New Roman" w:hAnsi="Georgia" w:cs="Times New Roman"/>
          <w:color w:val="000000"/>
          <w:lang w:val="en-GB" w:eastAsia="hu-HU"/>
        </w:rPr>
        <w:t>., 2022).</w:t>
      </w:r>
    </w:p>
    <w:p w14:paraId="5BB09F0D" w14:textId="5740303B" w:rsidR="004E603D" w:rsidRPr="0002056A" w:rsidRDefault="004E603D" w:rsidP="00CD5BF3">
      <w:pPr>
        <w:spacing w:before="60" w:after="60"/>
        <w:jc w:val="both"/>
        <w:rPr>
          <w:rFonts w:ascii="Georgia" w:hAnsi="Georgia" w:cs="Times New Roman"/>
          <w:lang w:val="en-GB"/>
        </w:rPr>
      </w:pPr>
      <w:r w:rsidRPr="0002056A">
        <w:rPr>
          <w:rFonts w:ascii="Georgia" w:hAnsi="Georgia" w:cs="Times New Roman"/>
          <w:lang w:val="en-GB"/>
        </w:rPr>
        <w:t>Wright and her colleagues, through document analyses, data assessment and map analysis</w:t>
      </w:r>
      <w:r w:rsidR="00036B54">
        <w:rPr>
          <w:rFonts w:ascii="Georgia" w:hAnsi="Georgia" w:cs="Times New Roman"/>
          <w:lang w:val="en-GB"/>
        </w:rPr>
        <w:t>,</w:t>
      </w:r>
      <w:r w:rsidRPr="0002056A">
        <w:rPr>
          <w:rFonts w:ascii="Georgia" w:hAnsi="Georgia" w:cs="Times New Roman"/>
          <w:lang w:val="en-GB"/>
        </w:rPr>
        <w:t xml:space="preserve"> compare impact assessments done in two regional climate adaptation processes in a Dutch and a German region. They conclude that there is a need for detailed, visualised and well-communicated spatial information and evidence base in regional climate impact assessment to stimulate adaptation planning</w:t>
      </w:r>
      <w:r w:rsidRPr="0002056A">
        <w:rPr>
          <w:rStyle w:val="Lbjegyzet-hivatkozs"/>
          <w:rFonts w:ascii="Georgia" w:hAnsi="Georgia" w:cs="Times New Roman"/>
          <w:lang w:val="en-GB"/>
        </w:rPr>
        <w:footnoteReference w:id="65"/>
      </w:r>
      <w:r w:rsidRPr="0002056A">
        <w:rPr>
          <w:rFonts w:ascii="Georgia" w:hAnsi="Georgia" w:cs="Times New Roman"/>
          <w:lang w:val="en-GB"/>
        </w:rPr>
        <w:t xml:space="preserve"> (</w:t>
      </w:r>
      <w:r w:rsidRPr="0002056A">
        <w:rPr>
          <w:rFonts w:ascii="Georgia" w:hAnsi="Georgia" w:cs="Times New Roman"/>
          <w:smallCaps/>
          <w:lang w:val="en-GB"/>
        </w:rPr>
        <w:t>Wright et al</w:t>
      </w:r>
      <w:r w:rsidRPr="0002056A">
        <w:rPr>
          <w:rFonts w:ascii="Georgia" w:hAnsi="Georgia" w:cs="Times New Roman"/>
          <w:lang w:val="en-GB"/>
        </w:rPr>
        <w:t>., 2021).</w:t>
      </w:r>
    </w:p>
    <w:p w14:paraId="21D2AE49" w14:textId="3D227230" w:rsidR="004E603D" w:rsidRPr="0002056A" w:rsidRDefault="004E603D" w:rsidP="00CD5BF3">
      <w:pPr>
        <w:spacing w:after="0"/>
        <w:jc w:val="both"/>
        <w:rPr>
          <w:rFonts w:ascii="Georgia" w:hAnsi="Georgia"/>
          <w:lang w:val="en-GB"/>
        </w:rPr>
      </w:pPr>
      <w:r w:rsidRPr="0002056A">
        <w:rPr>
          <w:rFonts w:ascii="Georgia" w:hAnsi="Georgia"/>
          <w:lang w:val="en-GB"/>
        </w:rPr>
        <w:t>Summing up the described tendencies, moderately growing attention has been paid on the regional level climate adaptation processes and the role of regional government in these</w:t>
      </w:r>
      <w:r w:rsidR="00B87798" w:rsidRPr="0002056A">
        <w:rPr>
          <w:rFonts w:ascii="Georgia" w:hAnsi="Georgia"/>
          <w:lang w:val="en-GB"/>
        </w:rPr>
        <w:t xml:space="preserve"> so far</w:t>
      </w:r>
      <w:r w:rsidRPr="0002056A">
        <w:rPr>
          <w:rFonts w:ascii="Georgia" w:hAnsi="Georgia"/>
          <w:lang w:val="en-GB"/>
        </w:rPr>
        <w:t xml:space="preserve">, but when comparing </w:t>
      </w:r>
      <w:r w:rsidR="00B87798" w:rsidRPr="0002056A">
        <w:rPr>
          <w:rFonts w:ascii="Georgia" w:hAnsi="Georgia"/>
          <w:lang w:val="en-GB"/>
        </w:rPr>
        <w:t>the</w:t>
      </w:r>
      <w:r w:rsidRPr="0002056A">
        <w:rPr>
          <w:rFonts w:ascii="Georgia" w:hAnsi="Georgia"/>
          <w:lang w:val="en-GB"/>
        </w:rPr>
        <w:t xml:space="preserve"> weight of this </w:t>
      </w:r>
      <w:r w:rsidR="004C1582" w:rsidRPr="0002056A">
        <w:rPr>
          <w:rFonts w:ascii="Georgia" w:hAnsi="Georgia"/>
          <w:lang w:val="en-GB"/>
        </w:rPr>
        <w:t>spatial</w:t>
      </w:r>
      <w:r w:rsidRPr="0002056A">
        <w:rPr>
          <w:rFonts w:ascii="Georgia" w:hAnsi="Georgia"/>
          <w:lang w:val="en-GB"/>
        </w:rPr>
        <w:t xml:space="preserve"> level to the local one</w:t>
      </w:r>
      <w:r w:rsidR="00036B54">
        <w:rPr>
          <w:rFonts w:ascii="Georgia" w:hAnsi="Georgia"/>
          <w:lang w:val="en-GB"/>
        </w:rPr>
        <w:t>,</w:t>
      </w:r>
      <w:r w:rsidRPr="0002056A">
        <w:rPr>
          <w:rFonts w:ascii="Georgia" w:hAnsi="Georgia"/>
          <w:lang w:val="en-GB"/>
        </w:rPr>
        <w:t xml:space="preserve"> it se</w:t>
      </w:r>
      <w:r w:rsidR="004C1582" w:rsidRPr="0002056A">
        <w:rPr>
          <w:rFonts w:ascii="Georgia" w:hAnsi="Georgia"/>
          <w:lang w:val="en-GB"/>
        </w:rPr>
        <w:t>em</w:t>
      </w:r>
      <w:r w:rsidRPr="0002056A">
        <w:rPr>
          <w:rFonts w:ascii="Georgia" w:hAnsi="Georgia"/>
          <w:lang w:val="en-GB"/>
        </w:rPr>
        <w:t xml:space="preserve">s still minor. </w:t>
      </w:r>
    </w:p>
    <w:p w14:paraId="2A74E3F6" w14:textId="0F8E02B3" w:rsidR="004E603D" w:rsidRPr="0002056A" w:rsidRDefault="004E603D" w:rsidP="00773825">
      <w:pPr>
        <w:pStyle w:val="Cmsor4"/>
        <w:numPr>
          <w:ilvl w:val="3"/>
          <w:numId w:val="4"/>
        </w:numPr>
        <w:spacing w:before="240"/>
        <w:ind w:left="1434" w:hanging="1077"/>
        <w:rPr>
          <w:lang w:val="en-GB"/>
        </w:rPr>
      </w:pPr>
      <w:r w:rsidRPr="0002056A">
        <w:rPr>
          <w:lang w:val="en-GB"/>
        </w:rPr>
        <w:t>The national level</w:t>
      </w:r>
    </w:p>
    <w:p w14:paraId="615A2C1B" w14:textId="1C152874" w:rsidR="004E603D" w:rsidRPr="0002056A" w:rsidRDefault="004E603D" w:rsidP="00CD5BF3">
      <w:pPr>
        <w:autoSpaceDE w:val="0"/>
        <w:autoSpaceDN w:val="0"/>
        <w:adjustRightInd w:val="0"/>
        <w:spacing w:before="120" w:after="120"/>
        <w:jc w:val="both"/>
        <w:rPr>
          <w:rFonts w:ascii="Georgia" w:eastAsia="Times New Roman" w:hAnsi="Georgia" w:cs="Times New Roman"/>
          <w:lang w:val="en-GB" w:eastAsia="hu-HU"/>
        </w:rPr>
      </w:pPr>
      <w:r w:rsidRPr="0002056A">
        <w:rPr>
          <w:rFonts w:ascii="Georgia" w:eastAsia="Times New Roman" w:hAnsi="Georgia" w:cs="Times New Roman"/>
          <w:lang w:val="en-GB" w:eastAsia="hu-HU"/>
        </w:rPr>
        <w:t xml:space="preserve">Despite the </w:t>
      </w:r>
      <w:r w:rsidR="00C27C18" w:rsidRPr="0002056A">
        <w:rPr>
          <w:rFonts w:ascii="Georgia" w:eastAsia="Times New Roman" w:hAnsi="Georgia" w:cs="Times New Roman"/>
          <w:lang w:val="en-GB" w:eastAsia="hu-HU"/>
        </w:rPr>
        <w:t xml:space="preserve">primary </w:t>
      </w:r>
      <w:r w:rsidRPr="0002056A">
        <w:rPr>
          <w:rFonts w:ascii="Georgia" w:eastAsia="Times New Roman" w:hAnsi="Georgia" w:cs="Times New Roman"/>
          <w:lang w:val="en-GB" w:eastAsia="hu-HU"/>
        </w:rPr>
        <w:t>importance of finding relevant answers for local problems and the vital role of municipalities / micro regions in these processes</w:t>
      </w:r>
      <w:r w:rsidR="00036B54">
        <w:rPr>
          <w:rFonts w:ascii="Georgia" w:eastAsia="Times New Roman" w:hAnsi="Georgia" w:cs="Times New Roman"/>
          <w:lang w:val="en-GB" w:eastAsia="hu-HU"/>
        </w:rPr>
        <w:t xml:space="preserve">, national governments still play a </w:t>
      </w:r>
      <w:r w:rsidRPr="0002056A">
        <w:rPr>
          <w:rFonts w:ascii="Georgia" w:eastAsia="Times New Roman" w:hAnsi="Georgia" w:cs="Times New Roman"/>
          <w:bCs/>
          <w:lang w:val="en-GB" w:eastAsia="hu-HU"/>
        </w:rPr>
        <w:t xml:space="preserve">crucial role in </w:t>
      </w:r>
      <w:r w:rsidR="00C27C18" w:rsidRPr="0002056A">
        <w:rPr>
          <w:rFonts w:ascii="Georgia" w:eastAsia="Times New Roman" w:hAnsi="Georgia" w:cs="Times New Roman"/>
          <w:bCs/>
          <w:lang w:val="en-GB" w:eastAsia="hu-HU"/>
        </w:rPr>
        <w:t>adaptation to</w:t>
      </w:r>
      <w:r w:rsidRPr="0002056A">
        <w:rPr>
          <w:rFonts w:ascii="Georgia" w:eastAsia="Times New Roman" w:hAnsi="Georgia" w:cs="Times New Roman"/>
          <w:bCs/>
          <w:lang w:val="en-GB" w:eastAsia="hu-HU"/>
        </w:rPr>
        <w:t xml:space="preserve"> climate change.</w:t>
      </w:r>
      <w:r w:rsidRPr="0002056A">
        <w:rPr>
          <w:rFonts w:ascii="Georgia" w:eastAsia="Times New Roman" w:hAnsi="Georgia" w:cs="Times New Roman"/>
          <w:lang w:val="en-GB" w:eastAsia="hu-HU"/>
        </w:rPr>
        <w:t xml:space="preserve"> Though there is currently more experience in designing adaptation activities at </w:t>
      </w:r>
      <w:r w:rsidR="00036B54">
        <w:rPr>
          <w:rFonts w:ascii="Georgia" w:eastAsia="Times New Roman" w:hAnsi="Georgia" w:cs="Times New Roman"/>
          <w:lang w:val="en-GB" w:eastAsia="hu-HU"/>
        </w:rPr>
        <w:t>the project level than at the national level (Vallejo, 2017), states nevertheless crucially contribute to planning and governance of adaptation, as one of the dominant parts of adaptation’s spatial framing (</w:t>
      </w:r>
      <w:r w:rsidR="00036B54" w:rsidRPr="00504E08">
        <w:rPr>
          <w:rFonts w:ascii="Georgia" w:eastAsia="Times New Roman" w:hAnsi="Georgia" w:cs="Times New Roman"/>
          <w:smallCaps/>
          <w:lang w:val="en-GB" w:eastAsia="hu-HU"/>
        </w:rPr>
        <w:t>Benzie &amp; Persson</w:t>
      </w:r>
      <w:r w:rsidRPr="00504E08">
        <w:rPr>
          <w:rFonts w:ascii="Georgia" w:eastAsia="Times New Roman" w:hAnsi="Georgia" w:cs="Times New Roman"/>
          <w:smallCaps/>
          <w:lang w:val="en-GB" w:eastAsia="hu-HU"/>
        </w:rPr>
        <w:t>, 2019</w:t>
      </w:r>
      <w:r w:rsidRPr="0002056A">
        <w:rPr>
          <w:rFonts w:ascii="Georgia" w:eastAsia="Times New Roman" w:hAnsi="Georgia" w:cs="Times New Roman"/>
          <w:lang w:val="en-GB" w:eastAsia="hu-HU"/>
        </w:rPr>
        <w:t>)</w:t>
      </w:r>
      <w:r w:rsidR="00C27C18"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w:t>
      </w:r>
    </w:p>
    <w:p w14:paraId="5B5AFC8C" w14:textId="604B996B" w:rsidR="004E603D" w:rsidRPr="0002056A" w:rsidRDefault="00C27C18" w:rsidP="00CD5BF3">
      <w:pPr>
        <w:spacing w:before="120" w:after="120"/>
        <w:jc w:val="both"/>
        <w:rPr>
          <w:rFonts w:ascii="Georgia" w:eastAsia="Times New Roman" w:hAnsi="Georgia" w:cs="Times New Roman"/>
          <w:lang w:val="en-GB" w:eastAsia="hu-HU"/>
        </w:rPr>
      </w:pPr>
      <w:r w:rsidRPr="0002056A">
        <w:rPr>
          <w:rFonts w:ascii="Georgia" w:eastAsia="Times New Roman" w:hAnsi="Georgia" w:cs="Times New Roman"/>
          <w:lang w:val="en-GB" w:eastAsia="hu-HU"/>
        </w:rPr>
        <w:t>C</w:t>
      </w:r>
      <w:r w:rsidR="004E603D" w:rsidRPr="0002056A">
        <w:rPr>
          <w:rFonts w:ascii="Georgia" w:eastAsia="Times New Roman" w:hAnsi="Georgia" w:cs="Times New Roman"/>
          <w:lang w:val="en-GB" w:eastAsia="hu-HU"/>
        </w:rPr>
        <w:t>limate adaptation</w:t>
      </w:r>
      <w:r w:rsidR="002C4CF3" w:rsidRPr="0002056A">
        <w:rPr>
          <w:rFonts w:ascii="Georgia" w:eastAsia="Times New Roman" w:hAnsi="Georgia" w:cs="Times New Roman"/>
          <w:lang w:val="en-GB" w:eastAsia="hu-HU"/>
        </w:rPr>
        <w:t xml:space="preserve">’s national </w:t>
      </w:r>
      <w:r w:rsidR="004E603D" w:rsidRPr="0002056A">
        <w:rPr>
          <w:rFonts w:ascii="Georgia" w:eastAsia="Times New Roman" w:hAnsi="Georgia" w:cs="Times New Roman"/>
          <w:lang w:val="en-GB" w:eastAsia="hu-HU"/>
        </w:rPr>
        <w:t>administration</w:t>
      </w:r>
      <w:r w:rsidR="004E603D" w:rsidRPr="0002056A">
        <w:rPr>
          <w:rFonts w:ascii="Georgia" w:eastAsia="Times New Roman" w:hAnsi="Georgia" w:cs="Times New Roman"/>
          <w:b/>
          <w:bCs/>
          <w:lang w:val="en-GB" w:eastAsia="hu-HU"/>
        </w:rPr>
        <w:t xml:space="preserve"> </w:t>
      </w:r>
      <w:r w:rsidR="005A54E8" w:rsidRPr="0002056A">
        <w:rPr>
          <w:rFonts w:ascii="Georgia" w:eastAsia="Times New Roman" w:hAnsi="Georgia" w:cs="Times New Roman"/>
          <w:b/>
          <w:bCs/>
          <w:lang w:val="en-GB" w:eastAsia="hu-HU"/>
        </w:rPr>
        <w:t xml:space="preserve">coordinates domestic adaptation efforts at different subnational levels </w:t>
      </w:r>
      <w:r w:rsidRPr="0002056A">
        <w:rPr>
          <w:rFonts w:ascii="Georgia" w:eastAsia="Times New Roman" w:hAnsi="Georgia" w:cs="Times New Roman"/>
          <w:lang w:val="en-GB" w:eastAsia="hu-HU"/>
        </w:rPr>
        <w:t>through na</w:t>
      </w:r>
      <w:r w:rsidRPr="0002056A">
        <w:rPr>
          <w:rFonts w:ascii="Georgia" w:hAnsi="Georgia" w:cs="Times New Roman"/>
          <w:lang w:val="en-GB"/>
        </w:rPr>
        <w:t>tional adaptation plans</w:t>
      </w:r>
      <w:r w:rsidRPr="0002056A">
        <w:rPr>
          <w:rFonts w:ascii="Georgia" w:eastAsia="Times New Roman" w:hAnsi="Georgia" w:cs="Times New Roman"/>
          <w:b/>
          <w:bCs/>
          <w:lang w:val="en-GB" w:eastAsia="hu-HU"/>
        </w:rPr>
        <w:t xml:space="preserve"> </w:t>
      </w:r>
      <w:r w:rsidR="004E603D" w:rsidRPr="0002056A">
        <w:rPr>
          <w:rFonts w:ascii="Georgia" w:eastAsia="Times New Roman" w:hAnsi="Georgia" w:cs="Times New Roman"/>
          <w:lang w:val="en-GB" w:eastAsia="hu-HU"/>
        </w:rPr>
        <w:t xml:space="preserve">by setting </w:t>
      </w:r>
      <w:r w:rsidR="00B23EB1" w:rsidRPr="0002056A">
        <w:rPr>
          <w:rFonts w:ascii="Georgia" w:eastAsia="Times New Roman" w:hAnsi="Georgia" w:cs="Times New Roman"/>
          <w:lang w:val="en-GB" w:eastAsia="hu-HU"/>
        </w:rPr>
        <w:t xml:space="preserve">basic directions, </w:t>
      </w:r>
      <w:r w:rsidR="004E603D" w:rsidRPr="0002056A">
        <w:rPr>
          <w:rFonts w:ascii="Georgia" w:eastAsia="Times New Roman" w:hAnsi="Georgia" w:cs="Times New Roman"/>
          <w:lang w:val="en-GB" w:eastAsia="hu-HU"/>
        </w:rPr>
        <w:t>agendas, providing methodological/strategical guidance to government agencies, municipalities, the private sector and other relevant stakeholders (</w:t>
      </w:r>
      <w:r w:rsidR="004E603D" w:rsidRPr="0002056A">
        <w:rPr>
          <w:rFonts w:ascii="Georgia" w:eastAsia="Times New Roman" w:hAnsi="Georgia" w:cs="Times New Roman"/>
          <w:smallCaps/>
          <w:lang w:val="en-GB" w:eastAsia="hu-HU"/>
        </w:rPr>
        <w:t>Heidrich et al</w:t>
      </w:r>
      <w:r w:rsidR="004E603D" w:rsidRPr="0002056A">
        <w:rPr>
          <w:rFonts w:ascii="Georgia" w:eastAsia="Times New Roman" w:hAnsi="Georgia" w:cs="Times New Roman"/>
          <w:lang w:val="en-GB" w:eastAsia="hu-HU"/>
        </w:rPr>
        <w:t xml:space="preserve">., 2016; </w:t>
      </w:r>
      <w:r w:rsidR="004E603D" w:rsidRPr="0002056A">
        <w:rPr>
          <w:rFonts w:ascii="Georgia" w:eastAsia="Times New Roman" w:hAnsi="Georgia" w:cs="Times New Roman"/>
          <w:smallCaps/>
          <w:lang w:val="en-GB" w:eastAsia="hu-HU"/>
        </w:rPr>
        <w:t>Woodruff &amp; Regan</w:t>
      </w:r>
      <w:r w:rsidR="00036B54">
        <w:rPr>
          <w:rFonts w:ascii="Georgia" w:eastAsia="Times New Roman" w:hAnsi="Georgia" w:cs="Times New Roman"/>
          <w:smallCaps/>
          <w:lang w:val="en-GB" w:eastAsia="hu-HU"/>
        </w:rPr>
        <w:t>,</w:t>
      </w:r>
      <w:r w:rsidR="004E603D" w:rsidRPr="0002056A">
        <w:rPr>
          <w:rFonts w:ascii="Georgia" w:eastAsia="Times New Roman" w:hAnsi="Georgia" w:cs="Times New Roman"/>
          <w:smallCaps/>
          <w:lang w:val="en-GB" w:eastAsia="hu-HU"/>
        </w:rPr>
        <w:t xml:space="preserve"> 2018</w:t>
      </w:r>
      <w:r w:rsidR="004E603D" w:rsidRPr="0002056A">
        <w:rPr>
          <w:rFonts w:ascii="Georgia" w:eastAsia="Times New Roman" w:hAnsi="Georgia" w:cs="Times New Roman"/>
          <w:lang w:val="en-GB" w:eastAsia="hu-HU"/>
        </w:rPr>
        <w:t xml:space="preserve">) and by the pure strategic planning activities and policy inputs that trigger sub-national authorities to develop their own plans (EEA, 2022). </w:t>
      </w:r>
      <w:r w:rsidR="004E3FCC" w:rsidRPr="0002056A">
        <w:rPr>
          <w:rFonts w:ascii="Georgia" w:eastAsia="Times New Roman" w:hAnsi="Georgia" w:cs="Times New Roman"/>
          <w:lang w:val="en-GB" w:eastAsia="hu-HU"/>
        </w:rPr>
        <w:t>Vallejo says that t</w:t>
      </w:r>
      <w:r w:rsidR="004E603D" w:rsidRPr="0002056A">
        <w:rPr>
          <w:rFonts w:ascii="Georgia" w:eastAsia="Times New Roman" w:hAnsi="Georgia" w:cs="Times New Roman"/>
          <w:lang w:val="en-GB" w:eastAsia="hu-HU"/>
        </w:rPr>
        <w:t xml:space="preserve">his coordinative role is especially useful in countries with </w:t>
      </w:r>
      <w:r w:rsidR="00036B54">
        <w:rPr>
          <w:rFonts w:ascii="Georgia" w:eastAsia="Times New Roman" w:hAnsi="Georgia" w:cs="Times New Roman"/>
          <w:lang w:val="en-GB" w:eastAsia="hu-HU"/>
        </w:rPr>
        <w:t xml:space="preserve">a </w:t>
      </w:r>
      <w:r w:rsidR="004E603D" w:rsidRPr="0002056A">
        <w:rPr>
          <w:rFonts w:ascii="Georgia" w:eastAsia="Times New Roman" w:hAnsi="Georgia" w:cs="Times New Roman"/>
          <w:lang w:val="en-GB" w:eastAsia="hu-HU"/>
        </w:rPr>
        <w:t>large territory or decentralised administration (</w:t>
      </w:r>
      <w:r w:rsidR="004E603D" w:rsidRPr="0002056A">
        <w:rPr>
          <w:rFonts w:ascii="Georgia" w:eastAsia="Times New Roman" w:hAnsi="Georgia" w:cs="Times New Roman"/>
          <w:smallCaps/>
          <w:lang w:val="en-GB" w:eastAsia="hu-HU"/>
        </w:rPr>
        <w:t>Vallejo</w:t>
      </w:r>
      <w:r w:rsidR="004E603D" w:rsidRPr="0002056A">
        <w:rPr>
          <w:rFonts w:ascii="Georgia" w:eastAsia="Times New Roman" w:hAnsi="Georgia" w:cs="Times New Roman"/>
          <w:lang w:val="en-GB" w:eastAsia="hu-HU"/>
        </w:rPr>
        <w:t xml:space="preserve">, 2017). </w:t>
      </w:r>
    </w:p>
    <w:p w14:paraId="4C97608C" w14:textId="7A226E8B" w:rsidR="004E603D" w:rsidRPr="0002056A" w:rsidRDefault="004E603D" w:rsidP="00CD5BF3">
      <w:pPr>
        <w:spacing w:before="120" w:after="120"/>
        <w:jc w:val="both"/>
        <w:rPr>
          <w:rFonts w:ascii="Georgia" w:eastAsia="Times New Roman" w:hAnsi="Georgia" w:cs="Times New Roman"/>
          <w:lang w:val="en-GB" w:eastAsia="hu-HU"/>
        </w:rPr>
      </w:pPr>
      <w:r w:rsidRPr="0002056A">
        <w:rPr>
          <w:rFonts w:ascii="Georgia" w:hAnsi="Georgia" w:cs="Times New Roman"/>
          <w:b/>
          <w:bCs/>
          <w:lang w:val="en-GB"/>
        </w:rPr>
        <w:t xml:space="preserve">Effective integration of climate adaptation aspects into sectoral policies </w:t>
      </w:r>
      <w:r w:rsidRPr="0002056A">
        <w:rPr>
          <w:rFonts w:ascii="Georgia" w:hAnsi="Georgia" w:cs="Times New Roman"/>
          <w:lang w:val="en-GB"/>
        </w:rPr>
        <w:t>can also be helped by (national) planning</w:t>
      </w:r>
      <w:r w:rsidR="00A37513" w:rsidRPr="0002056A">
        <w:rPr>
          <w:rFonts w:ascii="Georgia" w:hAnsi="Georgia" w:cs="Times New Roman"/>
          <w:lang w:val="en-GB"/>
        </w:rPr>
        <w:t xml:space="preserve"> and coordination</w:t>
      </w:r>
      <w:r w:rsidRPr="0002056A">
        <w:rPr>
          <w:rFonts w:ascii="Georgia" w:hAnsi="Georgia" w:cs="Times New Roman"/>
          <w:lang w:val="en-GB"/>
        </w:rPr>
        <w:t xml:space="preserve">. According to </w:t>
      </w:r>
      <w:r w:rsidRPr="0002056A">
        <w:rPr>
          <w:rFonts w:ascii="Georgia" w:hAnsi="Georgia" w:cs="Times New Roman"/>
          <w:smallCaps/>
          <w:lang w:val="en-GB"/>
        </w:rPr>
        <w:t xml:space="preserve">Di Gregorio </w:t>
      </w:r>
      <w:r w:rsidRPr="0002056A">
        <w:rPr>
          <w:rFonts w:ascii="Georgia" w:hAnsi="Georgia" w:cs="Times New Roman"/>
          <w:lang w:val="en-GB"/>
        </w:rPr>
        <w:t>and her co-authors</w:t>
      </w:r>
      <w:r w:rsidR="00036B54">
        <w:rPr>
          <w:rFonts w:ascii="Georgia" w:hAnsi="Georgia" w:cs="Times New Roman"/>
          <w:lang w:val="en-GB"/>
        </w:rPr>
        <w:t>, this integration comprises 4 main levels, which are all necessary to develop a policy environment that implements a proper, resilient development pathway combining adaptation, mitigation and sustainable development aspects (</w:t>
      </w:r>
      <w:r w:rsidR="00036B54" w:rsidRPr="00504E08">
        <w:rPr>
          <w:rFonts w:ascii="Georgia" w:hAnsi="Georgia" w:cs="Times New Roman"/>
          <w:smallCaps/>
          <w:lang w:val="en-GB"/>
        </w:rPr>
        <w:t>Di G</w:t>
      </w:r>
      <w:r w:rsidR="00504E08">
        <w:rPr>
          <w:rFonts w:ascii="Georgia" w:hAnsi="Georgia" w:cs="Times New Roman"/>
          <w:smallCaps/>
          <w:lang w:val="en-GB"/>
        </w:rPr>
        <w:t>regorio</w:t>
      </w:r>
      <w:r w:rsidR="00036B54" w:rsidRPr="00504E08">
        <w:rPr>
          <w:rFonts w:ascii="Georgia" w:hAnsi="Georgia" w:cs="Times New Roman"/>
          <w:smallCaps/>
          <w:lang w:val="en-GB"/>
        </w:rPr>
        <w:t xml:space="preserve"> et al.,</w:t>
      </w:r>
      <w:r w:rsidR="00036B54">
        <w:rPr>
          <w:rFonts w:ascii="Georgia" w:hAnsi="Georgia" w:cs="Times New Roman"/>
          <w:lang w:val="en-GB"/>
        </w:rPr>
        <w:t xml:space="preserve"> 2016).</w:t>
      </w:r>
      <w:r w:rsidRPr="0002056A">
        <w:rPr>
          <w:rFonts w:ascii="Georgia" w:hAnsi="Georgia" w:cs="Times New Roman"/>
          <w:lang w:val="en-GB"/>
        </w:rPr>
        <w:t xml:space="preserve"> Similarly to </w:t>
      </w:r>
      <w:r w:rsidRPr="0002056A">
        <w:rPr>
          <w:rFonts w:ascii="Georgia" w:hAnsi="Georgia" w:cs="Times New Roman"/>
          <w:smallCaps/>
          <w:lang w:val="en-GB"/>
        </w:rPr>
        <w:t>Uittenbroek et al</w:t>
      </w:r>
      <w:r w:rsidRPr="0002056A">
        <w:rPr>
          <w:rFonts w:ascii="Georgia" w:hAnsi="Georgia" w:cs="Times New Roman"/>
          <w:lang w:val="en-GB"/>
        </w:rPr>
        <w:t xml:space="preserve">.’s urban analyses, </w:t>
      </w:r>
      <w:r w:rsidRPr="0002056A">
        <w:rPr>
          <w:rFonts w:ascii="Georgia" w:hAnsi="Georgia" w:cs="Times New Roman"/>
          <w:smallCaps/>
          <w:lang w:val="en-GB"/>
        </w:rPr>
        <w:t>Di</w:t>
      </w:r>
      <w:r w:rsidRPr="0002056A">
        <w:rPr>
          <w:rFonts w:ascii="Georgia" w:hAnsi="Georgia" w:cs="Times New Roman"/>
          <w:lang w:val="en-GB"/>
        </w:rPr>
        <w:t xml:space="preserve"> </w:t>
      </w:r>
      <w:r w:rsidRPr="0002056A">
        <w:rPr>
          <w:rFonts w:ascii="Georgia" w:hAnsi="Georgia" w:cs="Times New Roman"/>
          <w:smallCaps/>
          <w:lang w:val="en-GB"/>
        </w:rPr>
        <w:t xml:space="preserve">Gregorio </w:t>
      </w:r>
      <w:r w:rsidRPr="0002056A">
        <w:rPr>
          <w:rFonts w:ascii="Georgia" w:hAnsi="Georgia" w:cs="Times New Roman"/>
          <w:lang w:val="en-GB"/>
        </w:rPr>
        <w:t>and her colleagues emphasise the importance of the “</w:t>
      </w:r>
      <w:r w:rsidRPr="0002056A">
        <w:rPr>
          <w:rFonts w:ascii="Georgia" w:hAnsi="Georgia" w:cs="Times New Roman"/>
          <w:i/>
          <w:iCs/>
          <w:lang w:val="en-GB"/>
        </w:rPr>
        <w:t>adaptation mainstreaming</w:t>
      </w:r>
      <w:r w:rsidRPr="0002056A">
        <w:rPr>
          <w:rFonts w:ascii="Georgia" w:hAnsi="Georgia" w:cs="Times New Roman"/>
          <w:lang w:val="en-GB"/>
        </w:rPr>
        <w:t>”</w:t>
      </w:r>
      <w:r w:rsidRPr="0002056A">
        <w:rPr>
          <w:rFonts w:ascii="Georgia" w:eastAsia="Times New Roman" w:hAnsi="Georgia" w:cs="Times New Roman"/>
          <w:lang w:val="en-GB" w:eastAsia="hu-HU"/>
        </w:rPr>
        <w:t>. Leiter concludes in his review that literature on (national) adaptation governance concentrates mostly on adaptation planning, concepts, strategies and the aforementioned mainstreaming; meanwhile</w:t>
      </w:r>
      <w:r w:rsidR="00036B54">
        <w:rPr>
          <w:rFonts w:ascii="Georgia" w:eastAsia="Times New Roman" w:hAnsi="Georgia" w:cs="Times New Roman"/>
          <w:lang w:val="en-GB" w:eastAsia="hu-HU"/>
        </w:rPr>
        <w:t>, adaptation actions’ impacts, implementation and potential effectiveness are</w:t>
      </w:r>
      <w:r w:rsidRPr="0002056A">
        <w:rPr>
          <w:rFonts w:ascii="Georgia" w:eastAsia="Times New Roman" w:hAnsi="Georgia" w:cs="Times New Roman"/>
          <w:lang w:val="en-GB" w:eastAsia="hu-HU"/>
        </w:rPr>
        <w:t xml:space="preserve"> getting only lesser attention (</w:t>
      </w:r>
      <w:r w:rsidRPr="0002056A">
        <w:rPr>
          <w:rFonts w:ascii="Georgia" w:eastAsia="Times New Roman" w:hAnsi="Georgia" w:cs="Times New Roman"/>
          <w:smallCaps/>
          <w:lang w:val="en-GB" w:eastAsia="hu-HU"/>
        </w:rPr>
        <w:t>Leiter</w:t>
      </w:r>
      <w:r w:rsidRPr="0002056A">
        <w:rPr>
          <w:rFonts w:ascii="Georgia" w:eastAsia="Times New Roman" w:hAnsi="Georgia" w:cs="Times New Roman"/>
          <w:lang w:val="en-GB" w:eastAsia="hu-HU"/>
        </w:rPr>
        <w:t xml:space="preserve">, 2021). </w:t>
      </w:r>
    </w:p>
    <w:p w14:paraId="665FC4F5" w14:textId="561114FA" w:rsidR="004E603D" w:rsidRPr="0002056A" w:rsidRDefault="00FB193C"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 xml:space="preserve">Despite these important roles of </w:t>
      </w:r>
      <w:r w:rsidR="00036B54">
        <w:rPr>
          <w:rFonts w:ascii="Georgia" w:hAnsi="Georgia"/>
          <w:sz w:val="22"/>
          <w:szCs w:val="22"/>
          <w:lang w:val="en-GB"/>
        </w:rPr>
        <w:t xml:space="preserve">the </w:t>
      </w:r>
      <w:r w:rsidRPr="0002056A">
        <w:rPr>
          <w:rFonts w:ascii="Georgia" w:hAnsi="Georgia"/>
          <w:sz w:val="22"/>
          <w:szCs w:val="22"/>
          <w:lang w:val="en-GB"/>
        </w:rPr>
        <w:t>national level in adaptation planning, h</w:t>
      </w:r>
      <w:r w:rsidR="004E603D" w:rsidRPr="0002056A">
        <w:rPr>
          <w:rFonts w:ascii="Georgia" w:hAnsi="Georgia"/>
          <w:sz w:val="22"/>
          <w:szCs w:val="22"/>
          <w:lang w:val="en-GB"/>
        </w:rPr>
        <w:t xml:space="preserve">owever, </w:t>
      </w:r>
      <w:r w:rsidR="004E603D" w:rsidRPr="0002056A">
        <w:rPr>
          <w:rFonts w:ascii="Georgia" w:hAnsi="Georgia"/>
          <w:b/>
          <w:bCs/>
          <w:sz w:val="22"/>
          <w:szCs w:val="22"/>
          <w:lang w:val="en-GB"/>
        </w:rPr>
        <w:t>only limited number of studies deal</w:t>
      </w:r>
      <w:r w:rsidR="0076296D">
        <w:rPr>
          <w:rFonts w:ascii="Georgia" w:hAnsi="Georgia"/>
          <w:b/>
          <w:bCs/>
          <w:sz w:val="22"/>
          <w:szCs w:val="22"/>
          <w:lang w:val="en-GB"/>
        </w:rPr>
        <w:t>s</w:t>
      </w:r>
      <w:r w:rsidR="004E603D" w:rsidRPr="0002056A">
        <w:rPr>
          <w:rFonts w:ascii="Georgia" w:hAnsi="Georgia"/>
          <w:b/>
          <w:bCs/>
          <w:sz w:val="22"/>
          <w:szCs w:val="22"/>
          <w:lang w:val="en-GB"/>
        </w:rPr>
        <w:t xml:space="preserve"> with </w:t>
      </w:r>
      <w:r w:rsidR="00036B54">
        <w:rPr>
          <w:rFonts w:ascii="Georgia" w:hAnsi="Georgia"/>
          <w:b/>
          <w:bCs/>
          <w:sz w:val="22"/>
          <w:szCs w:val="22"/>
          <w:lang w:val="en-GB"/>
        </w:rPr>
        <w:t xml:space="preserve">a </w:t>
      </w:r>
      <w:r w:rsidR="004E603D" w:rsidRPr="0002056A">
        <w:rPr>
          <w:rFonts w:ascii="Georgia" w:hAnsi="Georgia"/>
          <w:b/>
          <w:bCs/>
          <w:sz w:val="22"/>
          <w:szCs w:val="22"/>
          <w:lang w:val="en-GB"/>
        </w:rPr>
        <w:t xml:space="preserve">comparative analysis of national </w:t>
      </w:r>
      <w:r w:rsidR="001509FF" w:rsidRPr="0002056A">
        <w:rPr>
          <w:rFonts w:ascii="Georgia" w:hAnsi="Georgia"/>
          <w:b/>
          <w:bCs/>
          <w:sz w:val="22"/>
          <w:szCs w:val="22"/>
          <w:lang w:val="en-GB"/>
        </w:rPr>
        <w:t xml:space="preserve">adaptation </w:t>
      </w:r>
      <w:r w:rsidR="004E603D" w:rsidRPr="0002056A">
        <w:rPr>
          <w:rFonts w:ascii="Georgia" w:hAnsi="Georgia"/>
          <w:b/>
          <w:bCs/>
          <w:sz w:val="22"/>
          <w:szCs w:val="22"/>
          <w:lang w:val="en-GB"/>
        </w:rPr>
        <w:t xml:space="preserve">planning </w:t>
      </w:r>
      <w:r w:rsidR="001509FF" w:rsidRPr="0002056A">
        <w:rPr>
          <w:rFonts w:ascii="Georgia" w:hAnsi="Georgia"/>
          <w:b/>
          <w:bCs/>
          <w:sz w:val="22"/>
          <w:szCs w:val="22"/>
          <w:lang w:val="en-GB"/>
        </w:rPr>
        <w:t>activities</w:t>
      </w:r>
      <w:r w:rsidR="001509FF" w:rsidRPr="0002056A">
        <w:rPr>
          <w:rFonts w:ascii="Georgia" w:hAnsi="Georgia"/>
          <w:sz w:val="22"/>
          <w:szCs w:val="22"/>
          <w:lang w:val="en-GB"/>
        </w:rPr>
        <w:t xml:space="preserve"> wor</w:t>
      </w:r>
      <w:r w:rsidR="004E603D" w:rsidRPr="0002056A">
        <w:rPr>
          <w:rFonts w:ascii="Georgia" w:hAnsi="Georgia"/>
          <w:sz w:val="22"/>
          <w:szCs w:val="22"/>
          <w:lang w:val="en-GB"/>
        </w:rPr>
        <w:t>ldwide</w:t>
      </w:r>
      <w:r w:rsidR="004E3FCC" w:rsidRPr="0002056A">
        <w:rPr>
          <w:rFonts w:ascii="Georgia" w:hAnsi="Georgia"/>
          <w:b/>
          <w:bCs/>
          <w:sz w:val="22"/>
          <w:szCs w:val="22"/>
          <w:lang w:val="en-GB"/>
        </w:rPr>
        <w:t xml:space="preserve"> </w:t>
      </w:r>
      <w:r w:rsidR="004E3FCC" w:rsidRPr="0002056A">
        <w:rPr>
          <w:rFonts w:ascii="Georgia" w:hAnsi="Georgia"/>
          <w:sz w:val="22"/>
          <w:szCs w:val="22"/>
          <w:lang w:val="en-GB"/>
        </w:rPr>
        <w:t>and</w:t>
      </w:r>
      <w:r w:rsidR="004E603D" w:rsidRPr="0002056A">
        <w:rPr>
          <w:rFonts w:ascii="Georgia" w:hAnsi="Georgia"/>
          <w:sz w:val="22"/>
          <w:szCs w:val="22"/>
          <w:lang w:val="en-GB"/>
        </w:rPr>
        <w:t xml:space="preserve"> they have contradicting results. For example, Morgan et al. analysed 54 national documents and drew the conclusion that </w:t>
      </w:r>
      <w:r w:rsidR="004E603D" w:rsidRPr="0002056A">
        <w:rPr>
          <w:rFonts w:ascii="Georgia" w:hAnsi="Georgia"/>
          <w:sz w:val="22"/>
          <w:szCs w:val="22"/>
          <w:lang w:val="en-GB"/>
        </w:rPr>
        <w:lastRenderedPageBreak/>
        <w:t>significant proportion of them put serious effort into MRE activities during planning (</w:t>
      </w:r>
      <w:r w:rsidR="004E603D" w:rsidRPr="0002056A">
        <w:rPr>
          <w:rFonts w:ascii="Georgia" w:hAnsi="Georgia"/>
          <w:smallCaps/>
          <w:sz w:val="22"/>
          <w:szCs w:val="22"/>
          <w:lang w:val="en-GB"/>
        </w:rPr>
        <w:t>Morgan et al</w:t>
      </w:r>
      <w:r w:rsidR="004E603D" w:rsidRPr="0002056A">
        <w:rPr>
          <w:rFonts w:ascii="Georgia" w:hAnsi="Georgia"/>
          <w:sz w:val="22"/>
          <w:szCs w:val="22"/>
          <w:lang w:val="en-GB"/>
        </w:rPr>
        <w:t>, 2019)</w:t>
      </w:r>
      <w:r w:rsidR="00854F11" w:rsidRPr="0002056A">
        <w:rPr>
          <w:rStyle w:val="Lbjegyzet-hivatkozs"/>
          <w:rFonts w:ascii="Georgia" w:hAnsi="Georgia"/>
          <w:sz w:val="22"/>
          <w:szCs w:val="22"/>
          <w:lang w:val="en-GB"/>
        </w:rPr>
        <w:footnoteReference w:id="66"/>
      </w:r>
      <w:r w:rsidR="004E603D" w:rsidRPr="0002056A">
        <w:rPr>
          <w:rFonts w:ascii="Georgia" w:hAnsi="Georgia"/>
          <w:sz w:val="22"/>
          <w:szCs w:val="22"/>
          <w:lang w:val="en-GB"/>
        </w:rPr>
        <w:t>. Meanwhile, Woodr</w:t>
      </w:r>
      <w:r w:rsidR="00216AD0">
        <w:rPr>
          <w:rFonts w:ascii="Georgia" w:hAnsi="Georgia"/>
          <w:sz w:val="22"/>
          <w:szCs w:val="22"/>
          <w:lang w:val="en-GB"/>
        </w:rPr>
        <w:t>u</w:t>
      </w:r>
      <w:r w:rsidR="004E603D" w:rsidRPr="0002056A">
        <w:rPr>
          <w:rFonts w:ascii="Georgia" w:hAnsi="Georgia"/>
          <w:sz w:val="22"/>
          <w:szCs w:val="22"/>
          <w:lang w:val="en-GB"/>
        </w:rPr>
        <w:t xml:space="preserve">ff and Regan studied 38 NAPs and found that </w:t>
      </w:r>
      <w:r w:rsidR="00036B54">
        <w:rPr>
          <w:rFonts w:ascii="Georgia" w:hAnsi="Georgia"/>
          <w:sz w:val="22"/>
          <w:szCs w:val="22"/>
          <w:lang w:val="en-GB"/>
        </w:rPr>
        <w:t xml:space="preserve">the </w:t>
      </w:r>
      <w:r w:rsidR="004E603D" w:rsidRPr="0002056A">
        <w:rPr>
          <w:rFonts w:ascii="Georgia" w:hAnsi="Georgia"/>
          <w:sz w:val="22"/>
          <w:szCs w:val="22"/>
          <w:lang w:val="en-GB"/>
        </w:rPr>
        <w:t>monitoring and implementation parts of these were weak, which fact makes the implementation of these documents questionable</w:t>
      </w:r>
      <w:r w:rsidR="00B6063E" w:rsidRPr="0002056A">
        <w:rPr>
          <w:rFonts w:ascii="Georgia" w:hAnsi="Georgia"/>
          <w:sz w:val="22"/>
          <w:szCs w:val="22"/>
          <w:lang w:val="en-GB"/>
        </w:rPr>
        <w:t>. The authors</w:t>
      </w:r>
      <w:r w:rsidR="004E603D" w:rsidRPr="0002056A">
        <w:rPr>
          <w:rFonts w:ascii="Georgia" w:hAnsi="Georgia"/>
          <w:sz w:val="22"/>
          <w:szCs w:val="22"/>
          <w:lang w:val="en-GB"/>
        </w:rPr>
        <w:t xml:space="preserve"> recommend </w:t>
      </w:r>
      <w:r w:rsidR="00440352" w:rsidRPr="0002056A">
        <w:rPr>
          <w:rFonts w:ascii="Georgia" w:hAnsi="Georgia"/>
          <w:sz w:val="22"/>
          <w:szCs w:val="22"/>
          <w:lang w:val="en-GB"/>
        </w:rPr>
        <w:t>continuing</w:t>
      </w:r>
      <w:r w:rsidR="004E603D" w:rsidRPr="0002056A">
        <w:rPr>
          <w:rFonts w:ascii="Georgia" w:hAnsi="Georgia"/>
          <w:sz w:val="22"/>
          <w:szCs w:val="22"/>
          <w:lang w:val="en-GB"/>
        </w:rPr>
        <w:t xml:space="preserve"> to research on evaluating adaptation progress (</w:t>
      </w:r>
      <w:r w:rsidR="004E603D" w:rsidRPr="0002056A">
        <w:rPr>
          <w:rFonts w:ascii="Georgia" w:hAnsi="Georgia"/>
          <w:smallCaps/>
          <w:sz w:val="22"/>
          <w:szCs w:val="22"/>
          <w:lang w:val="en-GB"/>
        </w:rPr>
        <w:t xml:space="preserve">Woodruff-Regan, 2019). </w:t>
      </w:r>
      <w:r w:rsidR="004E603D" w:rsidRPr="0002056A">
        <w:rPr>
          <w:rFonts w:ascii="Georgia" w:hAnsi="Georgia"/>
          <w:sz w:val="22"/>
          <w:szCs w:val="22"/>
          <w:lang w:val="en-GB"/>
        </w:rPr>
        <w:t>Timo Leiter and his colleagues</w:t>
      </w:r>
      <w:r w:rsidR="004E603D" w:rsidRPr="0002056A">
        <w:rPr>
          <w:rFonts w:ascii="Georgia" w:hAnsi="Georgia"/>
          <w:smallCaps/>
          <w:sz w:val="22"/>
          <w:szCs w:val="22"/>
          <w:lang w:val="en-GB"/>
        </w:rPr>
        <w:t xml:space="preserve"> </w:t>
      </w:r>
      <w:r w:rsidR="004E603D" w:rsidRPr="0002056A">
        <w:rPr>
          <w:rFonts w:ascii="Georgia" w:hAnsi="Georgia"/>
          <w:sz w:val="22"/>
          <w:szCs w:val="22"/>
          <w:lang w:val="en-GB"/>
        </w:rPr>
        <w:t>found in 2017 that very few national adaptation M</w:t>
      </w:r>
      <w:r w:rsidR="00B6063E" w:rsidRPr="0002056A">
        <w:rPr>
          <w:rFonts w:ascii="Georgia" w:hAnsi="Georgia"/>
          <w:sz w:val="22"/>
          <w:szCs w:val="22"/>
          <w:lang w:val="en-GB"/>
        </w:rPr>
        <w:t>R</w:t>
      </w:r>
      <w:r w:rsidR="004E603D" w:rsidRPr="0002056A">
        <w:rPr>
          <w:rFonts w:ascii="Georgia" w:hAnsi="Georgia"/>
          <w:sz w:val="22"/>
          <w:szCs w:val="22"/>
          <w:lang w:val="en-GB"/>
        </w:rPr>
        <w:t xml:space="preserve">E systems </w:t>
      </w:r>
      <w:r w:rsidR="00036B54">
        <w:rPr>
          <w:rFonts w:ascii="Georgia" w:hAnsi="Georgia"/>
          <w:sz w:val="22"/>
          <w:szCs w:val="22"/>
          <w:lang w:val="en-GB"/>
        </w:rPr>
        <w:t>had</w:t>
      </w:r>
      <w:r w:rsidR="00036B54" w:rsidRPr="0002056A">
        <w:rPr>
          <w:rFonts w:ascii="Georgia" w:hAnsi="Georgia"/>
          <w:sz w:val="22"/>
          <w:szCs w:val="22"/>
          <w:lang w:val="en-GB"/>
        </w:rPr>
        <w:t xml:space="preserve"> </w:t>
      </w:r>
      <w:r w:rsidR="004E603D" w:rsidRPr="0002056A">
        <w:rPr>
          <w:rFonts w:ascii="Georgia" w:hAnsi="Georgia"/>
          <w:sz w:val="22"/>
          <w:szCs w:val="22"/>
          <w:lang w:val="en-GB"/>
        </w:rPr>
        <w:t xml:space="preserve">advanced beyond initial steps </w:t>
      </w:r>
      <w:r w:rsidR="00B6063E" w:rsidRPr="0002056A">
        <w:rPr>
          <w:rFonts w:ascii="Georgia" w:hAnsi="Georgia"/>
          <w:sz w:val="22"/>
          <w:szCs w:val="22"/>
          <w:lang w:val="en-GB"/>
        </w:rPr>
        <w:t xml:space="preserve">then </w:t>
      </w:r>
      <w:r w:rsidR="004E603D" w:rsidRPr="0002056A">
        <w:rPr>
          <w:rFonts w:ascii="Georgia" w:hAnsi="Georgia"/>
          <w:sz w:val="22"/>
          <w:szCs w:val="22"/>
          <w:lang w:val="en-GB"/>
        </w:rPr>
        <w:t>(</w:t>
      </w:r>
      <w:r w:rsidR="004E603D" w:rsidRPr="0002056A">
        <w:rPr>
          <w:rFonts w:ascii="Georgia" w:hAnsi="Georgia"/>
          <w:smallCaps/>
          <w:sz w:val="22"/>
          <w:szCs w:val="22"/>
          <w:lang w:val="en-GB"/>
        </w:rPr>
        <w:t>Leiter et al., 2017</w:t>
      </w:r>
      <w:r w:rsidR="004E603D" w:rsidRPr="0002056A">
        <w:rPr>
          <w:rFonts w:ascii="Georgia" w:hAnsi="Georgia"/>
          <w:sz w:val="22"/>
          <w:szCs w:val="22"/>
          <w:lang w:val="en-GB"/>
        </w:rPr>
        <w:t xml:space="preserve">). </w:t>
      </w:r>
    </w:p>
    <w:p w14:paraId="0313CCA4" w14:textId="685E9D80" w:rsidR="004E603D" w:rsidRPr="0002056A" w:rsidRDefault="004E603D"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Mickwitz and his colleagues analysed through selected case studies the policy integration of mitigation and adaptation efforts in different policy areas in different countries</w:t>
      </w:r>
      <w:r w:rsidR="00273499" w:rsidRPr="0002056A">
        <w:rPr>
          <w:rFonts w:ascii="Georgia" w:hAnsi="Georgia"/>
          <w:sz w:val="22"/>
          <w:szCs w:val="22"/>
          <w:lang w:val="en-GB"/>
        </w:rPr>
        <w:t>. T</w:t>
      </w:r>
      <w:r w:rsidRPr="0002056A">
        <w:rPr>
          <w:rFonts w:ascii="Georgia" w:hAnsi="Georgia"/>
          <w:sz w:val="22"/>
          <w:szCs w:val="22"/>
          <w:lang w:val="en-GB"/>
        </w:rPr>
        <w:t xml:space="preserve">he </w:t>
      </w:r>
      <w:r w:rsidR="00F91958" w:rsidRPr="0002056A">
        <w:rPr>
          <w:rFonts w:ascii="Georgia" w:hAnsi="Georgia"/>
          <w:sz w:val="22"/>
          <w:szCs w:val="22"/>
          <w:lang w:val="en-GB"/>
        </w:rPr>
        <w:t>explicit</w:t>
      </w:r>
      <w:r w:rsidRPr="0002056A">
        <w:rPr>
          <w:rFonts w:ascii="Georgia" w:hAnsi="Georgia"/>
          <w:sz w:val="22"/>
          <w:szCs w:val="22"/>
          <w:lang w:val="en-GB"/>
        </w:rPr>
        <w:t xml:space="preserve"> adaptation planning did not get special emphasis in their study, but spatial planning did</w:t>
      </w:r>
      <w:r w:rsidR="00036B54">
        <w:rPr>
          <w:rFonts w:ascii="Georgia" w:hAnsi="Georgia"/>
          <w:sz w:val="22"/>
          <w:szCs w:val="22"/>
          <w:lang w:val="en-GB"/>
        </w:rPr>
        <w:t>;</w:t>
      </w:r>
      <w:r w:rsidR="00036B54" w:rsidRPr="0002056A">
        <w:rPr>
          <w:rFonts w:ascii="Georgia" w:hAnsi="Georgia"/>
          <w:sz w:val="22"/>
          <w:szCs w:val="22"/>
          <w:lang w:val="en-GB"/>
        </w:rPr>
        <w:t xml:space="preserve"> </w:t>
      </w:r>
      <w:r w:rsidRPr="0002056A">
        <w:rPr>
          <w:rFonts w:ascii="Georgia" w:hAnsi="Georgia"/>
          <w:sz w:val="22"/>
          <w:szCs w:val="22"/>
          <w:lang w:val="en-GB"/>
        </w:rPr>
        <w:t>however, they identified significant divergence between the claim and the factual relevance of spatial planning for the adaptation process (</w:t>
      </w:r>
      <w:r w:rsidRPr="0002056A">
        <w:rPr>
          <w:rFonts w:ascii="Georgia" w:hAnsi="Georgia"/>
          <w:smallCaps/>
          <w:sz w:val="22"/>
          <w:szCs w:val="22"/>
          <w:lang w:val="en-GB"/>
        </w:rPr>
        <w:t>Mickwitz et al, 2009</w:t>
      </w:r>
      <w:r w:rsidRPr="0002056A">
        <w:rPr>
          <w:rFonts w:ascii="Georgia" w:hAnsi="Georgia"/>
          <w:sz w:val="22"/>
          <w:szCs w:val="22"/>
          <w:lang w:val="en-GB"/>
        </w:rPr>
        <w:t xml:space="preserve">). </w:t>
      </w:r>
    </w:p>
    <w:p w14:paraId="3A709719" w14:textId="47D22FEF" w:rsidR="004E603D" w:rsidRPr="0002056A" w:rsidRDefault="004E603D" w:rsidP="00CD5BF3">
      <w:pPr>
        <w:autoSpaceDE w:val="0"/>
        <w:autoSpaceDN w:val="0"/>
        <w:adjustRightInd w:val="0"/>
        <w:spacing w:before="120" w:after="120"/>
        <w:jc w:val="both"/>
        <w:rPr>
          <w:rFonts w:ascii="Georgia" w:hAnsi="Georgia"/>
          <w:lang w:val="en-GB"/>
        </w:rPr>
      </w:pPr>
      <w:r w:rsidRPr="0002056A">
        <w:rPr>
          <w:rFonts w:ascii="Georgia" w:eastAsia="Times New Roman" w:hAnsi="Georgia" w:cs="Times New Roman"/>
          <w:lang w:val="en-GB" w:eastAsia="hu-HU"/>
        </w:rPr>
        <w:t>In Europe</w:t>
      </w:r>
      <w:r w:rsidR="00036B54">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the first national adaptation plans, as we saw in the previous chapters, emerged in the mid-2000s. </w:t>
      </w:r>
      <w:r w:rsidRPr="0002056A">
        <w:rPr>
          <w:rFonts w:ascii="Georgia" w:hAnsi="Georgia"/>
          <w:lang w:val="en-GB"/>
        </w:rPr>
        <w:t xml:space="preserve">The article of Dosch, Porsche and Schuster </w:t>
      </w:r>
      <w:r w:rsidR="000C0205" w:rsidRPr="0002056A">
        <w:rPr>
          <w:rFonts w:ascii="Georgia" w:hAnsi="Georgia"/>
          <w:lang w:val="en-GB"/>
        </w:rPr>
        <w:t>summarises</w:t>
      </w:r>
      <w:r w:rsidRPr="0002056A">
        <w:rPr>
          <w:rFonts w:ascii="Georgia" w:hAnsi="Georgia"/>
          <w:lang w:val="en-GB"/>
        </w:rPr>
        <w:t xml:space="preserve"> the results of </w:t>
      </w:r>
      <w:r w:rsidR="00BB25BA">
        <w:rPr>
          <w:rFonts w:ascii="Georgia" w:hAnsi="Georgia"/>
          <w:lang w:val="en-GB"/>
        </w:rPr>
        <w:t>their</w:t>
      </w:r>
      <w:r w:rsidRPr="0002056A">
        <w:rPr>
          <w:rFonts w:ascii="Georgia" w:hAnsi="Georgia"/>
          <w:lang w:val="en-GB"/>
        </w:rPr>
        <w:t xml:space="preserve"> research from </w:t>
      </w:r>
      <w:r w:rsidR="00F91958" w:rsidRPr="0002056A">
        <w:rPr>
          <w:rFonts w:ascii="Georgia" w:hAnsi="Georgia"/>
          <w:lang w:val="en-GB"/>
        </w:rPr>
        <w:t>th</w:t>
      </w:r>
      <w:r w:rsidR="000C0205" w:rsidRPr="0002056A">
        <w:rPr>
          <w:rFonts w:ascii="Georgia" w:hAnsi="Georgia"/>
          <w:lang w:val="en-GB"/>
        </w:rPr>
        <w:t>at</w:t>
      </w:r>
      <w:r w:rsidRPr="0002056A">
        <w:rPr>
          <w:rFonts w:ascii="Georgia" w:hAnsi="Georgia"/>
          <w:lang w:val="en-GB"/>
        </w:rPr>
        <w:t xml:space="preserve"> time </w:t>
      </w:r>
      <w:r w:rsidR="00F91958" w:rsidRPr="0002056A">
        <w:rPr>
          <w:rFonts w:ascii="Georgia" w:hAnsi="Georgia"/>
          <w:lang w:val="en-GB"/>
        </w:rPr>
        <w:t xml:space="preserve">right </w:t>
      </w:r>
      <w:r w:rsidRPr="0002056A">
        <w:rPr>
          <w:rFonts w:ascii="Georgia" w:hAnsi="Georgia"/>
          <w:lang w:val="en-GB"/>
        </w:rPr>
        <w:t>after the adoption of the first generation of national adaptation and sectoral adaptation documents of Europe. Before that time</w:t>
      </w:r>
      <w:r w:rsidR="00036B54">
        <w:rPr>
          <w:rFonts w:ascii="Georgia" w:hAnsi="Georgia"/>
          <w:lang w:val="en-GB"/>
        </w:rPr>
        <w:t>,</w:t>
      </w:r>
      <w:r w:rsidRPr="0002056A">
        <w:rPr>
          <w:rFonts w:ascii="Georgia" w:hAnsi="Georgia"/>
          <w:lang w:val="en-GB"/>
        </w:rPr>
        <w:t xml:space="preserve"> under </w:t>
      </w:r>
      <w:r w:rsidR="00F91958" w:rsidRPr="0002056A">
        <w:rPr>
          <w:rFonts w:ascii="Georgia" w:hAnsi="Georgia"/>
          <w:lang w:val="en-GB"/>
        </w:rPr>
        <w:t xml:space="preserve">the </w:t>
      </w:r>
      <w:r w:rsidRPr="0002056A">
        <w:rPr>
          <w:rFonts w:ascii="Georgia" w:hAnsi="Georgia"/>
          <w:lang w:val="en-GB"/>
        </w:rPr>
        <w:t xml:space="preserve">UNFCCC states committed themselves to elaborate adaptation interventions under other sectoral strategies but special national adaptation strategies were not really formed by the </w:t>
      </w:r>
      <w:r w:rsidR="009236A3" w:rsidRPr="0002056A">
        <w:rPr>
          <w:rFonts w:ascii="Georgia" w:hAnsi="Georgia"/>
          <w:lang w:val="en-GB"/>
        </w:rPr>
        <w:t>s</w:t>
      </w:r>
      <w:r w:rsidRPr="0002056A">
        <w:rPr>
          <w:rFonts w:ascii="Georgia" w:hAnsi="Georgia"/>
          <w:lang w:val="en-GB"/>
        </w:rPr>
        <w:t>e</w:t>
      </w:r>
      <w:r w:rsidR="009236A3" w:rsidRPr="0002056A">
        <w:rPr>
          <w:rFonts w:ascii="Georgia" w:hAnsi="Georgia"/>
          <w:lang w:val="en-GB"/>
        </w:rPr>
        <w:t>co</w:t>
      </w:r>
      <w:r w:rsidRPr="0002056A">
        <w:rPr>
          <w:rFonts w:ascii="Georgia" w:hAnsi="Georgia"/>
          <w:lang w:val="en-GB"/>
        </w:rPr>
        <w:t xml:space="preserve">nd </w:t>
      </w:r>
      <w:r w:rsidR="009236A3" w:rsidRPr="0002056A">
        <w:rPr>
          <w:rFonts w:ascii="Georgia" w:hAnsi="Georgia"/>
          <w:lang w:val="en-GB"/>
        </w:rPr>
        <w:t xml:space="preserve">half </w:t>
      </w:r>
      <w:r w:rsidRPr="0002056A">
        <w:rPr>
          <w:rFonts w:ascii="Georgia" w:hAnsi="Georgia"/>
          <w:lang w:val="en-GB"/>
        </w:rPr>
        <w:t>of the 2000s</w:t>
      </w:r>
      <w:r w:rsidR="00EE1227" w:rsidRPr="0002056A">
        <w:rPr>
          <w:rStyle w:val="Lbjegyzet-hivatkozs"/>
          <w:rFonts w:ascii="Georgia" w:hAnsi="Georgia"/>
          <w:lang w:val="en-GB"/>
        </w:rPr>
        <w:footnoteReference w:id="67"/>
      </w:r>
      <w:r w:rsidRPr="0002056A">
        <w:rPr>
          <w:rFonts w:ascii="Georgia" w:hAnsi="Georgia"/>
          <w:lang w:val="en-GB"/>
        </w:rPr>
        <w:t xml:space="preserve">. The basic tool applied by the research was </w:t>
      </w:r>
      <w:r w:rsidR="00036B54">
        <w:rPr>
          <w:rFonts w:ascii="Georgia" w:hAnsi="Georgia"/>
          <w:lang w:val="en-GB"/>
        </w:rPr>
        <w:t xml:space="preserve">a </w:t>
      </w:r>
      <w:r w:rsidRPr="0002056A">
        <w:rPr>
          <w:rFonts w:ascii="Georgia" w:hAnsi="Georgia"/>
          <w:lang w:val="en-GB"/>
        </w:rPr>
        <w:t xml:space="preserve">narrative description of national adaptation strategies, concentrating especially on the interventions identified within these or in other sectoral national strategies. No quantitative assessment of spatial performance or emergence of spatial aspects </w:t>
      </w:r>
      <w:r w:rsidR="003B4226" w:rsidRPr="0002056A">
        <w:rPr>
          <w:rFonts w:ascii="Georgia" w:hAnsi="Georgia"/>
          <w:lang w:val="en-GB"/>
        </w:rPr>
        <w:t xml:space="preserve">in the strategies </w:t>
      </w:r>
      <w:r w:rsidRPr="0002056A">
        <w:rPr>
          <w:rFonts w:ascii="Georgia" w:hAnsi="Georgia"/>
          <w:lang w:val="en-GB"/>
        </w:rPr>
        <w:t>were applied</w:t>
      </w:r>
      <w:r w:rsidR="003B4226" w:rsidRPr="0002056A">
        <w:rPr>
          <w:rFonts w:ascii="Georgia" w:hAnsi="Georgia"/>
          <w:lang w:val="en-GB"/>
        </w:rPr>
        <w:t xml:space="preserve"> </w:t>
      </w:r>
      <w:r w:rsidR="00EE1227" w:rsidRPr="0002056A">
        <w:rPr>
          <w:rFonts w:ascii="Georgia" w:hAnsi="Georgia"/>
          <w:lang w:val="en-GB"/>
        </w:rPr>
        <w:t>(</w:t>
      </w:r>
      <w:r w:rsidR="00EE1227" w:rsidRPr="0002056A">
        <w:rPr>
          <w:rFonts w:ascii="Georgia" w:hAnsi="Georgia" w:cstheme="minorHAnsi"/>
          <w:smallCaps/>
          <w:lang w:val="en-GB"/>
        </w:rPr>
        <w:t>Dosch et al., 2008</w:t>
      </w:r>
      <w:r w:rsidR="00EE1227" w:rsidRPr="0002056A">
        <w:rPr>
          <w:rFonts w:ascii="Georgia" w:hAnsi="Georgia"/>
          <w:lang w:val="en-GB"/>
        </w:rPr>
        <w:t>)</w:t>
      </w:r>
      <w:r w:rsidR="00631816" w:rsidRPr="0002056A">
        <w:rPr>
          <w:rStyle w:val="Lbjegyzet-hivatkozs"/>
          <w:rFonts w:ascii="Georgia" w:hAnsi="Georgia"/>
          <w:lang w:val="en-GB"/>
        </w:rPr>
        <w:footnoteReference w:id="68"/>
      </w:r>
      <w:r w:rsidRPr="0002056A">
        <w:rPr>
          <w:rFonts w:ascii="Georgia" w:hAnsi="Georgia"/>
          <w:lang w:val="en-GB"/>
        </w:rPr>
        <w:t xml:space="preserve">. </w:t>
      </w:r>
    </w:p>
    <w:p w14:paraId="1374E1B8" w14:textId="4518886C" w:rsidR="004E603D" w:rsidRPr="0002056A" w:rsidRDefault="004E603D" w:rsidP="00CD5BF3">
      <w:pPr>
        <w:autoSpaceDE w:val="0"/>
        <w:autoSpaceDN w:val="0"/>
        <w:adjustRightInd w:val="0"/>
        <w:spacing w:before="120" w:after="120"/>
        <w:jc w:val="both"/>
        <w:rPr>
          <w:rFonts w:ascii="Georgia" w:eastAsia="Times New Roman" w:hAnsi="Georgia" w:cs="Times New Roman"/>
          <w:lang w:val="en-GB" w:eastAsia="hu-HU"/>
        </w:rPr>
      </w:pPr>
      <w:r w:rsidRPr="0002056A">
        <w:rPr>
          <w:rFonts w:ascii="Georgia" w:eastAsia="Times New Roman" w:hAnsi="Georgia" w:cs="Times New Roman"/>
          <w:smallCaps/>
          <w:lang w:val="en-GB" w:eastAsia="hu-HU"/>
        </w:rPr>
        <w:t>Swart</w:t>
      </w:r>
      <w:r w:rsidRPr="0002056A">
        <w:rPr>
          <w:rFonts w:ascii="Georgia" w:eastAsia="Times New Roman" w:hAnsi="Georgia" w:cs="Times New Roman"/>
          <w:lang w:val="en-GB" w:eastAsia="hu-HU"/>
        </w:rPr>
        <w:t xml:space="preserve"> and his colleagues presented in 2009 another comparative analysis of national adaptation strategies from chosen European countries and identified policy-relevant findings and recommendations for the future, </w:t>
      </w:r>
      <w:r w:rsidR="00216AD0" w:rsidRPr="0002056A">
        <w:rPr>
          <w:rFonts w:ascii="Georgia" w:eastAsia="Times New Roman" w:hAnsi="Georgia" w:cs="Times New Roman"/>
          <w:lang w:val="en-GB" w:eastAsia="hu-HU"/>
        </w:rPr>
        <w:t>mentioning</w:t>
      </w:r>
      <w:r w:rsidRPr="0002056A">
        <w:rPr>
          <w:rFonts w:ascii="Georgia" w:eastAsia="Times New Roman" w:hAnsi="Georgia" w:cs="Times New Roman"/>
          <w:lang w:val="en-GB" w:eastAsia="hu-HU"/>
        </w:rPr>
        <w:t xml:space="preserve"> at the beginning of the study that so far climate research had concentrated rather on mitigation and climate impact</w:t>
      </w:r>
      <w:r w:rsidR="003B4226" w:rsidRPr="0002056A">
        <w:rPr>
          <w:rFonts w:ascii="Georgia" w:eastAsia="Times New Roman" w:hAnsi="Georgia" w:cs="Times New Roman"/>
          <w:lang w:val="en-GB" w:eastAsia="hu-HU"/>
        </w:rPr>
        <w:t>s</w:t>
      </w:r>
      <w:r w:rsidRPr="0002056A">
        <w:rPr>
          <w:rFonts w:ascii="Georgia" w:eastAsia="Times New Roman" w:hAnsi="Georgia" w:cs="Times New Roman"/>
          <w:lang w:val="en-GB" w:eastAsia="hu-HU"/>
        </w:rPr>
        <w:t xml:space="preserve"> and to a lesser extent to adaptation – one of the main objective of the study was to call attention to the topic</w:t>
      </w:r>
      <w:r w:rsidR="000F681F" w:rsidRPr="0002056A">
        <w:rPr>
          <w:rStyle w:val="Lbjegyzet-hivatkozs"/>
          <w:rFonts w:ascii="Georgia" w:eastAsia="Times New Roman" w:hAnsi="Georgia" w:cs="Times New Roman"/>
          <w:lang w:val="en-GB" w:eastAsia="hu-HU"/>
        </w:rPr>
        <w:footnoteReference w:id="69"/>
      </w:r>
      <w:r w:rsidRPr="0002056A">
        <w:rPr>
          <w:rFonts w:ascii="Georgia" w:eastAsia="Times New Roman" w:hAnsi="Georgia" w:cs="Times New Roman"/>
          <w:lang w:val="en-GB" w:eastAsia="hu-HU"/>
        </w:rPr>
        <w:t xml:space="preserve">. The applied </w:t>
      </w:r>
      <w:r w:rsidR="00216AD0" w:rsidRPr="0002056A">
        <w:rPr>
          <w:rFonts w:ascii="Georgia" w:eastAsia="Times New Roman" w:hAnsi="Georgia" w:cs="Times New Roman"/>
          <w:lang w:val="en-GB" w:eastAsia="hu-HU"/>
        </w:rPr>
        <w:t>methodology</w:t>
      </w:r>
      <w:r w:rsidRPr="0002056A">
        <w:rPr>
          <w:rFonts w:ascii="Georgia" w:eastAsia="Times New Roman" w:hAnsi="Georgia" w:cs="Times New Roman"/>
          <w:lang w:val="en-GB" w:eastAsia="hu-HU"/>
        </w:rPr>
        <w:t xml:space="preserve"> was based on national expert involvement, in the form of desk research (one from each analysed country), guided by an analytical aspect system along six topics</w:t>
      </w:r>
      <w:r w:rsidR="003A07E2" w:rsidRPr="0002056A">
        <w:rPr>
          <w:rFonts w:ascii="Georgia" w:eastAsia="Times New Roman" w:hAnsi="Georgia" w:cs="Times New Roman"/>
          <w:lang w:val="en-GB" w:eastAsia="hu-HU"/>
        </w:rPr>
        <w:t xml:space="preserve"> (facilitating strategic development; science-policy interaction; communication; multilevel governance; sectoral mainstreaming; role of policy monitoring)</w:t>
      </w:r>
      <w:r w:rsidRPr="0002056A">
        <w:rPr>
          <w:rFonts w:ascii="Georgia" w:eastAsia="Times New Roman" w:hAnsi="Georgia" w:cs="Times New Roman"/>
          <w:lang w:val="en-GB" w:eastAsia="hu-HU"/>
        </w:rPr>
        <w:t>. “</w:t>
      </w:r>
      <w:r w:rsidRPr="0002056A">
        <w:rPr>
          <w:rFonts w:ascii="Georgia" w:eastAsia="Times New Roman" w:hAnsi="Georgia" w:cs="Times New Roman"/>
          <w:i/>
          <w:iCs/>
          <w:lang w:val="en-GB" w:eastAsia="hu-HU"/>
        </w:rPr>
        <w:t>Where it was necessary and possible</w:t>
      </w:r>
      <w:r w:rsidRPr="0002056A">
        <w:rPr>
          <w:rFonts w:ascii="Georgia" w:eastAsia="Times New Roman" w:hAnsi="Georgia" w:cs="Times New Roman"/>
          <w:lang w:val="en-GB" w:eastAsia="hu-HU"/>
        </w:rPr>
        <w:t>”, even additional interviews with policy makers were also added.</w:t>
      </w:r>
      <w:r w:rsidR="0023730B" w:rsidRPr="0002056A">
        <w:rPr>
          <w:rFonts w:ascii="Georgia" w:eastAsia="Times New Roman" w:hAnsi="Georgia" w:cs="Times New Roman"/>
          <w:lang w:val="en-GB" w:eastAsia="hu-HU"/>
        </w:rPr>
        <w:t xml:space="preserve"> </w:t>
      </w:r>
      <w:r w:rsidRPr="0002056A">
        <w:rPr>
          <w:rFonts w:ascii="Georgia" w:eastAsia="Times New Roman" w:hAnsi="Georgia" w:cs="Times New Roman"/>
          <w:lang w:val="en-GB" w:eastAsia="hu-HU"/>
        </w:rPr>
        <w:t>Results of the analysis showed that in Europe</w:t>
      </w:r>
      <w:r w:rsidR="00036B54">
        <w:rPr>
          <w:rFonts w:ascii="Georgia" w:eastAsia="Times New Roman" w:hAnsi="Georgia" w:cs="Times New Roman"/>
          <w:lang w:val="en-GB" w:eastAsia="hu-HU"/>
        </w:rPr>
        <w:t>, action</w:t>
      </w:r>
      <w:r w:rsidR="002331D0">
        <w:rPr>
          <w:rFonts w:ascii="Georgia" w:eastAsia="Times New Roman" w:hAnsi="Georgia" w:cs="Times New Roman"/>
          <w:lang w:val="en-GB" w:eastAsia="hu-HU"/>
        </w:rPr>
        <w:t>s</w:t>
      </w:r>
      <w:r w:rsidR="00036B54">
        <w:rPr>
          <w:rFonts w:ascii="Georgia" w:eastAsia="Times New Roman" w:hAnsi="Georgia" w:cs="Times New Roman"/>
          <w:lang w:val="en-GB" w:eastAsia="hu-HU"/>
        </w:rPr>
        <w:t xml:space="preserve"> on adaptation happen at all levels of governance,</w:t>
      </w:r>
      <w:r w:rsidRPr="0002056A">
        <w:rPr>
          <w:rFonts w:ascii="Georgia" w:eastAsia="Times New Roman" w:hAnsi="Georgia" w:cs="Times New Roman"/>
          <w:lang w:val="en-GB" w:eastAsia="hu-HU"/>
        </w:rPr>
        <w:t xml:space="preserve"> from international to local. Although the analysed </w:t>
      </w:r>
      <w:r w:rsidR="00372981" w:rsidRPr="0002056A">
        <w:rPr>
          <w:rFonts w:ascii="Georgia" w:eastAsia="Times New Roman" w:hAnsi="Georgia" w:cs="Times New Roman"/>
          <w:lang w:val="en-GB" w:eastAsia="hu-HU"/>
        </w:rPr>
        <w:t>adaptation strategies</w:t>
      </w:r>
      <w:r w:rsidRPr="0002056A">
        <w:rPr>
          <w:rFonts w:ascii="Georgia" w:eastAsia="Times New Roman" w:hAnsi="Georgia" w:cs="Times New Roman"/>
          <w:lang w:val="en-GB" w:eastAsia="hu-HU"/>
        </w:rPr>
        <w:t xml:space="preserve"> covered wide range of sectors, many of these were common to all countries: water management issues, agriculture, biodiversity, energy, forestry, human health, finance, construction/building stock</w:t>
      </w:r>
      <w:r w:rsidR="00372981"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w:t>
      </w:r>
      <w:r w:rsidRPr="0002056A">
        <w:rPr>
          <w:rFonts w:ascii="Georgia" w:eastAsia="Times New Roman" w:hAnsi="Georgia" w:cs="Times New Roman"/>
          <w:lang w:val="en-GB" w:eastAsia="hu-HU"/>
        </w:rPr>
        <w:lastRenderedPageBreak/>
        <w:t>fisheries, coastal management, tourism, etc. These uniformity in covered sectors and the related objectives indicate</w:t>
      </w:r>
      <w:r w:rsidR="00372981" w:rsidRPr="0002056A">
        <w:rPr>
          <w:rFonts w:ascii="Georgia" w:eastAsia="Times New Roman" w:hAnsi="Georgia" w:cs="Times New Roman"/>
          <w:lang w:val="en-GB" w:eastAsia="hu-HU"/>
        </w:rPr>
        <w:t>d</w:t>
      </w:r>
      <w:r w:rsidRPr="0002056A">
        <w:rPr>
          <w:rFonts w:ascii="Georgia" w:eastAsia="Times New Roman" w:hAnsi="Georgia" w:cs="Times New Roman"/>
          <w:lang w:val="en-GB" w:eastAsia="hu-HU"/>
        </w:rPr>
        <w:t xml:space="preserve"> the weak spatial awareness in these documents at that time. The </w:t>
      </w:r>
      <w:r w:rsidR="00372981" w:rsidRPr="0002056A">
        <w:rPr>
          <w:rFonts w:ascii="Georgia" w:eastAsia="Times New Roman" w:hAnsi="Georgia" w:cs="Times New Roman"/>
          <w:lang w:val="en-GB" w:eastAsia="hu-HU"/>
        </w:rPr>
        <w:t>strategies</w:t>
      </w:r>
      <w:r w:rsidRPr="0002056A">
        <w:rPr>
          <w:rFonts w:ascii="Georgia" w:eastAsia="Times New Roman" w:hAnsi="Georgia" w:cs="Times New Roman"/>
          <w:lang w:val="en-GB" w:eastAsia="hu-HU"/>
        </w:rPr>
        <w:t xml:space="preserve"> were rather general, setting the stage to next steps (development and implementation of adaptation actions). The authors even identified the serious barriers to effective planning then</w:t>
      </w:r>
      <w:r w:rsidRPr="0002056A">
        <w:rPr>
          <w:rStyle w:val="Lbjegyzet-hivatkozs"/>
          <w:rFonts w:ascii="Georgia" w:eastAsia="Times New Roman" w:hAnsi="Georgia" w:cs="Times New Roman"/>
          <w:lang w:val="en-GB" w:eastAsia="hu-HU"/>
        </w:rPr>
        <w:footnoteReference w:id="70"/>
      </w:r>
      <w:r w:rsidRPr="0002056A">
        <w:rPr>
          <w:rFonts w:ascii="Georgia" w:eastAsia="Times New Roman" w:hAnsi="Georgia" w:cs="Times New Roman"/>
          <w:lang w:val="en-GB" w:eastAsia="hu-HU"/>
        </w:rPr>
        <w:t xml:space="preserve">. The study identified the </w:t>
      </w:r>
      <w:r w:rsidR="00036B54">
        <w:rPr>
          <w:rFonts w:ascii="Georgia" w:eastAsia="Times New Roman" w:hAnsi="Georgia" w:cs="Times New Roman"/>
          <w:lang w:val="en-GB" w:eastAsia="hu-HU"/>
        </w:rPr>
        <w:t>fewest NAS action lines in the area of MRE, although it emphasises that flexible mechanisms to implement, evaluate,</w:t>
      </w:r>
      <w:r w:rsidRPr="0002056A">
        <w:rPr>
          <w:rFonts w:ascii="Georgia" w:hAnsi="Georgia" w:cs="FranklinGothic-Book"/>
          <w:lang w:val="en-GB"/>
          <w14:ligatures w14:val="standardContextual"/>
        </w:rPr>
        <w:t xml:space="preserve"> and revise adaptation strategies will be required, including metrics to </w:t>
      </w:r>
      <w:r w:rsidR="0000321C">
        <w:rPr>
          <w:rFonts w:ascii="Georgia" w:hAnsi="Georgia" w:cs="FranklinGothic-Book"/>
          <w:lang w:val="en-GB"/>
          <w14:ligatures w14:val="standardContextual"/>
        </w:rPr>
        <w:t>measure</w:t>
      </w:r>
      <w:r w:rsidRPr="0002056A">
        <w:rPr>
          <w:rFonts w:ascii="Georgia" w:hAnsi="Georgia" w:cs="FranklinGothic-Book"/>
          <w:lang w:val="en-GB"/>
          <w14:ligatures w14:val="standardContextual"/>
        </w:rPr>
        <w:t xml:space="preserve"> progress and policy effectiveness.</w:t>
      </w:r>
      <w:r w:rsidR="001F0837" w:rsidRPr="0002056A">
        <w:rPr>
          <w:rFonts w:ascii="Georgia" w:hAnsi="Georgia" w:cs="FranklinGothic-Book"/>
          <w:lang w:val="en-GB"/>
          <w14:ligatures w14:val="standardContextual"/>
        </w:rPr>
        <w:t xml:space="preserve"> </w:t>
      </w:r>
      <w:r w:rsidRPr="0002056A">
        <w:rPr>
          <w:rFonts w:ascii="Georgia" w:eastAsia="Times New Roman" w:hAnsi="Georgia" w:cs="Times New Roman"/>
          <w:lang w:val="en-GB" w:eastAsia="hu-HU"/>
        </w:rPr>
        <w:t>In 2009 only the UKG, Finland and Germany showed signs of these MRE activities amongst the analysed countries (</w:t>
      </w:r>
      <w:r w:rsidRPr="0002056A">
        <w:rPr>
          <w:rFonts w:ascii="Georgia" w:eastAsia="Times New Roman" w:hAnsi="Georgia" w:cs="Times New Roman"/>
          <w:smallCaps/>
          <w:lang w:val="en-GB" w:eastAsia="hu-HU"/>
        </w:rPr>
        <w:t>Swart et al</w:t>
      </w:r>
      <w:r w:rsidRPr="0002056A">
        <w:rPr>
          <w:rFonts w:ascii="Georgia" w:eastAsia="Times New Roman" w:hAnsi="Georgia" w:cs="Times New Roman"/>
          <w:lang w:val="en-GB" w:eastAsia="hu-HU"/>
        </w:rPr>
        <w:t>., 2009).</w:t>
      </w:r>
    </w:p>
    <w:p w14:paraId="38198A76" w14:textId="2D09EE8F" w:rsidR="00AC1256" w:rsidRPr="0002056A" w:rsidRDefault="004E603D" w:rsidP="00CD5BF3">
      <w:pPr>
        <w:spacing w:before="120" w:after="120"/>
        <w:jc w:val="both"/>
        <w:rPr>
          <w:rFonts w:ascii="Georgia" w:eastAsia="Times New Roman" w:hAnsi="Georgia" w:cs="Times New Roman"/>
          <w:lang w:val="en-GB" w:eastAsia="hu-HU"/>
        </w:rPr>
      </w:pPr>
      <w:r w:rsidRPr="0002056A">
        <w:rPr>
          <w:rFonts w:ascii="Georgia" w:eastAsia="Times New Roman" w:hAnsi="Georgia" w:cs="Times New Roman"/>
          <w:lang w:val="en-GB" w:eastAsia="hu-HU"/>
        </w:rPr>
        <w:t xml:space="preserve">Greiving and Fleischhauer also examined the first European generation of national adaptation planning documents that had been elaborated during the first decade after the Millennium. The article </w:t>
      </w:r>
      <w:r w:rsidR="004119F8" w:rsidRPr="0002056A">
        <w:rPr>
          <w:rFonts w:ascii="Georgia" w:eastAsia="Times New Roman" w:hAnsi="Georgia" w:cs="Times New Roman"/>
          <w:lang w:val="en-GB" w:eastAsia="hu-HU"/>
        </w:rPr>
        <w:t>provides</w:t>
      </w:r>
      <w:r w:rsidRPr="0002056A">
        <w:rPr>
          <w:rFonts w:ascii="Georgia" w:eastAsia="Times New Roman" w:hAnsi="Georgia" w:cs="Times New Roman"/>
          <w:lang w:val="en-GB" w:eastAsia="hu-HU"/>
        </w:rPr>
        <w:t xml:space="preserve"> an overview and systematic classification of different national approaches to </w:t>
      </w:r>
      <w:r w:rsidR="00036B54">
        <w:rPr>
          <w:rFonts w:ascii="Georgia" w:eastAsia="Times New Roman" w:hAnsi="Georgia" w:cs="Times New Roman"/>
          <w:lang w:val="en-GB" w:eastAsia="hu-HU"/>
        </w:rPr>
        <w:t>developing national adaptation strategies from a spatial planning/regional development perspective, even elaborating recommendations that can contribute to the implementation of the then-current</w:t>
      </w:r>
      <w:r w:rsidRPr="0002056A">
        <w:rPr>
          <w:rFonts w:ascii="Georgia" w:eastAsia="Times New Roman" w:hAnsi="Georgia" w:cs="Times New Roman"/>
          <w:lang w:val="en-GB" w:eastAsia="hu-HU"/>
        </w:rPr>
        <w:t xml:space="preserve"> TA of the EU. The hypotheses assumed that climate change leads to regionally differentiated impacts in Europe, and </w:t>
      </w:r>
      <w:r w:rsidR="00932F02" w:rsidRPr="0002056A">
        <w:rPr>
          <w:rFonts w:ascii="Georgia" w:eastAsia="Times New Roman" w:hAnsi="Georgia" w:cs="Times New Roman"/>
          <w:lang w:val="en-GB" w:eastAsia="hu-HU"/>
        </w:rPr>
        <w:t>these different impacts</w:t>
      </w:r>
      <w:r w:rsidRPr="0002056A">
        <w:rPr>
          <w:rFonts w:ascii="Georgia" w:eastAsia="Times New Roman" w:hAnsi="Georgia" w:cs="Times New Roman"/>
          <w:lang w:val="en-GB" w:eastAsia="hu-HU"/>
        </w:rPr>
        <w:t xml:space="preserve"> influence the main focus of NASs; meanwhile</w:t>
      </w:r>
      <w:r w:rsidR="00036B54">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differences in the political-administrative systems </w:t>
      </w:r>
      <w:r w:rsidR="00036B54">
        <w:rPr>
          <w:rFonts w:ascii="Georgia" w:eastAsia="Times New Roman" w:hAnsi="Georgia" w:cs="Times New Roman"/>
          <w:lang w:val="en-GB" w:eastAsia="hu-HU"/>
        </w:rPr>
        <w:t xml:space="preserve">also </w:t>
      </w:r>
      <w:r w:rsidRPr="0002056A">
        <w:rPr>
          <w:rFonts w:ascii="Georgia" w:eastAsia="Times New Roman" w:hAnsi="Georgia" w:cs="Times New Roman"/>
          <w:lang w:val="en-GB" w:eastAsia="hu-HU"/>
        </w:rPr>
        <w:t>play decisive role because the instruments and procedures of spatial planning should have an important influence on strategies</w:t>
      </w:r>
      <w:r w:rsidRPr="0002056A">
        <w:rPr>
          <w:rStyle w:val="Lbjegyzet-hivatkozs"/>
          <w:rFonts w:ascii="Georgia" w:eastAsia="Times New Roman" w:hAnsi="Georgia" w:cs="Times New Roman"/>
          <w:lang w:val="en-GB" w:eastAsia="hu-HU"/>
        </w:rPr>
        <w:footnoteReference w:id="71"/>
      </w:r>
      <w:r w:rsidRPr="0002056A">
        <w:rPr>
          <w:rFonts w:ascii="Georgia" w:eastAsia="Times New Roman" w:hAnsi="Georgia" w:cs="Times New Roman"/>
          <w:lang w:val="en-GB" w:eastAsia="hu-HU"/>
        </w:rPr>
        <w:t xml:space="preserve"> – this idea is close to my </w:t>
      </w:r>
      <w:r w:rsidR="009C2525" w:rsidRPr="0002056A">
        <w:rPr>
          <w:rFonts w:ascii="Georgia" w:eastAsia="Times New Roman" w:hAnsi="Georgia" w:cs="Times New Roman"/>
          <w:lang w:val="en-GB" w:eastAsia="hu-HU"/>
        </w:rPr>
        <w:t xml:space="preserve">dissertation’s </w:t>
      </w:r>
      <w:r w:rsidRPr="0002056A">
        <w:rPr>
          <w:rFonts w:ascii="Georgia" w:eastAsia="Times New Roman" w:hAnsi="Georgia" w:cs="Times New Roman"/>
          <w:lang w:val="en-GB" w:eastAsia="hu-HU"/>
        </w:rPr>
        <w:t xml:space="preserve">starting points and hypotheses as well. To answer these questions, the comparative analysis of the study covered countries from </w:t>
      </w:r>
      <w:r w:rsidR="00036B54">
        <w:rPr>
          <w:rFonts w:ascii="Georgia" w:eastAsia="Times New Roman" w:hAnsi="Georgia" w:cs="Times New Roman"/>
          <w:lang w:val="en-GB" w:eastAsia="hu-HU"/>
        </w:rPr>
        <w:t xml:space="preserve">the </w:t>
      </w:r>
      <w:r w:rsidRPr="0002056A">
        <w:rPr>
          <w:rFonts w:ascii="Georgia" w:eastAsia="Times New Roman" w:hAnsi="Georgia" w:cs="Times New Roman"/>
          <w:lang w:val="en-GB" w:eastAsia="hu-HU"/>
        </w:rPr>
        <w:t xml:space="preserve">most relevant </w:t>
      </w:r>
      <w:r w:rsidR="009C2525"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climate challenge regions</w:t>
      </w:r>
      <w:r w:rsidR="009C2525"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of Europe and with different planning system types. In a first step</w:t>
      </w:r>
      <w:r w:rsidR="00036B54">
        <w:rPr>
          <w:rFonts w:ascii="Georgia" w:eastAsia="Times New Roman" w:hAnsi="Georgia" w:cs="Times New Roman"/>
          <w:lang w:val="en-GB" w:eastAsia="hu-HU"/>
        </w:rPr>
        <w:t>, in the form of a meta evaluation,</w:t>
      </w:r>
      <w:r w:rsidRPr="0002056A">
        <w:rPr>
          <w:rFonts w:ascii="Georgia" w:eastAsia="Times New Roman" w:hAnsi="Georgia" w:cs="Times New Roman"/>
          <w:lang w:val="en-GB" w:eastAsia="hu-HU"/>
        </w:rPr>
        <w:t xml:space="preserve"> the already existing assessments and studies about national adaptation strategies were assessed, examining the role spatial planning and spatial development play in national adaptation strategies. The examined studies were </w:t>
      </w:r>
      <w:r w:rsidR="00036B54">
        <w:rPr>
          <w:rFonts w:ascii="Georgia" w:eastAsia="Times New Roman" w:hAnsi="Georgia" w:cs="Times New Roman"/>
          <w:lang w:val="en-GB" w:eastAsia="hu-HU"/>
        </w:rPr>
        <w:t>mostly from the same countries (the “pioneers” in climate adaptation planning, e.g., Finland, Germany,</w:t>
      </w:r>
      <w:r w:rsidRPr="0002056A">
        <w:rPr>
          <w:rFonts w:ascii="Georgia" w:eastAsia="Times New Roman" w:hAnsi="Georgia" w:cs="Times New Roman"/>
          <w:lang w:val="en-GB" w:eastAsia="hu-HU"/>
        </w:rPr>
        <w:t xml:space="preserve"> or the Netherlands). The results </w:t>
      </w:r>
      <w:r w:rsidR="00B71165" w:rsidRPr="0002056A">
        <w:rPr>
          <w:rFonts w:ascii="Georgia" w:eastAsia="Times New Roman" w:hAnsi="Georgia" w:cs="Times New Roman"/>
          <w:lang w:val="en-GB" w:eastAsia="hu-HU"/>
        </w:rPr>
        <w:t>were based on</w:t>
      </w:r>
      <w:r w:rsidRPr="0002056A">
        <w:rPr>
          <w:rFonts w:ascii="Georgia" w:eastAsia="Times New Roman" w:hAnsi="Georgia" w:cs="Times New Roman"/>
          <w:lang w:val="en-GB" w:eastAsia="hu-HU"/>
        </w:rPr>
        <w:t xml:space="preserve"> the national case studies in the second step</w:t>
      </w:r>
      <w:r w:rsidR="00B71165" w:rsidRPr="0002056A">
        <w:rPr>
          <w:rFonts w:ascii="Georgia" w:eastAsia="Times New Roman" w:hAnsi="Georgia" w:cs="Times New Roman"/>
          <w:lang w:val="en-GB" w:eastAsia="hu-HU"/>
        </w:rPr>
        <w:t>, in which</w:t>
      </w:r>
      <w:r w:rsidRPr="0002056A">
        <w:rPr>
          <w:rFonts w:ascii="Georgia" w:eastAsia="Times New Roman" w:hAnsi="Georgia" w:cs="Times New Roman"/>
          <w:lang w:val="en-GB" w:eastAsia="hu-HU"/>
        </w:rPr>
        <w:t xml:space="preserve"> nine country studies</w:t>
      </w:r>
      <w:r w:rsidRPr="0002056A">
        <w:rPr>
          <w:rStyle w:val="Lbjegyzet-hivatkozs"/>
          <w:rFonts w:ascii="Georgia" w:eastAsia="Times New Roman" w:hAnsi="Georgia" w:cs="Times New Roman"/>
          <w:lang w:val="en-GB" w:eastAsia="hu-HU"/>
        </w:rPr>
        <w:footnoteReference w:id="72"/>
      </w:r>
      <w:r w:rsidRPr="0002056A">
        <w:rPr>
          <w:rFonts w:ascii="Georgia" w:eastAsia="Times New Roman" w:hAnsi="Georgia" w:cs="Times New Roman"/>
          <w:lang w:val="en-GB" w:eastAsia="hu-HU"/>
        </w:rPr>
        <w:t xml:space="preserve"> (</w:t>
      </w:r>
      <w:r w:rsidR="00B71165" w:rsidRPr="0002056A">
        <w:rPr>
          <w:rFonts w:ascii="Georgia" w:eastAsia="Times New Roman" w:hAnsi="Georgia" w:cs="Times New Roman"/>
          <w:lang w:val="en-GB" w:eastAsia="hu-HU"/>
        </w:rPr>
        <w:t xml:space="preserve">as </w:t>
      </w:r>
      <w:r w:rsidRPr="0002056A">
        <w:rPr>
          <w:rFonts w:ascii="Georgia" w:eastAsia="Times New Roman" w:hAnsi="Georgia" w:cs="Times New Roman"/>
          <w:lang w:val="en-GB" w:eastAsia="hu-HU"/>
        </w:rPr>
        <w:t xml:space="preserve">cross-sectional analyses) were elaborated. </w:t>
      </w:r>
      <w:r w:rsidR="00FF7260" w:rsidRPr="0002056A">
        <w:rPr>
          <w:rFonts w:ascii="Georgia" w:eastAsia="Times New Roman" w:hAnsi="Georgia" w:cs="Times New Roman"/>
          <w:lang w:val="en-GB" w:eastAsia="hu-HU"/>
        </w:rPr>
        <w:t>The structure of the country reports was unified following a standardised set of research questions</w:t>
      </w:r>
      <w:r w:rsidR="00036B54">
        <w:rPr>
          <w:rFonts w:ascii="Georgia" w:eastAsia="Times New Roman" w:hAnsi="Georgia" w:cs="Times New Roman"/>
          <w:lang w:val="en-GB" w:eastAsia="hu-HU"/>
        </w:rPr>
        <w:t>,</w:t>
      </w:r>
      <w:r w:rsidR="00FF7260" w:rsidRPr="0002056A">
        <w:rPr>
          <w:rFonts w:ascii="Georgia" w:eastAsia="Times New Roman" w:hAnsi="Georgia" w:cs="Times New Roman"/>
          <w:lang w:val="en-GB" w:eastAsia="hu-HU"/>
        </w:rPr>
        <w:t xml:space="preserve"> which were developed from the </w:t>
      </w:r>
      <w:r w:rsidR="00677E2C">
        <w:rPr>
          <w:rFonts w:ascii="Georgia" w:eastAsia="Times New Roman" w:hAnsi="Georgia" w:cs="Times New Roman"/>
          <w:lang w:val="en-GB" w:eastAsia="hu-HU"/>
        </w:rPr>
        <w:t>meta-evaluation</w:t>
      </w:r>
      <w:r w:rsidR="00FF7260" w:rsidRPr="0002056A">
        <w:rPr>
          <w:rFonts w:ascii="Georgia" w:eastAsia="Times New Roman" w:hAnsi="Georgia" w:cs="Times New Roman"/>
          <w:lang w:val="en-GB" w:eastAsia="hu-HU"/>
        </w:rPr>
        <w:t xml:space="preserve"> of adaptation assessments. </w:t>
      </w:r>
      <w:r w:rsidRPr="0002056A">
        <w:rPr>
          <w:rFonts w:ascii="Georgia" w:eastAsia="Times New Roman" w:hAnsi="Georgia" w:cs="Times New Roman"/>
          <w:lang w:val="en-GB" w:eastAsia="hu-HU"/>
        </w:rPr>
        <w:t>The main focus of the country studies was the extensive characterisation of the spatial planning</w:t>
      </w:r>
      <w:r w:rsidR="00B71165"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oriented approach of the different NASs. The three main analytical aspects (climate change typology</w:t>
      </w:r>
      <w:r w:rsidR="00677E2C">
        <w:rPr>
          <w:rFonts w:ascii="Georgia" w:eastAsia="Times New Roman" w:hAnsi="Georgia" w:cs="Times New Roman"/>
          <w:lang w:val="en-GB" w:eastAsia="hu-HU"/>
        </w:rPr>
        <w:t>, climate change vulnerability, and</w:t>
      </w:r>
      <w:r w:rsidRPr="0002056A">
        <w:rPr>
          <w:rFonts w:ascii="Georgia" w:eastAsia="Times New Roman" w:hAnsi="Georgia" w:cs="Times New Roman"/>
          <w:lang w:val="en-GB" w:eastAsia="hu-HU"/>
        </w:rPr>
        <w:t xml:space="preserve"> character of the national planning system) through which the authors examined the main elements of the NASs and the role of spatial planning in national adaptation </w:t>
      </w:r>
      <w:r w:rsidR="005A3EB9" w:rsidRPr="0002056A">
        <w:rPr>
          <w:rFonts w:ascii="Georgia" w:eastAsia="Times New Roman" w:hAnsi="Georgia" w:cs="Times New Roman"/>
          <w:lang w:val="en-GB" w:eastAsia="hu-HU"/>
        </w:rPr>
        <w:t>are more or less</w:t>
      </w:r>
      <w:r w:rsidRPr="0002056A">
        <w:rPr>
          <w:rFonts w:ascii="Georgia" w:eastAsia="Times New Roman" w:hAnsi="Georgia" w:cs="Times New Roman"/>
          <w:lang w:val="en-GB" w:eastAsia="hu-HU"/>
        </w:rPr>
        <w:t xml:space="preserve"> reflected in my </w:t>
      </w:r>
      <w:r w:rsidR="005A3EB9" w:rsidRPr="0002056A">
        <w:rPr>
          <w:rFonts w:ascii="Georgia" w:eastAsia="Times New Roman" w:hAnsi="Georgia" w:cs="Times New Roman"/>
          <w:lang w:val="en-GB" w:eastAsia="hu-HU"/>
        </w:rPr>
        <w:t>dissertation’s</w:t>
      </w:r>
      <w:r w:rsidRPr="0002056A">
        <w:rPr>
          <w:rFonts w:ascii="Georgia" w:eastAsia="Times New Roman" w:hAnsi="Georgia" w:cs="Times New Roman"/>
          <w:lang w:val="en-GB" w:eastAsia="hu-HU"/>
        </w:rPr>
        <w:t xml:space="preserve"> </w:t>
      </w:r>
      <w:r w:rsidR="00216AD0" w:rsidRPr="0002056A">
        <w:rPr>
          <w:rFonts w:ascii="Georgia" w:eastAsia="Times New Roman" w:hAnsi="Georgia" w:cs="Times New Roman"/>
          <w:lang w:val="en-GB" w:eastAsia="hu-HU"/>
        </w:rPr>
        <w:t>work phase</w:t>
      </w:r>
      <w:r w:rsidRPr="0002056A">
        <w:rPr>
          <w:rFonts w:ascii="Georgia" w:eastAsia="Times New Roman" w:hAnsi="Georgia" w:cs="Times New Roman"/>
          <w:lang w:val="en-GB" w:eastAsia="hu-HU"/>
        </w:rPr>
        <w:t xml:space="preserve"> as well. The authors finally classified the </w:t>
      </w:r>
      <w:r w:rsidR="00677E2C">
        <w:rPr>
          <w:rFonts w:ascii="Georgia" w:eastAsia="Times New Roman" w:hAnsi="Georgia" w:cs="Times New Roman"/>
          <w:lang w:val="en-GB" w:eastAsia="hu-HU"/>
        </w:rPr>
        <w:t>9 analysed</w:t>
      </w:r>
      <w:r w:rsidRPr="0002056A">
        <w:rPr>
          <w:rFonts w:ascii="Georgia" w:eastAsia="Times New Roman" w:hAnsi="Georgia" w:cs="Times New Roman"/>
          <w:lang w:val="en-GB" w:eastAsia="hu-HU"/>
        </w:rPr>
        <w:t xml:space="preserve"> </w:t>
      </w:r>
      <w:r w:rsidR="00233C40">
        <w:rPr>
          <w:rFonts w:ascii="Georgia" w:eastAsia="Times New Roman" w:hAnsi="Georgia" w:cs="Times New Roman"/>
          <w:lang w:val="en-GB" w:eastAsia="hu-HU"/>
        </w:rPr>
        <w:t>countries</w:t>
      </w:r>
      <w:r w:rsidR="00233C40" w:rsidRPr="0002056A">
        <w:rPr>
          <w:rFonts w:ascii="Georgia" w:eastAsia="Times New Roman" w:hAnsi="Georgia" w:cs="Times New Roman"/>
          <w:lang w:val="en-GB" w:eastAsia="hu-HU"/>
        </w:rPr>
        <w:t xml:space="preserve"> </w:t>
      </w:r>
      <w:r w:rsidRPr="0002056A">
        <w:rPr>
          <w:rFonts w:ascii="Georgia" w:eastAsia="Times New Roman" w:hAnsi="Georgia" w:cs="Times New Roman"/>
          <w:lang w:val="en-GB" w:eastAsia="hu-HU"/>
        </w:rPr>
        <w:t>into 4 groups</w:t>
      </w:r>
      <w:r w:rsidRPr="0002056A">
        <w:rPr>
          <w:rStyle w:val="Lbjegyzet-hivatkozs"/>
          <w:rFonts w:ascii="Georgia" w:eastAsia="Times New Roman" w:hAnsi="Georgia" w:cs="Times New Roman"/>
          <w:lang w:val="en-GB" w:eastAsia="hu-HU"/>
        </w:rPr>
        <w:footnoteReference w:id="73"/>
      </w:r>
      <w:r w:rsidR="00CB7ED4"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The results show</w:t>
      </w:r>
      <w:r w:rsidR="00CB7ED4" w:rsidRPr="0002056A">
        <w:rPr>
          <w:rFonts w:ascii="Georgia" w:eastAsia="Times New Roman" w:hAnsi="Georgia" w:cs="Times New Roman"/>
          <w:lang w:val="en-GB" w:eastAsia="hu-HU"/>
        </w:rPr>
        <w:t>ed</w:t>
      </w:r>
      <w:r w:rsidRPr="0002056A">
        <w:rPr>
          <w:rFonts w:ascii="Georgia" w:eastAsia="Times New Roman" w:hAnsi="Georgia" w:cs="Times New Roman"/>
          <w:lang w:val="en-GB" w:eastAsia="hu-HU"/>
        </w:rPr>
        <w:t xml:space="preserve"> that although sectoral planning, especially </w:t>
      </w:r>
      <w:r w:rsidR="00CB7ED4" w:rsidRPr="0002056A">
        <w:rPr>
          <w:rFonts w:ascii="Georgia" w:eastAsia="Times New Roman" w:hAnsi="Georgia" w:cs="Times New Roman"/>
          <w:lang w:val="en-GB" w:eastAsia="hu-HU"/>
        </w:rPr>
        <w:t xml:space="preserve">in </w:t>
      </w:r>
      <w:r w:rsidRPr="0002056A">
        <w:rPr>
          <w:rFonts w:ascii="Georgia" w:eastAsia="Times New Roman" w:hAnsi="Georgia" w:cs="Times New Roman"/>
          <w:lang w:val="en-GB" w:eastAsia="hu-HU"/>
        </w:rPr>
        <w:t xml:space="preserve">water management, is highlighted throughout the then-actual NAS documents, </w:t>
      </w:r>
      <w:r w:rsidR="00677E2C">
        <w:rPr>
          <w:rFonts w:ascii="Georgia" w:eastAsia="Times New Roman" w:hAnsi="Georgia" w:cs="Times New Roman"/>
          <w:lang w:val="en-GB" w:eastAsia="hu-HU"/>
        </w:rPr>
        <w:t>the role of spatial planning or regional development mostly remains unclear or is not touched upon</w:t>
      </w:r>
      <w:r w:rsidRPr="0002056A">
        <w:rPr>
          <w:rFonts w:ascii="Georgia" w:eastAsia="Times New Roman" w:hAnsi="Georgia" w:cs="Times New Roman"/>
          <w:lang w:val="en-GB" w:eastAsia="hu-HU"/>
        </w:rPr>
        <w:t xml:space="preserve">. </w:t>
      </w:r>
      <w:r w:rsidR="00677E2C">
        <w:rPr>
          <w:rFonts w:ascii="Georgia" w:eastAsia="Times New Roman" w:hAnsi="Georgia" w:cs="Times New Roman"/>
          <w:lang w:val="en-GB" w:eastAsia="hu-HU"/>
        </w:rPr>
        <w:t>Similar to Swart, the two German authors also saw that MRE issues were not specified; and, interestingly, objective structure and the covered sectors of these strategies were quite similar, regardless of</w:t>
      </w:r>
      <w:r w:rsidRPr="0002056A">
        <w:rPr>
          <w:rFonts w:ascii="Georgia" w:eastAsia="Times New Roman" w:hAnsi="Georgia" w:cs="Times New Roman"/>
          <w:lang w:val="en-GB" w:eastAsia="hu-HU"/>
        </w:rPr>
        <w:t xml:space="preserve"> the geographic specificities. Special differences can only be detected at the level of measures which are tailored</w:t>
      </w:r>
      <w:r w:rsidRPr="0002056A">
        <w:rPr>
          <w:rFonts w:ascii="Georgia" w:eastAsia="Times New Roman" w:hAnsi="Georgia" w:cs="Times New Roman"/>
          <w:bCs/>
          <w:lang w:val="en-GB" w:eastAsia="hu-HU"/>
        </w:rPr>
        <w:t xml:space="preserve"> to specific bio-</w:t>
      </w:r>
      <w:r w:rsidRPr="0002056A">
        <w:rPr>
          <w:rFonts w:ascii="Georgia" w:eastAsia="Times New Roman" w:hAnsi="Georgia" w:cs="Times New Roman"/>
          <w:bCs/>
          <w:lang w:val="en-GB" w:eastAsia="hu-HU"/>
        </w:rPr>
        <w:lastRenderedPageBreak/>
        <w:t xml:space="preserve">geographical and socio-economic </w:t>
      </w:r>
      <w:r w:rsidR="00216AD0" w:rsidRPr="0002056A">
        <w:rPr>
          <w:rFonts w:ascii="Georgia" w:eastAsia="Times New Roman" w:hAnsi="Georgia" w:cs="Times New Roman"/>
          <w:bCs/>
          <w:lang w:val="en-GB" w:eastAsia="hu-HU"/>
        </w:rPr>
        <w:t>conditions</w:t>
      </w:r>
      <w:r w:rsidRPr="0002056A">
        <w:rPr>
          <w:rFonts w:ascii="Georgia" w:eastAsia="Times New Roman" w:hAnsi="Georgia" w:cs="Times New Roman"/>
          <w:bCs/>
          <w:lang w:val="en-GB" w:eastAsia="hu-HU"/>
        </w:rPr>
        <w:t xml:space="preserve"> of localities/regions</w:t>
      </w:r>
      <w:r w:rsidR="00677E2C">
        <w:rPr>
          <w:rStyle w:val="Lbjegyzet-hivatkozs"/>
          <w:rFonts w:ascii="Georgia" w:hAnsi="Georgia"/>
          <w:lang w:val="en-GB"/>
        </w:rPr>
        <w:t>.</w:t>
      </w:r>
      <w:r w:rsidR="00677E2C">
        <w:rPr>
          <w:rFonts w:ascii="Georgia" w:hAnsi="Georgia"/>
          <w:lang w:val="en-GB"/>
        </w:rPr>
        <w:t xml:space="preserve"> In other words, although differences existed between the strategies’ scope and spatial focus,</w:t>
      </w:r>
      <w:r w:rsidR="00AC1256" w:rsidRPr="0002056A">
        <w:rPr>
          <w:rFonts w:ascii="Georgia" w:hAnsi="Georgia" w:cs="Times New Roman"/>
          <w:lang w:val="en-GB"/>
        </w:rPr>
        <w:t xml:space="preserve"> th</w:t>
      </w:r>
      <w:r w:rsidR="00BE687D" w:rsidRPr="0002056A">
        <w:rPr>
          <w:rFonts w:ascii="Georgia" w:hAnsi="Georgia" w:cs="Times New Roman"/>
          <w:lang w:val="en-GB"/>
        </w:rPr>
        <w:t>eir</w:t>
      </w:r>
      <w:r w:rsidR="00AC1256" w:rsidRPr="0002056A">
        <w:rPr>
          <w:rFonts w:ascii="Georgia" w:hAnsi="Georgia" w:cs="Times New Roman"/>
          <w:lang w:val="en-GB"/>
        </w:rPr>
        <w:t xml:space="preserve"> addressed sectors and development directions were quite similar to each other.</w:t>
      </w:r>
      <w:r w:rsidR="00BE687D" w:rsidRPr="0002056A">
        <w:rPr>
          <w:rFonts w:ascii="Georgia" w:hAnsi="Georgia" w:cs="Times New Roman"/>
          <w:lang w:val="en-GB"/>
        </w:rPr>
        <w:t xml:space="preserve"> Moreover, n</w:t>
      </w:r>
      <w:r w:rsidR="00AC1256" w:rsidRPr="0002056A">
        <w:rPr>
          <w:rFonts w:ascii="Georgia" w:hAnsi="Georgia" w:cs="Times New Roman"/>
          <w:lang w:val="en-GB"/>
        </w:rPr>
        <w:t>o significant correlation between the speediness of national adaptation strategy development and the degree of climate change exposure can be identified</w:t>
      </w:r>
      <w:r w:rsidR="00AC1256" w:rsidRPr="0002056A">
        <w:rPr>
          <w:rStyle w:val="Lbjegyzet-hivatkozs"/>
          <w:rFonts w:ascii="Georgia" w:hAnsi="Georgia" w:cs="Times New Roman"/>
          <w:lang w:val="en-GB"/>
        </w:rPr>
        <w:footnoteReference w:id="74"/>
      </w:r>
      <w:r w:rsidR="00AC1256" w:rsidRPr="0002056A">
        <w:rPr>
          <w:rFonts w:ascii="Georgia" w:hAnsi="Georgia" w:cs="Times New Roman"/>
          <w:lang w:val="en-GB"/>
        </w:rPr>
        <w:t xml:space="preserve"> (</w:t>
      </w:r>
      <w:r w:rsidR="00216AD0" w:rsidRPr="0002056A">
        <w:rPr>
          <w:rFonts w:ascii="Georgia" w:hAnsi="Georgia" w:cs="Times New Roman"/>
          <w:smallCaps/>
          <w:lang w:val="en-GB"/>
        </w:rPr>
        <w:t>Greiving&amp;Fleischhauer</w:t>
      </w:r>
      <w:r w:rsidR="00AC1256" w:rsidRPr="0002056A">
        <w:rPr>
          <w:rFonts w:ascii="Georgia" w:hAnsi="Georgia" w:cs="Times New Roman"/>
          <w:smallCaps/>
          <w:lang w:val="en-GB"/>
        </w:rPr>
        <w:t>, 2010</w:t>
      </w:r>
      <w:r w:rsidR="00AC1256" w:rsidRPr="0002056A">
        <w:rPr>
          <w:rFonts w:ascii="Georgia" w:hAnsi="Georgia" w:cs="Times New Roman"/>
          <w:lang w:val="en-GB"/>
        </w:rPr>
        <w:t>).</w:t>
      </w:r>
    </w:p>
    <w:p w14:paraId="5AE95204" w14:textId="2BA7CDF0" w:rsidR="0085119F" w:rsidRPr="0002056A" w:rsidRDefault="000230D0"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 xml:space="preserve">During and </w:t>
      </w:r>
      <w:r w:rsidRPr="0002056A">
        <w:rPr>
          <w:rFonts w:ascii="Georgia" w:hAnsi="Georgia"/>
          <w:b/>
          <w:bCs/>
          <w:sz w:val="22"/>
          <w:szCs w:val="22"/>
          <w:lang w:val="en-GB"/>
        </w:rPr>
        <w:t>after</w:t>
      </w:r>
      <w:r w:rsidRPr="0002056A">
        <w:rPr>
          <w:rFonts w:ascii="Georgia" w:hAnsi="Georgia"/>
          <w:sz w:val="22"/>
          <w:szCs w:val="22"/>
          <w:lang w:val="en-GB"/>
        </w:rPr>
        <w:t xml:space="preserve"> the “planning boom” that followed the adoption of </w:t>
      </w:r>
      <w:r w:rsidRPr="0002056A">
        <w:rPr>
          <w:rFonts w:ascii="Georgia" w:hAnsi="Georgia"/>
          <w:b/>
          <w:bCs/>
          <w:sz w:val="22"/>
          <w:szCs w:val="22"/>
          <w:lang w:val="en-GB"/>
        </w:rPr>
        <w:t xml:space="preserve">the 2013 </w:t>
      </w:r>
      <w:r w:rsidR="004E603D" w:rsidRPr="0002056A">
        <w:rPr>
          <w:rFonts w:ascii="Georgia" w:hAnsi="Georgia"/>
          <w:b/>
          <w:bCs/>
          <w:sz w:val="22"/>
          <w:szCs w:val="22"/>
          <w:lang w:val="en-GB"/>
        </w:rPr>
        <w:t>EU Adaptation Strategy</w:t>
      </w:r>
      <w:r w:rsidRPr="0002056A">
        <w:rPr>
          <w:rFonts w:ascii="Georgia" w:hAnsi="Georgia"/>
          <w:b/>
          <w:bCs/>
          <w:sz w:val="22"/>
          <w:szCs w:val="22"/>
          <w:lang w:val="en-GB"/>
        </w:rPr>
        <w:t>,</w:t>
      </w:r>
      <w:r w:rsidR="004E603D" w:rsidRPr="0002056A">
        <w:rPr>
          <w:rFonts w:ascii="Georgia" w:hAnsi="Georgia"/>
          <w:b/>
          <w:bCs/>
          <w:sz w:val="22"/>
          <w:szCs w:val="22"/>
          <w:lang w:val="en-GB"/>
        </w:rPr>
        <w:t xml:space="preserve"> several </w:t>
      </w:r>
      <w:r w:rsidR="00AF304B" w:rsidRPr="0002056A">
        <w:rPr>
          <w:rFonts w:ascii="Georgia" w:hAnsi="Georgia"/>
          <w:b/>
          <w:bCs/>
          <w:sz w:val="22"/>
          <w:szCs w:val="22"/>
          <w:lang w:val="en-GB"/>
        </w:rPr>
        <w:t xml:space="preserve">further </w:t>
      </w:r>
      <w:r w:rsidR="004E603D" w:rsidRPr="0002056A">
        <w:rPr>
          <w:rFonts w:ascii="Georgia" w:hAnsi="Georgia"/>
          <w:b/>
          <w:bCs/>
          <w:sz w:val="22"/>
          <w:szCs w:val="22"/>
          <w:lang w:val="en-GB"/>
        </w:rPr>
        <w:t xml:space="preserve">studies/articles examined </w:t>
      </w:r>
      <w:r w:rsidR="00677E2C">
        <w:rPr>
          <w:rFonts w:ascii="Georgia" w:hAnsi="Georgia"/>
          <w:b/>
          <w:bCs/>
          <w:sz w:val="22"/>
          <w:szCs w:val="22"/>
          <w:lang w:val="en-GB"/>
        </w:rPr>
        <w:t>national-level</w:t>
      </w:r>
      <w:r w:rsidR="004E603D" w:rsidRPr="0002056A">
        <w:rPr>
          <w:rFonts w:ascii="Georgia" w:hAnsi="Georgia"/>
          <w:b/>
          <w:bCs/>
          <w:sz w:val="22"/>
          <w:szCs w:val="22"/>
          <w:lang w:val="en-GB"/>
        </w:rPr>
        <w:t xml:space="preserve"> adaptation policy activities</w:t>
      </w:r>
      <w:r w:rsidR="004E603D" w:rsidRPr="0002056A">
        <w:rPr>
          <w:rFonts w:ascii="Georgia" w:hAnsi="Georgia"/>
          <w:i/>
          <w:iCs/>
          <w:sz w:val="22"/>
          <w:szCs w:val="22"/>
          <w:lang w:val="en-GB"/>
        </w:rPr>
        <w:t xml:space="preserve"> </w:t>
      </w:r>
      <w:r w:rsidR="004E603D" w:rsidRPr="0002056A">
        <w:rPr>
          <w:rFonts w:ascii="Georgia" w:hAnsi="Georgia"/>
          <w:sz w:val="22"/>
          <w:szCs w:val="22"/>
          <w:lang w:val="en-GB"/>
        </w:rPr>
        <w:t xml:space="preserve">in Europe (e.g., </w:t>
      </w:r>
      <w:r w:rsidR="004E603D" w:rsidRPr="0002056A">
        <w:rPr>
          <w:rFonts w:ascii="Georgia" w:hAnsi="Georgia"/>
          <w:smallCaps/>
          <w:sz w:val="22"/>
          <w:szCs w:val="22"/>
          <w:lang w:val="en-GB"/>
        </w:rPr>
        <w:t>Füssel &amp; Klein, 2006; Harley &amp; van Minnen, 2009; Bours et. al, 2013</w:t>
      </w:r>
      <w:r w:rsidR="004E603D" w:rsidRPr="0002056A">
        <w:rPr>
          <w:rFonts w:ascii="Georgia" w:hAnsi="Georgia"/>
          <w:sz w:val="22"/>
          <w:szCs w:val="22"/>
          <w:lang w:val="en-GB"/>
        </w:rPr>
        <w:t xml:space="preserve"> and </w:t>
      </w:r>
      <w:r w:rsidR="004E603D" w:rsidRPr="0002056A">
        <w:rPr>
          <w:rFonts w:ascii="Georgia" w:hAnsi="Georgia"/>
          <w:smallCaps/>
          <w:sz w:val="22"/>
          <w:szCs w:val="22"/>
          <w:lang w:val="en-GB"/>
        </w:rPr>
        <w:t xml:space="preserve">2014; </w:t>
      </w:r>
      <w:r w:rsidR="00AF304B" w:rsidRPr="0002056A">
        <w:rPr>
          <w:rFonts w:ascii="Georgia" w:hAnsi="Georgia"/>
          <w:smallCaps/>
          <w:sz w:val="22"/>
          <w:szCs w:val="22"/>
          <w:lang w:val="en-GB"/>
        </w:rPr>
        <w:t xml:space="preserve">EEA, 2015 </w:t>
      </w:r>
      <w:r w:rsidR="00AF304B" w:rsidRPr="0002056A">
        <w:rPr>
          <w:rFonts w:ascii="Georgia" w:hAnsi="Georgia"/>
          <w:sz w:val="22"/>
          <w:szCs w:val="22"/>
          <w:lang w:val="en-GB"/>
        </w:rPr>
        <w:t>and</w:t>
      </w:r>
      <w:r w:rsidR="00AF304B" w:rsidRPr="0002056A">
        <w:rPr>
          <w:rFonts w:ascii="Georgia" w:hAnsi="Georgia"/>
          <w:smallCaps/>
          <w:sz w:val="22"/>
          <w:szCs w:val="22"/>
          <w:lang w:val="en-GB"/>
        </w:rPr>
        <w:t xml:space="preserve"> 2016; </w:t>
      </w:r>
      <w:r w:rsidR="004E603D" w:rsidRPr="0002056A">
        <w:rPr>
          <w:rFonts w:ascii="Georgia" w:hAnsi="Georgia"/>
          <w:smallCaps/>
          <w:sz w:val="22"/>
          <w:szCs w:val="22"/>
          <w:lang w:val="en-GB"/>
        </w:rPr>
        <w:t>Pringle et al.</w:t>
      </w:r>
      <w:r w:rsidR="00677E2C">
        <w:rPr>
          <w:rFonts w:ascii="Georgia" w:hAnsi="Georgia"/>
          <w:smallCaps/>
          <w:sz w:val="22"/>
          <w:szCs w:val="22"/>
          <w:lang w:val="en-GB"/>
        </w:rPr>
        <w:t>,</w:t>
      </w:r>
      <w:r w:rsidR="004E603D" w:rsidRPr="0002056A">
        <w:rPr>
          <w:rFonts w:ascii="Georgia" w:hAnsi="Georgia"/>
          <w:smallCaps/>
          <w:sz w:val="22"/>
          <w:szCs w:val="22"/>
          <w:lang w:val="en-GB"/>
        </w:rPr>
        <w:t xml:space="preserve"> 2017)</w:t>
      </w:r>
      <w:r w:rsidR="00AF304B" w:rsidRPr="0002056A">
        <w:rPr>
          <w:rFonts w:ascii="Georgia" w:hAnsi="Georgia"/>
          <w:smallCaps/>
          <w:sz w:val="22"/>
          <w:szCs w:val="22"/>
          <w:lang w:val="en-GB"/>
        </w:rPr>
        <w:t>.</w:t>
      </w:r>
      <w:r w:rsidR="004E603D" w:rsidRPr="0002056A">
        <w:rPr>
          <w:rFonts w:ascii="Georgia" w:hAnsi="Georgia"/>
          <w:smallCaps/>
          <w:sz w:val="22"/>
          <w:szCs w:val="22"/>
          <w:lang w:val="en-GB"/>
        </w:rPr>
        <w:t xml:space="preserve"> </w:t>
      </w:r>
      <w:r w:rsidR="007C3AD6" w:rsidRPr="0002056A">
        <w:rPr>
          <w:rFonts w:ascii="Georgia" w:hAnsi="Georgia"/>
          <w:sz w:val="22"/>
          <w:szCs w:val="22"/>
          <w:lang w:val="en-GB"/>
        </w:rPr>
        <w:t>Catrien Termeer and her colleagues examined the existing institutions’ ability to cope with new challenges of climate adaptation</w:t>
      </w:r>
      <w:r w:rsidR="007C3AD6" w:rsidRPr="0002056A">
        <w:rPr>
          <w:rStyle w:val="Lbjegyzet-hivatkozs"/>
          <w:rFonts w:ascii="Georgia" w:hAnsi="Georgia"/>
          <w:sz w:val="22"/>
          <w:szCs w:val="22"/>
          <w:lang w:val="en-GB"/>
        </w:rPr>
        <w:footnoteReference w:id="75"/>
      </w:r>
      <w:r w:rsidR="007C3AD6" w:rsidRPr="0002056A">
        <w:rPr>
          <w:rFonts w:ascii="Georgia" w:hAnsi="Georgia"/>
          <w:sz w:val="22"/>
          <w:szCs w:val="22"/>
          <w:lang w:val="en-GB"/>
        </w:rPr>
        <w:t>. They found that five institutional weaknesses existed at the beginning of the 2010s in Europe in this field</w:t>
      </w:r>
      <w:r w:rsidR="007C3AD6" w:rsidRPr="0002056A">
        <w:rPr>
          <w:rStyle w:val="Lbjegyzet-hivatkozs"/>
          <w:rFonts w:ascii="Georgia" w:hAnsi="Georgia"/>
          <w:sz w:val="22"/>
          <w:szCs w:val="22"/>
          <w:lang w:val="en-GB"/>
        </w:rPr>
        <w:footnoteReference w:id="76"/>
      </w:r>
      <w:r w:rsidR="007C3AD6" w:rsidRPr="0002056A">
        <w:rPr>
          <w:rFonts w:ascii="Georgia" w:hAnsi="Georgia"/>
          <w:sz w:val="22"/>
          <w:szCs w:val="22"/>
          <w:lang w:val="en-GB"/>
        </w:rPr>
        <w:t xml:space="preserve"> (</w:t>
      </w:r>
      <w:r w:rsidR="007C3AD6" w:rsidRPr="0002056A">
        <w:rPr>
          <w:rFonts w:ascii="Georgia" w:hAnsi="Georgia"/>
          <w:smallCaps/>
          <w:sz w:val="22"/>
          <w:szCs w:val="22"/>
          <w:lang w:val="en-GB"/>
        </w:rPr>
        <w:t>Termeer et al</w:t>
      </w:r>
      <w:r w:rsidR="007C3AD6" w:rsidRPr="0002056A">
        <w:rPr>
          <w:rFonts w:ascii="Georgia" w:hAnsi="Georgia"/>
          <w:sz w:val="22"/>
          <w:szCs w:val="22"/>
          <w:lang w:val="en-GB"/>
        </w:rPr>
        <w:t xml:space="preserve">., 2011). </w:t>
      </w:r>
      <w:r w:rsidR="0085119F" w:rsidRPr="0002056A">
        <w:rPr>
          <w:rFonts w:ascii="Georgia" w:hAnsi="Georgia"/>
          <w:sz w:val="22"/>
          <w:szCs w:val="22"/>
          <w:lang w:val="en-GB"/>
        </w:rPr>
        <w:t xml:space="preserve">Pringle and his colleagues </w:t>
      </w:r>
      <w:r w:rsidR="00677E2C">
        <w:rPr>
          <w:rFonts w:ascii="Georgia" w:hAnsi="Georgia"/>
          <w:sz w:val="22"/>
          <w:szCs w:val="22"/>
          <w:lang w:val="en-GB"/>
        </w:rPr>
        <w:t>summarised</w:t>
      </w:r>
      <w:r w:rsidR="00677E2C" w:rsidRPr="0002056A">
        <w:rPr>
          <w:rFonts w:ascii="Georgia" w:hAnsi="Georgia"/>
          <w:sz w:val="22"/>
          <w:szCs w:val="22"/>
          <w:lang w:val="en-GB"/>
        </w:rPr>
        <w:t xml:space="preserve"> </w:t>
      </w:r>
      <w:r w:rsidR="0085119F" w:rsidRPr="0002056A">
        <w:rPr>
          <w:rFonts w:ascii="Georgia" w:hAnsi="Georgia"/>
          <w:sz w:val="22"/>
          <w:szCs w:val="22"/>
          <w:lang w:val="en-GB"/>
        </w:rPr>
        <w:t>the national situations of the EEA countries’ adaptation policy activities in 2017. Most countries</w:t>
      </w:r>
      <w:r w:rsidR="007B659F" w:rsidRPr="0002056A">
        <w:rPr>
          <w:rFonts w:ascii="Georgia" w:hAnsi="Georgia"/>
          <w:sz w:val="22"/>
          <w:szCs w:val="22"/>
          <w:lang w:val="en-GB"/>
        </w:rPr>
        <w:t xml:space="preserve">, </w:t>
      </w:r>
      <w:r w:rsidR="00882372">
        <w:rPr>
          <w:rFonts w:ascii="Georgia" w:hAnsi="Georgia"/>
          <w:sz w:val="22"/>
          <w:szCs w:val="22"/>
          <w:lang w:val="en-GB"/>
        </w:rPr>
        <w:t>conclude</w:t>
      </w:r>
      <w:r w:rsidR="00677E2C">
        <w:rPr>
          <w:rFonts w:ascii="Georgia" w:hAnsi="Georgia"/>
          <w:sz w:val="22"/>
          <w:szCs w:val="22"/>
          <w:lang w:val="en-GB"/>
        </w:rPr>
        <w:t>d</w:t>
      </w:r>
      <w:r w:rsidR="00677E2C" w:rsidRPr="0002056A">
        <w:rPr>
          <w:rFonts w:ascii="Georgia" w:hAnsi="Georgia"/>
          <w:sz w:val="22"/>
          <w:szCs w:val="22"/>
          <w:lang w:val="en-GB"/>
        </w:rPr>
        <w:t xml:space="preserve"> </w:t>
      </w:r>
      <w:r w:rsidR="007B659F" w:rsidRPr="0002056A">
        <w:rPr>
          <w:rFonts w:ascii="Georgia" w:hAnsi="Georgia"/>
          <w:sz w:val="22"/>
          <w:szCs w:val="22"/>
          <w:lang w:val="en-GB"/>
        </w:rPr>
        <w:t xml:space="preserve">the authors, </w:t>
      </w:r>
      <w:r w:rsidR="0085119F" w:rsidRPr="0002056A">
        <w:rPr>
          <w:rFonts w:ascii="Georgia" w:hAnsi="Georgia"/>
          <w:sz w:val="22"/>
          <w:szCs w:val="22"/>
          <w:lang w:val="en-GB"/>
        </w:rPr>
        <w:t xml:space="preserve">had focused by the mid-2010’s on planning and monitoring in adaptation; evaluation was then only at an early stage because implementation of adaptation actions had only just begun. According to the report, until 2015, 14 countries had </w:t>
      </w:r>
      <w:r w:rsidR="00677E2C">
        <w:rPr>
          <w:rFonts w:ascii="Georgia" w:hAnsi="Georgia"/>
          <w:sz w:val="22"/>
          <w:szCs w:val="22"/>
          <w:lang w:val="en-GB"/>
        </w:rPr>
        <w:t>established national systems for adaptation MRE or were working on their</w:t>
      </w:r>
      <w:r w:rsidR="00E15C80" w:rsidRPr="0002056A">
        <w:rPr>
          <w:rFonts w:ascii="Georgia" w:hAnsi="Georgia"/>
          <w:sz w:val="22"/>
          <w:szCs w:val="22"/>
          <w:lang w:val="en-GB"/>
        </w:rPr>
        <w:t xml:space="preserve"> </w:t>
      </w:r>
      <w:r w:rsidR="0085119F" w:rsidRPr="0002056A">
        <w:rPr>
          <w:rFonts w:ascii="Georgia" w:hAnsi="Georgia"/>
          <w:sz w:val="22"/>
          <w:szCs w:val="22"/>
          <w:lang w:val="en-GB"/>
        </w:rPr>
        <w:t>develop</w:t>
      </w:r>
      <w:r w:rsidR="00E15C80" w:rsidRPr="0002056A">
        <w:rPr>
          <w:rFonts w:ascii="Georgia" w:hAnsi="Georgia"/>
          <w:sz w:val="22"/>
          <w:szCs w:val="22"/>
          <w:lang w:val="en-GB"/>
        </w:rPr>
        <w:t>ment</w:t>
      </w:r>
      <w:r w:rsidR="0082599B" w:rsidRPr="0002056A">
        <w:rPr>
          <w:rFonts w:ascii="Georgia" w:hAnsi="Georgia"/>
          <w:sz w:val="22"/>
          <w:szCs w:val="22"/>
          <w:lang w:val="en-GB"/>
        </w:rPr>
        <w:t xml:space="preserve"> </w:t>
      </w:r>
      <w:r w:rsidR="0085119F" w:rsidRPr="0002056A">
        <w:rPr>
          <w:rFonts w:ascii="Georgia" w:hAnsi="Georgia"/>
          <w:sz w:val="22"/>
          <w:szCs w:val="22"/>
          <w:lang w:val="en-GB"/>
        </w:rPr>
        <w:t>(</w:t>
      </w:r>
      <w:r w:rsidR="0085119F" w:rsidRPr="0002056A">
        <w:rPr>
          <w:rFonts w:ascii="Georgia" w:hAnsi="Georgia"/>
          <w:smallCaps/>
          <w:sz w:val="22"/>
          <w:szCs w:val="22"/>
          <w:lang w:val="en-GB"/>
        </w:rPr>
        <w:t>Pringle et al., 2017</w:t>
      </w:r>
      <w:r w:rsidR="0085119F" w:rsidRPr="0002056A">
        <w:rPr>
          <w:rFonts w:ascii="Georgia" w:hAnsi="Georgia"/>
          <w:sz w:val="22"/>
          <w:szCs w:val="22"/>
          <w:lang w:val="en-GB"/>
        </w:rPr>
        <w:t xml:space="preserve">). </w:t>
      </w:r>
    </w:p>
    <w:p w14:paraId="6196D762" w14:textId="2212045C" w:rsidR="008E5FBA" w:rsidRPr="0002056A" w:rsidRDefault="00AF304B" w:rsidP="00CD5BF3">
      <w:pPr>
        <w:spacing w:before="120" w:after="120"/>
        <w:jc w:val="both"/>
        <w:rPr>
          <w:rFonts w:ascii="Georgia" w:hAnsi="Georgia"/>
          <w:lang w:val="en-GB"/>
        </w:rPr>
      </w:pPr>
      <w:r w:rsidRPr="0002056A">
        <w:rPr>
          <w:rFonts w:ascii="Georgia" w:hAnsi="Georgia"/>
          <w:b/>
          <w:bCs/>
          <w:lang w:val="en-GB"/>
        </w:rPr>
        <w:t>S</w:t>
      </w:r>
      <w:r w:rsidR="004E603D" w:rsidRPr="0002056A">
        <w:rPr>
          <w:rFonts w:ascii="Georgia" w:hAnsi="Georgia"/>
          <w:b/>
          <w:bCs/>
          <w:lang w:val="en-GB"/>
        </w:rPr>
        <w:t xml:space="preserve">ome </w:t>
      </w:r>
      <w:r w:rsidRPr="0002056A">
        <w:rPr>
          <w:rFonts w:ascii="Georgia" w:hAnsi="Georgia"/>
          <w:b/>
          <w:bCs/>
          <w:lang w:val="en-GB"/>
        </w:rPr>
        <w:t xml:space="preserve">studies </w:t>
      </w:r>
      <w:r w:rsidR="004E603D" w:rsidRPr="0002056A">
        <w:rPr>
          <w:rFonts w:ascii="Georgia" w:hAnsi="Georgia"/>
          <w:b/>
          <w:bCs/>
          <w:lang w:val="en-GB"/>
        </w:rPr>
        <w:t>even summarized the requirements of effective adaptation MRE</w:t>
      </w:r>
      <w:r w:rsidR="004E603D" w:rsidRPr="0002056A">
        <w:rPr>
          <w:rFonts w:ascii="Georgia" w:hAnsi="Georgia"/>
          <w:smallCaps/>
          <w:lang w:val="en-GB"/>
        </w:rPr>
        <w:t xml:space="preserve"> (van Minnen et al., 2014 and 2018; Klostermann et al., 2018)</w:t>
      </w:r>
      <w:r w:rsidR="00B54861" w:rsidRPr="0002056A">
        <w:rPr>
          <w:rFonts w:ascii="Georgia" w:hAnsi="Georgia"/>
          <w:smallCaps/>
          <w:lang w:val="en-GB"/>
        </w:rPr>
        <w:t xml:space="preserve"> </w:t>
      </w:r>
      <w:r w:rsidR="00B54861" w:rsidRPr="0002056A">
        <w:rPr>
          <w:rFonts w:ascii="Georgia" w:hAnsi="Georgia"/>
          <w:b/>
          <w:bCs/>
          <w:lang w:val="en-GB"/>
        </w:rPr>
        <w:t>or characteristics of national adaptation-related indicator sets</w:t>
      </w:r>
      <w:r w:rsidR="00B54861" w:rsidRPr="0002056A">
        <w:rPr>
          <w:rFonts w:ascii="Georgia" w:hAnsi="Georgia"/>
          <w:lang w:val="en-GB"/>
        </w:rPr>
        <w:t xml:space="preserve"> worldwide (</w:t>
      </w:r>
      <w:r w:rsidR="00B54861" w:rsidRPr="0002056A">
        <w:rPr>
          <w:rFonts w:ascii="Georgia" w:hAnsi="Georgia"/>
          <w:smallCaps/>
          <w:lang w:val="en-GB"/>
        </w:rPr>
        <w:t>Vallejo</w:t>
      </w:r>
      <w:r w:rsidR="00B54861" w:rsidRPr="0002056A">
        <w:rPr>
          <w:rFonts w:ascii="Georgia" w:hAnsi="Georgia"/>
          <w:lang w:val="en-GB"/>
        </w:rPr>
        <w:t xml:space="preserve">, 2017) or the </w:t>
      </w:r>
      <w:r w:rsidR="00B54861" w:rsidRPr="0002056A">
        <w:rPr>
          <w:rFonts w:ascii="Georgia" w:hAnsi="Georgia"/>
          <w:b/>
          <w:bCs/>
          <w:lang w:val="en-GB"/>
        </w:rPr>
        <w:t>main types of used indicators in Europe</w:t>
      </w:r>
      <w:r w:rsidR="00B54861" w:rsidRPr="0002056A">
        <w:rPr>
          <w:rStyle w:val="Lbjegyzet-hivatkozs"/>
          <w:rFonts w:ascii="Georgia" w:hAnsi="Georgia"/>
          <w:lang w:val="en-GB"/>
        </w:rPr>
        <w:footnoteReference w:id="77"/>
      </w:r>
      <w:r w:rsidR="00B54861" w:rsidRPr="0002056A">
        <w:rPr>
          <w:rFonts w:ascii="Georgia" w:hAnsi="Georgia"/>
          <w:lang w:val="en-GB"/>
        </w:rPr>
        <w:t xml:space="preserve"> (</w:t>
      </w:r>
      <w:r w:rsidR="00B54861" w:rsidRPr="0002056A">
        <w:rPr>
          <w:rFonts w:ascii="Georgia" w:hAnsi="Georgia"/>
          <w:smallCaps/>
          <w:lang w:val="en-GB"/>
        </w:rPr>
        <w:t>van Minnen, 2014; Christiansen et al</w:t>
      </w:r>
      <w:r w:rsidR="00B54861" w:rsidRPr="0002056A">
        <w:rPr>
          <w:rFonts w:ascii="Georgia" w:hAnsi="Georgia"/>
          <w:lang w:val="en-GB"/>
        </w:rPr>
        <w:t xml:space="preserve">., 2016; </w:t>
      </w:r>
      <w:r w:rsidR="00B54861" w:rsidRPr="0002056A">
        <w:rPr>
          <w:rFonts w:ascii="Georgia" w:hAnsi="Georgia"/>
          <w:smallCaps/>
          <w:lang w:val="en-GB"/>
        </w:rPr>
        <w:t>Vallejo</w:t>
      </w:r>
      <w:r w:rsidR="00B54861" w:rsidRPr="0002056A">
        <w:rPr>
          <w:rFonts w:ascii="Georgia" w:hAnsi="Georgia"/>
          <w:lang w:val="en-GB"/>
        </w:rPr>
        <w:t xml:space="preserve">, 2017; </w:t>
      </w:r>
      <w:r w:rsidR="00B54861" w:rsidRPr="0002056A">
        <w:rPr>
          <w:rFonts w:ascii="Georgia" w:hAnsi="Georgia"/>
          <w:smallCaps/>
          <w:lang w:val="en-GB"/>
        </w:rPr>
        <w:t xml:space="preserve">Klostermann et al., 2018; Goonesekera-Olazabal, 2022; </w:t>
      </w:r>
      <w:r w:rsidR="00AD2A70" w:rsidRPr="0002056A">
        <w:rPr>
          <w:rFonts w:ascii="Georgia" w:hAnsi="Georgia"/>
          <w:lang w:val="en-GB"/>
        </w:rPr>
        <w:t>EEA, 2022</w:t>
      </w:r>
      <w:r w:rsidR="00677E2C">
        <w:rPr>
          <w:rFonts w:ascii="Georgia" w:hAnsi="Georgia"/>
          <w:lang w:val="en-GB"/>
        </w:rPr>
        <w:t>;</w:t>
      </w:r>
      <w:r w:rsidR="00677E2C" w:rsidRPr="0002056A">
        <w:rPr>
          <w:rFonts w:ascii="Georgia" w:hAnsi="Georgia"/>
          <w:lang w:val="en-GB"/>
        </w:rPr>
        <w:t xml:space="preserve"> </w:t>
      </w:r>
      <w:r w:rsidR="00B54861" w:rsidRPr="0002056A">
        <w:rPr>
          <w:rFonts w:ascii="Georgia" w:hAnsi="Georgia" w:cs="ArialMT"/>
          <w:color w:val="000000"/>
          <w:lang w:val="en-GB"/>
          <w14:ligatures w14:val="standardContextual"/>
        </w:rPr>
        <w:t>OECD, 2023</w:t>
      </w:r>
      <w:r w:rsidR="00B54861" w:rsidRPr="0002056A">
        <w:rPr>
          <w:rFonts w:ascii="Georgia" w:hAnsi="Georgia"/>
          <w:lang w:val="en-GB"/>
        </w:rPr>
        <w:t xml:space="preserve">). </w:t>
      </w:r>
      <w:r w:rsidR="004E603D" w:rsidRPr="0002056A">
        <w:rPr>
          <w:rFonts w:ascii="Georgia" w:hAnsi="Georgia"/>
          <w:lang w:val="en-GB"/>
        </w:rPr>
        <w:t xml:space="preserve">The key message of these </w:t>
      </w:r>
      <w:r w:rsidR="00732119" w:rsidRPr="0002056A">
        <w:rPr>
          <w:rFonts w:ascii="Georgia" w:hAnsi="Georgia"/>
          <w:lang w:val="en-GB"/>
        </w:rPr>
        <w:t xml:space="preserve">works </w:t>
      </w:r>
      <w:r w:rsidR="004E603D" w:rsidRPr="0002056A">
        <w:rPr>
          <w:rFonts w:ascii="Georgia" w:hAnsi="Georgia"/>
          <w:lang w:val="en-GB"/>
        </w:rPr>
        <w:t xml:space="preserve">was that an increasing number of European countries had been taking action on MRE of adaptation at the national level by the middle of the 2010’s. </w:t>
      </w:r>
      <w:r w:rsidR="00DA4B7A" w:rsidRPr="0002056A">
        <w:rPr>
          <w:rFonts w:ascii="Georgia" w:hAnsi="Georgia"/>
          <w:lang w:val="en-GB"/>
        </w:rPr>
        <w:t xml:space="preserve">Klostermann et al., for instance, even set up a recommended framework for </w:t>
      </w:r>
      <w:r w:rsidR="00DA4B7A" w:rsidRPr="0002056A">
        <w:rPr>
          <w:rFonts w:ascii="Georgia" w:hAnsi="Georgia"/>
          <w:lang w:val="en-GB"/>
        </w:rPr>
        <w:lastRenderedPageBreak/>
        <w:t>effective adaptation MRE, with 4 main steps</w:t>
      </w:r>
      <w:r w:rsidR="00DA4B7A" w:rsidRPr="0002056A">
        <w:rPr>
          <w:rStyle w:val="Lbjegyzet-hivatkozs"/>
          <w:rFonts w:ascii="Georgia" w:hAnsi="Georgia"/>
          <w:lang w:val="en-GB"/>
        </w:rPr>
        <w:footnoteReference w:id="78"/>
      </w:r>
      <w:r w:rsidR="00DA4B7A" w:rsidRPr="0002056A">
        <w:rPr>
          <w:rFonts w:ascii="Georgia" w:hAnsi="Georgia"/>
          <w:lang w:val="en-GB"/>
        </w:rPr>
        <w:t xml:space="preserve"> (</w:t>
      </w:r>
      <w:r w:rsidR="00DA4B7A" w:rsidRPr="0002056A">
        <w:rPr>
          <w:rFonts w:ascii="Georgia" w:hAnsi="Georgia"/>
          <w:smallCaps/>
          <w:lang w:val="en-GB"/>
        </w:rPr>
        <w:t>Klostermann et al.,</w:t>
      </w:r>
      <w:r w:rsidR="00DA4B7A" w:rsidRPr="0002056A">
        <w:rPr>
          <w:rFonts w:ascii="Georgia" w:hAnsi="Georgia"/>
          <w:lang w:val="en-GB"/>
        </w:rPr>
        <w:t xml:space="preserve"> 2018). </w:t>
      </w:r>
      <w:r w:rsidR="004E603D" w:rsidRPr="0002056A">
        <w:rPr>
          <w:rFonts w:ascii="Georgia" w:hAnsi="Georgia"/>
          <w:lang w:val="en-GB"/>
        </w:rPr>
        <w:t xml:space="preserve">The momentum for initiating adaptation MRE activities </w:t>
      </w:r>
      <w:r w:rsidR="00C01539" w:rsidRPr="0002056A">
        <w:rPr>
          <w:rFonts w:ascii="Georgia" w:hAnsi="Georgia"/>
          <w:lang w:val="en-GB"/>
        </w:rPr>
        <w:t xml:space="preserve">at that time was </w:t>
      </w:r>
      <w:r w:rsidR="004E603D" w:rsidRPr="0002056A">
        <w:rPr>
          <w:rFonts w:ascii="Georgia" w:hAnsi="Georgia"/>
          <w:lang w:val="en-GB"/>
        </w:rPr>
        <w:t xml:space="preserve">often provided by national adaptation strategies and European policies (EEA, 2015). Lamhauge and his colleagues examined development organisations’ documents on adaptation evaluation and concentrated mostly on methodological issues (use of Logical Framework and </w:t>
      </w:r>
      <w:r w:rsidR="00677E2C">
        <w:rPr>
          <w:rFonts w:ascii="Georgia" w:hAnsi="Georgia"/>
          <w:lang w:val="en-GB"/>
        </w:rPr>
        <w:t>Result-based</w:t>
      </w:r>
      <w:r w:rsidR="004E603D" w:rsidRPr="0002056A">
        <w:rPr>
          <w:rFonts w:ascii="Georgia" w:hAnsi="Georgia"/>
          <w:lang w:val="en-GB"/>
        </w:rPr>
        <w:t xml:space="preserve"> Management approaches and Theory of Change methods) (</w:t>
      </w:r>
      <w:r w:rsidR="004E603D" w:rsidRPr="0002056A">
        <w:rPr>
          <w:rFonts w:ascii="Georgia" w:hAnsi="Georgia"/>
          <w:smallCaps/>
          <w:lang w:val="en-GB"/>
        </w:rPr>
        <w:t>Lamhauge et al.</w:t>
      </w:r>
      <w:r w:rsidR="004E603D" w:rsidRPr="0002056A">
        <w:rPr>
          <w:rFonts w:ascii="Georgia" w:hAnsi="Georgia"/>
          <w:lang w:val="en-GB"/>
        </w:rPr>
        <w:t xml:space="preserve">, 2012). Leiter overviewed good practice examples of 10 adaptation MRE pioneering countries: </w:t>
      </w:r>
      <w:r w:rsidR="005D5BFC" w:rsidRPr="0002056A">
        <w:rPr>
          <w:rFonts w:ascii="Georgia" w:hAnsi="Georgia"/>
          <w:lang w:val="en-GB"/>
        </w:rPr>
        <w:t xml:space="preserve">he analysed </w:t>
      </w:r>
      <w:r w:rsidR="004E603D" w:rsidRPr="0002056A">
        <w:rPr>
          <w:rFonts w:ascii="Georgia" w:hAnsi="Georgia"/>
          <w:lang w:val="en-GB"/>
        </w:rPr>
        <w:t>the context of their systems</w:t>
      </w:r>
      <w:r w:rsidR="00677E2C">
        <w:rPr>
          <w:rFonts w:ascii="Georgia" w:hAnsi="Georgia"/>
          <w:lang w:val="en-GB"/>
        </w:rPr>
        <w:t>, the institutional arrangements and their level of development,</w:t>
      </w:r>
      <w:r w:rsidR="004E603D" w:rsidRPr="0002056A">
        <w:rPr>
          <w:rFonts w:ascii="Georgia" w:hAnsi="Georgia"/>
          <w:lang w:val="en-GB"/>
        </w:rPr>
        <w:t xml:space="preserve"> and the systems’ content. The analysis underlined the complexity of national systems and the importance of learning from each other (</w:t>
      </w:r>
      <w:r w:rsidR="004E603D" w:rsidRPr="0002056A">
        <w:rPr>
          <w:rFonts w:ascii="Georgia" w:hAnsi="Georgia"/>
          <w:smallCaps/>
          <w:lang w:val="en-GB"/>
        </w:rPr>
        <w:t>Leiter</w:t>
      </w:r>
      <w:r w:rsidR="004E603D" w:rsidRPr="0002056A">
        <w:rPr>
          <w:rFonts w:ascii="Georgia" w:hAnsi="Georgia"/>
          <w:lang w:val="en-GB"/>
        </w:rPr>
        <w:t xml:space="preserve">, 2013). </w:t>
      </w:r>
      <w:r w:rsidR="000301B0" w:rsidRPr="0002056A">
        <w:rPr>
          <w:rFonts w:ascii="Georgia" w:hAnsi="Georgia"/>
          <w:lang w:val="en-GB"/>
        </w:rPr>
        <w:t>Several studies underline that, a</w:t>
      </w:r>
      <w:r w:rsidR="004E603D" w:rsidRPr="0002056A">
        <w:rPr>
          <w:rFonts w:ascii="Georgia" w:hAnsi="Georgia"/>
          <w:lang w:val="en-GB"/>
        </w:rPr>
        <w:t xml:space="preserve">s opposed to mitigation, measuring progress in adaptation activities is </w:t>
      </w:r>
      <w:r w:rsidR="00677E2C">
        <w:rPr>
          <w:rFonts w:ascii="Georgia" w:hAnsi="Georgia"/>
          <w:lang w:val="en-GB"/>
        </w:rPr>
        <w:t xml:space="preserve">context-specific and touches </w:t>
      </w:r>
      <w:r w:rsidR="00AB4FA1">
        <w:rPr>
          <w:rFonts w:ascii="Georgia" w:hAnsi="Georgia"/>
          <w:lang w:val="en-GB"/>
        </w:rPr>
        <w:t>numerous</w:t>
      </w:r>
      <w:r w:rsidR="00677E2C">
        <w:rPr>
          <w:rFonts w:ascii="Georgia" w:hAnsi="Georgia"/>
          <w:lang w:val="en-GB"/>
        </w:rPr>
        <w:t xml:space="preserve"> sectors facing </w:t>
      </w:r>
      <w:r w:rsidR="00D64A34" w:rsidRPr="0002056A">
        <w:rPr>
          <w:rFonts w:ascii="Georgia" w:hAnsi="Georgia"/>
          <w:lang w:val="en-GB"/>
        </w:rPr>
        <w:t>several challenges</w:t>
      </w:r>
      <w:r w:rsidR="004E603D" w:rsidRPr="0002056A">
        <w:rPr>
          <w:rFonts w:ascii="Georgia" w:hAnsi="Georgia"/>
          <w:lang w:val="en-GB"/>
        </w:rPr>
        <w:t xml:space="preserve"> (EEA, 2015; EEA, 2016; </w:t>
      </w:r>
      <w:r w:rsidR="004E603D" w:rsidRPr="0002056A">
        <w:rPr>
          <w:rFonts w:ascii="Georgia" w:hAnsi="Georgia"/>
          <w:smallCaps/>
          <w:lang w:val="en-GB"/>
        </w:rPr>
        <w:t>Pringle et al., 2017</w:t>
      </w:r>
      <w:r w:rsidR="004E603D" w:rsidRPr="0002056A">
        <w:rPr>
          <w:rFonts w:ascii="Georgia" w:hAnsi="Georgia"/>
          <w:lang w:val="en-GB"/>
        </w:rPr>
        <w:t>)</w:t>
      </w:r>
      <w:r w:rsidR="000559FD" w:rsidRPr="0002056A">
        <w:rPr>
          <w:rStyle w:val="Lbjegyzet-hivatkozs"/>
          <w:rFonts w:ascii="Georgia" w:hAnsi="Georgia"/>
          <w:lang w:val="en-GB"/>
        </w:rPr>
        <w:footnoteReference w:id="79"/>
      </w:r>
      <w:r w:rsidR="004E603D" w:rsidRPr="0002056A">
        <w:rPr>
          <w:rFonts w:ascii="Georgia" w:hAnsi="Georgia"/>
          <w:lang w:val="en-GB"/>
        </w:rPr>
        <w:t xml:space="preserve">. </w:t>
      </w:r>
      <w:r w:rsidR="008E5FBA" w:rsidRPr="0002056A">
        <w:rPr>
          <w:rFonts w:ascii="Georgia" w:hAnsi="Georgia"/>
          <w:lang w:val="en-GB"/>
        </w:rPr>
        <w:t>According to the newest related EEA studies, in Europe only a limited number of EU countries ha</w:t>
      </w:r>
      <w:r w:rsidR="00677E2C">
        <w:rPr>
          <w:rFonts w:ascii="Georgia" w:hAnsi="Georgia"/>
          <w:lang w:val="en-GB"/>
        </w:rPr>
        <w:t>ve</w:t>
      </w:r>
      <w:r w:rsidR="008E5FBA" w:rsidRPr="0002056A">
        <w:rPr>
          <w:rFonts w:ascii="Georgia" w:hAnsi="Georgia"/>
          <w:lang w:val="en-GB"/>
        </w:rPr>
        <w:t xml:space="preserve"> set up and/or made operational their national adaptation indicator sets so far (EEA, 2020). They rely rather on indicators, indices developed for other purposes </w:t>
      </w:r>
      <w:r w:rsidR="00826018" w:rsidRPr="0002056A">
        <w:rPr>
          <w:rFonts w:ascii="Georgia" w:hAnsi="Georgia"/>
          <w:lang w:val="en-GB"/>
        </w:rPr>
        <w:t xml:space="preserve">or fields </w:t>
      </w:r>
      <w:r w:rsidR="008E5FBA" w:rsidRPr="0002056A">
        <w:rPr>
          <w:rFonts w:ascii="Georgia" w:hAnsi="Georgia"/>
          <w:lang w:val="en-GB"/>
        </w:rPr>
        <w:t xml:space="preserve">(e.g., sustainable development, biodiversity, disaster risk management). Although some countries have already completed their first policy cycle and based the next one on </w:t>
      </w:r>
      <w:r w:rsidR="00677E2C">
        <w:rPr>
          <w:rFonts w:ascii="Georgia" w:hAnsi="Georgia"/>
          <w:lang w:val="en-GB"/>
        </w:rPr>
        <w:t>lessons learned from planning, far fewer</w:t>
      </w:r>
      <w:r w:rsidR="008E5FBA" w:rsidRPr="0002056A">
        <w:rPr>
          <w:rFonts w:ascii="Georgia" w:hAnsi="Georgia"/>
          <w:lang w:val="en-GB"/>
        </w:rPr>
        <w:t xml:space="preserve"> states reported </w:t>
      </w:r>
      <w:r w:rsidR="00826018" w:rsidRPr="0002056A">
        <w:rPr>
          <w:rFonts w:ascii="Georgia" w:hAnsi="Georgia"/>
          <w:lang w:val="en-GB"/>
        </w:rPr>
        <w:t xml:space="preserve">explicitly </w:t>
      </w:r>
      <w:r w:rsidR="008E5FBA" w:rsidRPr="0002056A">
        <w:rPr>
          <w:rFonts w:ascii="Georgia" w:hAnsi="Georgia"/>
          <w:lang w:val="en-GB"/>
        </w:rPr>
        <w:t>on how their MRE is providing feedback into the policy cycle. So, effective feeding of MRE findings back into making or revising policies remains a challenge (EEA, 2022).</w:t>
      </w:r>
    </w:p>
    <w:p w14:paraId="1C809777" w14:textId="52040B7D" w:rsidR="004E603D" w:rsidRPr="0002056A" w:rsidRDefault="004E603D" w:rsidP="00CD5BF3">
      <w:pPr>
        <w:spacing w:before="120" w:after="120"/>
        <w:jc w:val="both"/>
        <w:rPr>
          <w:rFonts w:ascii="Georgia" w:hAnsi="Georgia"/>
          <w:lang w:val="en-GB"/>
        </w:rPr>
      </w:pPr>
      <w:r w:rsidRPr="0002056A">
        <w:rPr>
          <w:rFonts w:ascii="Georgia" w:hAnsi="Georgia"/>
          <w:bCs/>
          <w:lang w:val="en-GB"/>
        </w:rPr>
        <w:t>In one of the newest examinations</w:t>
      </w:r>
      <w:r w:rsidR="00677E2C">
        <w:rPr>
          <w:rFonts w:ascii="Georgia" w:hAnsi="Georgia"/>
          <w:bCs/>
          <w:lang w:val="en-GB"/>
        </w:rPr>
        <w:t>,</w:t>
      </w:r>
      <w:r w:rsidRPr="0002056A">
        <w:rPr>
          <w:rFonts w:ascii="Georgia" w:hAnsi="Georgia"/>
          <w:bCs/>
          <w:lang w:val="en-GB"/>
        </w:rPr>
        <w:t xml:space="preserve"> Timo Leiter in 2021 analysed the extent to which national adaptation plans are implemented, and the role MRE systems play in this process. Previous studies of NAPs like Morgan et al. (2019) or Woodruff and Regan (2019)</w:t>
      </w:r>
      <w:r w:rsidRPr="0002056A">
        <w:rPr>
          <w:rFonts w:ascii="Georgia" w:hAnsi="Georgia"/>
          <w:lang w:val="en-GB"/>
        </w:rPr>
        <w:t xml:space="preserve"> have treated MRE in simplistic ways, usually distinguishing only the presence or absence of MRE</w:t>
      </w:r>
      <w:r w:rsidR="00B46EF4" w:rsidRPr="0002056A">
        <w:rPr>
          <w:rFonts w:ascii="Georgia" w:hAnsi="Georgia"/>
          <w:lang w:val="en-GB"/>
        </w:rPr>
        <w:t xml:space="preserve"> in national adaptation activities</w:t>
      </w:r>
      <w:r w:rsidRPr="0002056A">
        <w:rPr>
          <w:rFonts w:ascii="Georgia" w:hAnsi="Georgia"/>
          <w:lang w:val="en-GB"/>
        </w:rPr>
        <w:t>. Leiter thought that given the large differences between NAP</w:t>
      </w:r>
      <w:r w:rsidR="00E1349E" w:rsidRPr="0002056A">
        <w:rPr>
          <w:rFonts w:ascii="Georgia" w:hAnsi="Georgia"/>
          <w:lang w:val="en-GB"/>
        </w:rPr>
        <w:t>-related</w:t>
      </w:r>
      <w:r w:rsidRPr="0002056A">
        <w:rPr>
          <w:rFonts w:ascii="Georgia" w:hAnsi="Georgia"/>
          <w:lang w:val="en-GB"/>
        </w:rPr>
        <w:t xml:space="preserve"> MRE systems, the meaningfulness of such simplistic accounts is very limited. He had first </w:t>
      </w:r>
      <w:r w:rsidR="00677E2C">
        <w:rPr>
          <w:rFonts w:ascii="Georgia" w:hAnsi="Georgia"/>
          <w:lang w:val="en-GB"/>
        </w:rPr>
        <w:t>reviewed the relevant literature on adaptation governance and examined whether</w:t>
      </w:r>
      <w:r w:rsidRPr="0002056A">
        <w:rPr>
          <w:rFonts w:ascii="Georgia" w:hAnsi="Georgia"/>
          <w:lang w:val="en-GB"/>
        </w:rPr>
        <w:t xml:space="preserve"> countries are tracking and reporting on the implementation of their NAPs</w:t>
      </w:r>
      <w:r w:rsidR="00E1349E" w:rsidRPr="0002056A">
        <w:rPr>
          <w:rFonts w:ascii="Georgia" w:hAnsi="Georgia"/>
          <w:lang w:val="en-GB"/>
        </w:rPr>
        <w:t>. He actually</w:t>
      </w:r>
      <w:r w:rsidRPr="0002056A">
        <w:rPr>
          <w:rFonts w:ascii="Georgia" w:hAnsi="Georgia"/>
          <w:lang w:val="en-GB"/>
        </w:rPr>
        <w:t xml:space="preserve"> conducted the first evidence-based global stocktake of NAP</w:t>
      </w:r>
      <w:r w:rsidR="00E1349E" w:rsidRPr="0002056A">
        <w:rPr>
          <w:rFonts w:ascii="Georgia" w:hAnsi="Georgia"/>
          <w:lang w:val="en-GB"/>
        </w:rPr>
        <w:t>-related</w:t>
      </w:r>
      <w:r w:rsidRPr="0002056A">
        <w:rPr>
          <w:rFonts w:ascii="Georgia" w:hAnsi="Georgia"/>
          <w:lang w:val="en-GB"/>
        </w:rPr>
        <w:t xml:space="preserve"> MRE systems, comparing in 60 countries the 2021 situation </w:t>
      </w:r>
      <w:r w:rsidR="007F793F" w:rsidRPr="0002056A">
        <w:rPr>
          <w:rFonts w:ascii="Georgia" w:hAnsi="Georgia"/>
          <w:lang w:val="en-GB"/>
        </w:rPr>
        <w:t xml:space="preserve">(which substantially exceeds previous accounts) </w:t>
      </w:r>
      <w:r w:rsidRPr="0002056A">
        <w:rPr>
          <w:rFonts w:ascii="Georgia" w:hAnsi="Georgia"/>
          <w:lang w:val="en-GB"/>
        </w:rPr>
        <w:t xml:space="preserve">to 2017. In contrast to previous studies, it assesses the actual evidence on MRE practices rather than stated MRE intentions in government documents. The article’s invention is the systematic and transparent search </w:t>
      </w:r>
      <w:r w:rsidR="007F793F" w:rsidRPr="0002056A">
        <w:rPr>
          <w:rFonts w:ascii="Georgia" w:hAnsi="Georgia"/>
          <w:lang w:val="en-GB"/>
        </w:rPr>
        <w:t>for</w:t>
      </w:r>
      <w:r w:rsidRPr="0002056A">
        <w:rPr>
          <w:rFonts w:ascii="Georgia" w:hAnsi="Georgia"/>
          <w:lang w:val="en-GB"/>
        </w:rPr>
        <w:t xml:space="preserve"> relevant information to answer the respective research questions. Leiter applied three steps. First, publications on NAP</w:t>
      </w:r>
      <w:r w:rsidR="007F793F" w:rsidRPr="0002056A">
        <w:rPr>
          <w:rFonts w:ascii="Georgia" w:hAnsi="Georgia"/>
          <w:lang w:val="en-GB"/>
        </w:rPr>
        <w:t>-related</w:t>
      </w:r>
      <w:r w:rsidRPr="0002056A">
        <w:rPr>
          <w:rFonts w:ascii="Georgia" w:hAnsi="Georgia"/>
          <w:lang w:val="en-GB"/>
        </w:rPr>
        <w:t xml:space="preserve"> MRE were identified and screened for relevant evidence. These showed that rele</w:t>
      </w:r>
      <w:r w:rsidR="007F793F" w:rsidRPr="0002056A">
        <w:rPr>
          <w:rFonts w:ascii="Georgia" w:hAnsi="Georgia"/>
          <w:lang w:val="en-GB"/>
        </w:rPr>
        <w:t>vant</w:t>
      </w:r>
      <w:r w:rsidRPr="0002056A">
        <w:rPr>
          <w:rFonts w:ascii="Georgia" w:hAnsi="Georgia"/>
          <w:lang w:val="en-GB"/>
        </w:rPr>
        <w:t xml:space="preserve"> literature traditionally examined processes of adaptation planning and mainstreaming rather than the actual implementation of adaptation actions</w:t>
      </w:r>
      <w:r w:rsidR="00AF493E" w:rsidRPr="0002056A">
        <w:rPr>
          <w:rStyle w:val="Lbjegyzet-hivatkozs"/>
          <w:rFonts w:ascii="Georgia" w:hAnsi="Georgia"/>
          <w:lang w:val="en-GB"/>
        </w:rPr>
        <w:footnoteReference w:id="80"/>
      </w:r>
      <w:r w:rsidRPr="0002056A">
        <w:rPr>
          <w:rFonts w:ascii="Georgia" w:hAnsi="Georgia"/>
          <w:lang w:val="en-GB"/>
        </w:rPr>
        <w:t>.</w:t>
      </w:r>
      <w:r w:rsidR="00AF493E" w:rsidRPr="0002056A">
        <w:rPr>
          <w:rFonts w:ascii="Georgia" w:hAnsi="Georgia"/>
          <w:lang w:val="en-GB"/>
        </w:rPr>
        <w:t xml:space="preserve"> </w:t>
      </w:r>
      <w:r w:rsidRPr="0002056A">
        <w:rPr>
          <w:rFonts w:ascii="Georgia" w:hAnsi="Georgia"/>
          <w:lang w:val="en-GB"/>
        </w:rPr>
        <w:t xml:space="preserve">The </w:t>
      </w:r>
      <w:r w:rsidRPr="0002056A">
        <w:rPr>
          <w:rFonts w:ascii="Georgia" w:hAnsi="Georgia"/>
          <w:lang w:val="en-GB"/>
        </w:rPr>
        <w:lastRenderedPageBreak/>
        <w:t>findings highlight the importance of adequate assessment of the implementation and its effects. He concluded that since 2017</w:t>
      </w:r>
      <w:r w:rsidR="00677E2C">
        <w:rPr>
          <w:rFonts w:ascii="Georgia" w:hAnsi="Georgia"/>
          <w:lang w:val="en-GB"/>
        </w:rPr>
        <w:t>, a 40% increase could be observed in the number of countries that develop/use MRE systems in adaptation,</w:t>
      </w:r>
      <w:r w:rsidRPr="0002056A">
        <w:rPr>
          <w:rFonts w:ascii="Georgia" w:hAnsi="Georgia"/>
          <w:lang w:val="en-GB"/>
        </w:rPr>
        <w:t xml:space="preserve"> and the number of NAP evaluations almost doubled</w:t>
      </w:r>
      <w:r w:rsidR="004C1D2E" w:rsidRPr="0002056A">
        <w:rPr>
          <w:rStyle w:val="Lbjegyzet-hivatkozs"/>
          <w:rFonts w:ascii="Georgia" w:hAnsi="Georgia"/>
          <w:lang w:val="en-GB"/>
        </w:rPr>
        <w:footnoteReference w:id="81"/>
      </w:r>
      <w:r w:rsidRPr="0002056A">
        <w:rPr>
          <w:rFonts w:ascii="Georgia" w:hAnsi="Georgia"/>
          <w:lang w:val="en-GB"/>
        </w:rPr>
        <w:t xml:space="preserve">; numerous countries had been developing adaptation MRE systems by 2021 (but few were operational then). These results are </w:t>
      </w:r>
      <w:r w:rsidR="004C1D2E" w:rsidRPr="0002056A">
        <w:rPr>
          <w:rFonts w:ascii="Georgia" w:hAnsi="Georgia"/>
          <w:lang w:val="en-GB"/>
        </w:rPr>
        <w:t xml:space="preserve">mainly </w:t>
      </w:r>
      <w:r w:rsidRPr="0002056A">
        <w:rPr>
          <w:rFonts w:ascii="Georgia" w:hAnsi="Georgia"/>
          <w:lang w:val="en-GB"/>
        </w:rPr>
        <w:t xml:space="preserve">due to the existence of targeted support from specialist </w:t>
      </w:r>
      <w:r w:rsidR="00677E2C">
        <w:rPr>
          <w:rFonts w:ascii="Georgia" w:hAnsi="Georgia"/>
          <w:lang w:val="en-GB"/>
        </w:rPr>
        <w:t>organisations</w:t>
      </w:r>
      <w:r w:rsidR="00677E2C" w:rsidRPr="0002056A">
        <w:rPr>
          <w:rFonts w:ascii="Georgia" w:hAnsi="Georgia"/>
          <w:lang w:val="en-GB"/>
        </w:rPr>
        <w:t xml:space="preserve"> </w:t>
      </w:r>
      <w:r w:rsidRPr="0002056A">
        <w:rPr>
          <w:rFonts w:ascii="Georgia" w:hAnsi="Georgia"/>
          <w:lang w:val="en-GB"/>
        </w:rPr>
        <w:t xml:space="preserve">and increased anchoring of MRE provisions in national climate laws. However, </w:t>
      </w:r>
      <w:r w:rsidR="005835E7" w:rsidRPr="0002056A">
        <w:rPr>
          <w:rFonts w:ascii="Georgia" w:hAnsi="Georgia"/>
          <w:lang w:val="en-GB"/>
        </w:rPr>
        <w:t xml:space="preserve">altogether </w:t>
      </w:r>
      <w:r w:rsidRPr="0002056A">
        <w:rPr>
          <w:rFonts w:ascii="Georgia" w:hAnsi="Georgia"/>
          <w:lang w:val="en-GB"/>
        </w:rPr>
        <w:t xml:space="preserve">less than 40% of countries that adopted a NAP were found to monitor or evaluate </w:t>
      </w:r>
      <w:r w:rsidR="00677E2C">
        <w:rPr>
          <w:rFonts w:ascii="Georgia" w:hAnsi="Georgia"/>
          <w:lang w:val="en-GB"/>
        </w:rPr>
        <w:t>their</w:t>
      </w:r>
      <w:r w:rsidR="00677E2C" w:rsidRPr="0002056A">
        <w:rPr>
          <w:rFonts w:ascii="Georgia" w:hAnsi="Georgia"/>
          <w:lang w:val="en-GB"/>
        </w:rPr>
        <w:t xml:space="preserve"> </w:t>
      </w:r>
      <w:r w:rsidRPr="0002056A">
        <w:rPr>
          <w:rFonts w:ascii="Georgia" w:hAnsi="Georgia"/>
          <w:lang w:val="en-GB"/>
        </w:rPr>
        <w:t xml:space="preserve">implementation. Among the reasons </w:t>
      </w:r>
      <w:r w:rsidR="000B0F42" w:rsidRPr="0002056A">
        <w:rPr>
          <w:rFonts w:ascii="Georgia" w:hAnsi="Georgia"/>
          <w:lang w:val="en-GB"/>
        </w:rPr>
        <w:t>he found</w:t>
      </w:r>
      <w:r w:rsidRPr="0002056A">
        <w:rPr>
          <w:rFonts w:ascii="Georgia" w:hAnsi="Georgia"/>
          <w:lang w:val="en-GB"/>
        </w:rPr>
        <w:t>: 1) MRE mechanisms are often developed only after NAPs have been adopted</w:t>
      </w:r>
      <w:r w:rsidR="00677E2C">
        <w:rPr>
          <w:rFonts w:ascii="Georgia" w:hAnsi="Georgia"/>
          <w:lang w:val="en-GB"/>
        </w:rPr>
        <w:t>,</w:t>
      </w:r>
      <w:r w:rsidRPr="0002056A">
        <w:rPr>
          <w:rFonts w:ascii="Georgia" w:hAnsi="Georgia"/>
          <w:lang w:val="en-GB"/>
        </w:rPr>
        <w:t xml:space="preserve"> and 2) </w:t>
      </w:r>
      <w:r w:rsidR="005835E7" w:rsidRPr="0002056A">
        <w:rPr>
          <w:rFonts w:ascii="Georgia" w:hAnsi="Georgia"/>
          <w:lang w:val="en-GB"/>
        </w:rPr>
        <w:t xml:space="preserve">it </w:t>
      </w:r>
      <w:r w:rsidRPr="0002056A">
        <w:rPr>
          <w:rFonts w:ascii="Georgia" w:hAnsi="Georgia"/>
          <w:lang w:val="en-GB"/>
        </w:rPr>
        <w:t>typically take</w:t>
      </w:r>
      <w:r w:rsidR="005835E7" w:rsidRPr="0002056A">
        <w:rPr>
          <w:rFonts w:ascii="Georgia" w:hAnsi="Georgia"/>
          <w:lang w:val="en-GB"/>
        </w:rPr>
        <w:t>s</w:t>
      </w:r>
      <w:r w:rsidRPr="0002056A">
        <w:rPr>
          <w:rFonts w:ascii="Georgia" w:hAnsi="Georgia"/>
          <w:lang w:val="en-GB"/>
        </w:rPr>
        <w:t xml:space="preserve"> several years before reporting commences. Among the best performances</w:t>
      </w:r>
      <w:r w:rsidR="00677E2C">
        <w:rPr>
          <w:rFonts w:ascii="Georgia" w:hAnsi="Georgia"/>
          <w:lang w:val="en-GB"/>
        </w:rPr>
        <w:t xml:space="preserve">, the proportion of European, mainly Western European countries, </w:t>
      </w:r>
      <w:r w:rsidRPr="0002056A">
        <w:rPr>
          <w:rFonts w:ascii="Georgia" w:hAnsi="Georgia"/>
          <w:lang w:val="en-GB"/>
        </w:rPr>
        <w:t>is significant, due to the early start of adaptation planning in the region and the efforts of the EC to promote adaptation MRE in member states. The continent, say</w:t>
      </w:r>
      <w:r w:rsidR="002B3AFE" w:rsidRPr="0002056A">
        <w:rPr>
          <w:rFonts w:ascii="Georgia" w:hAnsi="Georgia"/>
          <w:lang w:val="en-GB"/>
        </w:rPr>
        <w:t>s</w:t>
      </w:r>
      <w:r w:rsidRPr="0002056A">
        <w:rPr>
          <w:rFonts w:ascii="Georgia" w:hAnsi="Georgia"/>
          <w:lang w:val="en-GB"/>
        </w:rPr>
        <w:t xml:space="preserve"> the author, is the only one where MRE has already </w:t>
      </w:r>
      <w:r w:rsidR="002B3AFE" w:rsidRPr="0002056A">
        <w:rPr>
          <w:rFonts w:ascii="Georgia" w:hAnsi="Georgia"/>
          <w:lang w:val="en-GB"/>
        </w:rPr>
        <w:t xml:space="preserve">become </w:t>
      </w:r>
      <w:r w:rsidRPr="0002056A">
        <w:rPr>
          <w:rFonts w:ascii="Georgia" w:hAnsi="Georgia"/>
          <w:lang w:val="en-GB"/>
        </w:rPr>
        <w:t xml:space="preserve">part of the regular adaptation planning cycle. Overall, there is a clear trend of more and more MRE systems </w:t>
      </w:r>
      <w:r w:rsidR="00677E2C">
        <w:rPr>
          <w:rFonts w:ascii="Georgia" w:hAnsi="Georgia"/>
          <w:lang w:val="en-GB"/>
        </w:rPr>
        <w:t xml:space="preserve">becoming operational, resulting in a </w:t>
      </w:r>
      <w:r w:rsidRPr="0002056A">
        <w:rPr>
          <w:rFonts w:ascii="Georgia" w:hAnsi="Georgia"/>
          <w:lang w:val="en-GB"/>
        </w:rPr>
        <w:t xml:space="preserve">growing number of monitoring/evaluation reports. MRE activities’ importance is getting included in climate laws as well. NAPs are also tending to comprise MRE </w:t>
      </w:r>
      <w:r w:rsidR="00677E2C">
        <w:rPr>
          <w:rFonts w:ascii="Georgia" w:hAnsi="Georgia"/>
          <w:lang w:val="en-GB"/>
        </w:rPr>
        <w:t>guidance</w:t>
      </w:r>
      <w:r w:rsidR="00677E2C" w:rsidRPr="0002056A">
        <w:rPr>
          <w:rFonts w:ascii="Georgia" w:hAnsi="Georgia"/>
          <w:lang w:val="en-GB"/>
        </w:rPr>
        <w:t xml:space="preserve"> </w:t>
      </w:r>
      <w:r w:rsidRPr="0002056A">
        <w:rPr>
          <w:rFonts w:ascii="Georgia" w:hAnsi="Georgia"/>
          <w:lang w:val="en-GB"/>
        </w:rPr>
        <w:t xml:space="preserve">and directions. Also, the number of those countries that have gone through more than one implementation/reporting </w:t>
      </w:r>
      <w:r w:rsidR="00677E2C">
        <w:rPr>
          <w:rFonts w:ascii="Georgia" w:hAnsi="Georgia"/>
          <w:lang w:val="en-GB"/>
        </w:rPr>
        <w:t>circle and institutionalised</w:t>
      </w:r>
      <w:r w:rsidRPr="0002056A">
        <w:rPr>
          <w:rFonts w:ascii="Georgia" w:hAnsi="Georgia"/>
          <w:lang w:val="en-GB"/>
        </w:rPr>
        <w:t xml:space="preserve"> their NAP reporting is increasing. UK and Germany are good examples for this (</w:t>
      </w:r>
      <w:r w:rsidRPr="0002056A">
        <w:rPr>
          <w:rFonts w:ascii="Georgia" w:hAnsi="Georgia"/>
          <w:smallCaps/>
          <w:lang w:val="en-GB"/>
        </w:rPr>
        <w:t>Leiter</w:t>
      </w:r>
      <w:r w:rsidRPr="0002056A">
        <w:rPr>
          <w:rFonts w:ascii="Georgia" w:hAnsi="Georgia"/>
          <w:lang w:val="en-GB"/>
        </w:rPr>
        <w:t xml:space="preserve">, 2021). The study did not examine the quality and usefulness of the individual </w:t>
      </w:r>
      <w:r w:rsidR="00570C16" w:rsidRPr="0002056A">
        <w:rPr>
          <w:rFonts w:ascii="Georgia" w:hAnsi="Georgia"/>
          <w:lang w:val="en-GB"/>
        </w:rPr>
        <w:t>NAP-related</w:t>
      </w:r>
      <w:r w:rsidRPr="0002056A">
        <w:rPr>
          <w:rFonts w:ascii="Georgia" w:hAnsi="Georgia"/>
          <w:lang w:val="en-GB"/>
        </w:rPr>
        <w:t xml:space="preserve"> MRE systems but contributed to </w:t>
      </w:r>
      <w:r w:rsidR="00677E2C">
        <w:rPr>
          <w:rFonts w:ascii="Georgia" w:hAnsi="Georgia"/>
          <w:lang w:val="en-GB"/>
        </w:rPr>
        <w:t>a</w:t>
      </w:r>
      <w:r w:rsidRPr="0002056A">
        <w:rPr>
          <w:rFonts w:ascii="Georgia" w:hAnsi="Georgia"/>
          <w:lang w:val="en-GB"/>
        </w:rPr>
        <w:t xml:space="preserve"> better understanding of the development and practice of NAP MRE </w:t>
      </w:r>
      <w:r w:rsidR="008E5CD2" w:rsidRPr="0002056A">
        <w:rPr>
          <w:rFonts w:ascii="Georgia" w:hAnsi="Georgia"/>
          <w:lang w:val="en-GB"/>
        </w:rPr>
        <w:t>activities.</w:t>
      </w:r>
    </w:p>
    <w:p w14:paraId="515D15E9" w14:textId="2A0A6FA1" w:rsidR="00FB7130" w:rsidRPr="0002056A" w:rsidRDefault="00FB7130"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Fuldauer and her colleagues examined the linkage between national adaptation plans and the UN’s Sustainable Development goals and recommended a methodological process to strengthen this linkage to support the development of more spatially explicit adaptation strategies. They conclude that</w:t>
      </w:r>
      <w:r w:rsidR="00677E2C">
        <w:rPr>
          <w:rFonts w:ascii="Georgia" w:hAnsi="Georgia"/>
          <w:sz w:val="22"/>
          <w:szCs w:val="22"/>
          <w:lang w:val="en-GB"/>
        </w:rPr>
        <w:t>, despite numerous calls to integrate sustainable development, national adaptation documents under the Paris Agreement seldom emphasise their contribution to the implementation of the SDGs</w:t>
      </w:r>
      <w:r w:rsidRPr="0002056A">
        <w:rPr>
          <w:rFonts w:ascii="Georgia" w:hAnsi="Georgia"/>
          <w:sz w:val="22"/>
          <w:szCs w:val="22"/>
          <w:lang w:val="en-GB"/>
        </w:rPr>
        <w:t xml:space="preserve"> (</w:t>
      </w:r>
      <w:r w:rsidRPr="0002056A">
        <w:rPr>
          <w:rFonts w:ascii="Georgia" w:hAnsi="Georgia"/>
          <w:smallCaps/>
          <w:sz w:val="22"/>
          <w:szCs w:val="22"/>
          <w:lang w:val="en-GB"/>
        </w:rPr>
        <w:t>Fuldauer et al</w:t>
      </w:r>
      <w:r w:rsidRPr="0002056A">
        <w:rPr>
          <w:rFonts w:ascii="Georgia" w:hAnsi="Georgia"/>
          <w:sz w:val="22"/>
          <w:szCs w:val="22"/>
          <w:lang w:val="en-GB"/>
        </w:rPr>
        <w:t xml:space="preserve">., 2022). </w:t>
      </w:r>
    </w:p>
    <w:p w14:paraId="33EAEB6F" w14:textId="6D6935B9" w:rsidR="00E05262" w:rsidRPr="0002056A" w:rsidRDefault="004E603D" w:rsidP="00CD5BF3">
      <w:pPr>
        <w:spacing w:before="120" w:after="120"/>
        <w:jc w:val="both"/>
        <w:rPr>
          <w:rFonts w:ascii="Georgia" w:hAnsi="Georgia"/>
          <w:lang w:val="en-GB"/>
        </w:rPr>
      </w:pPr>
      <w:r w:rsidRPr="0002056A">
        <w:rPr>
          <w:rFonts w:ascii="Georgia" w:hAnsi="Georgia"/>
          <w:lang w:val="en-GB"/>
        </w:rPr>
        <w:t>Beyond the realm of scientific articles/works</w:t>
      </w:r>
      <w:r w:rsidR="00677E2C">
        <w:rPr>
          <w:rFonts w:ascii="Georgia" w:hAnsi="Georgia"/>
          <w:lang w:val="en-GB"/>
        </w:rPr>
        <w:t>,</w:t>
      </w:r>
      <w:r w:rsidRPr="0002056A">
        <w:rPr>
          <w:rFonts w:ascii="Georgia" w:hAnsi="Georgia"/>
          <w:lang w:val="en-GB"/>
        </w:rPr>
        <w:t xml:space="preserve"> even </w:t>
      </w:r>
      <w:r w:rsidRPr="0002056A">
        <w:rPr>
          <w:rFonts w:ascii="Georgia" w:hAnsi="Georgia"/>
          <w:b/>
          <w:bCs/>
          <w:lang w:val="en-GB"/>
        </w:rPr>
        <w:t>the grey literature of international organisations</w:t>
      </w:r>
      <w:r w:rsidRPr="0002056A">
        <w:rPr>
          <w:rFonts w:ascii="Georgia" w:hAnsi="Georgia"/>
          <w:lang w:val="en-GB"/>
        </w:rPr>
        <w:t xml:space="preserve"> can provide us </w:t>
      </w:r>
      <w:r w:rsidR="00216AD0" w:rsidRPr="0002056A">
        <w:rPr>
          <w:rFonts w:ascii="Georgia" w:hAnsi="Georgia"/>
          <w:lang w:val="en-GB"/>
        </w:rPr>
        <w:t>with</w:t>
      </w:r>
      <w:r w:rsidRPr="0002056A">
        <w:rPr>
          <w:rFonts w:ascii="Georgia" w:hAnsi="Georgia"/>
          <w:lang w:val="en-GB"/>
        </w:rPr>
        <w:t xml:space="preserve"> valuable information </w:t>
      </w:r>
      <w:r w:rsidRPr="0002056A">
        <w:rPr>
          <w:rFonts w:ascii="Georgia" w:hAnsi="Georgia"/>
          <w:b/>
          <w:bCs/>
          <w:lang w:val="en-GB"/>
        </w:rPr>
        <w:t xml:space="preserve">about climate adaptation activities at </w:t>
      </w:r>
      <w:r w:rsidR="00677E2C">
        <w:rPr>
          <w:rFonts w:ascii="Georgia" w:hAnsi="Georgia"/>
          <w:b/>
          <w:bCs/>
          <w:lang w:val="en-GB"/>
        </w:rPr>
        <w:t xml:space="preserve">the </w:t>
      </w:r>
      <w:r w:rsidRPr="0002056A">
        <w:rPr>
          <w:rFonts w:ascii="Georgia" w:hAnsi="Georgia"/>
          <w:b/>
          <w:bCs/>
          <w:lang w:val="en-GB"/>
        </w:rPr>
        <w:t>national leve</w:t>
      </w:r>
      <w:r w:rsidRPr="0002056A">
        <w:rPr>
          <w:rFonts w:ascii="Georgia" w:hAnsi="Georgia"/>
          <w:lang w:val="en-GB"/>
        </w:rPr>
        <w:t xml:space="preserve">l – </w:t>
      </w:r>
      <w:r w:rsidRPr="0002056A">
        <w:rPr>
          <w:rFonts w:ascii="Georgia" w:hAnsi="Georgia"/>
          <w:b/>
          <w:bCs/>
          <w:lang w:val="en-GB"/>
        </w:rPr>
        <w:t>comparative stocktakes</w:t>
      </w:r>
      <w:r w:rsidRPr="0002056A">
        <w:rPr>
          <w:rFonts w:ascii="Georgia" w:hAnsi="Georgia"/>
          <w:lang w:val="en-GB"/>
        </w:rPr>
        <w:t xml:space="preserve"> mainly come from this scene. </w:t>
      </w:r>
      <w:r w:rsidR="00E05262" w:rsidRPr="0002056A">
        <w:rPr>
          <w:rFonts w:ascii="Georgia" w:hAnsi="Georgia"/>
          <w:lang w:val="en-GB"/>
        </w:rPr>
        <w:t>The importance of the topic of adaptation planning and MRE</w:t>
      </w:r>
      <w:r w:rsidR="007F1DDC" w:rsidRPr="0002056A">
        <w:rPr>
          <w:rFonts w:ascii="Georgia" w:hAnsi="Georgia"/>
          <w:lang w:val="en-GB"/>
        </w:rPr>
        <w:t xml:space="preserve">, </w:t>
      </w:r>
      <w:r w:rsidR="000553AF" w:rsidRPr="0002056A">
        <w:rPr>
          <w:rFonts w:ascii="Georgia" w:hAnsi="Georgia"/>
          <w:lang w:val="en-GB"/>
        </w:rPr>
        <w:t>otherwise,</w:t>
      </w:r>
      <w:r w:rsidR="007F1DDC" w:rsidRPr="0002056A">
        <w:rPr>
          <w:rFonts w:ascii="Georgia" w:hAnsi="Georgia"/>
          <w:lang w:val="en-GB"/>
        </w:rPr>
        <w:t xml:space="preserve"> </w:t>
      </w:r>
      <w:r w:rsidR="00E05262" w:rsidRPr="0002056A">
        <w:rPr>
          <w:rFonts w:ascii="Georgia" w:hAnsi="Georgia"/>
          <w:lang w:val="en-GB"/>
        </w:rPr>
        <w:t xml:space="preserve">is further indicated by the growing number of </w:t>
      </w:r>
      <w:r w:rsidR="007F1DDC" w:rsidRPr="0002056A">
        <w:rPr>
          <w:rFonts w:ascii="Georgia" w:hAnsi="Georgia"/>
          <w:lang w:val="en-GB"/>
        </w:rPr>
        <w:t xml:space="preserve">these </w:t>
      </w:r>
      <w:r w:rsidR="00E05262" w:rsidRPr="0002056A">
        <w:rPr>
          <w:rFonts w:ascii="Georgia" w:hAnsi="Georgia"/>
          <w:lang w:val="en-GB"/>
        </w:rPr>
        <w:t xml:space="preserve">related grey literature </w:t>
      </w:r>
      <w:r w:rsidR="008065E3" w:rsidRPr="0002056A">
        <w:rPr>
          <w:rFonts w:ascii="Georgia" w:hAnsi="Georgia"/>
          <w:lang w:val="en-GB"/>
        </w:rPr>
        <w:t xml:space="preserve">items </w:t>
      </w:r>
      <w:r w:rsidR="00E05262" w:rsidRPr="0002056A">
        <w:rPr>
          <w:rFonts w:ascii="Georgia" w:hAnsi="Georgia"/>
          <w:lang w:val="en-GB"/>
        </w:rPr>
        <w:t>by relevant institutions such as UNEP, GIZ, UKCIP or OECD (</w:t>
      </w:r>
      <w:r w:rsidR="00E05262" w:rsidRPr="0002056A">
        <w:rPr>
          <w:rFonts w:ascii="Georgia" w:hAnsi="Georgia"/>
          <w:smallCaps/>
          <w:lang w:val="en-GB"/>
        </w:rPr>
        <w:t>Christiansen et al</w:t>
      </w:r>
      <w:r w:rsidR="00E05262" w:rsidRPr="0002056A">
        <w:rPr>
          <w:rFonts w:ascii="Georgia" w:hAnsi="Georgia"/>
          <w:lang w:val="en-GB"/>
        </w:rPr>
        <w:t xml:space="preserve">, 2016). </w:t>
      </w:r>
      <w:r w:rsidR="00E05262" w:rsidRPr="0002056A">
        <w:rPr>
          <w:rFonts w:ascii="Georgia" w:eastAsia="Times New Roman" w:hAnsi="Georgia" w:cs="Times New Roman"/>
          <w:lang w:val="en-GB" w:eastAsia="hu-HU"/>
        </w:rPr>
        <w:t xml:space="preserve">A good example is the German GIZ institute that elaborated a </w:t>
      </w:r>
      <w:r w:rsidR="00E05262" w:rsidRPr="0002056A">
        <w:rPr>
          <w:rFonts w:ascii="Georgia" w:eastAsia="Times New Roman" w:hAnsi="Georgia" w:cs="Times New Roman"/>
          <w:color w:val="000000"/>
          <w:lang w:val="en-GB" w:eastAsia="hu-HU"/>
        </w:rPr>
        <w:t>synthesis of the experiences made so far in adaptation monitoring and evaluation to provide key messages for adaptation practitioners and decision makers. Their practical recommendations for MRE system development at national</w:t>
      </w:r>
      <w:r w:rsidR="00677E2C">
        <w:rPr>
          <w:rFonts w:ascii="Georgia" w:eastAsia="Times New Roman" w:hAnsi="Georgia" w:cs="Times New Roman"/>
          <w:color w:val="000000"/>
          <w:lang w:val="en-GB" w:eastAsia="hu-HU"/>
        </w:rPr>
        <w:t>-</w:t>
      </w:r>
      <w:r w:rsidR="00E05262" w:rsidRPr="0002056A">
        <w:rPr>
          <w:rFonts w:ascii="Georgia" w:eastAsia="Times New Roman" w:hAnsi="Georgia" w:cs="Times New Roman"/>
          <w:color w:val="000000"/>
          <w:lang w:val="en-GB" w:eastAsia="hu-HU"/>
        </w:rPr>
        <w:t xml:space="preserve">level nominated 5 steps: analysis and description of the context; identifying levels and methodologies; defining indicators with baselines and data sources; setting up the concrete system; and utilization of MRE results (GIZ, 2013). </w:t>
      </w:r>
    </w:p>
    <w:p w14:paraId="0C3F6B81" w14:textId="4E58CC26" w:rsidR="004E603D" w:rsidRPr="0002056A" w:rsidRDefault="004E603D"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One of the most up-to-date report</w:t>
      </w:r>
      <w:r w:rsidR="00810468" w:rsidRPr="0002056A">
        <w:rPr>
          <w:rFonts w:ascii="Georgia" w:hAnsi="Georgia"/>
          <w:sz w:val="22"/>
          <w:szCs w:val="22"/>
          <w:lang w:val="en-GB"/>
        </w:rPr>
        <w:t>s</w:t>
      </w:r>
      <w:r w:rsidRPr="0002056A">
        <w:rPr>
          <w:rFonts w:ascii="Georgia" w:hAnsi="Georgia"/>
          <w:sz w:val="22"/>
          <w:szCs w:val="22"/>
          <w:lang w:val="en-GB"/>
        </w:rPr>
        <w:t xml:space="preserve"> from the grey literature on climate adaptation planning and MRE in Europe is elaborated by the EEA in 2022. It analysed through 5 aspects the related activities in EU member states and EEA countries and found that in Europe in 2021</w:t>
      </w:r>
      <w:r w:rsidR="00677E2C">
        <w:rPr>
          <w:rFonts w:ascii="Georgia" w:hAnsi="Georgia"/>
          <w:sz w:val="22"/>
          <w:szCs w:val="22"/>
          <w:lang w:val="en-GB"/>
        </w:rPr>
        <w:t>, already 20 member states had reported engaging in</w:t>
      </w:r>
      <w:r w:rsidRPr="0002056A">
        <w:rPr>
          <w:rFonts w:ascii="Georgia" w:hAnsi="Georgia"/>
          <w:sz w:val="22"/>
          <w:szCs w:val="22"/>
          <w:lang w:val="en-GB"/>
        </w:rPr>
        <w:t xml:space="preserve"> at least one form</w:t>
      </w:r>
      <w:r w:rsidR="008E5CD2" w:rsidRPr="0002056A">
        <w:rPr>
          <w:rStyle w:val="Lbjegyzet-hivatkozs"/>
          <w:rFonts w:ascii="Georgia" w:hAnsi="Georgia"/>
          <w:sz w:val="22"/>
          <w:szCs w:val="22"/>
          <w:lang w:val="en-GB"/>
        </w:rPr>
        <w:footnoteReference w:id="82"/>
      </w:r>
      <w:r w:rsidRPr="0002056A">
        <w:rPr>
          <w:rFonts w:ascii="Georgia" w:hAnsi="Georgia"/>
          <w:sz w:val="22"/>
          <w:szCs w:val="22"/>
          <w:lang w:val="en-GB"/>
        </w:rPr>
        <w:t xml:space="preserve"> of climate policy MRE activities. </w:t>
      </w:r>
      <w:r w:rsidRPr="0002056A">
        <w:rPr>
          <w:rFonts w:ascii="Georgia" w:hAnsi="Georgia"/>
          <w:sz w:val="22"/>
          <w:szCs w:val="22"/>
          <w:lang w:val="en-GB"/>
        </w:rPr>
        <w:lastRenderedPageBreak/>
        <w:t>Formal evaluations occur less often than monitoring and reporting, but in general</w:t>
      </w:r>
      <w:r w:rsidR="008F3B9F" w:rsidRPr="0002056A">
        <w:rPr>
          <w:rFonts w:ascii="Georgia" w:hAnsi="Georgia"/>
          <w:sz w:val="22"/>
          <w:szCs w:val="22"/>
          <w:lang w:val="en-GB"/>
        </w:rPr>
        <w:t>,</w:t>
      </w:r>
      <w:r w:rsidRPr="0002056A">
        <w:rPr>
          <w:rFonts w:ascii="Georgia" w:hAnsi="Georgia"/>
          <w:sz w:val="22"/>
          <w:szCs w:val="22"/>
          <w:lang w:val="en-GB"/>
        </w:rPr>
        <w:t xml:space="preserve"> member states’ MRE-engagement is strengthening (EEA, 2022). The report concludes, similarly to Swart and Greiving &amp; Fleischhauer</w:t>
      </w:r>
      <w:r w:rsidR="008F3B9F" w:rsidRPr="0002056A">
        <w:rPr>
          <w:rFonts w:ascii="Georgia" w:hAnsi="Georgia"/>
          <w:sz w:val="22"/>
          <w:szCs w:val="22"/>
          <w:lang w:val="en-GB"/>
        </w:rPr>
        <w:t>,</w:t>
      </w:r>
      <w:r w:rsidRPr="0002056A">
        <w:rPr>
          <w:rFonts w:ascii="Georgia" w:hAnsi="Georgia"/>
          <w:sz w:val="22"/>
          <w:szCs w:val="22"/>
          <w:lang w:val="en-GB"/>
        </w:rPr>
        <w:t xml:space="preserve"> that despite the variation of current and future climate impacts in Europe, there is still no significant differences between member states regarding the</w:t>
      </w:r>
      <w:r w:rsidR="008F3B9F" w:rsidRPr="0002056A">
        <w:rPr>
          <w:rFonts w:ascii="Georgia" w:hAnsi="Georgia"/>
          <w:sz w:val="22"/>
          <w:szCs w:val="22"/>
          <w:lang w:val="en-GB"/>
        </w:rPr>
        <w:t>ir</w:t>
      </w:r>
      <w:r w:rsidRPr="0002056A">
        <w:rPr>
          <w:rFonts w:ascii="Georgia" w:hAnsi="Georgia"/>
          <w:sz w:val="22"/>
          <w:szCs w:val="22"/>
          <w:lang w:val="en-GB"/>
        </w:rPr>
        <w:t xml:space="preserve"> affected key sectors. Measures are quite </w:t>
      </w:r>
      <w:r w:rsidR="00677E2C">
        <w:rPr>
          <w:rFonts w:ascii="Georgia" w:hAnsi="Georgia"/>
          <w:sz w:val="22"/>
          <w:szCs w:val="22"/>
          <w:lang w:val="en-GB"/>
        </w:rPr>
        <w:t xml:space="preserve">homogeneous and distributed only across a </w:t>
      </w:r>
      <w:r w:rsidRPr="0002056A">
        <w:rPr>
          <w:rFonts w:ascii="Georgia" w:hAnsi="Georgia"/>
          <w:sz w:val="22"/>
          <w:szCs w:val="22"/>
          <w:lang w:val="en-GB"/>
        </w:rPr>
        <w:t>few thematic fields, types</w:t>
      </w:r>
      <w:r w:rsidRPr="0002056A">
        <w:rPr>
          <w:rStyle w:val="Lbjegyzet-hivatkozs"/>
          <w:rFonts w:ascii="Georgia" w:hAnsi="Georgia"/>
          <w:sz w:val="22"/>
          <w:szCs w:val="22"/>
          <w:lang w:val="en-GB"/>
        </w:rPr>
        <w:footnoteReference w:id="83"/>
      </w:r>
      <w:r w:rsidRPr="0002056A">
        <w:rPr>
          <w:rFonts w:ascii="Georgia" w:hAnsi="Georgia"/>
          <w:sz w:val="22"/>
          <w:szCs w:val="22"/>
          <w:lang w:val="en-GB"/>
        </w:rPr>
        <w:t xml:space="preserve">. Multilevel governance arrangements and sub-national level activities </w:t>
      </w:r>
      <w:r w:rsidR="00D268BF" w:rsidRPr="0002056A">
        <w:rPr>
          <w:rFonts w:ascii="Georgia" w:hAnsi="Georgia"/>
          <w:sz w:val="22"/>
          <w:szCs w:val="22"/>
          <w:lang w:val="en-GB"/>
        </w:rPr>
        <w:t xml:space="preserve">have </w:t>
      </w:r>
      <w:r w:rsidRPr="0002056A">
        <w:rPr>
          <w:rFonts w:ascii="Georgia" w:hAnsi="Georgia"/>
          <w:sz w:val="22"/>
          <w:szCs w:val="22"/>
          <w:lang w:val="en-GB"/>
        </w:rPr>
        <w:t xml:space="preserve">intensified in several countries. The report states, </w:t>
      </w:r>
      <w:r w:rsidR="00BB25BA" w:rsidRPr="0002056A">
        <w:rPr>
          <w:rFonts w:ascii="Georgia" w:hAnsi="Georgia"/>
          <w:sz w:val="22"/>
          <w:szCs w:val="22"/>
          <w:lang w:val="en-GB"/>
        </w:rPr>
        <w:t>similar</w:t>
      </w:r>
      <w:r w:rsidR="00677E2C">
        <w:rPr>
          <w:rFonts w:ascii="Georgia" w:hAnsi="Georgia"/>
          <w:sz w:val="22"/>
          <w:szCs w:val="22"/>
          <w:lang w:val="en-GB"/>
        </w:rPr>
        <w:t xml:space="preserve"> to that of Vallejo’s, that macro-regional strategies, international and transboundary cooperation can also strengthen transnational adaptation efforts in the form of joint strategies, planning and implementation; moreover, effective multilevel governance can support the </w:t>
      </w:r>
      <w:r w:rsidRPr="0002056A">
        <w:rPr>
          <w:rFonts w:ascii="Georgia" w:hAnsi="Georgia"/>
          <w:sz w:val="22"/>
          <w:szCs w:val="22"/>
          <w:lang w:val="en-GB"/>
        </w:rPr>
        <w:t xml:space="preserve">development and implementation of local strategies as well. (EEA 2022). </w:t>
      </w:r>
    </w:p>
    <w:p w14:paraId="780BDAF9" w14:textId="02E4FB11" w:rsidR="004E603D" w:rsidRPr="0002056A" w:rsidRDefault="004E603D"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bCs/>
          <w:sz w:val="22"/>
          <w:szCs w:val="22"/>
          <w:lang w:val="en-GB"/>
        </w:rPr>
        <w:t>In 2024</w:t>
      </w:r>
      <w:r w:rsidR="00677E2C">
        <w:rPr>
          <w:rFonts w:ascii="Georgia" w:hAnsi="Georgia"/>
          <w:bCs/>
          <w:sz w:val="22"/>
          <w:szCs w:val="22"/>
          <w:lang w:val="en-GB"/>
        </w:rPr>
        <w:t>,</w:t>
      </w:r>
      <w:r w:rsidRPr="0002056A">
        <w:rPr>
          <w:rFonts w:ascii="Georgia" w:hAnsi="Georgia"/>
          <w:bCs/>
          <w:sz w:val="22"/>
          <w:szCs w:val="22"/>
          <w:lang w:val="en-GB"/>
        </w:rPr>
        <w:t xml:space="preserve"> the EEA continued its work on analysing European national adaptation efforts.</w:t>
      </w:r>
      <w:r w:rsidRPr="0002056A">
        <w:rPr>
          <w:rFonts w:ascii="Georgia" w:hAnsi="Georgia"/>
          <w:sz w:val="22"/>
          <w:szCs w:val="22"/>
          <w:lang w:val="en-GB"/>
        </w:rPr>
        <w:t xml:space="preserve"> In their new </w:t>
      </w:r>
      <w:r w:rsidR="007E457F" w:rsidRPr="0002056A">
        <w:rPr>
          <w:rFonts w:ascii="Georgia" w:hAnsi="Georgia"/>
          <w:sz w:val="22"/>
          <w:szCs w:val="22"/>
          <w:lang w:val="en-GB"/>
        </w:rPr>
        <w:t>study</w:t>
      </w:r>
      <w:r w:rsidR="00677E2C">
        <w:rPr>
          <w:rFonts w:ascii="Georgia" w:hAnsi="Georgia"/>
          <w:sz w:val="22"/>
          <w:szCs w:val="22"/>
          <w:lang w:val="en-GB"/>
        </w:rPr>
        <w:t>,</w:t>
      </w:r>
      <w:r w:rsidRPr="0002056A">
        <w:rPr>
          <w:rFonts w:ascii="Georgia" w:hAnsi="Georgia"/>
          <w:sz w:val="22"/>
          <w:szCs w:val="22"/>
          <w:lang w:val="en-GB"/>
        </w:rPr>
        <w:t xml:space="preserve"> they </w:t>
      </w:r>
      <w:r w:rsidRPr="0002056A">
        <w:rPr>
          <w:rFonts w:ascii="Georgia" w:hAnsi="Georgia"/>
          <w:bCs/>
          <w:sz w:val="22"/>
          <w:szCs w:val="22"/>
          <w:lang w:val="en-GB"/>
        </w:rPr>
        <w:t>provide a deeper understanding of the diverse adaptation policy frameworks and tools of 38 European Environment Agency member</w:t>
      </w:r>
      <w:r w:rsidR="00FF5601" w:rsidRPr="0002056A">
        <w:rPr>
          <w:rFonts w:ascii="Georgia" w:hAnsi="Georgia"/>
          <w:bCs/>
          <w:sz w:val="22"/>
          <w:szCs w:val="22"/>
          <w:lang w:val="en-GB"/>
        </w:rPr>
        <w:t>s</w:t>
      </w:r>
      <w:r w:rsidRPr="0002056A">
        <w:rPr>
          <w:rFonts w:ascii="Georgia" w:hAnsi="Georgia"/>
          <w:bCs/>
          <w:sz w:val="22"/>
          <w:szCs w:val="22"/>
          <w:lang w:val="en-GB"/>
        </w:rPr>
        <w:t xml:space="preserve"> and cooperating countries</w:t>
      </w:r>
      <w:r w:rsidRPr="0002056A">
        <w:rPr>
          <w:rFonts w:ascii="Georgia" w:hAnsi="Georgia"/>
          <w:sz w:val="22"/>
          <w:szCs w:val="22"/>
          <w:lang w:val="en-GB"/>
        </w:rPr>
        <w:t>. The report provides an assessment of adaptation policy documents and reports published by July 2024 and identifies challenges in integrating monitoring and evaluation systems. Among the main results</w:t>
      </w:r>
      <w:r w:rsidR="00677E2C">
        <w:rPr>
          <w:rFonts w:ascii="Georgia" w:hAnsi="Georgia"/>
          <w:sz w:val="22"/>
          <w:szCs w:val="22"/>
          <w:lang w:val="en-GB"/>
        </w:rPr>
        <w:t>,</w:t>
      </w:r>
      <w:r w:rsidRPr="0002056A">
        <w:rPr>
          <w:rFonts w:ascii="Georgia" w:hAnsi="Georgia"/>
          <w:sz w:val="22"/>
          <w:szCs w:val="22"/>
          <w:lang w:val="en-GB"/>
        </w:rPr>
        <w:t xml:space="preserve"> they mentioned that an increasing number (exactly 21) of countries have already completed their first/updated </w:t>
      </w:r>
      <w:r w:rsidR="007423A7" w:rsidRPr="0002056A">
        <w:rPr>
          <w:rFonts w:ascii="Georgia" w:hAnsi="Georgia"/>
          <w:sz w:val="22"/>
          <w:szCs w:val="22"/>
          <w:lang w:val="en-GB"/>
        </w:rPr>
        <w:t>climate change risk assessments</w:t>
      </w:r>
      <w:r w:rsidRPr="0002056A">
        <w:rPr>
          <w:rFonts w:ascii="Georgia" w:hAnsi="Georgia"/>
          <w:sz w:val="22"/>
          <w:szCs w:val="22"/>
          <w:lang w:val="en-GB"/>
        </w:rPr>
        <w:t xml:space="preserve"> (14 countries even </w:t>
      </w:r>
      <w:r w:rsidR="00677E2C">
        <w:rPr>
          <w:rFonts w:ascii="Georgia" w:hAnsi="Georgia"/>
          <w:sz w:val="22"/>
          <w:szCs w:val="22"/>
          <w:lang w:val="en-GB"/>
        </w:rPr>
        <w:t>require these legally</w:t>
      </w:r>
      <w:r w:rsidRPr="0002056A">
        <w:rPr>
          <w:rFonts w:ascii="Georgia" w:hAnsi="Georgia"/>
          <w:sz w:val="22"/>
          <w:szCs w:val="22"/>
          <w:lang w:val="en-GB"/>
        </w:rPr>
        <w:t>)</w:t>
      </w:r>
      <w:r w:rsidR="00677E2C">
        <w:rPr>
          <w:rFonts w:ascii="Georgia" w:hAnsi="Georgia"/>
          <w:sz w:val="22"/>
          <w:szCs w:val="22"/>
          <w:lang w:val="en-GB"/>
        </w:rPr>
        <w:t>,</w:t>
      </w:r>
      <w:r w:rsidRPr="0002056A">
        <w:rPr>
          <w:rFonts w:ascii="Georgia" w:hAnsi="Georgia"/>
          <w:sz w:val="22"/>
          <w:szCs w:val="22"/>
          <w:lang w:val="en-GB"/>
        </w:rPr>
        <w:t xml:space="preserve"> and although integration of </w:t>
      </w:r>
      <w:r w:rsidR="007423A7" w:rsidRPr="0002056A">
        <w:rPr>
          <w:rFonts w:ascii="Georgia" w:hAnsi="Georgia"/>
          <w:sz w:val="22"/>
          <w:szCs w:val="22"/>
          <w:lang w:val="en-GB"/>
        </w:rPr>
        <w:t>risk assessment</w:t>
      </w:r>
      <w:r w:rsidRPr="0002056A">
        <w:rPr>
          <w:rFonts w:ascii="Georgia" w:hAnsi="Georgia"/>
          <w:sz w:val="22"/>
          <w:szCs w:val="22"/>
          <w:lang w:val="en-GB"/>
        </w:rPr>
        <w:t xml:space="preserve"> results into the adaptation policy cycle is evident, their connections with MRE systems remain limited. Most countries have elaborated at least their first NAS, serving as high-level frameworks for coordinating adaptation efforts. NAPs </w:t>
      </w:r>
      <w:r w:rsidR="00BD3C38" w:rsidRPr="0002056A">
        <w:rPr>
          <w:rFonts w:ascii="Georgia" w:hAnsi="Georgia"/>
          <w:sz w:val="22"/>
          <w:szCs w:val="22"/>
          <w:lang w:val="en-GB"/>
        </w:rPr>
        <w:t xml:space="preserve">with detailed, specific actions </w:t>
      </w:r>
      <w:r w:rsidRPr="0002056A">
        <w:rPr>
          <w:rFonts w:ascii="Georgia" w:hAnsi="Georgia"/>
          <w:sz w:val="22"/>
          <w:szCs w:val="22"/>
          <w:lang w:val="en-GB"/>
        </w:rPr>
        <w:t>were used by two</w:t>
      </w:r>
      <w:r w:rsidR="00FD33D8" w:rsidRPr="0002056A">
        <w:rPr>
          <w:rFonts w:ascii="Georgia" w:hAnsi="Georgia"/>
          <w:sz w:val="22"/>
          <w:szCs w:val="22"/>
          <w:lang w:val="en-GB"/>
        </w:rPr>
        <w:t>-</w:t>
      </w:r>
      <w:r w:rsidRPr="0002056A">
        <w:rPr>
          <w:rFonts w:ascii="Georgia" w:hAnsi="Georgia"/>
          <w:sz w:val="22"/>
          <w:szCs w:val="22"/>
          <w:lang w:val="en-GB"/>
        </w:rPr>
        <w:t xml:space="preserve">thirds of countries to </w:t>
      </w:r>
      <w:r w:rsidR="00677E2C">
        <w:rPr>
          <w:rFonts w:ascii="Georgia" w:hAnsi="Georgia"/>
          <w:sz w:val="22"/>
          <w:szCs w:val="22"/>
          <w:lang w:val="en-GB"/>
        </w:rPr>
        <w:t>operationalise</w:t>
      </w:r>
      <w:r w:rsidR="00677E2C" w:rsidRPr="0002056A">
        <w:rPr>
          <w:rFonts w:ascii="Georgia" w:hAnsi="Georgia"/>
          <w:sz w:val="22"/>
          <w:szCs w:val="22"/>
          <w:lang w:val="en-GB"/>
        </w:rPr>
        <w:t xml:space="preserve"> </w:t>
      </w:r>
      <w:r w:rsidRPr="0002056A">
        <w:rPr>
          <w:rFonts w:ascii="Georgia" w:hAnsi="Georgia"/>
          <w:sz w:val="22"/>
          <w:szCs w:val="22"/>
          <w:lang w:val="en-GB"/>
        </w:rPr>
        <w:t xml:space="preserve">their NAS. Sectoral Adaptation Plans are less common but are gaining momentum (especially in agriculture and public health sectors). 18 countries already </w:t>
      </w:r>
      <w:r w:rsidR="007423A7" w:rsidRPr="0002056A">
        <w:rPr>
          <w:rFonts w:ascii="Georgia" w:hAnsi="Georgia"/>
          <w:sz w:val="22"/>
          <w:szCs w:val="22"/>
          <w:lang w:val="en-GB"/>
        </w:rPr>
        <w:t>have</w:t>
      </w:r>
      <w:r w:rsidRPr="0002056A">
        <w:rPr>
          <w:rFonts w:ascii="Georgia" w:hAnsi="Georgia"/>
          <w:sz w:val="22"/>
          <w:szCs w:val="22"/>
          <w:lang w:val="en-GB"/>
        </w:rPr>
        <w:t xml:space="preserve"> </w:t>
      </w:r>
      <w:r w:rsidR="00677E2C">
        <w:rPr>
          <w:rFonts w:ascii="Georgia" w:hAnsi="Georgia"/>
          <w:sz w:val="22"/>
          <w:szCs w:val="22"/>
          <w:lang w:val="en-GB"/>
        </w:rPr>
        <w:t>their</w:t>
      </w:r>
      <w:r w:rsidRPr="0002056A">
        <w:rPr>
          <w:rFonts w:ascii="Georgia" w:hAnsi="Georgia"/>
          <w:sz w:val="22"/>
          <w:szCs w:val="22"/>
          <w:lang w:val="en-GB"/>
        </w:rPr>
        <w:t xml:space="preserve"> own dedicated national climate law that include</w:t>
      </w:r>
      <w:r w:rsidR="00677E2C">
        <w:rPr>
          <w:rFonts w:ascii="Georgia" w:hAnsi="Georgia"/>
          <w:sz w:val="22"/>
          <w:szCs w:val="22"/>
          <w:lang w:val="en-GB"/>
        </w:rPr>
        <w:t>s</w:t>
      </w:r>
      <w:r w:rsidRPr="0002056A">
        <w:rPr>
          <w:rFonts w:ascii="Georgia" w:hAnsi="Georgia"/>
          <w:sz w:val="22"/>
          <w:szCs w:val="22"/>
          <w:lang w:val="en-GB"/>
        </w:rPr>
        <w:t xml:space="preserve"> adaptation elements</w:t>
      </w:r>
      <w:r w:rsidRPr="0002056A">
        <w:rPr>
          <w:rStyle w:val="Lbjegyzet-hivatkozs"/>
          <w:rFonts w:ascii="Georgia" w:hAnsi="Georgia"/>
          <w:sz w:val="22"/>
          <w:szCs w:val="22"/>
          <w:lang w:val="en-GB"/>
        </w:rPr>
        <w:footnoteReference w:id="84"/>
      </w:r>
      <w:r w:rsidRPr="0002056A">
        <w:rPr>
          <w:rFonts w:ascii="Georgia" w:hAnsi="Georgia"/>
          <w:sz w:val="22"/>
          <w:szCs w:val="22"/>
          <w:lang w:val="en-GB"/>
        </w:rPr>
        <w:t xml:space="preserve">. All in all, the adaptation policy landscape is diverse, with varying degrees of coordination across sectors and levels of governance. Regarding MRE, numerous countries have established some aspects, however, there </w:t>
      </w:r>
      <w:r w:rsidR="00677E2C">
        <w:rPr>
          <w:rFonts w:ascii="Georgia" w:hAnsi="Georgia"/>
          <w:sz w:val="22"/>
          <w:szCs w:val="22"/>
          <w:lang w:val="en-GB"/>
        </w:rPr>
        <w:t>are</w:t>
      </w:r>
      <w:r w:rsidRPr="0002056A">
        <w:rPr>
          <w:rFonts w:ascii="Georgia" w:hAnsi="Georgia"/>
          <w:sz w:val="22"/>
          <w:szCs w:val="22"/>
          <w:lang w:val="en-GB"/>
        </w:rPr>
        <w:t xml:space="preserve"> still challenges in linking these systems across different governance levels. The absence of measurable adaptation goals complicates the effectiveness of MRE efforts in each country. </w:t>
      </w:r>
      <w:r w:rsidR="00552F79" w:rsidRPr="0002056A">
        <w:rPr>
          <w:rFonts w:ascii="Georgia" w:hAnsi="Georgia"/>
          <w:sz w:val="22"/>
          <w:szCs w:val="22"/>
          <w:lang w:val="en-GB"/>
        </w:rPr>
        <w:t>S</w:t>
      </w:r>
      <w:r w:rsidRPr="0002056A">
        <w:rPr>
          <w:rFonts w:ascii="Georgia" w:hAnsi="Georgia"/>
          <w:sz w:val="22"/>
          <w:szCs w:val="22"/>
          <w:lang w:val="en-GB"/>
        </w:rPr>
        <w:t>patial issues do not emerge in the report (</w:t>
      </w:r>
      <w:r w:rsidRPr="0002056A">
        <w:rPr>
          <w:rFonts w:ascii="Georgia" w:hAnsi="Georgia"/>
          <w:smallCaps/>
          <w:sz w:val="22"/>
          <w:szCs w:val="22"/>
          <w:lang w:val="en-GB"/>
        </w:rPr>
        <w:t>Leitner et al., 2024</w:t>
      </w:r>
      <w:r w:rsidRPr="0002056A">
        <w:rPr>
          <w:rFonts w:ascii="Georgia" w:hAnsi="Georgia"/>
          <w:sz w:val="22"/>
          <w:szCs w:val="22"/>
          <w:lang w:val="en-GB"/>
        </w:rPr>
        <w:t>).</w:t>
      </w:r>
    </w:p>
    <w:p w14:paraId="79DC7B9D" w14:textId="0C7B67D7" w:rsidR="004E603D" w:rsidRPr="0002056A" w:rsidRDefault="004E603D" w:rsidP="00CD5BF3">
      <w:pPr>
        <w:autoSpaceDE w:val="0"/>
        <w:autoSpaceDN w:val="0"/>
        <w:adjustRightInd w:val="0"/>
        <w:spacing w:before="120" w:after="120"/>
        <w:jc w:val="both"/>
        <w:rPr>
          <w:rFonts w:ascii="Georgia" w:hAnsi="Georgia" w:cs="ArialMT"/>
          <w:lang w:val="en-GB"/>
          <w14:ligatures w14:val="standardContextual"/>
        </w:rPr>
      </w:pPr>
      <w:r w:rsidRPr="0002056A">
        <w:rPr>
          <w:rFonts w:ascii="Georgia" w:hAnsi="Georgia"/>
          <w:lang w:val="en-GB"/>
        </w:rPr>
        <w:t>As a beacon in the sea of sector</w:t>
      </w:r>
      <w:r w:rsidR="00A368A2" w:rsidRPr="0002056A">
        <w:rPr>
          <w:rFonts w:ascii="Georgia" w:hAnsi="Georgia"/>
          <w:lang w:val="en-GB"/>
        </w:rPr>
        <w:t>al logic</w:t>
      </w:r>
      <w:r w:rsidRPr="0002056A">
        <w:rPr>
          <w:rFonts w:ascii="Georgia" w:hAnsi="Georgia"/>
          <w:lang w:val="en-GB"/>
        </w:rPr>
        <w:t xml:space="preserve">-oriented </w:t>
      </w:r>
      <w:r w:rsidR="00364AEC" w:rsidRPr="0002056A">
        <w:rPr>
          <w:rFonts w:ascii="Georgia" w:hAnsi="Georgia"/>
          <w:lang w:val="en-GB"/>
        </w:rPr>
        <w:t xml:space="preserve">stocktakes of </w:t>
      </w:r>
      <w:r w:rsidRPr="0002056A">
        <w:rPr>
          <w:rFonts w:ascii="Georgia" w:hAnsi="Georgia"/>
          <w:lang w:val="en-GB"/>
        </w:rPr>
        <w:t>national climate adapta</w:t>
      </w:r>
      <w:r w:rsidR="00A368A2" w:rsidRPr="0002056A">
        <w:rPr>
          <w:rFonts w:ascii="Georgia" w:hAnsi="Georgia"/>
          <w:lang w:val="en-GB"/>
        </w:rPr>
        <w:t>t</w:t>
      </w:r>
      <w:r w:rsidRPr="0002056A">
        <w:rPr>
          <w:rFonts w:ascii="Georgia" w:hAnsi="Georgia"/>
          <w:lang w:val="en-GB"/>
        </w:rPr>
        <w:t>ion polic</w:t>
      </w:r>
      <w:r w:rsidR="00364AEC" w:rsidRPr="0002056A">
        <w:rPr>
          <w:rFonts w:ascii="Georgia" w:hAnsi="Georgia"/>
          <w:lang w:val="en-GB"/>
        </w:rPr>
        <w:t>ies</w:t>
      </w:r>
      <w:r w:rsidR="00677E2C">
        <w:rPr>
          <w:rFonts w:ascii="Georgia" w:hAnsi="Georgia"/>
          <w:lang w:val="en-GB"/>
        </w:rPr>
        <w:t xml:space="preserve">, the </w:t>
      </w:r>
      <w:r w:rsidR="00677E2C" w:rsidRPr="004A1FCE">
        <w:rPr>
          <w:rFonts w:ascii="Georgia" w:hAnsi="Georgia"/>
          <w:b/>
          <w:bCs/>
          <w:lang w:val="en-GB"/>
        </w:rPr>
        <w:t xml:space="preserve">OECD’s 2023 study about the territorial approach in climate adaptation and resilience </w:t>
      </w:r>
      <w:r w:rsidR="00677E2C">
        <w:rPr>
          <w:rFonts w:ascii="Georgia" w:hAnsi="Georgia"/>
          <w:lang w:val="en-GB"/>
        </w:rPr>
        <w:t>stands out</w:t>
      </w:r>
      <w:r w:rsidRPr="0002056A">
        <w:rPr>
          <w:rFonts w:ascii="Georgia" w:hAnsi="Georgia"/>
          <w:b/>
          <w:bCs/>
          <w:lang w:val="en-GB"/>
        </w:rPr>
        <w:t>.</w:t>
      </w:r>
      <w:r w:rsidRPr="0002056A">
        <w:rPr>
          <w:rFonts w:ascii="Georgia" w:hAnsi="Georgia"/>
          <w:lang w:val="en-GB"/>
        </w:rPr>
        <w:t xml:space="preserve"> Even i</w:t>
      </w:r>
      <w:r w:rsidR="00A368A2" w:rsidRPr="0002056A">
        <w:rPr>
          <w:rFonts w:ascii="Georgia" w:hAnsi="Georgia"/>
          <w:lang w:val="en-GB"/>
        </w:rPr>
        <w:t>n</w:t>
      </w:r>
      <w:r w:rsidRPr="0002056A">
        <w:rPr>
          <w:rFonts w:ascii="Georgia" w:hAnsi="Georgia"/>
          <w:lang w:val="en-GB"/>
        </w:rPr>
        <w:t xml:space="preserve"> its title, but of course in its very content</w:t>
      </w:r>
      <w:r w:rsidR="00677E2C">
        <w:rPr>
          <w:rFonts w:ascii="Georgia" w:hAnsi="Georgia"/>
          <w:lang w:val="en-GB"/>
        </w:rPr>
        <w:t>,</w:t>
      </w:r>
      <w:r w:rsidRPr="0002056A">
        <w:rPr>
          <w:rFonts w:ascii="Georgia" w:hAnsi="Georgia"/>
          <w:lang w:val="en-GB"/>
        </w:rPr>
        <w:t xml:space="preserve"> the study deals with </w:t>
      </w:r>
      <w:r w:rsidR="00A368A2" w:rsidRPr="0002056A">
        <w:rPr>
          <w:rFonts w:ascii="Georgia" w:hAnsi="Georgia"/>
          <w:lang w:val="en-GB"/>
        </w:rPr>
        <w:t>spa</w:t>
      </w:r>
      <w:r w:rsidRPr="0002056A">
        <w:rPr>
          <w:rFonts w:ascii="Georgia" w:hAnsi="Georgia"/>
          <w:lang w:val="en-GB"/>
        </w:rPr>
        <w:t xml:space="preserve">tial implications of climate policy (and within it: adaptation) planning and actions. The authors underline </w:t>
      </w:r>
      <w:r w:rsidRPr="0002056A">
        <w:rPr>
          <w:rFonts w:ascii="Georgia" w:hAnsi="Georgia" w:cs="Arial-BoldMT"/>
          <w:lang w:val="en-GB"/>
          <w14:ligatures w14:val="standardContextual"/>
        </w:rPr>
        <w:t xml:space="preserve">the non-negligible </w:t>
      </w:r>
      <w:r w:rsidR="0098689E" w:rsidRPr="0002056A">
        <w:rPr>
          <w:rFonts w:ascii="Georgia" w:hAnsi="Georgia" w:cs="Arial-BoldMT"/>
          <w:lang w:val="en-GB"/>
          <w14:ligatures w14:val="standardContextual"/>
        </w:rPr>
        <w:t xml:space="preserve">nature of </w:t>
      </w:r>
      <w:r w:rsidRPr="0002056A">
        <w:rPr>
          <w:rFonts w:ascii="Georgia" w:hAnsi="Georgia" w:cs="Arial-BoldMT"/>
          <w:lang w:val="en-GB"/>
          <w14:ligatures w14:val="standardContextual"/>
        </w:rPr>
        <w:t xml:space="preserve">territorial disparities </w:t>
      </w:r>
      <w:r w:rsidR="00A368A2" w:rsidRPr="0002056A">
        <w:rPr>
          <w:rFonts w:ascii="Georgia" w:hAnsi="Georgia" w:cs="Arial-BoldMT"/>
          <w:lang w:val="en-GB"/>
          <w14:ligatures w14:val="standardContextual"/>
        </w:rPr>
        <w:t xml:space="preserve">of </w:t>
      </w:r>
      <w:r w:rsidRPr="0002056A">
        <w:rPr>
          <w:rFonts w:ascii="Georgia" w:hAnsi="Georgia" w:cs="Arial-BoldMT"/>
          <w:lang w:val="en-GB"/>
          <w14:ligatures w14:val="standardContextual"/>
        </w:rPr>
        <w:t>climate impacts, identifying an „</w:t>
      </w:r>
      <w:r w:rsidRPr="0002056A">
        <w:rPr>
          <w:rFonts w:ascii="Georgia" w:hAnsi="Georgia" w:cs="Arial-BoldMT"/>
          <w:i/>
          <w:iCs/>
          <w:lang w:val="en-GB"/>
          <w14:ligatures w14:val="standardContextual"/>
        </w:rPr>
        <w:t xml:space="preserve">untapped opportunity in adopting a </w:t>
      </w:r>
      <w:r w:rsidR="00216AD0" w:rsidRPr="0002056A">
        <w:rPr>
          <w:rFonts w:ascii="Georgia" w:hAnsi="Georgia" w:cs="Arial-BoldMT"/>
          <w:i/>
          <w:iCs/>
          <w:lang w:val="en-GB"/>
          <w14:ligatures w14:val="standardContextual"/>
        </w:rPr>
        <w:t>territorial</w:t>
      </w:r>
      <w:r w:rsidRPr="0002056A">
        <w:rPr>
          <w:rFonts w:ascii="Georgia" w:hAnsi="Georgia" w:cs="Arial-BoldMT"/>
          <w:i/>
          <w:iCs/>
          <w:lang w:val="en-GB"/>
          <w14:ligatures w14:val="standardContextual"/>
        </w:rPr>
        <w:t xml:space="preserve"> approach to adaptation and resilience</w:t>
      </w:r>
      <w:r w:rsidRPr="0002056A">
        <w:rPr>
          <w:rFonts w:ascii="Georgia" w:hAnsi="Georgia" w:cs="Arial-BoldMT"/>
          <w:lang w:val="en-GB"/>
          <w14:ligatures w14:val="standardContextual"/>
        </w:rPr>
        <w:t>”.</w:t>
      </w:r>
      <w:r w:rsidRPr="0002056A">
        <w:rPr>
          <w:rFonts w:ascii="Georgia" w:hAnsi="Georgia"/>
          <w:lang w:val="en-GB"/>
        </w:rPr>
        <w:t xml:space="preserve"> The </w:t>
      </w:r>
      <w:r w:rsidRPr="0002056A">
        <w:rPr>
          <w:rFonts w:ascii="Georgia" w:hAnsi="Georgia" w:cs="ArialMT"/>
          <w:lang w:val="en-GB"/>
          <w14:ligatures w14:val="standardContextual"/>
        </w:rPr>
        <w:t>report proposes a policy framework to help decision makers develop more effective climate and resilience policies through a “</w:t>
      </w:r>
      <w:r w:rsidRPr="0002056A">
        <w:rPr>
          <w:rFonts w:ascii="Georgia" w:hAnsi="Georgia" w:cs="Arial-BoldMT"/>
          <w:lang w:val="en-GB"/>
          <w14:ligatures w14:val="standardContextual"/>
        </w:rPr>
        <w:t>territorial approach</w:t>
      </w:r>
      <w:r w:rsidRPr="0002056A">
        <w:rPr>
          <w:rFonts w:ascii="Georgia" w:hAnsi="Georgia" w:cs="ArialMT"/>
          <w:lang w:val="en-GB"/>
          <w14:ligatures w14:val="standardContextual"/>
        </w:rPr>
        <w:t>”. This territorial approach</w:t>
      </w:r>
      <w:r w:rsidR="00677E2C">
        <w:rPr>
          <w:rFonts w:ascii="Georgia" w:hAnsi="Georgia" w:cs="ArialMT"/>
          <w:lang w:val="en-GB"/>
          <w14:ligatures w14:val="standardContextual"/>
        </w:rPr>
        <w:t>,</w:t>
      </w:r>
      <w:r w:rsidRPr="0002056A">
        <w:rPr>
          <w:rFonts w:ascii="Georgia" w:hAnsi="Georgia" w:cs="ArialMT"/>
          <w:lang w:val="en-GB"/>
          <w14:ligatures w14:val="standardContextual"/>
        </w:rPr>
        <w:t xml:space="preserve"> in their view</w:t>
      </w:r>
      <w:r w:rsidR="00677E2C">
        <w:rPr>
          <w:rFonts w:ascii="Georgia" w:hAnsi="Georgia" w:cs="ArialMT"/>
          <w:lang w:val="en-GB"/>
          <w14:ligatures w14:val="standardContextual"/>
        </w:rPr>
        <w:t>,</w:t>
      </w:r>
      <w:r w:rsidRPr="0002056A">
        <w:rPr>
          <w:rFonts w:ascii="Georgia" w:hAnsi="Georgia" w:cs="ArialMT"/>
          <w:lang w:val="en-GB"/>
          <w14:ligatures w14:val="standardContextual"/>
        </w:rPr>
        <w:t xml:space="preserve"> is </w:t>
      </w:r>
      <w:r w:rsidR="009914A2" w:rsidRPr="0002056A">
        <w:rPr>
          <w:rFonts w:ascii="Georgia" w:hAnsi="Georgia" w:cs="ArialMT"/>
          <w:lang w:val="en-GB"/>
          <w14:ligatures w14:val="standardContextual"/>
        </w:rPr>
        <w:t>“</w:t>
      </w:r>
      <w:r w:rsidRPr="0002056A">
        <w:rPr>
          <w:rFonts w:ascii="Georgia" w:hAnsi="Georgia" w:cs="Arial-ItalicMT"/>
          <w:i/>
          <w:iCs/>
          <w:lang w:val="en-GB"/>
          <w14:ligatures w14:val="standardContextual"/>
        </w:rPr>
        <w:t xml:space="preserve">a comprehensive policy framework that integrates a place-based perspective into national and subnational climate policies and mainstreams climate objectives into urban, rural and regional development policies, to effectively drive </w:t>
      </w:r>
      <w:r w:rsidRPr="0002056A">
        <w:rPr>
          <w:rFonts w:ascii="Georgia" w:hAnsi="Georgia" w:cs="Arial-ItalicMT"/>
          <w:i/>
          <w:iCs/>
          <w:lang w:val="en-GB"/>
          <w14:ligatures w14:val="standardContextual"/>
        </w:rPr>
        <w:lastRenderedPageBreak/>
        <w:t>climate action at all territorial scales</w:t>
      </w:r>
      <w:r w:rsidR="009914A2" w:rsidRPr="0002056A">
        <w:rPr>
          <w:rFonts w:ascii="Georgia" w:hAnsi="Georgia" w:cs="Arial-ItalicMT"/>
          <w:i/>
          <w:iCs/>
          <w:lang w:val="en-GB"/>
          <w14:ligatures w14:val="standardContextual"/>
        </w:rPr>
        <w:t xml:space="preserve">” </w:t>
      </w:r>
      <w:r w:rsidR="009914A2" w:rsidRPr="0002056A">
        <w:rPr>
          <w:rFonts w:ascii="Georgia" w:hAnsi="Georgia" w:cs="Arial-ItalicMT"/>
          <w:lang w:val="en-GB"/>
          <w14:ligatures w14:val="standardContextual"/>
        </w:rPr>
        <w:t>(OECD, 2023, pp.</w:t>
      </w:r>
      <w:r w:rsidR="00414CB9" w:rsidRPr="0002056A">
        <w:rPr>
          <w:rFonts w:ascii="Georgia" w:hAnsi="Georgia" w:cs="Arial-ItalicMT"/>
          <w:lang w:val="en-GB"/>
          <w14:ligatures w14:val="standardContextual"/>
        </w:rPr>
        <w:t xml:space="preserve"> 12</w:t>
      </w:r>
      <w:r w:rsidR="009914A2" w:rsidRPr="0002056A">
        <w:rPr>
          <w:rFonts w:ascii="Georgia" w:hAnsi="Georgia" w:cs="Arial-ItalicMT"/>
          <w:lang w:val="en-GB"/>
          <w14:ligatures w14:val="standardContextual"/>
        </w:rPr>
        <w:t>)</w:t>
      </w:r>
      <w:r w:rsidRPr="0002056A">
        <w:rPr>
          <w:rFonts w:ascii="Georgia" w:hAnsi="Georgia" w:cs="Arial-ItalicMT"/>
          <w:lang w:val="en-GB"/>
          <w14:ligatures w14:val="standardContextual"/>
        </w:rPr>
        <w:t xml:space="preserve">. (My dissertation, as we will see later, </w:t>
      </w:r>
      <w:r w:rsidR="002273CD" w:rsidRPr="0002056A">
        <w:rPr>
          <w:rFonts w:ascii="Georgia" w:hAnsi="Georgia" w:cs="Arial-ItalicMT"/>
          <w:lang w:val="en-GB"/>
          <w14:ligatures w14:val="standardContextual"/>
        </w:rPr>
        <w:t>concentrates partly on</w:t>
      </w:r>
      <w:r w:rsidR="00855B1F" w:rsidRPr="0002056A">
        <w:rPr>
          <w:rFonts w:ascii="Georgia" w:hAnsi="Georgia" w:cs="Arial-ItalicMT"/>
          <w:lang w:val="en-GB"/>
          <w14:ligatures w14:val="standardContextual"/>
        </w:rPr>
        <w:t xml:space="preserve"> </w:t>
      </w:r>
      <w:r w:rsidRPr="0002056A">
        <w:rPr>
          <w:rFonts w:ascii="Georgia" w:hAnsi="Georgia" w:cs="Arial-ItalicMT"/>
          <w:lang w:val="en-GB"/>
          <w14:ligatures w14:val="standardContextual"/>
        </w:rPr>
        <w:t>the first half of this definition, namely</w:t>
      </w:r>
      <w:r w:rsidR="00677E2C">
        <w:rPr>
          <w:rFonts w:ascii="Georgia" w:hAnsi="Georgia" w:cs="Arial-ItalicMT"/>
          <w:lang w:val="en-GB"/>
          <w14:ligatures w14:val="standardContextual"/>
        </w:rPr>
        <w:t>,</w:t>
      </w:r>
      <w:r w:rsidRPr="0002056A">
        <w:rPr>
          <w:rFonts w:ascii="Georgia" w:hAnsi="Georgia" w:cs="Arial-ItalicMT"/>
          <w:lang w:val="en-GB"/>
          <w14:ligatures w14:val="standardContextual"/>
        </w:rPr>
        <w:t xml:space="preserve"> place-based perspectives of national adaptation policies).</w:t>
      </w:r>
      <w:r w:rsidRPr="0002056A">
        <w:rPr>
          <w:rFonts w:ascii="Georgia" w:hAnsi="Georgia" w:cs="ArialMT"/>
          <w:lang w:val="en-GB"/>
          <w14:ligatures w14:val="standardContextual"/>
        </w:rPr>
        <w:t xml:space="preserve"> The authors’</w:t>
      </w:r>
      <w:r w:rsidR="00855B1F" w:rsidRPr="0002056A">
        <w:rPr>
          <w:rFonts w:ascii="Georgia" w:hAnsi="Georgia" w:cs="ArialMT"/>
          <w:lang w:val="en-GB"/>
          <w14:ligatures w14:val="standardContextual"/>
        </w:rPr>
        <w:t xml:space="preserve"> spati</w:t>
      </w:r>
      <w:r w:rsidRPr="0002056A">
        <w:rPr>
          <w:rFonts w:ascii="Georgia" w:hAnsi="Georgia" w:cs="ArialMT"/>
          <w:lang w:val="en-GB"/>
          <w14:ligatures w14:val="standardContextual"/>
        </w:rPr>
        <w:t>al approach aims to combine top-down and bottom-up measures to maximise policy performance at different territorial scales</w:t>
      </w:r>
      <w:r w:rsidRPr="0002056A">
        <w:rPr>
          <w:rStyle w:val="Lbjegyzet-hivatkozs"/>
          <w:rFonts w:ascii="Georgia" w:hAnsi="Georgia" w:cs="ArialMT"/>
          <w:lang w:val="en-GB"/>
          <w14:ligatures w14:val="standardContextual"/>
        </w:rPr>
        <w:footnoteReference w:id="85"/>
      </w:r>
      <w:r w:rsidR="0097330B" w:rsidRPr="0002056A">
        <w:rPr>
          <w:rFonts w:ascii="Georgia" w:hAnsi="Georgia" w:cs="ArialMT"/>
          <w:lang w:val="en-GB"/>
          <w14:ligatures w14:val="standardContextual"/>
        </w:rPr>
        <w:t>. With these, through</w:t>
      </w:r>
      <w:r w:rsidRPr="0002056A">
        <w:rPr>
          <w:rFonts w:ascii="Georgia" w:hAnsi="Georgia" w:cs="ArialMT"/>
          <w:lang w:val="en-GB"/>
          <w14:ligatures w14:val="standardContextual"/>
        </w:rPr>
        <w:t xml:space="preserve"> a more granular understanding of climate impacts and risks</w:t>
      </w:r>
      <w:r w:rsidR="00677E2C">
        <w:rPr>
          <w:rFonts w:ascii="Georgia" w:hAnsi="Georgia" w:cs="ArialMT"/>
          <w:lang w:val="en-GB"/>
          <w14:ligatures w14:val="standardContextual"/>
        </w:rPr>
        <w:t>,</w:t>
      </w:r>
      <w:r w:rsidR="00CA72C4" w:rsidRPr="0002056A">
        <w:rPr>
          <w:rFonts w:ascii="Georgia" w:hAnsi="Georgia" w:cs="ArialMT"/>
          <w:lang w:val="en-GB"/>
          <w14:ligatures w14:val="standardContextual"/>
        </w:rPr>
        <w:t xml:space="preserve"> </w:t>
      </w:r>
      <w:r w:rsidRPr="0002056A">
        <w:rPr>
          <w:rFonts w:ascii="Georgia" w:hAnsi="Georgia" w:cs="ArialMT"/>
          <w:lang w:val="en-GB"/>
          <w14:ligatures w14:val="standardContextual"/>
        </w:rPr>
        <w:t>systemic climate resilience for the most vulnerable people and places</w:t>
      </w:r>
      <w:r w:rsidR="00CA72C4" w:rsidRPr="0002056A">
        <w:rPr>
          <w:rFonts w:ascii="Georgia" w:hAnsi="Georgia" w:cs="ArialMT"/>
          <w:lang w:val="en-GB"/>
          <w14:ligatures w14:val="standardContextual"/>
        </w:rPr>
        <w:t xml:space="preserve"> could be enhanced</w:t>
      </w:r>
      <w:r w:rsidRPr="0002056A">
        <w:rPr>
          <w:rFonts w:ascii="Georgia" w:hAnsi="Georgia" w:cs="ArialMT"/>
          <w:lang w:val="en-GB"/>
          <w14:ligatures w14:val="standardContextual"/>
        </w:rPr>
        <w:t>, helping nat</w:t>
      </w:r>
      <w:r w:rsidR="00CA72C4" w:rsidRPr="0002056A">
        <w:rPr>
          <w:rFonts w:ascii="Georgia" w:hAnsi="Georgia" w:cs="ArialMT"/>
          <w:lang w:val="en-GB"/>
          <w14:ligatures w14:val="standardContextual"/>
        </w:rPr>
        <w:t>i</w:t>
      </w:r>
      <w:r w:rsidRPr="0002056A">
        <w:rPr>
          <w:rFonts w:ascii="Georgia" w:hAnsi="Georgia" w:cs="ArialMT"/>
          <w:lang w:val="en-GB"/>
          <w14:ligatures w14:val="standardContextual"/>
        </w:rPr>
        <w:t xml:space="preserve">onal governments to focus on the most vulnerable territories. Moreover, cities and regions can apply a </w:t>
      </w:r>
      <w:r w:rsidR="00CA72C4" w:rsidRPr="0002056A">
        <w:rPr>
          <w:rFonts w:ascii="Georgia" w:hAnsi="Georgia" w:cs="ArialMT"/>
          <w:lang w:val="en-GB"/>
          <w14:ligatures w14:val="standardContextual"/>
        </w:rPr>
        <w:t>spatial</w:t>
      </w:r>
      <w:r w:rsidRPr="0002056A">
        <w:rPr>
          <w:rFonts w:ascii="Georgia" w:hAnsi="Georgia" w:cs="ArialMT"/>
          <w:lang w:val="en-GB"/>
          <w14:ligatures w14:val="standardContextual"/>
        </w:rPr>
        <w:t xml:space="preserve"> approach within their own geography to tailor their climate policies to further disaggregated </w:t>
      </w:r>
      <w:r w:rsidR="00E10BC5" w:rsidRPr="0002056A">
        <w:rPr>
          <w:rFonts w:ascii="Georgia" w:hAnsi="Georgia" w:cs="ArialMT"/>
          <w:lang w:val="en-GB"/>
          <w14:ligatures w14:val="standardContextual"/>
        </w:rPr>
        <w:t>spatial</w:t>
      </w:r>
      <w:r w:rsidRPr="0002056A">
        <w:rPr>
          <w:rFonts w:ascii="Georgia" w:hAnsi="Georgia" w:cs="ArialMT"/>
          <w:lang w:val="en-GB"/>
          <w14:ligatures w14:val="standardContextual"/>
        </w:rPr>
        <w:t xml:space="preserve"> scales (neighbourhoods, districts) to address their specific needs.</w:t>
      </w:r>
    </w:p>
    <w:p w14:paraId="1A7F2B4D" w14:textId="77777777" w:rsidR="004E603D" w:rsidRPr="0002056A" w:rsidRDefault="004E603D" w:rsidP="004E69D2">
      <w:pPr>
        <w:autoSpaceDE w:val="0"/>
        <w:autoSpaceDN w:val="0"/>
        <w:adjustRightInd w:val="0"/>
        <w:spacing w:before="120" w:after="120" w:line="240" w:lineRule="auto"/>
        <w:jc w:val="center"/>
        <w:rPr>
          <w:rFonts w:ascii="Georgia" w:hAnsi="Georgia" w:cs="Arial-ItalicMT"/>
          <w:i/>
          <w:iCs/>
          <w:lang w:val="en-GB"/>
          <w14:ligatures w14:val="standardContextual"/>
        </w:rPr>
      </w:pPr>
      <w:r w:rsidRPr="0002056A">
        <w:rPr>
          <w:rFonts w:ascii="Georgia" w:hAnsi="Georgia"/>
          <w:noProof/>
          <w:lang w:val="en-GB" w:eastAsia="hu-HU"/>
          <w14:ligatures w14:val="standardContextual"/>
        </w:rPr>
        <w:drawing>
          <wp:inline distT="0" distB="0" distL="0" distR="0" wp14:anchorId="06D823CC" wp14:editId="5979AD90">
            <wp:extent cx="3633008" cy="1855357"/>
            <wp:effectExtent l="0" t="0" r="5715" b="0"/>
            <wp:docPr id="5" name="Kép 5" descr="A képen szöveg, képernyőkép, szoftver, Számítógépes ikon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5" descr="A képen szöveg, képernyőkép, szoftver, Számítógépes ikon látható&#10;&#10;Előfordulhat, hogy az AI által létrehozott tartalom helytelen."/>
                    <pic:cNvPicPr/>
                  </pic:nvPicPr>
                  <pic:blipFill rotWithShape="1">
                    <a:blip r:embed="rId23"/>
                    <a:srcRect l="34471" t="27992" r="38589" b="47550"/>
                    <a:stretch/>
                  </pic:blipFill>
                  <pic:spPr bwMode="auto">
                    <a:xfrm>
                      <a:off x="0" y="0"/>
                      <a:ext cx="3651562" cy="1864833"/>
                    </a:xfrm>
                    <a:prstGeom prst="rect">
                      <a:avLst/>
                    </a:prstGeom>
                    <a:ln>
                      <a:noFill/>
                    </a:ln>
                    <a:extLst>
                      <a:ext uri="{53640926-AAD7-44D8-BBD7-CCE9431645EC}">
                        <a14:shadowObscured xmlns:a14="http://schemas.microsoft.com/office/drawing/2010/main"/>
                      </a:ext>
                    </a:extLst>
                  </pic:spPr>
                </pic:pic>
              </a:graphicData>
            </a:graphic>
          </wp:inline>
        </w:drawing>
      </w:r>
    </w:p>
    <w:p w14:paraId="1BACE6CB" w14:textId="0DF30CBD" w:rsidR="004E603D" w:rsidRPr="0002056A" w:rsidRDefault="00885379" w:rsidP="004E69D2">
      <w:pPr>
        <w:autoSpaceDE w:val="0"/>
        <w:autoSpaceDN w:val="0"/>
        <w:adjustRightInd w:val="0"/>
        <w:spacing w:before="120" w:after="120" w:line="240" w:lineRule="auto"/>
        <w:jc w:val="center"/>
        <w:rPr>
          <w:rFonts w:ascii="Georgia" w:hAnsi="Georgia" w:cs="ArialMT"/>
          <w:i/>
          <w:sz w:val="16"/>
          <w:szCs w:val="16"/>
          <w:lang w:val="en-GB"/>
          <w14:ligatures w14:val="standardContextual"/>
        </w:rPr>
      </w:pPr>
      <w:r w:rsidRPr="0002056A">
        <w:rPr>
          <w:rFonts w:ascii="Georgia" w:hAnsi="Georgia" w:cs="ArialMT"/>
          <w:b/>
          <w:sz w:val="16"/>
          <w:szCs w:val="16"/>
          <w:lang w:val="en-GB"/>
          <w14:ligatures w14:val="standardContextual"/>
        </w:rPr>
        <w:t xml:space="preserve">Figure </w:t>
      </w:r>
      <w:r w:rsidR="004E69D2" w:rsidRPr="0002056A">
        <w:rPr>
          <w:rFonts w:ascii="Georgia" w:hAnsi="Georgia" w:cs="ArialMT"/>
          <w:b/>
          <w:sz w:val="16"/>
          <w:szCs w:val="16"/>
          <w:lang w:val="en-GB"/>
          <w14:ligatures w14:val="standardContextual"/>
        </w:rPr>
        <w:t>8</w:t>
      </w:r>
      <w:r w:rsidRPr="0002056A">
        <w:rPr>
          <w:rFonts w:ascii="Georgia" w:hAnsi="Georgia" w:cs="ArialMT"/>
          <w:b/>
          <w:sz w:val="16"/>
          <w:szCs w:val="16"/>
          <w:lang w:val="en-GB"/>
          <w14:ligatures w14:val="standardContextual"/>
        </w:rPr>
        <w:t xml:space="preserve">: </w:t>
      </w:r>
      <w:r w:rsidR="004E603D" w:rsidRPr="0002056A">
        <w:rPr>
          <w:rFonts w:ascii="Georgia" w:hAnsi="Georgia" w:cs="ArialMT"/>
          <w:b/>
          <w:sz w:val="16"/>
          <w:szCs w:val="16"/>
          <w:lang w:val="en-GB"/>
          <w14:ligatures w14:val="standardContextual"/>
        </w:rPr>
        <w:t xml:space="preserve">A conceptual diagram of climate resilience’s territorial approach. </w:t>
      </w:r>
      <w:r w:rsidR="004E603D" w:rsidRPr="0002056A">
        <w:rPr>
          <w:rFonts w:ascii="Georgia" w:hAnsi="Georgia" w:cs="ArialMT"/>
          <w:i/>
          <w:sz w:val="16"/>
          <w:szCs w:val="16"/>
          <w:lang w:val="en-GB"/>
          <w14:ligatures w14:val="standardContextual"/>
        </w:rPr>
        <w:t>Source: OECD (2023).</w:t>
      </w:r>
    </w:p>
    <w:p w14:paraId="6E510828" w14:textId="649BF6F0" w:rsidR="00F5049D" w:rsidRPr="0002056A" w:rsidRDefault="00F5049D" w:rsidP="00CD5BF3">
      <w:pPr>
        <w:autoSpaceDE w:val="0"/>
        <w:autoSpaceDN w:val="0"/>
        <w:adjustRightInd w:val="0"/>
        <w:spacing w:before="120" w:after="120"/>
        <w:jc w:val="both"/>
        <w:rPr>
          <w:rFonts w:ascii="Georgia" w:eastAsia="ArialNarrow" w:hAnsi="Georgia" w:cs="ArialNarrow"/>
          <w:lang w:val="en-GB"/>
          <w14:ligatures w14:val="standardContextual"/>
        </w:rPr>
      </w:pPr>
      <w:r w:rsidRPr="0002056A">
        <w:rPr>
          <w:rFonts w:ascii="Georgia" w:hAnsi="Georgia" w:cs="ArialMT"/>
          <w:lang w:val="en-GB"/>
          <w14:ligatures w14:val="standardContextual"/>
        </w:rPr>
        <w:t xml:space="preserve">Regarding the </w:t>
      </w:r>
      <w:r w:rsidR="00677E2C">
        <w:rPr>
          <w:rFonts w:ascii="Georgia" w:hAnsi="Georgia" w:cs="ArialMT"/>
          <w:lang w:val="en-GB"/>
          <w14:ligatures w14:val="standardContextual"/>
        </w:rPr>
        <w:t>methodology, the authors analysed the national adaptation plans or strategies (NAPs/NAS) of all OECD countries and the extent to which national, regional,</w:t>
      </w:r>
      <w:r w:rsidRPr="0002056A">
        <w:rPr>
          <w:rFonts w:ascii="Georgia" w:hAnsi="Georgia" w:cs="ArialMT"/>
          <w:color w:val="000000"/>
          <w:lang w:val="en-GB"/>
          <w14:ligatures w14:val="standardContextual"/>
        </w:rPr>
        <w:t xml:space="preserve"> and local climate policies can integrate a place-based perspective. They focused on the measurement and understanding of cities’ and regions’ local climate risks and impacts.</w:t>
      </w:r>
      <w:r w:rsidRPr="0002056A">
        <w:rPr>
          <w:rFonts w:ascii="Georgia" w:hAnsi="Georgia" w:cs="ArialMT"/>
          <w:lang w:val="en-GB"/>
          <w14:ligatures w14:val="standardContextual"/>
        </w:rPr>
        <w:t xml:space="preserve"> </w:t>
      </w:r>
      <w:r w:rsidRPr="0002056A">
        <w:rPr>
          <w:rFonts w:ascii="Georgia" w:hAnsi="Georgia" w:cs="ArialMT"/>
          <w:color w:val="000000"/>
          <w:lang w:val="en-GB"/>
          <w14:ligatures w14:val="standardContextual"/>
        </w:rPr>
        <w:t xml:space="preserve">The assessment draws on a selection of </w:t>
      </w:r>
      <w:r w:rsidRPr="0002056A">
        <w:rPr>
          <w:rFonts w:ascii="Georgia" w:hAnsi="Georgia" w:cs="ArialMT"/>
          <w:lang w:val="en-GB"/>
          <w14:ligatures w14:val="standardContextual"/>
        </w:rPr>
        <w:t>36 leading practices mostly from OECD countries, regions and cities</w:t>
      </w:r>
      <w:r w:rsidRPr="0002056A">
        <w:rPr>
          <w:rFonts w:ascii="Georgia" w:hAnsi="Georgia" w:cs="ArialMT"/>
          <w:color w:val="000000"/>
          <w:lang w:val="en-GB"/>
          <w14:ligatures w14:val="standardContextual"/>
        </w:rPr>
        <w:t xml:space="preserve"> collected mainly from</w:t>
      </w:r>
      <w:r w:rsidR="00677E2C">
        <w:rPr>
          <w:rFonts w:ascii="Georgia" w:hAnsi="Georgia" w:cs="ArialMT"/>
          <w:color w:val="000000"/>
          <w:lang w:val="en-GB"/>
          <w14:ligatures w14:val="standardContextual"/>
        </w:rPr>
        <w:t xml:space="preserve"> </w:t>
      </w:r>
      <w:r w:rsidR="00C60E97">
        <w:rPr>
          <w:rFonts w:ascii="Georgia" w:hAnsi="Georgia" w:cs="ArialMT"/>
          <w:color w:val="000000"/>
          <w:lang w:val="en-GB"/>
          <w14:ligatures w14:val="standardContextual"/>
        </w:rPr>
        <w:t>the</w:t>
      </w:r>
      <w:r w:rsidRPr="0002056A">
        <w:rPr>
          <w:rFonts w:ascii="Georgia" w:hAnsi="Georgia" w:cs="ArialMT"/>
          <w:color w:val="000000"/>
          <w:lang w:val="en-GB"/>
          <w14:ligatures w14:val="standardContextual"/>
        </w:rPr>
        <w:t xml:space="preserve"> literature review. These examples were analysed to identify success factors and lessons</w:t>
      </w:r>
      <w:r w:rsidRPr="0002056A">
        <w:rPr>
          <w:rFonts w:ascii="Georgia" w:hAnsi="Georgia" w:cs="ArialMT"/>
          <w:lang w:val="en-GB"/>
          <w14:ligatures w14:val="standardContextual"/>
        </w:rPr>
        <w:t xml:space="preserve"> through 4 aspects</w:t>
      </w:r>
      <w:r w:rsidRPr="0002056A">
        <w:rPr>
          <w:rStyle w:val="Lbjegyzet-hivatkozs"/>
          <w:rFonts w:ascii="Georgia" w:hAnsi="Georgia" w:cs="ArialMT"/>
          <w:lang w:val="en-GB"/>
          <w14:ligatures w14:val="standardContextual"/>
        </w:rPr>
        <w:footnoteReference w:id="86"/>
      </w:r>
      <w:r w:rsidRPr="0002056A">
        <w:rPr>
          <w:rFonts w:ascii="Georgia" w:hAnsi="Georgia" w:cs="ArialMT"/>
          <w:lang w:val="en-GB"/>
          <w14:ligatures w14:val="standardContextual"/>
        </w:rPr>
        <w:t xml:space="preserve">. </w:t>
      </w:r>
      <w:r w:rsidR="006265FB" w:rsidRPr="0002056A">
        <w:rPr>
          <w:rFonts w:ascii="Georgia" w:hAnsi="Georgia" w:cs="ArialMT"/>
          <w:lang w:val="en-GB"/>
          <w14:ligatures w14:val="standardContextual"/>
        </w:rPr>
        <w:t>Three</w:t>
      </w:r>
      <w:r w:rsidRPr="0002056A">
        <w:rPr>
          <w:rFonts w:ascii="Georgia" w:hAnsi="Georgia" w:cs="ArialMT"/>
          <w:lang w:val="en-GB"/>
          <w14:ligatures w14:val="standardContextual"/>
        </w:rPr>
        <w:t xml:space="preserve"> categories were used: extensively discussed, slightly discussed, not discussed; moreover</w:t>
      </w:r>
      <w:r w:rsidR="006265FB" w:rsidRPr="0002056A">
        <w:rPr>
          <w:rFonts w:ascii="Georgia" w:hAnsi="Georgia" w:cs="ArialMT"/>
          <w:lang w:val="en-GB"/>
          <w14:ligatures w14:val="standardContextual"/>
        </w:rPr>
        <w:t>,</w:t>
      </w:r>
      <w:r w:rsidRPr="0002056A">
        <w:rPr>
          <w:rFonts w:ascii="Georgia" w:hAnsi="Georgia" w:cs="ArialMT"/>
          <w:lang w:val="en-GB"/>
          <w14:ligatures w14:val="standardContextual"/>
        </w:rPr>
        <w:t xml:space="preserve"> m</w:t>
      </w:r>
      <w:r w:rsidRPr="0002056A">
        <w:rPr>
          <w:rFonts w:ascii="Georgia" w:eastAsia="ArialNarrow" w:hAnsi="Georgia" w:cs="ArialNarrow"/>
          <w:lang w:val="en-GB"/>
          <w14:ligatures w14:val="standardContextual"/>
        </w:rPr>
        <w:t>andatory or explicit requirement and voluntary or encouraged nature of activities were also indicated. This method is quite strongly resembled to that I use in the empirical phase of the dissertation.</w:t>
      </w:r>
    </w:p>
    <w:p w14:paraId="57C094CA" w14:textId="4F5C4283" w:rsidR="004E603D" w:rsidRPr="0002056A" w:rsidRDefault="00B002C0" w:rsidP="00CD5BF3">
      <w:pPr>
        <w:autoSpaceDE w:val="0"/>
        <w:autoSpaceDN w:val="0"/>
        <w:adjustRightInd w:val="0"/>
        <w:spacing w:before="120" w:after="120"/>
        <w:jc w:val="both"/>
        <w:rPr>
          <w:rFonts w:ascii="Georgia" w:hAnsi="Georgia"/>
          <w:lang w:val="en-GB"/>
        </w:rPr>
      </w:pPr>
      <w:r w:rsidRPr="0002056A">
        <w:rPr>
          <w:rFonts w:ascii="Georgia" w:hAnsi="Georgia" w:cs="ArialMT"/>
          <w:lang w:val="en-GB"/>
          <w14:ligatures w14:val="standardContextual"/>
        </w:rPr>
        <w:t>When a</w:t>
      </w:r>
      <w:r w:rsidR="004E603D" w:rsidRPr="0002056A">
        <w:rPr>
          <w:rFonts w:ascii="Georgia" w:hAnsi="Georgia" w:cs="ArialMT"/>
          <w:lang w:val="en-GB"/>
          <w14:ligatures w14:val="standardContextual"/>
        </w:rPr>
        <w:t>pplying the spatial approach</w:t>
      </w:r>
      <w:r w:rsidR="00414CB9" w:rsidRPr="0002056A">
        <w:rPr>
          <w:rFonts w:ascii="Georgia" w:hAnsi="Georgia" w:cs="ArialMT"/>
          <w:lang w:val="en-GB"/>
          <w14:ligatures w14:val="standardContextual"/>
        </w:rPr>
        <w:t>,</w:t>
      </w:r>
      <w:r w:rsidR="004E603D" w:rsidRPr="0002056A">
        <w:rPr>
          <w:rFonts w:ascii="Georgia" w:hAnsi="Georgia" w:cs="ArialMT"/>
          <w:lang w:val="en-GB"/>
          <w14:ligatures w14:val="standardContextual"/>
        </w:rPr>
        <w:t xml:space="preserve"> according to the authors</w:t>
      </w:r>
      <w:r w:rsidR="00414CB9" w:rsidRPr="0002056A">
        <w:rPr>
          <w:rFonts w:ascii="Georgia" w:hAnsi="Georgia" w:cs="ArialMT"/>
          <w:lang w:val="en-GB"/>
          <w14:ligatures w14:val="standardContextual"/>
        </w:rPr>
        <w:t>,</w:t>
      </w:r>
      <w:r w:rsidR="004E603D" w:rsidRPr="0002056A">
        <w:rPr>
          <w:rFonts w:ascii="Georgia" w:hAnsi="Georgia" w:cs="ArialMT"/>
          <w:lang w:val="en-GB"/>
          <w14:ligatures w14:val="standardContextual"/>
        </w:rPr>
        <w:t xml:space="preserve"> it is critical for national and subnational governments to better address locally specific climate impacts af</w:t>
      </w:r>
      <w:r w:rsidRPr="0002056A">
        <w:rPr>
          <w:rFonts w:ascii="Georgia" w:hAnsi="Georgia" w:cs="ArialMT"/>
          <w:lang w:val="en-GB"/>
          <w14:ligatures w14:val="standardContextual"/>
        </w:rPr>
        <w:t>f</w:t>
      </w:r>
      <w:r w:rsidR="004E603D" w:rsidRPr="0002056A">
        <w:rPr>
          <w:rFonts w:ascii="Georgia" w:hAnsi="Georgia" w:cs="ArialMT"/>
          <w:lang w:val="en-GB"/>
          <w14:ligatures w14:val="standardContextual"/>
        </w:rPr>
        <w:t>ect</w:t>
      </w:r>
      <w:r w:rsidR="00E64F32" w:rsidRPr="0002056A">
        <w:rPr>
          <w:rFonts w:ascii="Georgia" w:hAnsi="Georgia" w:cs="ArialMT"/>
          <w:lang w:val="en-GB"/>
          <w14:ligatures w14:val="standardContextual"/>
        </w:rPr>
        <w:t xml:space="preserve">ing </w:t>
      </w:r>
      <w:r w:rsidR="004E603D" w:rsidRPr="0002056A">
        <w:rPr>
          <w:rFonts w:ascii="Georgia" w:hAnsi="Georgia" w:cs="ArialMT"/>
          <w:lang w:val="en-GB"/>
          <w14:ligatures w14:val="standardContextual"/>
        </w:rPr>
        <w:t xml:space="preserve">mostly the most vulnerable stakeholders. </w:t>
      </w:r>
      <w:r w:rsidR="00E64F32" w:rsidRPr="0002056A">
        <w:rPr>
          <w:rFonts w:ascii="Georgia" w:hAnsi="Georgia" w:cs="ArialMT"/>
          <w:lang w:val="en-GB"/>
          <w14:ligatures w14:val="standardContextual"/>
        </w:rPr>
        <w:t>The</w:t>
      </w:r>
      <w:r w:rsidR="004E603D" w:rsidRPr="0002056A">
        <w:rPr>
          <w:rFonts w:ascii="Georgia" w:hAnsi="Georgia" w:cs="ArialMT"/>
          <w:lang w:val="en-GB"/>
          <w14:ligatures w14:val="standardContextual"/>
        </w:rPr>
        <w:t xml:space="preserve"> study found that although more than 80 OECD countries have their own NAS/NAP, national climate policies occur </w:t>
      </w:r>
      <w:r w:rsidR="00216AD0" w:rsidRPr="0002056A">
        <w:rPr>
          <w:rFonts w:ascii="Georgia" w:hAnsi="Georgia" w:cs="ArialMT"/>
          <w:lang w:val="en-GB"/>
          <w14:ligatures w14:val="standardContextual"/>
        </w:rPr>
        <w:t>mainly</w:t>
      </w:r>
      <w:r w:rsidR="004E603D" w:rsidRPr="0002056A">
        <w:rPr>
          <w:rFonts w:ascii="Georgia" w:hAnsi="Georgia" w:cs="ArialMT"/>
          <w:lang w:val="en-GB"/>
          <w14:ligatures w14:val="standardContextual"/>
        </w:rPr>
        <w:t xml:space="preserve"> on a sector-by-sector basis, leading </w:t>
      </w:r>
      <w:r w:rsidR="00677E2C">
        <w:rPr>
          <w:rFonts w:ascii="Georgia" w:hAnsi="Georgia" w:cs="ArialMT"/>
          <w:lang w:val="en-GB"/>
          <w14:ligatures w14:val="standardContextual"/>
        </w:rPr>
        <w:t>to conflicting policy interests and competing priorities (similar results could be seen in the studies of Swart, Greiving, and Flei</w:t>
      </w:r>
      <w:r w:rsidR="00C60E97">
        <w:rPr>
          <w:rFonts w:ascii="Georgia" w:hAnsi="Georgia" w:cs="ArialMT"/>
          <w:lang w:val="en-GB"/>
          <w14:ligatures w14:val="standardContextual"/>
        </w:rPr>
        <w:t>s</w:t>
      </w:r>
      <w:r w:rsidR="00677E2C">
        <w:rPr>
          <w:rFonts w:ascii="Georgia" w:hAnsi="Georgia" w:cs="ArialMT"/>
          <w:lang w:val="en-GB"/>
          <w14:ligatures w14:val="standardContextual"/>
        </w:rPr>
        <w:t>chhauer</w:t>
      </w:r>
      <w:r w:rsidR="00F7753D" w:rsidRPr="0002056A">
        <w:rPr>
          <w:rFonts w:ascii="Georgia" w:hAnsi="Georgia" w:cs="ArialMT"/>
          <w:lang w:val="en-GB"/>
          <w14:ligatures w14:val="standardContextual"/>
        </w:rPr>
        <w:t xml:space="preserve"> and the EEA)</w:t>
      </w:r>
      <w:r w:rsidR="004E603D" w:rsidRPr="0002056A">
        <w:rPr>
          <w:rFonts w:ascii="Georgia" w:hAnsi="Georgia" w:cs="ArialMT"/>
          <w:lang w:val="en-GB"/>
          <w14:ligatures w14:val="standardContextual"/>
        </w:rPr>
        <w:t xml:space="preserve">. There is still a lack of comparable data helping </w:t>
      </w:r>
      <w:r w:rsidR="00F7753D" w:rsidRPr="0002056A">
        <w:rPr>
          <w:rFonts w:ascii="Georgia" w:hAnsi="Georgia" w:cs="ArialMT"/>
          <w:lang w:val="en-GB"/>
          <w14:ligatures w14:val="standardContextual"/>
        </w:rPr>
        <w:t xml:space="preserve">to </w:t>
      </w:r>
      <w:r w:rsidR="004E603D" w:rsidRPr="0002056A">
        <w:rPr>
          <w:rFonts w:ascii="Georgia" w:hAnsi="Georgia" w:cs="ArialMT"/>
          <w:lang w:val="en-GB"/>
          <w14:ligatures w14:val="standardContextual"/>
        </w:rPr>
        <w:t>understand locally specific climate impact and risk situation</w:t>
      </w:r>
      <w:r w:rsidR="00F7753D" w:rsidRPr="0002056A">
        <w:rPr>
          <w:rFonts w:ascii="Georgia" w:hAnsi="Georgia" w:cs="ArialMT"/>
          <w:lang w:val="en-GB"/>
          <w14:ligatures w14:val="standardContextual"/>
        </w:rPr>
        <w:t>s</w:t>
      </w:r>
      <w:r w:rsidR="004E603D" w:rsidRPr="0002056A">
        <w:rPr>
          <w:rFonts w:ascii="Georgia" w:hAnsi="Georgia" w:cs="ArialMT"/>
          <w:lang w:val="en-GB"/>
          <w14:ligatures w14:val="standardContextual"/>
        </w:rPr>
        <w:t>. Place-based responses are rare</w:t>
      </w:r>
      <w:r w:rsidR="00677E2C">
        <w:rPr>
          <w:rFonts w:ascii="Georgia" w:hAnsi="Georgia" w:cs="ArialMT"/>
          <w:lang w:val="en-GB"/>
          <w14:ligatures w14:val="standardContextual"/>
        </w:rPr>
        <w:t>;</w:t>
      </w:r>
      <w:r w:rsidR="00677E2C" w:rsidRPr="0002056A">
        <w:rPr>
          <w:rFonts w:ascii="Georgia" w:hAnsi="Georgia" w:cs="ArialMT"/>
          <w:lang w:val="en-GB"/>
          <w14:ligatures w14:val="standardContextual"/>
        </w:rPr>
        <w:t xml:space="preserve"> </w:t>
      </w:r>
      <w:r w:rsidR="004E603D" w:rsidRPr="0002056A">
        <w:rPr>
          <w:rFonts w:ascii="Georgia" w:hAnsi="Georgia" w:cs="ArialMT"/>
          <w:lang w:val="en-GB"/>
          <w14:ligatures w14:val="standardContextual"/>
        </w:rPr>
        <w:t xml:space="preserve">one-size-fits-all solutions cause inefficient and unequal distribution of resources. The assessment of </w:t>
      </w:r>
      <w:r w:rsidR="00E64F32" w:rsidRPr="0002056A">
        <w:rPr>
          <w:rFonts w:ascii="Georgia" w:hAnsi="Georgia" w:cs="ArialMT"/>
          <w:lang w:val="en-GB"/>
          <w14:ligatures w14:val="standardContextual"/>
        </w:rPr>
        <w:t>strategic documents</w:t>
      </w:r>
      <w:r w:rsidR="004E603D" w:rsidRPr="0002056A">
        <w:rPr>
          <w:rFonts w:ascii="Georgia" w:hAnsi="Georgia" w:cs="ArialMT"/>
          <w:lang w:val="en-GB"/>
          <w14:ligatures w14:val="standardContextual"/>
        </w:rPr>
        <w:t xml:space="preserve"> suggests that, in practice,</w:t>
      </w:r>
      <w:r w:rsidR="007B05CF" w:rsidRPr="0002056A">
        <w:rPr>
          <w:rFonts w:ascii="Georgia" w:hAnsi="Georgia" w:cs="ArialMT"/>
          <w:lang w:val="en-GB"/>
          <w14:ligatures w14:val="standardContextual"/>
        </w:rPr>
        <w:t xml:space="preserve"> governments at different spatial levels show the lack of a “place-based” perspective in climate policy as well as the lack of climate policy aspects/objectives in traditional “place-based” policies (i.e. urban, rural and regional development policies)</w:t>
      </w:r>
      <w:r w:rsidR="004E603D" w:rsidRPr="0002056A">
        <w:rPr>
          <w:rFonts w:ascii="Georgia" w:hAnsi="Georgia" w:cs="ArialMT"/>
          <w:lang w:val="en-GB"/>
          <w14:ligatures w14:val="standardContextual"/>
        </w:rPr>
        <w:t xml:space="preserve">. </w:t>
      </w:r>
      <w:r w:rsidR="00571195" w:rsidRPr="0002056A">
        <w:rPr>
          <w:rFonts w:ascii="Georgia" w:hAnsi="Georgia" w:cs="ArialMT"/>
          <w:lang w:val="en-GB"/>
          <w14:ligatures w14:val="standardContextual"/>
        </w:rPr>
        <w:t xml:space="preserve">The study even </w:t>
      </w:r>
      <w:r w:rsidR="004E603D" w:rsidRPr="0002056A">
        <w:rPr>
          <w:rFonts w:ascii="Georgia" w:hAnsi="Georgia" w:cs="ArialMT"/>
          <w:lang w:val="en-GB"/>
          <w14:ligatures w14:val="standardContextual"/>
        </w:rPr>
        <w:t>recommend</w:t>
      </w:r>
      <w:r w:rsidR="00571195" w:rsidRPr="0002056A">
        <w:rPr>
          <w:rFonts w:ascii="Georgia" w:hAnsi="Georgia" w:cs="ArialMT"/>
          <w:lang w:val="en-GB"/>
          <w14:ligatures w14:val="standardContextual"/>
        </w:rPr>
        <w:t xml:space="preserve">s </w:t>
      </w:r>
      <w:r w:rsidR="00571195" w:rsidRPr="0002056A">
        <w:rPr>
          <w:rFonts w:ascii="Georgia" w:hAnsi="Georgia" w:cs="ArialMT"/>
          <w:lang w:val="en-GB"/>
          <w14:ligatures w14:val="standardContextual"/>
        </w:rPr>
        <w:lastRenderedPageBreak/>
        <w:t>three types of actions</w:t>
      </w:r>
      <w:r w:rsidR="004E603D" w:rsidRPr="0002056A">
        <w:rPr>
          <w:rFonts w:ascii="Georgia" w:hAnsi="Georgia" w:cs="ArialMT"/>
          <w:lang w:val="en-GB"/>
          <w14:ligatures w14:val="standardContextual"/>
        </w:rPr>
        <w:t xml:space="preserve">: 1) </w:t>
      </w:r>
      <w:r w:rsidR="004E603D" w:rsidRPr="0002056A">
        <w:rPr>
          <w:rFonts w:ascii="Georgia" w:hAnsi="Georgia" w:cs="Arial-BoldMT"/>
          <w:lang w:val="en-GB"/>
          <w14:ligatures w14:val="standardContextual"/>
        </w:rPr>
        <w:t>Integrat</w:t>
      </w:r>
      <w:r w:rsidR="00571195" w:rsidRPr="0002056A">
        <w:rPr>
          <w:rFonts w:ascii="Georgia" w:hAnsi="Georgia" w:cs="Arial-BoldMT"/>
          <w:lang w:val="en-GB"/>
          <w14:ligatures w14:val="standardContextual"/>
        </w:rPr>
        <w:t>ion of</w:t>
      </w:r>
      <w:r w:rsidR="004E603D" w:rsidRPr="0002056A">
        <w:rPr>
          <w:rFonts w:ascii="Georgia" w:hAnsi="Georgia" w:cs="Arial-BoldMT"/>
          <w:lang w:val="en-GB"/>
          <w14:ligatures w14:val="standardContextual"/>
        </w:rPr>
        <w:t xml:space="preserve"> place-based perspective</w:t>
      </w:r>
      <w:r w:rsidR="00571195" w:rsidRPr="0002056A">
        <w:rPr>
          <w:rFonts w:ascii="Georgia" w:hAnsi="Georgia" w:cs="Arial-BoldMT"/>
          <w:lang w:val="en-GB"/>
          <w14:ligatures w14:val="standardContextual"/>
        </w:rPr>
        <w:t>s</w:t>
      </w:r>
      <w:r w:rsidR="004E603D" w:rsidRPr="0002056A">
        <w:rPr>
          <w:rFonts w:ascii="Georgia" w:hAnsi="Georgia" w:cs="Arial-BoldMT"/>
          <w:lang w:val="en-GB"/>
          <w14:ligatures w14:val="standardContextual"/>
        </w:rPr>
        <w:t xml:space="preserve"> into climate policy through CCRAs and CVAs and NAS/NAP documents; 2) climate proofing regional development policy at all spatial levels (mainstreaming climate objectives into urban, rural and regional policies, promot</w:t>
      </w:r>
      <w:r w:rsidR="00916BB7" w:rsidRPr="0002056A">
        <w:rPr>
          <w:rFonts w:ascii="Georgia" w:hAnsi="Georgia" w:cs="Arial-BoldMT"/>
          <w:lang w:val="en-GB"/>
          <w14:ligatures w14:val="standardContextual"/>
        </w:rPr>
        <w:t>ing</w:t>
      </w:r>
      <w:r w:rsidR="004E603D" w:rsidRPr="0002056A">
        <w:rPr>
          <w:rFonts w:ascii="Georgia" w:hAnsi="Georgia" w:cs="Arial-BoldMT"/>
          <w:lang w:val="en-GB"/>
          <w14:ligatures w14:val="standardContextual"/>
        </w:rPr>
        <w:t xml:space="preserve"> climate action at special scales, like FUAs); 3) enabl</w:t>
      </w:r>
      <w:r w:rsidR="00327542" w:rsidRPr="0002056A">
        <w:rPr>
          <w:rFonts w:ascii="Georgia" w:hAnsi="Georgia" w:cs="Arial-BoldMT"/>
          <w:lang w:val="en-GB"/>
          <w14:ligatures w14:val="standardContextual"/>
        </w:rPr>
        <w:t>ing</w:t>
      </w:r>
      <w:r w:rsidR="004E603D" w:rsidRPr="0002056A">
        <w:rPr>
          <w:rFonts w:ascii="Georgia" w:hAnsi="Georgia" w:cs="Arial-BoldMT"/>
          <w:lang w:val="en-GB"/>
          <w14:ligatures w14:val="standardContextual"/>
        </w:rPr>
        <w:t xml:space="preserve"> and scal</w:t>
      </w:r>
      <w:r w:rsidR="00327542" w:rsidRPr="0002056A">
        <w:rPr>
          <w:rFonts w:ascii="Georgia" w:hAnsi="Georgia" w:cs="Arial-BoldMT"/>
          <w:lang w:val="en-GB"/>
          <w14:ligatures w14:val="standardContextual"/>
        </w:rPr>
        <w:t>ing</w:t>
      </w:r>
      <w:r w:rsidR="004E603D" w:rsidRPr="0002056A">
        <w:rPr>
          <w:rFonts w:ascii="Georgia" w:hAnsi="Georgia" w:cs="Arial-BoldMT"/>
          <w:lang w:val="en-GB"/>
          <w14:ligatures w14:val="standardContextual"/>
        </w:rPr>
        <w:t xml:space="preserve">-up local climate actions and resilience (clarifying roles and responsibilities and </w:t>
      </w:r>
      <w:r w:rsidR="00216AD0" w:rsidRPr="0002056A">
        <w:rPr>
          <w:rFonts w:ascii="Georgia" w:hAnsi="Georgia" w:cs="Arial-BoldMT"/>
          <w:lang w:val="en-GB"/>
          <w14:ligatures w14:val="standardContextual"/>
        </w:rPr>
        <w:t>financial</w:t>
      </w:r>
      <w:r w:rsidR="004E603D" w:rsidRPr="0002056A">
        <w:rPr>
          <w:rFonts w:ascii="Georgia" w:hAnsi="Georgia" w:cs="Arial-BoldMT"/>
          <w:lang w:val="en-GB"/>
          <w14:ligatures w14:val="standardContextual"/>
        </w:rPr>
        <w:t xml:space="preserve"> mechanisms)</w:t>
      </w:r>
      <w:r w:rsidR="004E603D" w:rsidRPr="0002056A">
        <w:rPr>
          <w:rFonts w:ascii="Georgia" w:hAnsi="Georgia" w:cs="ArialMT"/>
          <w:lang w:val="en-GB"/>
          <w14:ligatures w14:val="standardContextual"/>
        </w:rPr>
        <w:t xml:space="preserve"> </w:t>
      </w:r>
      <w:r w:rsidR="004E603D" w:rsidRPr="0002056A">
        <w:rPr>
          <w:rFonts w:ascii="Georgia" w:hAnsi="Georgia"/>
          <w:lang w:val="en-GB"/>
        </w:rPr>
        <w:t>(</w:t>
      </w:r>
      <w:r w:rsidR="004E603D" w:rsidRPr="0002056A">
        <w:rPr>
          <w:rFonts w:ascii="Georgia" w:hAnsi="Georgia"/>
          <w:smallCaps/>
          <w:lang w:val="en-GB"/>
        </w:rPr>
        <w:t>OECD, 2023</w:t>
      </w:r>
      <w:r w:rsidR="004E603D" w:rsidRPr="0002056A">
        <w:rPr>
          <w:rFonts w:ascii="Georgia" w:hAnsi="Georgia"/>
          <w:lang w:val="en-GB"/>
        </w:rPr>
        <w:t xml:space="preserve">). </w:t>
      </w:r>
      <w:r w:rsidR="00327542" w:rsidRPr="0002056A">
        <w:rPr>
          <w:rFonts w:ascii="Georgia" w:hAnsi="Georgia"/>
          <w:lang w:val="en-GB"/>
        </w:rPr>
        <w:t>O</w:t>
      </w:r>
      <w:r w:rsidR="004E603D" w:rsidRPr="0002056A">
        <w:rPr>
          <w:rFonts w:ascii="Georgia" w:hAnsi="Georgia"/>
          <w:lang w:val="en-GB"/>
        </w:rPr>
        <w:t>ut of these</w:t>
      </w:r>
      <w:r w:rsidR="00327542" w:rsidRPr="0002056A">
        <w:rPr>
          <w:rFonts w:ascii="Georgia" w:hAnsi="Georgia"/>
          <w:lang w:val="en-GB"/>
        </w:rPr>
        <w:t xml:space="preserve"> directions</w:t>
      </w:r>
      <w:r w:rsidR="004E603D" w:rsidRPr="0002056A">
        <w:rPr>
          <w:rFonts w:ascii="Georgia" w:hAnsi="Georgia"/>
          <w:lang w:val="en-GB"/>
        </w:rPr>
        <w:t xml:space="preserve">, </w:t>
      </w:r>
      <w:r w:rsidR="00BF0BB5" w:rsidRPr="0002056A">
        <w:rPr>
          <w:rFonts w:ascii="Georgia" w:hAnsi="Georgia"/>
          <w:lang w:val="en-GB"/>
        </w:rPr>
        <w:t xml:space="preserve">in my dissertation topic’s point of view, </w:t>
      </w:r>
      <w:r w:rsidR="004E603D" w:rsidRPr="0002056A">
        <w:rPr>
          <w:rFonts w:ascii="Georgia" w:hAnsi="Georgia"/>
          <w:lang w:val="en-GB"/>
        </w:rPr>
        <w:t>the first has significant implications on national adaptation activities</w:t>
      </w:r>
      <w:r w:rsidR="00327542" w:rsidRPr="0002056A">
        <w:rPr>
          <w:rFonts w:ascii="Georgia" w:hAnsi="Georgia"/>
          <w:lang w:val="en-GB"/>
        </w:rPr>
        <w:t>; t</w:t>
      </w:r>
      <w:r w:rsidR="004E603D" w:rsidRPr="0002056A">
        <w:rPr>
          <w:rFonts w:ascii="Georgia" w:hAnsi="Georgia"/>
          <w:lang w:val="en-GB"/>
        </w:rPr>
        <w:t xml:space="preserve">he second concentrates on the other side of the coin, spatial planning; the third on adaptation again, but at the local level. </w:t>
      </w:r>
    </w:p>
    <w:p w14:paraId="1218F74E" w14:textId="21707B47" w:rsidR="004E603D" w:rsidRPr="0002056A" w:rsidRDefault="004E603D" w:rsidP="00CD5BF3">
      <w:pPr>
        <w:pStyle w:val="NormlWeb"/>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t>The new scientific opinion paper of the German Federal Environmental Office (UBA)</w:t>
      </w:r>
      <w:r w:rsidR="00BF0BB5" w:rsidRPr="0002056A">
        <w:rPr>
          <w:rFonts w:ascii="Georgia" w:hAnsi="Georgia"/>
          <w:sz w:val="22"/>
          <w:szCs w:val="22"/>
          <w:lang w:val="en-GB"/>
        </w:rPr>
        <w:t>,</w:t>
      </w:r>
      <w:r w:rsidRPr="0002056A">
        <w:rPr>
          <w:rFonts w:ascii="Georgia" w:hAnsi="Georgia"/>
          <w:sz w:val="22"/>
          <w:szCs w:val="22"/>
          <w:lang w:val="en-GB"/>
        </w:rPr>
        <w:t xml:space="preserve"> in connection with its </w:t>
      </w:r>
      <w:r w:rsidR="00216AD0" w:rsidRPr="0002056A">
        <w:rPr>
          <w:rFonts w:ascii="Georgia" w:hAnsi="Georgia"/>
          <w:sz w:val="22"/>
          <w:szCs w:val="22"/>
          <w:lang w:val="en-GB"/>
        </w:rPr>
        <w:t>recommendations</w:t>
      </w:r>
      <w:r w:rsidRPr="0002056A">
        <w:rPr>
          <w:rFonts w:ascii="Georgia" w:hAnsi="Georgia"/>
          <w:sz w:val="22"/>
          <w:szCs w:val="22"/>
          <w:lang w:val="en-GB"/>
        </w:rPr>
        <w:t xml:space="preserve"> on the coming Europea</w:t>
      </w:r>
      <w:r w:rsidR="00BF0BB5" w:rsidRPr="0002056A">
        <w:rPr>
          <w:rFonts w:ascii="Georgia" w:hAnsi="Georgia"/>
          <w:sz w:val="22"/>
          <w:szCs w:val="22"/>
          <w:lang w:val="en-GB"/>
        </w:rPr>
        <w:t>n</w:t>
      </w:r>
      <w:r w:rsidRPr="0002056A">
        <w:rPr>
          <w:rFonts w:ascii="Georgia" w:hAnsi="Georgia"/>
          <w:sz w:val="22"/>
          <w:szCs w:val="22"/>
          <w:lang w:val="en-GB"/>
        </w:rPr>
        <w:t xml:space="preserve"> </w:t>
      </w:r>
      <w:r w:rsidR="00BF0BB5" w:rsidRPr="0002056A">
        <w:rPr>
          <w:rFonts w:ascii="Georgia" w:hAnsi="Georgia"/>
          <w:sz w:val="22"/>
          <w:szCs w:val="22"/>
          <w:lang w:val="en-GB"/>
        </w:rPr>
        <w:t>c</w:t>
      </w:r>
      <w:r w:rsidRPr="0002056A">
        <w:rPr>
          <w:rFonts w:ascii="Georgia" w:hAnsi="Georgia"/>
          <w:sz w:val="22"/>
          <w:szCs w:val="22"/>
          <w:lang w:val="en-GB"/>
        </w:rPr>
        <w:t xml:space="preserve">limate </w:t>
      </w:r>
      <w:r w:rsidR="00216AD0" w:rsidRPr="0002056A">
        <w:rPr>
          <w:rFonts w:ascii="Georgia" w:hAnsi="Georgia"/>
          <w:sz w:val="22"/>
          <w:szCs w:val="22"/>
          <w:lang w:val="en-GB"/>
        </w:rPr>
        <w:t>resilience</w:t>
      </w:r>
      <w:r w:rsidRPr="0002056A">
        <w:rPr>
          <w:rFonts w:ascii="Georgia" w:hAnsi="Georgia"/>
          <w:sz w:val="22"/>
          <w:szCs w:val="22"/>
          <w:lang w:val="en-GB"/>
        </w:rPr>
        <w:t xml:space="preserve"> and </w:t>
      </w:r>
      <w:r w:rsidR="00BF0BB5" w:rsidRPr="0002056A">
        <w:rPr>
          <w:rFonts w:ascii="Georgia" w:hAnsi="Georgia"/>
          <w:sz w:val="22"/>
          <w:szCs w:val="22"/>
          <w:lang w:val="en-GB"/>
        </w:rPr>
        <w:t>r</w:t>
      </w:r>
      <w:r w:rsidRPr="0002056A">
        <w:rPr>
          <w:rFonts w:ascii="Georgia" w:hAnsi="Georgia"/>
          <w:sz w:val="22"/>
          <w:szCs w:val="22"/>
          <w:lang w:val="en-GB"/>
        </w:rPr>
        <w:t xml:space="preserve">isk </w:t>
      </w:r>
      <w:r w:rsidR="00BF0BB5" w:rsidRPr="0002056A">
        <w:rPr>
          <w:rFonts w:ascii="Georgia" w:hAnsi="Georgia"/>
          <w:sz w:val="22"/>
          <w:szCs w:val="22"/>
          <w:lang w:val="en-GB"/>
        </w:rPr>
        <w:t>m</w:t>
      </w:r>
      <w:r w:rsidRPr="0002056A">
        <w:rPr>
          <w:rFonts w:ascii="Georgia" w:hAnsi="Georgia"/>
          <w:sz w:val="22"/>
          <w:szCs w:val="22"/>
          <w:lang w:val="en-GB"/>
        </w:rPr>
        <w:t xml:space="preserve">anagement </w:t>
      </w:r>
      <w:r w:rsidR="00BF0BB5" w:rsidRPr="0002056A">
        <w:rPr>
          <w:rFonts w:ascii="Georgia" w:hAnsi="Georgia"/>
          <w:sz w:val="22"/>
          <w:szCs w:val="22"/>
          <w:lang w:val="en-GB"/>
        </w:rPr>
        <w:t>f</w:t>
      </w:r>
      <w:r w:rsidRPr="0002056A">
        <w:rPr>
          <w:rFonts w:ascii="Georgia" w:hAnsi="Georgia"/>
          <w:sz w:val="22"/>
          <w:szCs w:val="22"/>
          <w:lang w:val="en-GB"/>
        </w:rPr>
        <w:t>ramework</w:t>
      </w:r>
      <w:r w:rsidR="00BF0BB5" w:rsidRPr="0002056A">
        <w:rPr>
          <w:rFonts w:ascii="Georgia" w:hAnsi="Georgia"/>
          <w:sz w:val="22"/>
          <w:szCs w:val="22"/>
          <w:lang w:val="en-GB"/>
        </w:rPr>
        <w:t xml:space="preserve"> (currently called</w:t>
      </w:r>
      <w:r w:rsidR="007C13A5" w:rsidRPr="0002056A">
        <w:rPr>
          <w:rFonts w:ascii="Georgia" w:hAnsi="Georgia"/>
          <w:sz w:val="22"/>
          <w:szCs w:val="22"/>
          <w:lang w:val="en-GB"/>
        </w:rPr>
        <w:t xml:space="preserve"> the European Integrated Framework for Climate Resilience</w:t>
      </w:r>
      <w:r w:rsidR="00BF0BB5" w:rsidRPr="0002056A">
        <w:rPr>
          <w:rFonts w:ascii="Georgia" w:hAnsi="Georgia"/>
          <w:sz w:val="22"/>
          <w:szCs w:val="22"/>
          <w:lang w:val="en-GB"/>
        </w:rPr>
        <w:t>)</w:t>
      </w:r>
      <w:r w:rsidRPr="0002056A">
        <w:rPr>
          <w:rFonts w:ascii="Georgia" w:hAnsi="Georgia"/>
          <w:sz w:val="22"/>
          <w:szCs w:val="22"/>
          <w:lang w:val="en-GB"/>
        </w:rPr>
        <w:t>, also deals with MRE (</w:t>
      </w:r>
      <w:r w:rsidR="007C13A5" w:rsidRPr="0002056A">
        <w:rPr>
          <w:rFonts w:ascii="Georgia" w:hAnsi="Georgia"/>
          <w:sz w:val="22"/>
          <w:szCs w:val="22"/>
          <w:lang w:val="en-GB"/>
        </w:rPr>
        <w:t>which group of activities they call</w:t>
      </w:r>
      <w:r w:rsidRPr="0002056A">
        <w:rPr>
          <w:rFonts w:ascii="Georgia" w:hAnsi="Georgia"/>
          <w:sz w:val="22"/>
          <w:szCs w:val="22"/>
          <w:lang w:val="en-GB"/>
        </w:rPr>
        <w:t xml:space="preserve"> </w:t>
      </w:r>
      <w:r w:rsidR="007C13A5" w:rsidRPr="0002056A">
        <w:rPr>
          <w:rFonts w:ascii="Georgia" w:hAnsi="Georgia"/>
          <w:sz w:val="22"/>
          <w:szCs w:val="22"/>
          <w:lang w:val="en-GB"/>
        </w:rPr>
        <w:t>“</w:t>
      </w:r>
      <w:r w:rsidRPr="0002056A">
        <w:rPr>
          <w:rFonts w:ascii="Georgia" w:hAnsi="Georgia"/>
          <w:sz w:val="22"/>
          <w:szCs w:val="22"/>
          <w:lang w:val="en-GB"/>
        </w:rPr>
        <w:t>MERL</w:t>
      </w:r>
      <w:r w:rsidR="007C13A5" w:rsidRPr="0002056A">
        <w:rPr>
          <w:rFonts w:ascii="Georgia" w:hAnsi="Georgia"/>
          <w:sz w:val="22"/>
          <w:szCs w:val="22"/>
          <w:lang w:val="en-GB"/>
        </w:rPr>
        <w:t>”</w:t>
      </w:r>
      <w:r w:rsidRPr="0002056A">
        <w:rPr>
          <w:rFonts w:ascii="Georgia" w:hAnsi="Georgia"/>
          <w:sz w:val="22"/>
          <w:szCs w:val="22"/>
          <w:lang w:val="en-GB"/>
        </w:rPr>
        <w:t xml:space="preserve">, completed </w:t>
      </w:r>
      <w:r w:rsidR="007C13A5" w:rsidRPr="0002056A">
        <w:rPr>
          <w:rFonts w:ascii="Georgia" w:hAnsi="Georgia"/>
          <w:sz w:val="22"/>
          <w:szCs w:val="22"/>
          <w:lang w:val="en-GB"/>
        </w:rPr>
        <w:t xml:space="preserve">MRE </w:t>
      </w:r>
      <w:r w:rsidRPr="0002056A">
        <w:rPr>
          <w:rFonts w:ascii="Georgia" w:hAnsi="Georgia"/>
          <w:sz w:val="22"/>
          <w:szCs w:val="22"/>
          <w:lang w:val="en-GB"/>
        </w:rPr>
        <w:t>with “learning</w:t>
      </w:r>
      <w:r w:rsidR="007C13A5" w:rsidRPr="0002056A">
        <w:rPr>
          <w:rFonts w:ascii="Georgia" w:hAnsi="Georgia"/>
          <w:sz w:val="22"/>
          <w:szCs w:val="22"/>
          <w:lang w:val="en-GB"/>
        </w:rPr>
        <w:t>”</w:t>
      </w:r>
      <w:r w:rsidRPr="0002056A">
        <w:rPr>
          <w:rFonts w:ascii="Georgia" w:hAnsi="Georgia"/>
          <w:sz w:val="22"/>
          <w:szCs w:val="22"/>
          <w:lang w:val="en-GB"/>
        </w:rPr>
        <w:t xml:space="preserve">) issues, mentioning that so far the most EU member states has established national adaptation policy monitoring systems, especially about climate impact monitoring but their quality and methodologies are differ from each other and evaluation of policies’ and measures’ effectiveness remains a challenge. The new </w:t>
      </w:r>
      <w:r w:rsidR="00BF2EB9" w:rsidRPr="0002056A">
        <w:rPr>
          <w:rFonts w:ascii="Georgia" w:hAnsi="Georgia"/>
          <w:sz w:val="22"/>
          <w:szCs w:val="22"/>
          <w:lang w:val="en-GB"/>
        </w:rPr>
        <w:t>EU framework, accordingly, s</w:t>
      </w:r>
      <w:r w:rsidRPr="0002056A">
        <w:rPr>
          <w:rFonts w:ascii="Georgia" w:hAnsi="Georgia"/>
          <w:sz w:val="22"/>
          <w:szCs w:val="22"/>
          <w:lang w:val="en-GB"/>
        </w:rPr>
        <w:t>hould promote the development of measurable European and national adaptation targets with indicators</w:t>
      </w:r>
      <w:r w:rsidR="00BF2EB9" w:rsidRPr="0002056A">
        <w:rPr>
          <w:rFonts w:ascii="Georgia" w:hAnsi="Georgia"/>
          <w:sz w:val="22"/>
          <w:szCs w:val="22"/>
          <w:lang w:val="en-GB"/>
        </w:rPr>
        <w:t xml:space="preserve"> </w:t>
      </w:r>
      <w:r w:rsidRPr="0002056A">
        <w:rPr>
          <w:rFonts w:ascii="Georgia" w:hAnsi="Georgia"/>
          <w:sz w:val="22"/>
          <w:szCs w:val="22"/>
          <w:lang w:val="en-GB"/>
        </w:rPr>
        <w:t>across different governance levels</w:t>
      </w:r>
      <w:r w:rsidR="00677E2C">
        <w:rPr>
          <w:rFonts w:ascii="Georgia" w:hAnsi="Georgia"/>
          <w:sz w:val="22"/>
          <w:szCs w:val="22"/>
          <w:lang w:val="en-GB"/>
        </w:rPr>
        <w:t>,</w:t>
      </w:r>
      <w:r w:rsidR="0023353A" w:rsidRPr="0002056A">
        <w:rPr>
          <w:rFonts w:ascii="Georgia" w:hAnsi="Georgia"/>
          <w:sz w:val="22"/>
          <w:szCs w:val="22"/>
          <w:lang w:val="en-GB"/>
        </w:rPr>
        <w:t xml:space="preserve"> concludes the </w:t>
      </w:r>
      <w:r w:rsidR="00BF2EB9" w:rsidRPr="0002056A">
        <w:rPr>
          <w:rFonts w:ascii="Georgia" w:hAnsi="Georgia"/>
          <w:sz w:val="22"/>
          <w:szCs w:val="22"/>
          <w:lang w:val="en-GB"/>
        </w:rPr>
        <w:t>German experts</w:t>
      </w:r>
      <w:r w:rsidRPr="0002056A">
        <w:rPr>
          <w:rFonts w:ascii="Georgia" w:hAnsi="Georgia"/>
          <w:sz w:val="22"/>
          <w:szCs w:val="22"/>
          <w:lang w:val="en-GB"/>
        </w:rPr>
        <w:t xml:space="preserve"> (UBA, 2025).</w:t>
      </w:r>
    </w:p>
    <w:p w14:paraId="0A0D2A0F" w14:textId="7336048B" w:rsidR="004E603D" w:rsidRPr="0002056A" w:rsidRDefault="004E603D" w:rsidP="00CD5BF3">
      <w:pPr>
        <w:spacing w:before="120" w:after="120"/>
        <w:jc w:val="both"/>
        <w:rPr>
          <w:rFonts w:ascii="Georgia" w:hAnsi="Georgia"/>
          <w:lang w:val="en-GB"/>
        </w:rPr>
      </w:pPr>
      <w:r w:rsidRPr="0002056A">
        <w:rPr>
          <w:rFonts w:ascii="Georgia" w:hAnsi="Georgia"/>
          <w:lang w:val="en-GB"/>
        </w:rPr>
        <w:t>According to EEA reports, there is a need to move beyond tracking a</w:t>
      </w:r>
      <w:r w:rsidR="0092743A" w:rsidRPr="0002056A">
        <w:rPr>
          <w:rFonts w:ascii="Georgia" w:hAnsi="Georgia"/>
          <w:lang w:val="en-GB"/>
        </w:rPr>
        <w:t>ctual a</w:t>
      </w:r>
      <w:r w:rsidRPr="0002056A">
        <w:rPr>
          <w:rFonts w:ascii="Georgia" w:hAnsi="Georgia"/>
          <w:lang w:val="en-GB"/>
        </w:rPr>
        <w:t xml:space="preserve">daptation </w:t>
      </w:r>
      <w:r w:rsidR="0092743A" w:rsidRPr="0002056A">
        <w:rPr>
          <w:rFonts w:ascii="Georgia" w:hAnsi="Georgia"/>
          <w:lang w:val="en-GB"/>
        </w:rPr>
        <w:t>interventions</w:t>
      </w:r>
      <w:r w:rsidRPr="0002056A">
        <w:rPr>
          <w:rFonts w:ascii="Georgia" w:hAnsi="Georgia"/>
          <w:lang w:val="en-GB"/>
        </w:rPr>
        <w:t xml:space="preserve"> towards a deeper understanding of outcomes and impacts, resilience and vulnerability</w:t>
      </w:r>
      <w:r w:rsidR="0092743A" w:rsidRPr="0002056A">
        <w:rPr>
          <w:rFonts w:ascii="Georgia" w:hAnsi="Georgia"/>
          <w:lang w:val="en-GB"/>
        </w:rPr>
        <w:t xml:space="preserve"> at </w:t>
      </w:r>
      <w:r w:rsidR="00677E2C">
        <w:rPr>
          <w:rFonts w:ascii="Georgia" w:hAnsi="Georgia"/>
          <w:lang w:val="en-GB"/>
        </w:rPr>
        <w:t xml:space="preserve">the </w:t>
      </w:r>
      <w:r w:rsidR="0092743A" w:rsidRPr="0002056A">
        <w:rPr>
          <w:rFonts w:ascii="Georgia" w:hAnsi="Georgia"/>
          <w:lang w:val="en-GB"/>
        </w:rPr>
        <w:t>national level</w:t>
      </w:r>
      <w:r w:rsidRPr="0002056A">
        <w:rPr>
          <w:rFonts w:ascii="Georgia" w:hAnsi="Georgia"/>
          <w:lang w:val="en-GB"/>
        </w:rPr>
        <w:t xml:space="preserve">. Climate change risk assessments (CCRA), and vulnerability analyses (CVA) (that take into consideration even cascading hazards and transboundary impacts as well) can play </w:t>
      </w:r>
      <w:r w:rsidR="00677E2C">
        <w:rPr>
          <w:rFonts w:ascii="Georgia" w:hAnsi="Georgia"/>
          <w:lang w:val="en-GB"/>
        </w:rPr>
        <w:t xml:space="preserve">an </w:t>
      </w:r>
      <w:r w:rsidRPr="0002056A">
        <w:rPr>
          <w:rFonts w:ascii="Georgia" w:hAnsi="Georgia"/>
          <w:lang w:val="en-GB"/>
        </w:rPr>
        <w:t>important role in this process. This also calls our attention to the importance of setting up more explicit, clear and measurable objectives that can be more easily monitored (EEA 2020</w:t>
      </w:r>
      <w:r w:rsidR="00677E2C">
        <w:rPr>
          <w:rFonts w:ascii="Georgia" w:hAnsi="Georgia"/>
          <w:lang w:val="en-GB"/>
        </w:rPr>
        <w:t>;</w:t>
      </w:r>
      <w:r w:rsidR="00677E2C" w:rsidRPr="0002056A">
        <w:rPr>
          <w:rFonts w:ascii="Georgia" w:hAnsi="Georgia"/>
          <w:lang w:val="en-GB"/>
        </w:rPr>
        <w:t xml:space="preserve"> </w:t>
      </w:r>
      <w:r w:rsidRPr="0002056A">
        <w:rPr>
          <w:rFonts w:ascii="Georgia" w:hAnsi="Georgia"/>
          <w:lang w:val="en-GB"/>
        </w:rPr>
        <w:t>EEA 2022). We must add: adequate tracking of adaptation processes, deeper interpretation of local impacts and outcomes</w:t>
      </w:r>
      <w:r w:rsidR="00677E2C">
        <w:rPr>
          <w:rFonts w:ascii="Georgia" w:hAnsi="Georgia"/>
          <w:lang w:val="en-GB"/>
        </w:rPr>
        <w:t>,</w:t>
      </w:r>
      <w:r w:rsidRPr="0002056A">
        <w:rPr>
          <w:rFonts w:ascii="Georgia" w:hAnsi="Georgia"/>
          <w:lang w:val="en-GB"/>
        </w:rPr>
        <w:t xml:space="preserve"> brings us closer to the meaning of understanding of spatiality and spatial differences in adaptation. </w:t>
      </w:r>
    </w:p>
    <w:p w14:paraId="1A104334" w14:textId="34D38AED" w:rsidR="004E603D" w:rsidRPr="0002056A" w:rsidRDefault="004E603D" w:rsidP="00CD5BF3">
      <w:pPr>
        <w:shd w:val="clear" w:color="auto" w:fill="FFFFFF" w:themeFill="background1"/>
        <w:spacing w:before="120" w:after="120"/>
        <w:jc w:val="both"/>
        <w:rPr>
          <w:rFonts w:ascii="Georgia" w:hAnsi="Georgia" w:cs="Times New Roman"/>
          <w:lang w:val="en-GB"/>
        </w:rPr>
      </w:pPr>
      <w:r w:rsidRPr="0002056A">
        <w:rPr>
          <w:rFonts w:ascii="Georgia" w:hAnsi="Georgia" w:cs="Times New Roman"/>
          <w:lang w:val="en-GB"/>
        </w:rPr>
        <w:t xml:space="preserve">All in all, with the exception of the </w:t>
      </w:r>
      <w:r w:rsidR="00412546" w:rsidRPr="0002056A">
        <w:rPr>
          <w:rFonts w:ascii="Georgia" w:hAnsi="Georgia" w:cs="Times New Roman"/>
          <w:lang w:val="en-GB"/>
        </w:rPr>
        <w:t xml:space="preserve">almost dozen </w:t>
      </w:r>
      <w:r w:rsidRPr="0002056A">
        <w:rPr>
          <w:rFonts w:ascii="Georgia" w:hAnsi="Georgia" w:cs="Times New Roman"/>
          <w:lang w:val="en-GB"/>
        </w:rPr>
        <w:t>mentioned examples (</w:t>
      </w:r>
      <w:r w:rsidR="00412546" w:rsidRPr="0002056A">
        <w:rPr>
          <w:rFonts w:ascii="Georgia" w:hAnsi="Georgia" w:cs="Times New Roman"/>
          <w:smallCaps/>
          <w:lang w:val="en-GB"/>
        </w:rPr>
        <w:t>Dosch et al., 2008; S</w:t>
      </w:r>
      <w:r w:rsidRPr="0002056A">
        <w:rPr>
          <w:rFonts w:ascii="Georgia" w:hAnsi="Georgia" w:cs="Times New Roman"/>
          <w:smallCaps/>
          <w:lang w:val="en-GB"/>
        </w:rPr>
        <w:t xml:space="preserve">wart, </w:t>
      </w:r>
      <w:r w:rsidR="00412546" w:rsidRPr="0002056A">
        <w:rPr>
          <w:rFonts w:ascii="Georgia" w:hAnsi="Georgia" w:cs="Times New Roman"/>
          <w:smallCaps/>
          <w:lang w:val="en-GB"/>
        </w:rPr>
        <w:t xml:space="preserve">et al., </w:t>
      </w:r>
      <w:r w:rsidRPr="0002056A">
        <w:rPr>
          <w:rFonts w:ascii="Georgia" w:hAnsi="Georgia" w:cs="Times New Roman"/>
          <w:smallCaps/>
          <w:lang w:val="en-GB"/>
        </w:rPr>
        <w:t xml:space="preserve">2009; Greiving </w:t>
      </w:r>
      <w:r w:rsidR="00677E2C">
        <w:rPr>
          <w:rFonts w:ascii="Georgia" w:hAnsi="Georgia" w:cs="Times New Roman"/>
          <w:smallCaps/>
          <w:lang w:val="en-GB"/>
        </w:rPr>
        <w:t>&amp;</w:t>
      </w:r>
      <w:r w:rsidR="00677E2C" w:rsidRPr="0002056A">
        <w:rPr>
          <w:rFonts w:ascii="Georgia" w:hAnsi="Georgia" w:cs="Times New Roman"/>
          <w:smallCaps/>
          <w:lang w:val="en-GB"/>
        </w:rPr>
        <w:t xml:space="preserve"> </w:t>
      </w:r>
      <w:r w:rsidRPr="0002056A">
        <w:rPr>
          <w:rFonts w:ascii="Georgia" w:hAnsi="Georgia" w:cs="Times New Roman"/>
          <w:smallCaps/>
          <w:lang w:val="en-GB"/>
        </w:rPr>
        <w:t xml:space="preserve">Fleischauer, 2010; EEA, 2015; </w:t>
      </w:r>
      <w:r w:rsidR="00306E56" w:rsidRPr="0002056A">
        <w:rPr>
          <w:rFonts w:ascii="Georgia" w:hAnsi="Georgia" w:cs="Times New Roman"/>
          <w:smallCaps/>
          <w:lang w:val="en-GB"/>
        </w:rPr>
        <w:t xml:space="preserve">Pringle et al., 2017; </w:t>
      </w:r>
      <w:r w:rsidRPr="0002056A">
        <w:rPr>
          <w:rFonts w:ascii="Georgia" w:hAnsi="Georgia" w:cs="Times New Roman"/>
          <w:smallCaps/>
          <w:lang w:val="en-GB"/>
        </w:rPr>
        <w:t>Leiter, 2021</w:t>
      </w:r>
      <w:r w:rsidR="00412546" w:rsidRPr="0002056A">
        <w:rPr>
          <w:rFonts w:ascii="Georgia" w:hAnsi="Georgia" w:cs="Times New Roman"/>
          <w:smallCaps/>
          <w:lang w:val="en-GB"/>
        </w:rPr>
        <w:t xml:space="preserve">; Fuldauer et al., 2022; </w:t>
      </w:r>
      <w:r w:rsidRPr="0002056A">
        <w:rPr>
          <w:rFonts w:ascii="Georgia" w:hAnsi="Georgia" w:cs="Times New Roman"/>
          <w:smallCaps/>
          <w:lang w:val="en-GB"/>
        </w:rPr>
        <w:t>EEA, 2022</w:t>
      </w:r>
      <w:r w:rsidR="00412546" w:rsidRPr="0002056A">
        <w:rPr>
          <w:rFonts w:ascii="Georgia" w:hAnsi="Georgia" w:cs="Times New Roman"/>
          <w:smallCaps/>
          <w:lang w:val="en-GB"/>
        </w:rPr>
        <w:t xml:space="preserve">; </w:t>
      </w:r>
      <w:r w:rsidRPr="0002056A">
        <w:rPr>
          <w:rFonts w:ascii="Georgia" w:hAnsi="Georgia" w:cs="Times New Roman"/>
          <w:smallCaps/>
          <w:lang w:val="en-GB"/>
        </w:rPr>
        <w:t>OECD, 2023</w:t>
      </w:r>
      <w:r w:rsidR="00412546" w:rsidRPr="0002056A">
        <w:rPr>
          <w:rFonts w:ascii="Georgia" w:hAnsi="Georgia" w:cs="Times New Roman"/>
          <w:smallCaps/>
          <w:lang w:val="en-GB"/>
        </w:rPr>
        <w:t>;</w:t>
      </w:r>
      <w:r w:rsidRPr="0002056A">
        <w:rPr>
          <w:rFonts w:ascii="Georgia" w:hAnsi="Georgia" w:cs="Times New Roman"/>
          <w:smallCaps/>
          <w:lang w:val="en-GB"/>
        </w:rPr>
        <w:t xml:space="preserve"> UBA, 2025</w:t>
      </w:r>
      <w:r w:rsidRPr="0002056A">
        <w:rPr>
          <w:rFonts w:ascii="Georgia" w:hAnsi="Georgia" w:cs="Times New Roman"/>
          <w:lang w:val="en-GB"/>
        </w:rPr>
        <w:t xml:space="preserve">), only few Europe-wide national-level </w:t>
      </w:r>
      <w:r w:rsidR="00677E2C">
        <w:rPr>
          <w:rFonts w:ascii="Georgia" w:hAnsi="Georgia" w:cs="Times New Roman"/>
          <w:lang w:val="en-GB"/>
        </w:rPr>
        <w:t>comparisons</w:t>
      </w:r>
      <w:r w:rsidR="00677E2C" w:rsidRPr="0002056A">
        <w:rPr>
          <w:rFonts w:ascii="Georgia" w:hAnsi="Georgia" w:cs="Times New Roman"/>
          <w:lang w:val="en-GB"/>
        </w:rPr>
        <w:t xml:space="preserve"> </w:t>
      </w:r>
      <w:r w:rsidRPr="0002056A">
        <w:rPr>
          <w:rFonts w:ascii="Georgia" w:hAnsi="Georgia" w:cs="Times New Roman"/>
          <w:lang w:val="en-GB"/>
        </w:rPr>
        <w:t>exist</w:t>
      </w:r>
      <w:r w:rsidR="00FA6446" w:rsidRPr="0002056A">
        <w:rPr>
          <w:rFonts w:ascii="Georgia" w:hAnsi="Georgia" w:cs="Times New Roman"/>
          <w:lang w:val="en-GB"/>
        </w:rPr>
        <w:t xml:space="preserve"> that</w:t>
      </w:r>
      <w:r w:rsidRPr="0002056A">
        <w:rPr>
          <w:rFonts w:ascii="Georgia" w:hAnsi="Georgia" w:cs="Times New Roman"/>
          <w:lang w:val="en-GB"/>
        </w:rPr>
        <w:t xml:space="preserve"> </w:t>
      </w:r>
      <w:r w:rsidR="00677E2C">
        <w:rPr>
          <w:rFonts w:ascii="Georgia" w:hAnsi="Georgia" w:cs="Times New Roman"/>
          <w:lang w:val="en-GB"/>
        </w:rPr>
        <w:t>focus</w:t>
      </w:r>
      <w:r w:rsidR="00677E2C" w:rsidRPr="0002056A">
        <w:rPr>
          <w:rFonts w:ascii="Georgia" w:hAnsi="Georgia" w:cs="Times New Roman"/>
          <w:lang w:val="en-GB"/>
        </w:rPr>
        <w:t xml:space="preserve"> </w:t>
      </w:r>
      <w:r w:rsidR="00306E56" w:rsidRPr="0002056A">
        <w:rPr>
          <w:rFonts w:ascii="Georgia" w:hAnsi="Georgia" w:cs="Times New Roman"/>
          <w:lang w:val="en-GB"/>
        </w:rPr>
        <w:t>on adaptation</w:t>
      </w:r>
      <w:r w:rsidR="00677E2C">
        <w:rPr>
          <w:rFonts w:ascii="Georgia" w:hAnsi="Georgia" w:cs="Times New Roman"/>
          <w:lang w:val="en-GB"/>
        </w:rPr>
        <w:t>,</w:t>
      </w:r>
      <w:r w:rsidR="00FA6446" w:rsidRPr="0002056A">
        <w:rPr>
          <w:rFonts w:ascii="Georgia" w:hAnsi="Georgia" w:cs="Times New Roman"/>
          <w:lang w:val="en-GB"/>
        </w:rPr>
        <w:t xml:space="preserve"> </w:t>
      </w:r>
      <w:r w:rsidRPr="0002056A">
        <w:rPr>
          <w:rFonts w:ascii="Georgia" w:hAnsi="Georgia" w:cs="Times New Roman"/>
          <w:lang w:val="en-GB"/>
        </w:rPr>
        <w:t>and they are rather practical than scientific.</w:t>
      </w:r>
      <w:r w:rsidR="00306E56" w:rsidRPr="0002056A">
        <w:rPr>
          <w:rFonts w:ascii="Georgia" w:hAnsi="Georgia" w:cs="Times New Roman"/>
          <w:lang w:val="en-GB"/>
        </w:rPr>
        <w:t xml:space="preserve"> Spatiality, spatial issues emerge </w:t>
      </w:r>
      <w:r w:rsidR="00F06E99" w:rsidRPr="0002056A">
        <w:rPr>
          <w:rFonts w:ascii="Georgia" w:hAnsi="Georgia" w:cs="Times New Roman"/>
          <w:lang w:val="en-GB"/>
        </w:rPr>
        <w:t xml:space="preserve">explicitly </w:t>
      </w:r>
      <w:r w:rsidR="00306E56" w:rsidRPr="0002056A">
        <w:rPr>
          <w:rFonts w:ascii="Georgia" w:hAnsi="Georgia" w:cs="Times New Roman"/>
          <w:lang w:val="en-GB"/>
        </w:rPr>
        <w:t>only</w:t>
      </w:r>
      <w:r w:rsidR="00F06E99" w:rsidRPr="0002056A">
        <w:rPr>
          <w:rFonts w:ascii="Georgia" w:hAnsi="Georgia" w:cs="Times New Roman"/>
          <w:lang w:val="en-GB"/>
        </w:rPr>
        <w:t xml:space="preserve"> in a scattered form and in very f</w:t>
      </w:r>
      <w:r w:rsidR="00196305" w:rsidRPr="0002056A">
        <w:rPr>
          <w:rFonts w:ascii="Georgia" w:hAnsi="Georgia" w:cs="Times New Roman"/>
          <w:lang w:val="en-GB"/>
        </w:rPr>
        <w:t>e</w:t>
      </w:r>
      <w:r w:rsidR="00F06E99" w:rsidRPr="0002056A">
        <w:rPr>
          <w:rFonts w:ascii="Georgia" w:hAnsi="Georgia" w:cs="Times New Roman"/>
          <w:lang w:val="en-GB"/>
        </w:rPr>
        <w:t>w studies (</w:t>
      </w:r>
      <w:r w:rsidR="00F06E99" w:rsidRPr="0002056A">
        <w:rPr>
          <w:rFonts w:ascii="Georgia" w:hAnsi="Georgia" w:cs="Times New Roman"/>
          <w:smallCaps/>
          <w:lang w:val="en-GB"/>
        </w:rPr>
        <w:t xml:space="preserve">Swart, et al., 2009; Greiving </w:t>
      </w:r>
      <w:r w:rsidR="00677E2C">
        <w:rPr>
          <w:rFonts w:ascii="Georgia" w:hAnsi="Georgia" w:cs="Times New Roman"/>
          <w:smallCaps/>
          <w:lang w:val="en-GB"/>
        </w:rPr>
        <w:t>&amp;</w:t>
      </w:r>
      <w:r w:rsidR="00677E2C" w:rsidRPr="0002056A">
        <w:rPr>
          <w:rFonts w:ascii="Georgia" w:hAnsi="Georgia" w:cs="Times New Roman"/>
          <w:smallCaps/>
          <w:lang w:val="en-GB"/>
        </w:rPr>
        <w:t xml:space="preserve"> </w:t>
      </w:r>
      <w:r w:rsidR="00F06E99" w:rsidRPr="0002056A">
        <w:rPr>
          <w:rFonts w:ascii="Georgia" w:hAnsi="Georgia" w:cs="Times New Roman"/>
          <w:smallCaps/>
          <w:lang w:val="en-GB"/>
        </w:rPr>
        <w:t>Fleisc</w:t>
      </w:r>
      <w:r w:rsidR="00E12F3B">
        <w:rPr>
          <w:rFonts w:ascii="Georgia" w:hAnsi="Georgia" w:cs="Times New Roman"/>
          <w:smallCaps/>
          <w:lang w:val="en-GB"/>
        </w:rPr>
        <w:t>h</w:t>
      </w:r>
      <w:r w:rsidR="00F06E99" w:rsidRPr="0002056A">
        <w:rPr>
          <w:rFonts w:ascii="Georgia" w:hAnsi="Georgia" w:cs="Times New Roman"/>
          <w:smallCaps/>
          <w:lang w:val="en-GB"/>
        </w:rPr>
        <w:t>hauer, 2010; OECD, 2023</w:t>
      </w:r>
      <w:r w:rsidR="00F06E99" w:rsidRPr="0002056A">
        <w:rPr>
          <w:rFonts w:ascii="Georgia" w:hAnsi="Georgia" w:cs="Times New Roman"/>
          <w:lang w:val="en-GB"/>
        </w:rPr>
        <w:t>).</w:t>
      </w:r>
    </w:p>
    <w:p w14:paraId="4AF3DD56" w14:textId="45464FCB" w:rsidR="00DD1548" w:rsidRPr="0002056A" w:rsidRDefault="00DD1548" w:rsidP="00214BD9">
      <w:pPr>
        <w:pStyle w:val="Cmsor2"/>
        <w:numPr>
          <w:ilvl w:val="1"/>
          <w:numId w:val="4"/>
        </w:numPr>
        <w:rPr>
          <w:rFonts w:asciiTheme="minorHAnsi" w:hAnsiTheme="minorHAnsi" w:cstheme="minorHAnsi"/>
          <w:b w:val="0"/>
          <w:bCs w:val="0"/>
          <w:i/>
          <w:iCs/>
          <w:lang w:val="en-GB"/>
        </w:rPr>
      </w:pPr>
      <w:bookmarkStart w:id="22" w:name="_Toc225578844"/>
      <w:r w:rsidRPr="0002056A">
        <w:rPr>
          <w:rFonts w:asciiTheme="minorHAnsi" w:hAnsiTheme="minorHAnsi" w:cstheme="minorHAnsi"/>
          <w:b w:val="0"/>
          <w:bCs w:val="0"/>
          <w:i/>
          <w:iCs/>
          <w:lang w:val="en-GB"/>
        </w:rPr>
        <w:t>Conclusions of the climate adaptation</w:t>
      </w:r>
      <w:r w:rsidR="003B247E" w:rsidRPr="0002056A">
        <w:rPr>
          <w:rFonts w:asciiTheme="minorHAnsi" w:hAnsiTheme="minorHAnsi" w:cstheme="minorHAnsi"/>
          <w:b w:val="0"/>
          <w:bCs w:val="0"/>
          <w:i/>
          <w:iCs/>
          <w:lang w:val="en-GB"/>
        </w:rPr>
        <w:t>-</w:t>
      </w:r>
      <w:r w:rsidRPr="0002056A">
        <w:rPr>
          <w:rFonts w:asciiTheme="minorHAnsi" w:hAnsiTheme="minorHAnsi" w:cstheme="minorHAnsi"/>
          <w:b w:val="0"/>
          <w:bCs w:val="0"/>
          <w:i/>
          <w:iCs/>
          <w:lang w:val="en-GB"/>
        </w:rPr>
        <w:t>related literature review</w:t>
      </w:r>
      <w:bookmarkEnd w:id="22"/>
    </w:p>
    <w:p w14:paraId="087F04A9" w14:textId="5A95385F" w:rsidR="00DD1548" w:rsidRPr="0002056A" w:rsidRDefault="00DD1548" w:rsidP="00CD5BF3">
      <w:pPr>
        <w:spacing w:before="60" w:after="60"/>
        <w:jc w:val="both"/>
        <w:rPr>
          <w:rFonts w:ascii="Georgia" w:hAnsi="Georgia" w:cs="Times New Roman"/>
          <w:bCs/>
          <w:lang w:val="en-GB"/>
        </w:rPr>
      </w:pPr>
      <w:r w:rsidRPr="0002056A">
        <w:rPr>
          <w:rFonts w:ascii="Georgia" w:hAnsi="Georgia" w:cs="Times New Roman"/>
          <w:lang w:val="en-GB"/>
        </w:rPr>
        <w:t xml:space="preserve">The sheer number of </w:t>
      </w:r>
      <w:r w:rsidR="00677E2C">
        <w:rPr>
          <w:rFonts w:ascii="Georgia" w:hAnsi="Georgia" w:cs="Times New Roman"/>
          <w:lang w:val="en-GB"/>
        </w:rPr>
        <w:t>available adaptation policy planning- and MRE-related literature sheds some light on</w:t>
      </w:r>
      <w:r w:rsidRPr="0002056A">
        <w:rPr>
          <w:rFonts w:ascii="Georgia" w:hAnsi="Georgia" w:cs="Times New Roman"/>
          <w:lang w:val="en-GB"/>
        </w:rPr>
        <w:t xml:space="preserve"> the fact that </w:t>
      </w:r>
      <w:r w:rsidRPr="0002056A">
        <w:rPr>
          <w:rFonts w:ascii="Georgia" w:hAnsi="Georgia" w:cs="Times New Roman"/>
          <w:b/>
          <w:bCs/>
          <w:lang w:val="en-GB"/>
        </w:rPr>
        <w:t>adaptation’s importance is steadily growing</w:t>
      </w:r>
      <w:r w:rsidR="003B247E" w:rsidRPr="0002056A">
        <w:rPr>
          <w:rFonts w:ascii="Georgia" w:hAnsi="Georgia" w:cs="Times New Roman"/>
          <w:lang w:val="en-GB"/>
        </w:rPr>
        <w:t xml:space="preserve"> in both everyday life and in policy making</w:t>
      </w:r>
      <w:r w:rsidRPr="0002056A">
        <w:rPr>
          <w:rFonts w:ascii="Georgia" w:hAnsi="Georgia" w:cs="Times New Roman"/>
          <w:lang w:val="en-GB"/>
        </w:rPr>
        <w:t>. Several items of the reviewed literature mentioned the growing intensity and frequency of climate change</w:t>
      </w:r>
      <w:r w:rsidR="00236DEC" w:rsidRPr="0002056A">
        <w:rPr>
          <w:rFonts w:ascii="Georgia" w:hAnsi="Georgia" w:cs="Times New Roman"/>
          <w:lang w:val="en-GB"/>
        </w:rPr>
        <w:t>-related</w:t>
      </w:r>
      <w:r w:rsidRPr="0002056A">
        <w:rPr>
          <w:rFonts w:ascii="Georgia" w:hAnsi="Georgia" w:cs="Times New Roman"/>
          <w:lang w:val="en-GB"/>
        </w:rPr>
        <w:t xml:space="preserve"> challenges and </w:t>
      </w:r>
      <w:r w:rsidR="00677E2C">
        <w:rPr>
          <w:rFonts w:ascii="Georgia" w:hAnsi="Georgia" w:cs="Times New Roman"/>
          <w:lang w:val="en-GB"/>
        </w:rPr>
        <w:t>adaptation have</w:t>
      </w:r>
      <w:r w:rsidR="00677E2C" w:rsidRPr="0002056A">
        <w:rPr>
          <w:rFonts w:ascii="Georgia" w:hAnsi="Georgia" w:cs="Times New Roman"/>
          <w:lang w:val="en-GB"/>
        </w:rPr>
        <w:t xml:space="preserve"> </w:t>
      </w:r>
      <w:r w:rsidRPr="0002056A">
        <w:rPr>
          <w:rFonts w:ascii="Georgia" w:hAnsi="Georgia" w:cs="Times New Roman"/>
          <w:lang w:val="en-GB"/>
        </w:rPr>
        <w:t xml:space="preserve">recently gained momentum both in development policy and within climate policy itself. The strong locality/spatiality </w:t>
      </w:r>
      <w:r w:rsidR="005B3205" w:rsidRPr="0002056A">
        <w:rPr>
          <w:rFonts w:ascii="Georgia" w:hAnsi="Georgia" w:cs="Times New Roman"/>
          <w:lang w:val="en-GB"/>
        </w:rPr>
        <w:t>in</w:t>
      </w:r>
      <w:r w:rsidRPr="0002056A">
        <w:rPr>
          <w:rFonts w:ascii="Georgia" w:hAnsi="Georgia" w:cs="Times New Roman"/>
          <w:lang w:val="en-GB"/>
        </w:rPr>
        <w:t xml:space="preserve"> adaptation as opposed to the mostly globally managed mitigation is another topic that comes up several times, emphasising the </w:t>
      </w:r>
      <w:r w:rsidR="005778B3" w:rsidRPr="0002056A">
        <w:rPr>
          <w:rFonts w:ascii="Georgia" w:hAnsi="Georgia" w:cs="Times New Roman"/>
          <w:lang w:val="en-GB"/>
        </w:rPr>
        <w:t xml:space="preserve">existence of </w:t>
      </w:r>
      <w:r w:rsidRPr="0002056A">
        <w:rPr>
          <w:rFonts w:ascii="Georgia" w:hAnsi="Georgia" w:cs="Times New Roman"/>
          <w:lang w:val="en-GB"/>
        </w:rPr>
        <w:t>spatially different challenges and therefore the need for spatially/territorially t</w:t>
      </w:r>
      <w:r w:rsidR="005B3205" w:rsidRPr="0002056A">
        <w:rPr>
          <w:rFonts w:ascii="Georgia" w:hAnsi="Georgia" w:cs="Times New Roman"/>
          <w:lang w:val="en-GB"/>
        </w:rPr>
        <w:t>ailored</w:t>
      </w:r>
      <w:r w:rsidRPr="0002056A">
        <w:rPr>
          <w:rFonts w:ascii="Georgia" w:hAnsi="Georgia" w:cs="Times New Roman"/>
          <w:lang w:val="en-GB"/>
        </w:rPr>
        <w:t xml:space="preserve"> adaptation responses. These responses can be planned, implemented and tracked by proper, spatially conscious</w:t>
      </w:r>
      <w:r w:rsidR="00C6349E" w:rsidRPr="0002056A">
        <w:rPr>
          <w:rFonts w:ascii="Georgia" w:hAnsi="Georgia" w:cs="Times New Roman"/>
          <w:lang w:val="en-GB"/>
        </w:rPr>
        <w:t xml:space="preserve"> </w:t>
      </w:r>
      <w:r w:rsidRPr="0002056A">
        <w:rPr>
          <w:rFonts w:ascii="Georgia" w:hAnsi="Georgia" w:cs="Times New Roman"/>
          <w:lang w:val="en-GB"/>
        </w:rPr>
        <w:t xml:space="preserve">climate strategic planning and MRE activities. The </w:t>
      </w:r>
      <w:r w:rsidR="00C6349E" w:rsidRPr="0002056A">
        <w:rPr>
          <w:rFonts w:ascii="Georgia" w:hAnsi="Georgia" w:cs="Times New Roman"/>
          <w:lang w:val="en-GB"/>
        </w:rPr>
        <w:t xml:space="preserve">exact </w:t>
      </w:r>
      <w:r w:rsidRPr="0002056A">
        <w:rPr>
          <w:rFonts w:ascii="Georgia" w:hAnsi="Georgia" w:cs="Times New Roman"/>
          <w:lang w:val="en-GB"/>
        </w:rPr>
        <w:t>identification of local climate impacts and challenges and the elaboration of adequate responses demand rich information</w:t>
      </w:r>
      <w:r w:rsidR="00C6349E" w:rsidRPr="0002056A">
        <w:rPr>
          <w:rFonts w:ascii="Georgia" w:hAnsi="Georgia" w:cs="Times New Roman"/>
          <w:lang w:val="en-GB"/>
        </w:rPr>
        <w:t xml:space="preserve">/evidence background and </w:t>
      </w:r>
      <w:r w:rsidRPr="0002056A">
        <w:rPr>
          <w:rFonts w:ascii="Georgia" w:hAnsi="Georgia" w:cs="Times New Roman"/>
          <w:lang w:val="en-GB"/>
        </w:rPr>
        <w:t xml:space="preserve">accessible data on the spatially different exposure, sensitivity, adaptive </w:t>
      </w:r>
      <w:r w:rsidRPr="0002056A">
        <w:rPr>
          <w:rFonts w:ascii="Georgia" w:hAnsi="Georgia" w:cs="Times New Roman"/>
          <w:lang w:val="en-GB"/>
        </w:rPr>
        <w:lastRenderedPageBreak/>
        <w:t xml:space="preserve">capacity and vulnerability of regions/localities and local effectiveness of the policy responses. </w:t>
      </w:r>
      <w:r w:rsidRPr="0002056A">
        <w:rPr>
          <w:rFonts w:ascii="Georgia" w:hAnsi="Georgia" w:cs="Times New Roman"/>
          <w:bCs/>
          <w:lang w:val="en-GB"/>
        </w:rPr>
        <w:t>Out of the reviewed literature</w:t>
      </w:r>
      <w:r w:rsidR="00677E2C">
        <w:rPr>
          <w:rFonts w:ascii="Georgia" w:hAnsi="Georgia" w:cs="Times New Roman"/>
          <w:bCs/>
          <w:lang w:val="en-GB"/>
        </w:rPr>
        <w:t>, several studies emphasised these functions of planning and MRE in adaptation and refer to these activities as important tools to design development directions, implement and follow up on</w:t>
      </w:r>
      <w:r w:rsidRPr="0002056A">
        <w:rPr>
          <w:rFonts w:ascii="Georgia" w:hAnsi="Georgia" w:cs="Times New Roman"/>
          <w:bCs/>
          <w:lang w:val="en-GB"/>
        </w:rPr>
        <w:t xml:space="preserve"> the intended results.</w:t>
      </w:r>
    </w:p>
    <w:p w14:paraId="0C7EF871" w14:textId="27D0D571" w:rsidR="00DD1548" w:rsidRPr="0002056A" w:rsidRDefault="00DD1548" w:rsidP="00CD5BF3">
      <w:pPr>
        <w:spacing w:before="60" w:after="60"/>
        <w:jc w:val="both"/>
        <w:rPr>
          <w:rFonts w:ascii="Georgia" w:hAnsi="Georgia" w:cs="Times New Roman"/>
          <w:bCs/>
          <w:lang w:val="en-GB"/>
        </w:rPr>
      </w:pPr>
      <w:r w:rsidRPr="0002056A">
        <w:rPr>
          <w:rFonts w:ascii="Georgia" w:hAnsi="Georgia" w:cs="Times New Roman"/>
          <w:bCs/>
          <w:lang w:val="en-GB"/>
        </w:rPr>
        <w:t xml:space="preserve">The growing intensity of adaptation policy activities and the increasing number of strategic documents at different spatial levels indicate serious progress in this field. Among the </w:t>
      </w:r>
      <w:r w:rsidRPr="0002056A">
        <w:rPr>
          <w:rFonts w:ascii="Georgia" w:hAnsi="Georgia" w:cs="Times New Roman"/>
          <w:b/>
          <w:lang w:val="en-GB"/>
        </w:rPr>
        <w:t>spatial levels</w:t>
      </w:r>
      <w:r w:rsidR="00472C1E">
        <w:rPr>
          <w:rFonts w:ascii="Georgia" w:hAnsi="Georgia" w:cs="Times New Roman"/>
          <w:b/>
          <w:lang w:val="en-GB"/>
        </w:rPr>
        <w:t>,</w:t>
      </w:r>
      <w:r w:rsidRPr="0002056A">
        <w:rPr>
          <w:rFonts w:ascii="Georgia" w:hAnsi="Georgia" w:cs="Times New Roman"/>
          <w:bCs/>
          <w:lang w:val="en-GB"/>
        </w:rPr>
        <w:t xml:space="preserve"> the national and the local show the strongest signs </w:t>
      </w:r>
      <w:r w:rsidRPr="0002056A">
        <w:rPr>
          <w:rFonts w:ascii="Georgia" w:hAnsi="Georgia" w:cs="Times New Roman"/>
          <w:lang w:val="en-GB"/>
        </w:rPr>
        <w:t>of systematic adaptation-oriented thinking and planning, with u</w:t>
      </w:r>
      <w:r w:rsidRPr="0002056A">
        <w:rPr>
          <w:rFonts w:ascii="Georgia" w:hAnsi="Georgia" w:cs="Times New Roman"/>
          <w:bCs/>
          <w:lang w:val="en-GB"/>
        </w:rPr>
        <w:t xml:space="preserve">rban areas playing </w:t>
      </w:r>
      <w:r w:rsidR="00472C1E">
        <w:rPr>
          <w:rFonts w:ascii="Georgia" w:hAnsi="Georgia" w:cs="Times New Roman"/>
          <w:bCs/>
          <w:lang w:val="en-GB"/>
        </w:rPr>
        <w:t xml:space="preserve">a </w:t>
      </w:r>
      <w:r w:rsidRPr="0002056A">
        <w:rPr>
          <w:rFonts w:ascii="Georgia" w:hAnsi="Georgia" w:cs="Times New Roman"/>
          <w:bCs/>
          <w:lang w:val="en-GB"/>
        </w:rPr>
        <w:t>pivotal role in the related planning activities.</w:t>
      </w:r>
      <w:r w:rsidR="009605B5" w:rsidRPr="0002056A">
        <w:rPr>
          <w:rFonts w:ascii="Georgia" w:hAnsi="Georgia" w:cs="Times New Roman"/>
          <w:bCs/>
          <w:lang w:val="en-GB"/>
        </w:rPr>
        <w:t xml:space="preserve"> </w:t>
      </w:r>
      <w:r w:rsidRPr="0002056A">
        <w:rPr>
          <w:rFonts w:ascii="Georgia" w:hAnsi="Georgia" w:cs="Times New Roman"/>
          <w:lang w:val="en-GB"/>
        </w:rPr>
        <w:t xml:space="preserve">The </w:t>
      </w:r>
      <w:r w:rsidR="00472C1E">
        <w:rPr>
          <w:rFonts w:ascii="Georgia" w:hAnsi="Georgia" w:cs="Times New Roman"/>
          <w:lang w:val="en-GB"/>
        </w:rPr>
        <w:t xml:space="preserve">reviewed literature, regarding these distinguished spatial levels of adaptation planning and MRE, </w:t>
      </w:r>
      <w:r w:rsidR="00472C1E" w:rsidRPr="006C1A60">
        <w:rPr>
          <w:rFonts w:ascii="Georgia" w:hAnsi="Georgia" w:cs="Times New Roman"/>
          <w:b/>
          <w:bCs/>
          <w:lang w:val="en-GB"/>
        </w:rPr>
        <w:t>mostly deals with local (principally urban)</w:t>
      </w:r>
      <w:r w:rsidR="00472C1E">
        <w:rPr>
          <w:rFonts w:ascii="Georgia" w:hAnsi="Georgia" w:cs="Times New Roman"/>
          <w:lang w:val="en-GB"/>
        </w:rPr>
        <w:t xml:space="preserve"> mitigation and adaptation problems and their management, and a </w:t>
      </w:r>
      <w:r w:rsidR="003110C9" w:rsidRPr="0002056A">
        <w:rPr>
          <w:rFonts w:ascii="Georgia" w:hAnsi="Georgia" w:cs="Times New Roman"/>
          <w:lang w:val="en-GB"/>
        </w:rPr>
        <w:t>significant proportion of them focuses on</w:t>
      </w:r>
      <w:r w:rsidR="00A666A8" w:rsidRPr="0002056A">
        <w:rPr>
          <w:rFonts w:ascii="Georgia" w:hAnsi="Georgia" w:cs="Times New Roman"/>
          <w:lang w:val="en-GB"/>
        </w:rPr>
        <w:t xml:space="preserve"> the</w:t>
      </w:r>
      <w:r w:rsidR="003110C9" w:rsidRPr="0002056A">
        <w:rPr>
          <w:rFonts w:ascii="Georgia" w:hAnsi="Georgia" w:cs="Times New Roman"/>
          <w:lang w:val="en-GB"/>
        </w:rPr>
        <w:t xml:space="preserve"> </w:t>
      </w:r>
      <w:r w:rsidR="003110C9" w:rsidRPr="0002056A">
        <w:rPr>
          <w:rFonts w:ascii="Georgia" w:hAnsi="Georgia" w:cs="Times New Roman"/>
          <w:b/>
          <w:bCs/>
          <w:lang w:val="en-GB"/>
        </w:rPr>
        <w:t>national scale</w:t>
      </w:r>
      <w:r w:rsidR="003110C9" w:rsidRPr="0002056A">
        <w:rPr>
          <w:rFonts w:ascii="Georgia" w:hAnsi="Georgia" w:cs="Times New Roman"/>
          <w:lang w:val="en-GB"/>
        </w:rPr>
        <w:t xml:space="preserve"> as well. T</w:t>
      </w:r>
      <w:r w:rsidRPr="0002056A">
        <w:rPr>
          <w:rFonts w:ascii="Georgia" w:hAnsi="Georgia" w:cs="Times New Roman"/>
          <w:lang w:val="en-GB"/>
        </w:rPr>
        <w:t xml:space="preserve">he </w:t>
      </w:r>
      <w:r w:rsidRPr="0002056A">
        <w:rPr>
          <w:rFonts w:ascii="Georgia" w:hAnsi="Georgia" w:cs="Times New Roman"/>
          <w:b/>
          <w:bCs/>
          <w:lang w:val="en-GB"/>
        </w:rPr>
        <w:t xml:space="preserve">regional and </w:t>
      </w:r>
      <w:r w:rsidR="003110C9" w:rsidRPr="0002056A">
        <w:rPr>
          <w:rFonts w:ascii="Georgia" w:hAnsi="Georgia" w:cs="Times New Roman"/>
          <w:b/>
          <w:bCs/>
          <w:lang w:val="en-GB"/>
        </w:rPr>
        <w:t>other sub</w:t>
      </w:r>
      <w:r w:rsidRPr="0002056A">
        <w:rPr>
          <w:rFonts w:ascii="Georgia" w:hAnsi="Georgia" w:cs="Times New Roman"/>
          <w:b/>
          <w:bCs/>
          <w:lang w:val="en-GB"/>
        </w:rPr>
        <w:t>national levels</w:t>
      </w:r>
      <w:r w:rsidR="003110C9" w:rsidRPr="0002056A">
        <w:rPr>
          <w:rFonts w:ascii="Georgia" w:hAnsi="Georgia" w:cs="Times New Roman"/>
          <w:b/>
          <w:bCs/>
          <w:lang w:val="en-GB"/>
        </w:rPr>
        <w:t xml:space="preserve"> </w:t>
      </w:r>
      <w:r w:rsidR="003110C9" w:rsidRPr="0002056A">
        <w:rPr>
          <w:rFonts w:ascii="Georgia" w:hAnsi="Georgia" w:cs="Times New Roman"/>
          <w:lang w:val="en-GB"/>
        </w:rPr>
        <w:t>above the municipal one</w:t>
      </w:r>
      <w:r w:rsidRPr="0002056A">
        <w:rPr>
          <w:rFonts w:ascii="Georgia" w:hAnsi="Georgia" w:cs="Times New Roman"/>
          <w:lang w:val="en-GB"/>
        </w:rPr>
        <w:t>, their results and activities</w:t>
      </w:r>
      <w:r w:rsidR="00472C1E">
        <w:rPr>
          <w:rFonts w:ascii="Georgia" w:hAnsi="Georgia" w:cs="Times New Roman"/>
          <w:lang w:val="en-GB"/>
        </w:rPr>
        <w:t>, especially in planning, mainstreaming and MRE,</w:t>
      </w:r>
      <w:r w:rsidRPr="0002056A">
        <w:rPr>
          <w:rFonts w:ascii="Georgia" w:hAnsi="Georgia" w:cs="Times New Roman"/>
          <w:lang w:val="en-GB"/>
        </w:rPr>
        <w:t xml:space="preserve"> got lesser emphasis. In spite of this focus on different spatial levels’ activities, however, the strongly geographical space-connected, optimally locally tailored adaptation policy, regarding its methodological approaches, does not seem to put enough emphasis on spatial/territorial aspects: </w:t>
      </w:r>
      <w:r w:rsidRPr="0002056A">
        <w:rPr>
          <w:rFonts w:ascii="Georgia" w:hAnsi="Georgia" w:cs="Times New Roman"/>
          <w:b/>
          <w:bCs/>
          <w:lang w:val="en-GB"/>
        </w:rPr>
        <w:t>sector-oriented approaches still prevail</w:t>
      </w:r>
      <w:r w:rsidRPr="0002056A">
        <w:rPr>
          <w:rFonts w:ascii="Georgia" w:hAnsi="Georgia" w:cs="Times New Roman"/>
          <w:lang w:val="en-GB"/>
        </w:rPr>
        <w:t xml:space="preserve"> (at the national level in a particularly strong way).</w:t>
      </w:r>
    </w:p>
    <w:p w14:paraId="72AABCD4" w14:textId="4E93A186" w:rsidR="00DD1548" w:rsidRPr="0002056A" w:rsidRDefault="00DD1548" w:rsidP="00CD5BF3">
      <w:pPr>
        <w:spacing w:before="60" w:after="60"/>
        <w:jc w:val="both"/>
        <w:rPr>
          <w:rFonts w:ascii="Georgia" w:hAnsi="Georgia" w:cs="Times New Roman"/>
          <w:bCs/>
          <w:lang w:val="en-GB"/>
        </w:rPr>
      </w:pPr>
      <w:r w:rsidRPr="0002056A">
        <w:rPr>
          <w:rFonts w:ascii="Georgia" w:hAnsi="Georgia" w:cs="Times New Roman"/>
          <w:b/>
          <w:lang w:val="en-GB"/>
        </w:rPr>
        <w:t xml:space="preserve">Only a limited number of </w:t>
      </w:r>
      <w:r w:rsidRPr="0002056A">
        <w:rPr>
          <w:rFonts w:ascii="Georgia" w:hAnsi="Georgia" w:cs="Times New Roman"/>
          <w:bCs/>
          <w:lang w:val="en-GB"/>
        </w:rPr>
        <w:t xml:space="preserve">studies </w:t>
      </w:r>
      <w:r w:rsidR="00472C1E">
        <w:rPr>
          <w:rFonts w:ascii="Georgia" w:hAnsi="Georgia" w:cs="Times New Roman"/>
          <w:bCs/>
          <w:lang w:val="en-GB"/>
        </w:rPr>
        <w:t xml:space="preserve">use comprehensive / </w:t>
      </w:r>
      <w:r w:rsidR="00472C1E" w:rsidRPr="00983AC6">
        <w:rPr>
          <w:rFonts w:ascii="Georgia" w:hAnsi="Georgia" w:cs="Times New Roman"/>
          <w:b/>
          <w:lang w:val="en-GB"/>
        </w:rPr>
        <w:t>comparative analysis</w:t>
      </w:r>
      <w:r w:rsidR="00472C1E">
        <w:rPr>
          <w:rFonts w:ascii="Georgia" w:hAnsi="Georgia" w:cs="Times New Roman"/>
          <w:bCs/>
          <w:lang w:val="en-GB"/>
        </w:rPr>
        <w:t xml:space="preserve">, and most of them </w:t>
      </w:r>
      <w:r w:rsidR="00472C1E" w:rsidRPr="00983AC6">
        <w:rPr>
          <w:rFonts w:ascii="Georgia" w:hAnsi="Georgia" w:cs="Times New Roman"/>
          <w:b/>
          <w:lang w:val="en-GB"/>
        </w:rPr>
        <w:t>concentrate</w:t>
      </w:r>
      <w:r w:rsidR="00B3785C" w:rsidRPr="00983AC6">
        <w:rPr>
          <w:rFonts w:ascii="Georgia" w:hAnsi="Georgia" w:cs="Times New Roman"/>
          <w:b/>
          <w:lang w:val="en-GB"/>
        </w:rPr>
        <w:t xml:space="preserve"> </w:t>
      </w:r>
      <w:r w:rsidRPr="0002056A">
        <w:rPr>
          <w:rFonts w:ascii="Georgia" w:hAnsi="Georgia" w:cs="Times New Roman"/>
          <w:b/>
          <w:lang w:val="en-GB"/>
        </w:rPr>
        <w:t>on local examples</w:t>
      </w:r>
      <w:r w:rsidRPr="0002056A">
        <w:rPr>
          <w:rFonts w:ascii="Georgia" w:hAnsi="Georgia" w:cs="Times New Roman"/>
          <w:bCs/>
          <w:lang w:val="en-GB"/>
        </w:rPr>
        <w:t xml:space="preserve">; national strategies are analysed less frequently. Additionally, the larger proportion of these </w:t>
      </w:r>
      <w:r w:rsidR="0053089B" w:rsidRPr="0002056A">
        <w:rPr>
          <w:rFonts w:ascii="Georgia" w:hAnsi="Georgia" w:cs="Times New Roman"/>
          <w:b/>
          <w:lang w:val="en-GB"/>
        </w:rPr>
        <w:t>national-level oriented ones</w:t>
      </w:r>
      <w:r w:rsidRPr="0002056A">
        <w:rPr>
          <w:rFonts w:ascii="Georgia" w:hAnsi="Georgia" w:cs="Times New Roman"/>
          <w:bCs/>
          <w:lang w:val="en-GB"/>
        </w:rPr>
        <w:t xml:space="preserve"> are from the grey literature (</w:t>
      </w:r>
      <w:r w:rsidR="00AF2471" w:rsidRPr="0002056A">
        <w:rPr>
          <w:rFonts w:ascii="Georgia" w:hAnsi="Georgia" w:cs="Times New Roman"/>
          <w:bCs/>
          <w:lang w:val="en-GB"/>
        </w:rPr>
        <w:t xml:space="preserve">GIZ, 2013; </w:t>
      </w:r>
      <w:r w:rsidRPr="0002056A">
        <w:rPr>
          <w:rFonts w:ascii="Georgia" w:hAnsi="Georgia" w:cs="Times New Roman"/>
          <w:bCs/>
          <w:smallCaps/>
          <w:lang w:val="en-GB"/>
        </w:rPr>
        <w:t>Pringle</w:t>
      </w:r>
      <w:r w:rsidR="00A666A8" w:rsidRPr="0002056A">
        <w:rPr>
          <w:rFonts w:ascii="Georgia" w:hAnsi="Georgia" w:cs="Times New Roman"/>
          <w:bCs/>
          <w:smallCaps/>
          <w:lang w:val="en-GB"/>
        </w:rPr>
        <w:t xml:space="preserve"> et al.</w:t>
      </w:r>
      <w:r w:rsidRPr="0002056A">
        <w:rPr>
          <w:rFonts w:ascii="Georgia" w:hAnsi="Georgia" w:cs="Times New Roman"/>
          <w:bCs/>
          <w:smallCaps/>
          <w:lang w:val="en-GB"/>
        </w:rPr>
        <w:t>, 2017; EEA, 2020</w:t>
      </w:r>
      <w:r w:rsidR="00B3785C" w:rsidRPr="0002056A">
        <w:rPr>
          <w:rFonts w:ascii="Georgia" w:hAnsi="Georgia" w:cs="Times New Roman"/>
          <w:bCs/>
          <w:smallCaps/>
          <w:lang w:val="en-GB"/>
        </w:rPr>
        <w:t xml:space="preserve">, </w:t>
      </w:r>
      <w:r w:rsidR="00B3785C" w:rsidRPr="0002056A">
        <w:rPr>
          <w:rFonts w:ascii="Georgia" w:hAnsi="Georgia" w:cs="Times New Roman"/>
          <w:bCs/>
          <w:lang w:val="en-GB"/>
        </w:rPr>
        <w:t>and</w:t>
      </w:r>
      <w:r w:rsidRPr="0002056A">
        <w:rPr>
          <w:rFonts w:ascii="Georgia" w:hAnsi="Georgia" w:cs="Times New Roman"/>
          <w:bCs/>
          <w:smallCaps/>
          <w:lang w:val="en-GB"/>
        </w:rPr>
        <w:t xml:space="preserve"> 202</w:t>
      </w:r>
      <w:r w:rsidR="001D157B" w:rsidRPr="0002056A">
        <w:rPr>
          <w:rFonts w:ascii="Georgia" w:hAnsi="Georgia" w:cs="Times New Roman"/>
          <w:bCs/>
          <w:smallCaps/>
          <w:lang w:val="en-GB"/>
        </w:rPr>
        <w:t>2</w:t>
      </w:r>
      <w:r w:rsidRPr="0002056A">
        <w:rPr>
          <w:rFonts w:ascii="Georgia" w:hAnsi="Georgia" w:cs="Times New Roman"/>
          <w:bCs/>
          <w:smallCaps/>
          <w:lang w:val="en-GB"/>
        </w:rPr>
        <w:t xml:space="preserve">, OECD, 2023, </w:t>
      </w:r>
      <w:r w:rsidR="001D157B" w:rsidRPr="0002056A">
        <w:rPr>
          <w:rFonts w:ascii="Georgia" w:hAnsi="Georgia" w:cs="Times New Roman"/>
          <w:bCs/>
          <w:smallCaps/>
          <w:lang w:val="en-GB"/>
        </w:rPr>
        <w:t>Leiter et al.,</w:t>
      </w:r>
      <w:r w:rsidRPr="0002056A">
        <w:rPr>
          <w:rFonts w:ascii="Georgia" w:hAnsi="Georgia" w:cs="Times New Roman"/>
          <w:bCs/>
          <w:smallCaps/>
          <w:lang w:val="en-GB"/>
        </w:rPr>
        <w:t xml:space="preserve"> 2024</w:t>
      </w:r>
      <w:r w:rsidRPr="0002056A">
        <w:rPr>
          <w:rFonts w:ascii="Georgia" w:hAnsi="Georgia" w:cs="Times New Roman"/>
          <w:bCs/>
          <w:lang w:val="en-GB"/>
        </w:rPr>
        <w:t xml:space="preserve">), e.g., technical reports introducing </w:t>
      </w:r>
      <w:r w:rsidR="00472C1E">
        <w:rPr>
          <w:rFonts w:ascii="Georgia" w:hAnsi="Georgia" w:cs="Times New Roman"/>
          <w:bCs/>
          <w:lang w:val="en-GB"/>
        </w:rPr>
        <w:t>national-level</w:t>
      </w:r>
      <w:r w:rsidRPr="0002056A">
        <w:rPr>
          <w:rFonts w:ascii="Georgia" w:hAnsi="Georgia" w:cs="Times New Roman"/>
          <w:bCs/>
          <w:lang w:val="en-GB"/>
        </w:rPr>
        <w:t xml:space="preserve"> adaptation planning and MRE in Europe with the most crucial challenges and current processes. Beyond these evidence-base reports </w:t>
      </w:r>
      <w:r w:rsidRPr="0002056A">
        <w:rPr>
          <w:rFonts w:ascii="Georgia" w:hAnsi="Georgia" w:cs="Times New Roman"/>
          <w:b/>
          <w:lang w:val="en-GB"/>
        </w:rPr>
        <w:t xml:space="preserve">real scientific studies are </w:t>
      </w:r>
      <w:r w:rsidR="00763C44" w:rsidRPr="0002056A">
        <w:rPr>
          <w:rFonts w:ascii="Georgia" w:hAnsi="Georgia" w:cs="Times New Roman"/>
          <w:b/>
          <w:lang w:val="en-GB"/>
        </w:rPr>
        <w:t>rarer</w:t>
      </w:r>
      <w:r w:rsidRPr="0002056A">
        <w:rPr>
          <w:rFonts w:ascii="Georgia" w:hAnsi="Georgia" w:cs="Times New Roman"/>
          <w:bCs/>
          <w:lang w:val="en-GB"/>
        </w:rPr>
        <w:t xml:space="preserve"> (e.g., </w:t>
      </w:r>
      <w:r w:rsidRPr="0002056A">
        <w:rPr>
          <w:rFonts w:ascii="Georgia" w:hAnsi="Georgia" w:cs="Times New Roman"/>
          <w:bCs/>
          <w:smallCaps/>
          <w:lang w:val="en-GB"/>
        </w:rPr>
        <w:t xml:space="preserve">Schuster, 2008; </w:t>
      </w:r>
      <w:r w:rsidR="00A666A8" w:rsidRPr="0002056A">
        <w:rPr>
          <w:rFonts w:ascii="Georgia" w:hAnsi="Georgia" w:cs="Times New Roman"/>
          <w:bCs/>
          <w:smallCaps/>
          <w:lang w:val="en-GB"/>
        </w:rPr>
        <w:t xml:space="preserve">Dosch et al., 2008; </w:t>
      </w:r>
      <w:r w:rsidRPr="0002056A">
        <w:rPr>
          <w:rFonts w:ascii="Georgia" w:hAnsi="Georgia" w:cs="Times New Roman"/>
          <w:bCs/>
          <w:smallCaps/>
          <w:lang w:val="en-GB"/>
        </w:rPr>
        <w:t>Swart</w:t>
      </w:r>
      <w:r w:rsidR="0053089B" w:rsidRPr="0002056A">
        <w:rPr>
          <w:rFonts w:ascii="Georgia" w:hAnsi="Georgia" w:cs="Times New Roman"/>
          <w:bCs/>
          <w:smallCaps/>
          <w:lang w:val="en-GB"/>
        </w:rPr>
        <w:t xml:space="preserve"> et al.</w:t>
      </w:r>
      <w:r w:rsidR="00472C1E">
        <w:rPr>
          <w:rFonts w:ascii="Georgia" w:hAnsi="Georgia" w:cs="Times New Roman"/>
          <w:bCs/>
          <w:smallCaps/>
          <w:lang w:val="en-GB"/>
        </w:rPr>
        <w:t>,</w:t>
      </w:r>
      <w:r w:rsidRPr="0002056A">
        <w:rPr>
          <w:rFonts w:ascii="Georgia" w:hAnsi="Georgia" w:cs="Times New Roman"/>
          <w:bCs/>
          <w:smallCaps/>
          <w:lang w:val="en-GB"/>
        </w:rPr>
        <w:t xml:space="preserve"> 2009</w:t>
      </w:r>
      <w:r w:rsidRPr="0002056A">
        <w:rPr>
          <w:rFonts w:ascii="Georgia" w:hAnsi="Georgia" w:cs="Times New Roman"/>
          <w:bCs/>
          <w:lang w:val="en-GB"/>
        </w:rPr>
        <w:t xml:space="preserve">; </w:t>
      </w:r>
      <w:r w:rsidR="00A666A8" w:rsidRPr="0002056A">
        <w:rPr>
          <w:rFonts w:ascii="Georgia" w:hAnsi="Georgia" w:cs="Times New Roman"/>
          <w:bCs/>
          <w:smallCaps/>
          <w:lang w:val="en-GB"/>
        </w:rPr>
        <w:t>Greiving&amp;Fleischhauer, 20</w:t>
      </w:r>
      <w:r w:rsidR="007604A8" w:rsidRPr="0002056A">
        <w:rPr>
          <w:rFonts w:ascii="Georgia" w:hAnsi="Georgia" w:cs="Times New Roman"/>
          <w:bCs/>
          <w:smallCaps/>
          <w:lang w:val="en-GB"/>
        </w:rPr>
        <w:t xml:space="preserve">10 </w:t>
      </w:r>
      <w:r w:rsidR="007604A8" w:rsidRPr="0002056A">
        <w:rPr>
          <w:rFonts w:ascii="Georgia" w:hAnsi="Georgia" w:cs="Times New Roman"/>
          <w:bCs/>
          <w:lang w:val="en-GB"/>
        </w:rPr>
        <w:t>and</w:t>
      </w:r>
      <w:r w:rsidR="007604A8" w:rsidRPr="0002056A">
        <w:rPr>
          <w:rFonts w:ascii="Georgia" w:hAnsi="Georgia" w:cs="Times New Roman"/>
          <w:bCs/>
          <w:smallCaps/>
          <w:lang w:val="en-GB"/>
        </w:rPr>
        <w:t xml:space="preserve"> 2012</w:t>
      </w:r>
      <w:r w:rsidR="00A666A8" w:rsidRPr="0002056A">
        <w:rPr>
          <w:rFonts w:ascii="Georgia" w:hAnsi="Georgia" w:cs="Times New Roman"/>
          <w:bCs/>
          <w:lang w:val="en-GB"/>
        </w:rPr>
        <w:t xml:space="preserve">; </w:t>
      </w:r>
      <w:r w:rsidRPr="0002056A">
        <w:rPr>
          <w:rFonts w:ascii="Georgia" w:hAnsi="Georgia"/>
          <w:smallCaps/>
          <w:lang w:val="en-GB"/>
        </w:rPr>
        <w:t>Morgan et al</w:t>
      </w:r>
      <w:r w:rsidR="0053089B" w:rsidRPr="0002056A">
        <w:rPr>
          <w:rFonts w:ascii="Georgia" w:hAnsi="Georgia"/>
          <w:smallCaps/>
          <w:lang w:val="en-GB"/>
        </w:rPr>
        <w:t>.</w:t>
      </w:r>
      <w:r w:rsidRPr="0002056A">
        <w:rPr>
          <w:rFonts w:ascii="Georgia" w:hAnsi="Georgia"/>
          <w:lang w:val="en-GB"/>
        </w:rPr>
        <w:t xml:space="preserve">, 2019; </w:t>
      </w:r>
      <w:r w:rsidRPr="0002056A">
        <w:rPr>
          <w:rFonts w:ascii="Georgia" w:hAnsi="Georgia"/>
          <w:smallCaps/>
          <w:lang w:val="en-GB"/>
        </w:rPr>
        <w:t>Woodroff &amp; Regan, 2019; Leiter</w:t>
      </w:r>
      <w:r w:rsidRPr="0002056A">
        <w:rPr>
          <w:rFonts w:ascii="Georgia" w:hAnsi="Georgia"/>
          <w:lang w:val="en-GB"/>
        </w:rPr>
        <w:t>, 2021</w:t>
      </w:r>
      <w:r w:rsidRPr="0002056A">
        <w:rPr>
          <w:rFonts w:ascii="Georgia" w:hAnsi="Georgia" w:cs="Times New Roman"/>
          <w:bCs/>
          <w:lang w:val="en-GB"/>
        </w:rPr>
        <w:t>). The international</w:t>
      </w:r>
      <w:r w:rsidRPr="0002056A">
        <w:rPr>
          <w:rFonts w:ascii="Georgia" w:hAnsi="Georgia" w:cs="Times New Roman"/>
          <w:b/>
          <w:lang w:val="en-GB"/>
        </w:rPr>
        <w:t xml:space="preserve"> literature</w:t>
      </w:r>
      <w:r w:rsidRPr="0002056A">
        <w:rPr>
          <w:rFonts w:ascii="Georgia" w:hAnsi="Georgia" w:cs="Times New Roman"/>
          <w:bCs/>
          <w:lang w:val="en-GB"/>
        </w:rPr>
        <w:t xml:space="preserve">, dealing with the local, regional and national adaptation policies and measures </w:t>
      </w:r>
      <w:r w:rsidRPr="0002056A">
        <w:rPr>
          <w:rFonts w:ascii="Georgia" w:hAnsi="Georgia" w:cs="Times New Roman"/>
          <w:b/>
          <w:lang w:val="en-GB"/>
        </w:rPr>
        <w:t>goes rarely further</w:t>
      </w:r>
      <w:r w:rsidRPr="0002056A">
        <w:rPr>
          <w:rFonts w:ascii="Georgia" w:hAnsi="Georgia" w:cs="Times New Roman"/>
          <w:bCs/>
          <w:lang w:val="en-GB"/>
        </w:rPr>
        <w:t xml:space="preserve"> </w:t>
      </w:r>
      <w:r w:rsidRPr="0002056A">
        <w:rPr>
          <w:rFonts w:ascii="Georgia" w:hAnsi="Georgia" w:cs="Times New Roman"/>
          <w:b/>
          <w:lang w:val="en-GB"/>
        </w:rPr>
        <w:t>than</w:t>
      </w:r>
      <w:r w:rsidRPr="0002056A">
        <w:rPr>
          <w:rFonts w:ascii="Georgia" w:hAnsi="Georgia" w:cs="Times New Roman"/>
          <w:bCs/>
          <w:lang w:val="en-GB"/>
        </w:rPr>
        <w:t xml:space="preserve"> </w:t>
      </w:r>
      <w:r w:rsidRPr="0002056A">
        <w:rPr>
          <w:rFonts w:ascii="Georgia" w:hAnsi="Georgia" w:cs="Times New Roman"/>
          <w:b/>
          <w:lang w:val="en-GB"/>
        </w:rPr>
        <w:t>identifying planning practice-</w:t>
      </w:r>
      <w:r w:rsidR="00AF2471" w:rsidRPr="0002056A">
        <w:rPr>
          <w:rFonts w:ascii="Georgia" w:hAnsi="Georgia" w:cs="Times New Roman"/>
          <w:b/>
          <w:lang w:val="en-GB"/>
        </w:rPr>
        <w:t xml:space="preserve">, approach- </w:t>
      </w:r>
      <w:r w:rsidRPr="0002056A">
        <w:rPr>
          <w:rFonts w:ascii="Georgia" w:hAnsi="Georgia" w:cs="Times New Roman"/>
          <w:b/>
          <w:lang w:val="en-GB"/>
        </w:rPr>
        <w:t>or method-related problems and structural or financial limitations</w:t>
      </w:r>
      <w:r w:rsidRPr="0002056A">
        <w:rPr>
          <w:rFonts w:ascii="Georgia" w:hAnsi="Georgia" w:cs="Times New Roman"/>
          <w:bCs/>
          <w:lang w:val="en-GB"/>
        </w:rPr>
        <w:t xml:space="preserve"> at different spatial levels.</w:t>
      </w:r>
    </w:p>
    <w:p w14:paraId="3DD6079F" w14:textId="2F4B1372" w:rsidR="00904982" w:rsidRPr="0002056A" w:rsidRDefault="00DD1548" w:rsidP="00CD5BF3">
      <w:pPr>
        <w:spacing w:before="120" w:after="120"/>
        <w:jc w:val="both"/>
        <w:rPr>
          <w:rFonts w:ascii="Georgia" w:hAnsi="Georgia" w:cs="Times New Roman"/>
          <w:bCs/>
          <w:lang w:val="en-GB"/>
        </w:rPr>
      </w:pPr>
      <w:r w:rsidRPr="0002056A">
        <w:rPr>
          <w:rFonts w:ascii="Georgia" w:hAnsi="Georgia" w:cs="Times New Roman"/>
          <w:b/>
          <w:lang w:val="en-GB"/>
        </w:rPr>
        <w:t xml:space="preserve">Spatiality in adaptation is </w:t>
      </w:r>
      <w:r w:rsidR="00472C1E">
        <w:rPr>
          <w:rFonts w:ascii="Georgia" w:hAnsi="Georgia" w:cs="Times New Roman"/>
          <w:b/>
          <w:lang w:val="en-GB"/>
        </w:rPr>
        <w:t>usually examined</w:t>
      </w:r>
      <w:r w:rsidRPr="0002056A">
        <w:rPr>
          <w:rFonts w:ascii="Georgia" w:hAnsi="Georgia" w:cs="Times New Roman"/>
          <w:b/>
          <w:lang w:val="en-GB"/>
        </w:rPr>
        <w:t xml:space="preserve"> implicitly</w:t>
      </w:r>
      <w:r w:rsidRPr="0002056A">
        <w:rPr>
          <w:rFonts w:ascii="Georgia" w:hAnsi="Georgia" w:cs="Times New Roman"/>
          <w:bCs/>
          <w:lang w:val="en-GB"/>
        </w:rPr>
        <w:t xml:space="preserve">, through some space-related topic. Several authors analyse </w:t>
      </w:r>
      <w:r w:rsidRPr="0002056A">
        <w:rPr>
          <w:rFonts w:ascii="Georgia" w:hAnsi="Georgia" w:cs="Times New Roman"/>
          <w:bCs/>
          <w:i/>
          <w:iCs/>
          <w:lang w:val="en-GB"/>
        </w:rPr>
        <w:t>regional geography and its tools</w:t>
      </w:r>
      <w:r w:rsidR="00472C1E">
        <w:rPr>
          <w:rFonts w:ascii="Georgia" w:hAnsi="Georgia" w:cs="Times New Roman"/>
          <w:bCs/>
          <w:lang w:val="en-GB"/>
        </w:rPr>
        <w:t xml:space="preserve"> as a space-oriented discipline in the understanding of the spatiality of climate change; others focus on </w:t>
      </w:r>
      <w:r w:rsidR="00472C1E" w:rsidRPr="004621D3">
        <w:rPr>
          <w:rFonts w:ascii="Georgia" w:hAnsi="Georgia" w:cs="Times New Roman"/>
          <w:bCs/>
          <w:i/>
          <w:iCs/>
          <w:lang w:val="en-GB"/>
        </w:rPr>
        <w:t>lin</w:t>
      </w:r>
      <w:r w:rsidR="00472C1E" w:rsidRPr="00812058">
        <w:rPr>
          <w:rFonts w:ascii="Georgia" w:hAnsi="Georgia" w:cs="Times New Roman"/>
          <w:bCs/>
          <w:i/>
          <w:iCs/>
          <w:lang w:val="en-GB"/>
        </w:rPr>
        <w:t>kages between either strategic planning and adaptation or adaptation planning and spatial planning</w:t>
      </w:r>
      <w:r w:rsidR="00472C1E">
        <w:rPr>
          <w:rFonts w:ascii="Georgia" w:hAnsi="Georgia" w:cs="Times New Roman"/>
          <w:bCs/>
          <w:lang w:val="en-GB"/>
        </w:rPr>
        <w:t xml:space="preserve"> (both with physical and spatial development planning)</w:t>
      </w:r>
      <w:r w:rsidRPr="0002056A">
        <w:rPr>
          <w:rFonts w:ascii="Georgia" w:hAnsi="Georgia" w:cs="Times New Roman"/>
          <w:bCs/>
          <w:lang w:val="en-GB"/>
        </w:rPr>
        <w:t xml:space="preserve"> or </w:t>
      </w:r>
      <w:r w:rsidRPr="0002056A">
        <w:rPr>
          <w:rFonts w:ascii="Georgia" w:hAnsi="Georgia" w:cs="Times New Roman"/>
          <w:bCs/>
          <w:i/>
          <w:iCs/>
          <w:lang w:val="en-GB"/>
        </w:rPr>
        <w:t>adaptation</w:t>
      </w:r>
      <w:r w:rsidR="007B087C" w:rsidRPr="0002056A">
        <w:rPr>
          <w:rFonts w:ascii="Georgia" w:hAnsi="Georgia" w:cs="Times New Roman"/>
          <w:bCs/>
          <w:i/>
          <w:iCs/>
          <w:lang w:val="en-GB"/>
        </w:rPr>
        <w:t xml:space="preserve"> planning</w:t>
      </w:r>
      <w:r w:rsidRPr="0002056A">
        <w:rPr>
          <w:rFonts w:ascii="Georgia" w:hAnsi="Georgia" w:cs="Times New Roman"/>
          <w:bCs/>
          <w:i/>
          <w:iCs/>
          <w:lang w:val="en-GB"/>
        </w:rPr>
        <w:t xml:space="preserve"> and urban planning</w:t>
      </w:r>
      <w:r w:rsidRPr="0002056A">
        <w:rPr>
          <w:rFonts w:ascii="Georgia" w:hAnsi="Georgia" w:cs="Times New Roman"/>
          <w:bCs/>
          <w:lang w:val="en-GB"/>
        </w:rPr>
        <w:t xml:space="preserve">. </w:t>
      </w:r>
      <w:r w:rsidR="00904982" w:rsidRPr="0002056A">
        <w:rPr>
          <w:rFonts w:ascii="Georgia" w:hAnsi="Georgia" w:cs="Times New Roman"/>
          <w:bCs/>
          <w:lang w:val="en-GB"/>
        </w:rPr>
        <w:t xml:space="preserve">In other </w:t>
      </w:r>
      <w:r w:rsidR="00472C1E">
        <w:rPr>
          <w:rFonts w:ascii="Georgia" w:hAnsi="Georgia" w:cs="Times New Roman"/>
          <w:bCs/>
          <w:lang w:val="en-GB"/>
        </w:rPr>
        <w:t>words</w:t>
      </w:r>
      <w:r w:rsidR="00A82480" w:rsidRPr="0002056A">
        <w:rPr>
          <w:rFonts w:ascii="Georgia" w:hAnsi="Georgia" w:cs="Times New Roman"/>
          <w:bCs/>
          <w:lang w:val="en-GB"/>
        </w:rPr>
        <w:t>,</w:t>
      </w:r>
      <w:r w:rsidR="00904982" w:rsidRPr="0002056A">
        <w:rPr>
          <w:rFonts w:ascii="Georgia" w:hAnsi="Georgia" w:cs="Times New Roman"/>
          <w:bCs/>
          <w:lang w:val="en-GB"/>
        </w:rPr>
        <w:t xml:space="preserve"> new theorie</w:t>
      </w:r>
      <w:r w:rsidR="00A82480" w:rsidRPr="0002056A">
        <w:rPr>
          <w:rFonts w:ascii="Georgia" w:hAnsi="Georgia" w:cs="Times New Roman"/>
          <w:bCs/>
          <w:lang w:val="en-GB"/>
        </w:rPr>
        <w:t>s and</w:t>
      </w:r>
      <w:r w:rsidR="00904982" w:rsidRPr="0002056A">
        <w:rPr>
          <w:rFonts w:ascii="Georgia" w:hAnsi="Georgia" w:cs="Times New Roman"/>
          <w:bCs/>
          <w:lang w:val="en-GB"/>
        </w:rPr>
        <w:t xml:space="preserve"> approaches of adaptation-oriented planning emerge. Some authors focus on the speciality of the challenge of climate change and the </w:t>
      </w:r>
      <w:r w:rsidR="00904982" w:rsidRPr="0002056A">
        <w:rPr>
          <w:rFonts w:ascii="Georgia" w:hAnsi="Georgia" w:cs="Times New Roman"/>
          <w:bCs/>
          <w:i/>
          <w:iCs/>
          <w:lang w:val="en-GB"/>
        </w:rPr>
        <w:t>need for new ways/methods of planning</w:t>
      </w:r>
      <w:r w:rsidR="00904982" w:rsidRPr="0002056A">
        <w:rPr>
          <w:rFonts w:ascii="Georgia" w:hAnsi="Georgia" w:cs="Times New Roman"/>
          <w:bCs/>
          <w:lang w:val="en-GB"/>
        </w:rPr>
        <w:t xml:space="preserve">; some even recommend the </w:t>
      </w:r>
      <w:r w:rsidR="00904982" w:rsidRPr="0002056A">
        <w:rPr>
          <w:rFonts w:ascii="Georgia" w:hAnsi="Georgia" w:cs="Times New Roman"/>
          <w:bCs/>
          <w:i/>
          <w:iCs/>
          <w:lang w:val="en-GB"/>
        </w:rPr>
        <w:t>use of approaches such as horizontal and interdisciplinary thinking</w:t>
      </w:r>
      <w:r w:rsidR="00904982" w:rsidRPr="0002056A">
        <w:rPr>
          <w:rFonts w:ascii="Georgia" w:hAnsi="Georgia" w:cs="Times New Roman"/>
          <w:bCs/>
          <w:lang w:val="en-GB"/>
        </w:rPr>
        <w:t xml:space="preserve"> from the wicked problem phenomena. The role of spatial planning in adaptation or the growing importance of hazard assessments and risk information in spatial planning also have been recognized in some cases. </w:t>
      </w:r>
      <w:r w:rsidR="00904982" w:rsidRPr="0002056A">
        <w:rPr>
          <w:rFonts w:ascii="Georgia" w:hAnsi="Georgia"/>
          <w:bCs/>
          <w:lang w:val="en-GB"/>
        </w:rPr>
        <w:t xml:space="preserve">However, meanwhile adaptation’s and risk management’s role in spatial planning is quite well described, </w:t>
      </w:r>
      <w:r w:rsidR="00904982" w:rsidRPr="0002056A">
        <w:rPr>
          <w:rFonts w:ascii="Georgia" w:hAnsi="Georgia"/>
          <w:b/>
          <w:lang w:val="en-GB"/>
        </w:rPr>
        <w:t>the possible use of spatial aspects in adaptation policy making and the related tools does not get proper emphasis</w:t>
      </w:r>
      <w:r w:rsidR="00904982" w:rsidRPr="0002056A">
        <w:rPr>
          <w:rFonts w:ascii="Georgia" w:hAnsi="Georgia"/>
          <w:bCs/>
          <w:lang w:val="en-GB"/>
        </w:rPr>
        <w:t>, which fact underlines the novelty of the dissertation’s empirical part.</w:t>
      </w:r>
    </w:p>
    <w:p w14:paraId="1B1B0B3A" w14:textId="56EF3155" w:rsidR="00DD1548" w:rsidRPr="0002056A" w:rsidRDefault="00DD1548" w:rsidP="00DD1548">
      <w:pPr>
        <w:spacing w:before="60" w:after="60" w:line="240" w:lineRule="auto"/>
        <w:jc w:val="both"/>
        <w:rPr>
          <w:rFonts w:ascii="Georgia" w:hAnsi="Georgia" w:cs="Times New Roman"/>
          <w:bCs/>
          <w:lang w:val="en-GB"/>
        </w:rPr>
      </w:pPr>
    </w:p>
    <w:p w14:paraId="778A6D6F" w14:textId="77777777" w:rsidR="00DD1548" w:rsidRPr="0002056A" w:rsidRDefault="00DD1548" w:rsidP="00DD1548">
      <w:pPr>
        <w:spacing w:before="60" w:after="60" w:line="240" w:lineRule="auto"/>
        <w:jc w:val="both"/>
        <w:rPr>
          <w:rFonts w:ascii="Georgia" w:hAnsi="Georgia" w:cs="Times New Roman"/>
          <w:bCs/>
          <w:lang w:val="en-GB"/>
        </w:rPr>
      </w:pPr>
      <w:r w:rsidRPr="0002056A">
        <w:rPr>
          <w:rFonts w:ascii="Georgia" w:hAnsi="Georgia" w:cs="Times New Roman"/>
          <w:bCs/>
          <w:noProof/>
          <w:lang w:val="en-GB"/>
          <w14:ligatures w14:val="standardContextual"/>
        </w:rPr>
        <w:lastRenderedPageBreak/>
        <w:drawing>
          <wp:inline distT="0" distB="0" distL="0" distR="0" wp14:anchorId="14E9440C" wp14:editId="53E43B8D">
            <wp:extent cx="5760720" cy="3305810"/>
            <wp:effectExtent l="0" t="0" r="0" b="8890"/>
            <wp:docPr id="751614234" name="Kép 1" descr="A képen szöveg, diagram, sor, Betűtípu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14234" name="Kép 1" descr="A képen szöveg, diagram, sor, Betűtípus látható&#10;&#10;Előfordulhat, hogy az AI által létrehozott tartalom helytele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305810"/>
                    </a:xfrm>
                    <a:prstGeom prst="rect">
                      <a:avLst/>
                    </a:prstGeom>
                  </pic:spPr>
                </pic:pic>
              </a:graphicData>
            </a:graphic>
          </wp:inline>
        </w:drawing>
      </w:r>
    </w:p>
    <w:p w14:paraId="14953277" w14:textId="77777777" w:rsidR="00DD1548" w:rsidRPr="0002056A" w:rsidRDefault="00DD1548" w:rsidP="00DD1548">
      <w:pPr>
        <w:spacing w:before="120" w:after="120" w:line="240" w:lineRule="auto"/>
        <w:jc w:val="center"/>
        <w:rPr>
          <w:rFonts w:ascii="Georgia" w:hAnsi="Georgia"/>
          <w:b/>
          <w:sz w:val="16"/>
          <w:szCs w:val="16"/>
          <w:highlight w:val="yellow"/>
          <w:lang w:val="en-GB"/>
        </w:rPr>
      </w:pPr>
    </w:p>
    <w:p w14:paraId="3ABDAB84" w14:textId="02F1D46C" w:rsidR="00DD1548" w:rsidRPr="0002056A" w:rsidRDefault="00DD1548" w:rsidP="00F06F33">
      <w:pPr>
        <w:spacing w:before="120" w:after="120" w:line="240" w:lineRule="auto"/>
        <w:jc w:val="center"/>
        <w:rPr>
          <w:rFonts w:ascii="Georgia" w:hAnsi="Georgia"/>
          <w:bCs/>
          <w:i/>
          <w:sz w:val="16"/>
          <w:szCs w:val="16"/>
          <w:lang w:val="en-GB"/>
        </w:rPr>
      </w:pPr>
      <w:r w:rsidRPr="0002056A">
        <w:rPr>
          <w:rFonts w:ascii="Georgia" w:hAnsi="Georgia"/>
          <w:b/>
          <w:sz w:val="16"/>
          <w:szCs w:val="16"/>
          <w:lang w:val="en-GB"/>
        </w:rPr>
        <w:t xml:space="preserve">Figure </w:t>
      </w:r>
      <w:r w:rsidR="004E69D2" w:rsidRPr="0002056A">
        <w:rPr>
          <w:rFonts w:ascii="Georgia" w:hAnsi="Georgia"/>
          <w:b/>
          <w:sz w:val="16"/>
          <w:szCs w:val="16"/>
          <w:lang w:val="en-GB"/>
        </w:rPr>
        <w:t>9</w:t>
      </w:r>
      <w:r w:rsidRPr="0002056A">
        <w:rPr>
          <w:rFonts w:ascii="Georgia" w:hAnsi="Georgia"/>
          <w:b/>
          <w:sz w:val="16"/>
          <w:szCs w:val="16"/>
          <w:lang w:val="en-GB"/>
        </w:rPr>
        <w:t>: Main outcomes of the literature review.</w:t>
      </w:r>
      <w:r w:rsidRPr="0002056A">
        <w:rPr>
          <w:rFonts w:ascii="Georgia" w:hAnsi="Georgia"/>
          <w:bCs/>
          <w:sz w:val="16"/>
          <w:szCs w:val="16"/>
          <w:lang w:val="en-GB"/>
        </w:rPr>
        <w:t xml:space="preserve"> </w:t>
      </w:r>
      <w:r w:rsidRPr="0002056A">
        <w:rPr>
          <w:rFonts w:ascii="Georgia" w:hAnsi="Georgia"/>
          <w:bCs/>
          <w:i/>
          <w:sz w:val="16"/>
          <w:szCs w:val="16"/>
          <w:lang w:val="en-GB"/>
        </w:rPr>
        <w:t>Source: own editing.</w:t>
      </w:r>
    </w:p>
    <w:p w14:paraId="3E388D29" w14:textId="2D8470C5" w:rsidR="004B6145" w:rsidRPr="0002056A" w:rsidRDefault="001F7058" w:rsidP="00CD5BF3">
      <w:pPr>
        <w:spacing w:before="120" w:after="120"/>
        <w:jc w:val="both"/>
        <w:rPr>
          <w:rFonts w:ascii="Georgia" w:hAnsi="Georgia" w:cs="Times New Roman"/>
          <w:bCs/>
          <w:lang w:val="en-GB"/>
        </w:rPr>
      </w:pPr>
      <w:r w:rsidRPr="0002056A">
        <w:rPr>
          <w:rFonts w:ascii="Georgia" w:hAnsi="Georgia" w:cs="Times New Roman"/>
          <w:bCs/>
          <w:lang w:val="en-GB"/>
        </w:rPr>
        <w:t>T</w:t>
      </w:r>
      <w:r w:rsidR="00DD1548" w:rsidRPr="0002056A">
        <w:rPr>
          <w:rFonts w:ascii="Georgia" w:hAnsi="Georgia" w:cs="Times New Roman"/>
          <w:bCs/>
          <w:lang w:val="en-GB"/>
        </w:rPr>
        <w:t xml:space="preserve">he </w:t>
      </w:r>
      <w:r w:rsidR="00DD1548" w:rsidRPr="0002056A">
        <w:rPr>
          <w:rFonts w:ascii="Georgia" w:hAnsi="Georgia" w:cs="Times New Roman"/>
          <w:b/>
          <w:lang w:val="en-GB"/>
        </w:rPr>
        <w:t xml:space="preserve">importance of proper, spatially conscious </w:t>
      </w:r>
      <w:r w:rsidRPr="0002056A">
        <w:rPr>
          <w:rFonts w:ascii="Georgia" w:hAnsi="Georgia" w:cs="Times New Roman"/>
          <w:b/>
          <w:lang w:val="en-GB"/>
        </w:rPr>
        <w:t xml:space="preserve">planning, </w:t>
      </w:r>
      <w:r w:rsidR="00DD1548" w:rsidRPr="0002056A">
        <w:rPr>
          <w:rFonts w:ascii="Georgia" w:hAnsi="Georgia" w:cs="Times New Roman"/>
          <w:b/>
          <w:lang w:val="en-GB"/>
        </w:rPr>
        <w:t xml:space="preserve">monitoring and evaluation; the role of spatial approach and aspects </w:t>
      </w:r>
      <w:r w:rsidR="009678D3" w:rsidRPr="0002056A">
        <w:rPr>
          <w:rFonts w:ascii="Georgia" w:hAnsi="Georgia" w:cs="Times New Roman"/>
          <w:b/>
          <w:lang w:val="en-GB"/>
        </w:rPr>
        <w:t xml:space="preserve">in these activities </w:t>
      </w:r>
      <w:r w:rsidR="0038612C" w:rsidRPr="0002056A">
        <w:rPr>
          <w:rFonts w:ascii="Georgia" w:hAnsi="Georgia" w:cs="Times New Roman"/>
          <w:b/>
          <w:lang w:val="en-GB"/>
        </w:rPr>
        <w:t xml:space="preserve">simply </w:t>
      </w:r>
      <w:r w:rsidR="00DD1548" w:rsidRPr="0002056A">
        <w:rPr>
          <w:rFonts w:ascii="Georgia" w:hAnsi="Georgia" w:cs="Times New Roman"/>
          <w:b/>
          <w:lang w:val="en-GB"/>
        </w:rPr>
        <w:t>do not appear directly in the reviewed literature items</w:t>
      </w:r>
      <w:r w:rsidR="00DD1548" w:rsidRPr="0002056A">
        <w:rPr>
          <w:rFonts w:ascii="Georgia" w:hAnsi="Georgia" w:cs="Times New Roman"/>
          <w:bCs/>
          <w:lang w:val="en-GB"/>
        </w:rPr>
        <w:t xml:space="preserve">: neither </w:t>
      </w:r>
      <w:r w:rsidR="00DD1548" w:rsidRPr="0002056A">
        <w:rPr>
          <w:rFonts w:ascii="Georgia" w:eastAsia="Times New Roman" w:hAnsi="Georgia" w:cs="Times New Roman"/>
          <w:bCs/>
          <w:color w:val="000000"/>
          <w:lang w:val="en-GB" w:eastAsia="hu-HU"/>
        </w:rPr>
        <w:t xml:space="preserve">geographers nor scientists from other fields paid serious attention to </w:t>
      </w:r>
      <w:r w:rsidR="00216AD0" w:rsidRPr="0002056A">
        <w:rPr>
          <w:rFonts w:ascii="Georgia" w:eastAsia="Times New Roman" w:hAnsi="Georgia" w:cs="Times New Roman"/>
          <w:bCs/>
          <w:color w:val="000000"/>
          <w:lang w:val="en-GB" w:eastAsia="hu-HU"/>
        </w:rPr>
        <w:t>spatiality</w:t>
      </w:r>
      <w:r w:rsidR="00DD1548" w:rsidRPr="0002056A">
        <w:rPr>
          <w:rFonts w:ascii="Georgia" w:eastAsia="Times New Roman" w:hAnsi="Georgia" w:cs="Times New Roman"/>
          <w:bCs/>
          <w:color w:val="000000"/>
          <w:lang w:val="en-GB" w:eastAsia="hu-HU"/>
        </w:rPr>
        <w:t xml:space="preserve"> of climate change</w:t>
      </w:r>
      <w:r w:rsidR="00DD1548" w:rsidRPr="0002056A">
        <w:rPr>
          <w:rFonts w:ascii="Georgia" w:hAnsi="Georgia" w:cs="Times New Roman"/>
          <w:bCs/>
          <w:lang w:val="en-GB"/>
        </w:rPr>
        <w:t xml:space="preserve"> (</w:t>
      </w:r>
      <w:r w:rsidR="00DD1548" w:rsidRPr="0002056A">
        <w:rPr>
          <w:rFonts w:ascii="Georgia" w:hAnsi="Georgia" w:cs="Times New Roman"/>
          <w:bCs/>
          <w:smallCaps/>
          <w:lang w:val="en-GB"/>
        </w:rPr>
        <w:t>Paasi, 2023</w:t>
      </w:r>
      <w:r w:rsidR="00472C1E">
        <w:rPr>
          <w:rFonts w:ascii="Georgia" w:hAnsi="Georgia" w:cs="Times New Roman"/>
          <w:bCs/>
          <w:smallCaps/>
          <w:lang w:val="en-GB"/>
        </w:rPr>
        <w:t>;</w:t>
      </w:r>
      <w:r w:rsidR="00472C1E" w:rsidRPr="0002056A">
        <w:rPr>
          <w:rFonts w:ascii="Georgia" w:hAnsi="Georgia" w:cs="Times New Roman"/>
          <w:bCs/>
          <w:smallCaps/>
          <w:lang w:val="en-GB"/>
        </w:rPr>
        <w:t xml:space="preserve"> </w:t>
      </w:r>
      <w:r w:rsidR="00DD1548" w:rsidRPr="0002056A">
        <w:rPr>
          <w:rFonts w:ascii="Georgia" w:hAnsi="Georgia" w:cs="Times New Roman"/>
          <w:bCs/>
          <w:smallCaps/>
          <w:lang w:val="en-GB"/>
        </w:rPr>
        <w:t>Sütő, 2024</w:t>
      </w:r>
      <w:r w:rsidR="00DD1548" w:rsidRPr="0002056A">
        <w:rPr>
          <w:rFonts w:ascii="Georgia" w:hAnsi="Georgia" w:cs="Times New Roman"/>
          <w:bCs/>
          <w:lang w:val="en-GB"/>
        </w:rPr>
        <w:t xml:space="preserve">). </w:t>
      </w:r>
      <w:r w:rsidR="0038612C" w:rsidRPr="0002056A">
        <w:rPr>
          <w:rFonts w:ascii="Georgia" w:hAnsi="Georgia" w:cs="Times New Roman"/>
          <w:bCs/>
          <w:lang w:val="en-GB"/>
        </w:rPr>
        <w:t>S</w:t>
      </w:r>
      <w:r w:rsidR="00DD1548" w:rsidRPr="0002056A">
        <w:rPr>
          <w:rFonts w:ascii="Georgia" w:hAnsi="Georgia" w:cs="Times New Roman"/>
          <w:bCs/>
          <w:lang w:val="en-GB"/>
        </w:rPr>
        <w:t xml:space="preserve">patially specific focuses, geographical scopes, </w:t>
      </w:r>
      <w:r w:rsidR="00472C1E">
        <w:rPr>
          <w:rFonts w:ascii="Georgia" w:hAnsi="Georgia" w:cs="Times New Roman"/>
          <w:bCs/>
          <w:lang w:val="en-GB"/>
        </w:rPr>
        <w:t xml:space="preserve">and </w:t>
      </w:r>
      <w:r w:rsidR="00DD1548" w:rsidRPr="0002056A">
        <w:rPr>
          <w:rFonts w:ascii="Georgia" w:hAnsi="Georgia" w:cs="Times New Roman"/>
          <w:bCs/>
          <w:lang w:val="en-GB"/>
        </w:rPr>
        <w:t xml:space="preserve">spatial aspects in adaptation got </w:t>
      </w:r>
      <w:r w:rsidR="0038612C" w:rsidRPr="0002056A">
        <w:rPr>
          <w:rFonts w:ascii="Georgia" w:hAnsi="Georgia" w:cs="Times New Roman"/>
          <w:bCs/>
          <w:lang w:val="en-GB"/>
        </w:rPr>
        <w:t>small</w:t>
      </w:r>
      <w:r w:rsidR="00DD1548" w:rsidRPr="0002056A">
        <w:rPr>
          <w:rFonts w:ascii="Georgia" w:hAnsi="Georgia" w:cs="Times New Roman"/>
          <w:bCs/>
          <w:lang w:val="en-GB"/>
        </w:rPr>
        <w:t xml:space="preserve"> emphasis. Very few studies concentrate on these issues. Those few that do, do it </w:t>
      </w:r>
      <w:r w:rsidR="0038612C" w:rsidRPr="0002056A">
        <w:rPr>
          <w:rFonts w:ascii="Georgia" w:hAnsi="Georgia" w:cs="Times New Roman"/>
          <w:bCs/>
          <w:lang w:val="en-GB"/>
        </w:rPr>
        <w:t xml:space="preserve">mostly </w:t>
      </w:r>
      <w:r w:rsidR="00DD1548" w:rsidRPr="0002056A">
        <w:rPr>
          <w:rFonts w:ascii="Georgia" w:hAnsi="Georgia" w:cs="Times New Roman"/>
          <w:bCs/>
          <w:lang w:val="en-GB"/>
        </w:rPr>
        <w:t>implicitly (</w:t>
      </w:r>
      <w:r w:rsidR="00DD1548" w:rsidRPr="0002056A">
        <w:rPr>
          <w:rFonts w:ascii="Georgia" w:hAnsi="Georgia" w:cs="Times New Roman"/>
          <w:bCs/>
          <w:smallCaps/>
          <w:lang w:val="en-GB"/>
        </w:rPr>
        <w:t xml:space="preserve">Schuster, 2008; </w:t>
      </w:r>
      <w:r w:rsidRPr="0002056A">
        <w:rPr>
          <w:rFonts w:ascii="Georgia" w:hAnsi="Georgia" w:cs="Times New Roman"/>
          <w:bCs/>
          <w:smallCaps/>
          <w:lang w:val="en-GB"/>
        </w:rPr>
        <w:t>Dosch et al., 2008</w:t>
      </w:r>
      <w:r w:rsidR="007D0BE0" w:rsidRPr="0002056A">
        <w:rPr>
          <w:rFonts w:ascii="Georgia" w:hAnsi="Georgia" w:cs="Times New Roman"/>
          <w:bCs/>
          <w:smallCaps/>
          <w:lang w:val="en-GB"/>
        </w:rPr>
        <w:t xml:space="preserve">; </w:t>
      </w:r>
      <w:r w:rsidR="008840CC" w:rsidRPr="0002056A">
        <w:rPr>
          <w:rFonts w:ascii="Georgia" w:hAnsi="Georgia" w:cs="Times New Roman"/>
          <w:bCs/>
          <w:smallCaps/>
          <w:lang w:val="en-GB"/>
        </w:rPr>
        <w:t>Swart</w:t>
      </w:r>
      <w:r w:rsidR="0038612C" w:rsidRPr="0002056A">
        <w:rPr>
          <w:rFonts w:ascii="Georgia" w:hAnsi="Georgia" w:cs="Times New Roman"/>
          <w:bCs/>
          <w:smallCaps/>
          <w:lang w:val="en-GB"/>
        </w:rPr>
        <w:t xml:space="preserve"> et al.</w:t>
      </w:r>
      <w:r w:rsidR="008840CC" w:rsidRPr="0002056A">
        <w:rPr>
          <w:rFonts w:ascii="Georgia" w:hAnsi="Georgia" w:cs="Times New Roman"/>
          <w:bCs/>
          <w:smallCaps/>
          <w:lang w:val="en-GB"/>
        </w:rPr>
        <w:t>, 2009</w:t>
      </w:r>
      <w:r w:rsidR="008840CC" w:rsidRPr="0002056A">
        <w:rPr>
          <w:rFonts w:ascii="Georgia" w:hAnsi="Georgia" w:cs="Times New Roman"/>
          <w:bCs/>
          <w:lang w:val="en-GB"/>
        </w:rPr>
        <w:t xml:space="preserve">; </w:t>
      </w:r>
      <w:r w:rsidR="008840CC" w:rsidRPr="0002056A">
        <w:rPr>
          <w:rFonts w:ascii="Georgia" w:hAnsi="Georgia" w:cs="Times New Roman"/>
          <w:bCs/>
          <w:smallCaps/>
          <w:lang w:val="en-GB"/>
        </w:rPr>
        <w:t xml:space="preserve">Roggema, 2009 </w:t>
      </w:r>
      <w:r w:rsidR="008840CC" w:rsidRPr="0002056A">
        <w:rPr>
          <w:rFonts w:ascii="Georgia" w:hAnsi="Georgia" w:cs="Times New Roman"/>
          <w:bCs/>
          <w:lang w:val="en-GB"/>
        </w:rPr>
        <w:t>and</w:t>
      </w:r>
      <w:r w:rsidR="008840CC" w:rsidRPr="0002056A">
        <w:rPr>
          <w:rFonts w:ascii="Georgia" w:hAnsi="Georgia" w:cs="Times New Roman"/>
          <w:bCs/>
          <w:smallCaps/>
          <w:lang w:val="en-GB"/>
        </w:rPr>
        <w:t xml:space="preserve"> </w:t>
      </w:r>
      <w:r w:rsidR="00BB25BA" w:rsidRPr="0002056A">
        <w:rPr>
          <w:rFonts w:ascii="Georgia" w:hAnsi="Georgia" w:cs="Times New Roman"/>
          <w:bCs/>
          <w:smallCaps/>
          <w:lang w:val="en-GB"/>
        </w:rPr>
        <w:t>2012; LEITER</w:t>
      </w:r>
      <w:r w:rsidR="008840CC" w:rsidRPr="0002056A">
        <w:rPr>
          <w:rFonts w:ascii="Georgia" w:hAnsi="Georgia"/>
          <w:bCs/>
          <w:lang w:val="en-GB"/>
        </w:rPr>
        <w:t xml:space="preserve">, 2021; </w:t>
      </w:r>
      <w:r w:rsidR="00DD1548" w:rsidRPr="0002056A">
        <w:rPr>
          <w:rFonts w:ascii="Georgia" w:hAnsi="Georgia" w:cs="Times New Roman"/>
          <w:bCs/>
          <w:smallCaps/>
          <w:lang w:val="en-GB"/>
        </w:rPr>
        <w:t>EEA, 2022</w:t>
      </w:r>
      <w:r w:rsidR="00DD1548" w:rsidRPr="0002056A">
        <w:rPr>
          <w:rFonts w:ascii="Georgia" w:hAnsi="Georgia" w:cs="Times New Roman"/>
          <w:bCs/>
          <w:lang w:val="en-GB"/>
        </w:rPr>
        <w:t>)</w:t>
      </w:r>
      <w:r w:rsidR="00977995" w:rsidRPr="0002056A">
        <w:rPr>
          <w:rFonts w:ascii="Georgia" w:hAnsi="Georgia" w:cs="Times New Roman"/>
          <w:bCs/>
          <w:lang w:val="en-GB"/>
        </w:rPr>
        <w:t xml:space="preserve">; explicit focus on the topic can be observed only in </w:t>
      </w:r>
      <w:r w:rsidR="00DF48F7" w:rsidRPr="0002056A">
        <w:rPr>
          <w:rFonts w:ascii="Georgia" w:hAnsi="Georgia" w:cs="Times New Roman"/>
          <w:bCs/>
          <w:lang w:val="en-GB"/>
        </w:rPr>
        <w:t xml:space="preserve">very </w:t>
      </w:r>
      <w:r w:rsidR="00977995" w:rsidRPr="0002056A">
        <w:rPr>
          <w:rFonts w:ascii="Georgia" w:hAnsi="Georgia" w:cs="Times New Roman"/>
          <w:bCs/>
          <w:lang w:val="en-GB"/>
        </w:rPr>
        <w:t>few works (</w:t>
      </w:r>
      <w:r w:rsidR="00DF48F7" w:rsidRPr="0002056A">
        <w:rPr>
          <w:rFonts w:ascii="Georgia" w:hAnsi="Georgia" w:cs="Times New Roman"/>
          <w:bCs/>
          <w:smallCaps/>
          <w:lang w:val="en-GB"/>
        </w:rPr>
        <w:t xml:space="preserve">Greiving&amp;Fleischhauer, 2010 </w:t>
      </w:r>
      <w:r w:rsidR="00DF48F7" w:rsidRPr="0002056A">
        <w:rPr>
          <w:rFonts w:ascii="Georgia" w:hAnsi="Georgia" w:cs="Times New Roman"/>
          <w:bCs/>
          <w:lang w:val="en-GB"/>
        </w:rPr>
        <w:t>and</w:t>
      </w:r>
      <w:r w:rsidR="00DF48F7" w:rsidRPr="0002056A">
        <w:rPr>
          <w:rFonts w:ascii="Georgia" w:hAnsi="Georgia" w:cs="Times New Roman"/>
          <w:bCs/>
          <w:smallCaps/>
          <w:lang w:val="en-GB"/>
        </w:rPr>
        <w:t xml:space="preserve"> 2012; OECD, 2023</w:t>
      </w:r>
      <w:r w:rsidR="00977995" w:rsidRPr="0002056A">
        <w:rPr>
          <w:rFonts w:ascii="Georgia" w:hAnsi="Georgia" w:cs="Times New Roman"/>
          <w:bCs/>
          <w:lang w:val="en-GB"/>
        </w:rPr>
        <w:t>)</w:t>
      </w:r>
      <w:r w:rsidR="00552090" w:rsidRPr="0002056A">
        <w:rPr>
          <w:rFonts w:ascii="Georgia" w:hAnsi="Georgia" w:cs="Times New Roman"/>
          <w:bCs/>
          <w:lang w:val="en-GB"/>
        </w:rPr>
        <w:t xml:space="preserve">. These studies’ main conclusion is </w:t>
      </w:r>
      <w:r w:rsidR="00DD1548" w:rsidRPr="0002056A">
        <w:rPr>
          <w:rFonts w:ascii="Georgia" w:hAnsi="Georgia" w:cs="Times New Roman"/>
          <w:bCs/>
          <w:lang w:val="en-GB"/>
        </w:rPr>
        <w:t xml:space="preserve">that although some special </w:t>
      </w:r>
      <w:r w:rsidR="008840CC" w:rsidRPr="0002056A">
        <w:rPr>
          <w:rFonts w:ascii="Georgia" w:hAnsi="Georgia" w:cs="Times New Roman"/>
          <w:bCs/>
          <w:lang w:val="en-GB"/>
        </w:rPr>
        <w:t xml:space="preserve">geographic </w:t>
      </w:r>
      <w:r w:rsidR="00DD1548" w:rsidRPr="0002056A">
        <w:rPr>
          <w:rFonts w:ascii="Georgia" w:hAnsi="Georgia" w:cs="Times New Roman"/>
          <w:bCs/>
          <w:lang w:val="en-GB"/>
        </w:rPr>
        <w:t>characteristics/focuses can be identified in national adaptation strategies’ situation anal</w:t>
      </w:r>
      <w:r w:rsidR="008840CC" w:rsidRPr="0002056A">
        <w:rPr>
          <w:rFonts w:ascii="Georgia" w:hAnsi="Georgia" w:cs="Times New Roman"/>
          <w:bCs/>
          <w:lang w:val="en-GB"/>
        </w:rPr>
        <w:t>y</w:t>
      </w:r>
      <w:r w:rsidR="00DD1548" w:rsidRPr="0002056A">
        <w:rPr>
          <w:rFonts w:ascii="Georgia" w:hAnsi="Georgia" w:cs="Times New Roman"/>
          <w:bCs/>
          <w:lang w:val="en-GB"/>
        </w:rPr>
        <w:t xml:space="preserve">ses in the late 2000s – early 2010s, </w:t>
      </w:r>
      <w:r w:rsidR="00472C1E">
        <w:rPr>
          <w:rFonts w:ascii="Georgia" w:hAnsi="Georgia" w:cs="Times New Roman"/>
          <w:bCs/>
          <w:lang w:val="en-GB"/>
        </w:rPr>
        <w:t>the</w:t>
      </w:r>
      <w:r w:rsidR="00472C1E" w:rsidRPr="0002056A">
        <w:rPr>
          <w:rFonts w:ascii="Georgia" w:hAnsi="Georgia" w:cs="Times New Roman"/>
          <w:bCs/>
          <w:lang w:val="en-GB"/>
        </w:rPr>
        <w:t xml:space="preserve"> </w:t>
      </w:r>
      <w:r w:rsidR="00DD1548" w:rsidRPr="0002056A">
        <w:rPr>
          <w:rFonts w:ascii="Georgia" w:hAnsi="Georgia" w:cs="Times New Roman"/>
          <w:bCs/>
          <w:lang w:val="en-GB"/>
        </w:rPr>
        <w:t>addressed sectors and development lines are quite similar. No geographic specificities are reflected in the objective systems and measures. D</w:t>
      </w:r>
      <w:r w:rsidR="00DD1548" w:rsidRPr="0002056A">
        <w:rPr>
          <w:rFonts w:ascii="Georgia" w:hAnsi="Georgia"/>
          <w:bCs/>
          <w:lang w:val="en-GB"/>
        </w:rPr>
        <w:t>espite the variation of current and future climate impacts in Europe, there is still no significant differences between member states</w:t>
      </w:r>
      <w:r w:rsidR="00104C9C" w:rsidRPr="0002056A">
        <w:rPr>
          <w:rFonts w:ascii="Georgia" w:hAnsi="Georgia"/>
          <w:bCs/>
          <w:lang w:val="en-GB"/>
        </w:rPr>
        <w:t>’ strategies,</w:t>
      </w:r>
      <w:r w:rsidR="00DD1548" w:rsidRPr="0002056A">
        <w:rPr>
          <w:rFonts w:ascii="Georgia" w:hAnsi="Georgia"/>
          <w:bCs/>
          <w:lang w:val="en-GB"/>
        </w:rPr>
        <w:t xml:space="preserve"> regarding their </w:t>
      </w:r>
      <w:r w:rsidR="00104C9C" w:rsidRPr="0002056A">
        <w:rPr>
          <w:rFonts w:ascii="Georgia" w:hAnsi="Georgia"/>
          <w:bCs/>
          <w:lang w:val="en-GB"/>
        </w:rPr>
        <w:t xml:space="preserve">identified </w:t>
      </w:r>
      <w:r w:rsidR="00DD1548" w:rsidRPr="0002056A">
        <w:rPr>
          <w:rFonts w:ascii="Georgia" w:hAnsi="Georgia"/>
          <w:bCs/>
          <w:lang w:val="en-GB"/>
        </w:rPr>
        <w:t>key sectors in the</w:t>
      </w:r>
      <w:r w:rsidR="00104C9C" w:rsidRPr="0002056A">
        <w:rPr>
          <w:rFonts w:ascii="Georgia" w:hAnsi="Georgia"/>
          <w:bCs/>
          <w:lang w:val="en-GB"/>
        </w:rPr>
        <w:t>ir</w:t>
      </w:r>
      <w:r w:rsidR="00DD1548" w:rsidRPr="0002056A">
        <w:rPr>
          <w:rFonts w:ascii="Georgia" w:hAnsi="Georgia"/>
          <w:bCs/>
          <w:lang w:val="en-GB"/>
        </w:rPr>
        <w:t xml:space="preserve"> NAS documents. Measures are quite homogenous and distributed only across few thematic fields. Differences in national physical, social and environmental circumstances do not correspond with preference given for definite action types. These findings point unambiguously to the direction of a new research gap.</w:t>
      </w:r>
      <w:r w:rsidR="00DD1548" w:rsidRPr="0002056A">
        <w:rPr>
          <w:rFonts w:ascii="Georgia" w:hAnsi="Georgia" w:cs="Times New Roman"/>
          <w:bCs/>
          <w:lang w:val="en-GB"/>
        </w:rPr>
        <w:t xml:space="preserve"> Figure </w:t>
      </w:r>
      <w:r w:rsidR="004E69D2" w:rsidRPr="0002056A">
        <w:rPr>
          <w:rFonts w:ascii="Georgia" w:hAnsi="Georgia" w:cs="Times New Roman"/>
          <w:bCs/>
          <w:lang w:val="en-GB"/>
        </w:rPr>
        <w:t>9</w:t>
      </w:r>
      <w:r w:rsidR="00DD1548" w:rsidRPr="0002056A">
        <w:rPr>
          <w:rFonts w:ascii="Georgia" w:hAnsi="Georgia" w:cs="Times New Roman"/>
          <w:bCs/>
          <w:lang w:val="en-GB"/>
        </w:rPr>
        <w:t xml:space="preserve"> summari</w:t>
      </w:r>
      <w:r w:rsidR="00472C1E">
        <w:rPr>
          <w:rFonts w:ascii="Georgia" w:hAnsi="Georgia" w:cs="Times New Roman"/>
          <w:bCs/>
          <w:lang w:val="en-GB"/>
        </w:rPr>
        <w:t>s</w:t>
      </w:r>
      <w:r w:rsidR="00DD1548" w:rsidRPr="0002056A">
        <w:rPr>
          <w:rFonts w:ascii="Georgia" w:hAnsi="Georgia" w:cs="Times New Roman"/>
          <w:bCs/>
          <w:lang w:val="en-GB"/>
        </w:rPr>
        <w:t>es the main findings and the research niche that stand</w:t>
      </w:r>
      <w:r w:rsidR="00F06F33" w:rsidRPr="0002056A">
        <w:rPr>
          <w:rFonts w:ascii="Georgia" w:hAnsi="Georgia" w:cs="Times New Roman"/>
          <w:bCs/>
          <w:lang w:val="en-GB"/>
        </w:rPr>
        <w:t xml:space="preserve">s </w:t>
      </w:r>
      <w:r w:rsidR="00DD1548" w:rsidRPr="0002056A">
        <w:rPr>
          <w:rFonts w:ascii="Georgia" w:hAnsi="Georgia" w:cs="Times New Roman"/>
          <w:bCs/>
          <w:lang w:val="en-GB"/>
        </w:rPr>
        <w:t>out consequently.</w:t>
      </w:r>
    </w:p>
    <w:p w14:paraId="3A100DAC" w14:textId="3BBC151E" w:rsidR="00DD1548" w:rsidRPr="0002056A" w:rsidRDefault="00DD1548" w:rsidP="00CD5BF3">
      <w:pPr>
        <w:spacing w:after="0"/>
        <w:jc w:val="both"/>
        <w:rPr>
          <w:rFonts w:ascii="Georgia" w:hAnsi="Georgia"/>
          <w:lang w:val="en-GB"/>
        </w:rPr>
      </w:pPr>
      <w:r w:rsidRPr="0002056A">
        <w:rPr>
          <w:rFonts w:ascii="Georgia" w:hAnsi="Georgia"/>
          <w:lang w:val="en-GB"/>
        </w:rPr>
        <w:t>It can be observed as well that focus on spatial issues, after a significant</w:t>
      </w:r>
      <w:r w:rsidR="00EB6EDC" w:rsidRPr="0002056A">
        <w:rPr>
          <w:rFonts w:ascii="Georgia" w:hAnsi="Georgia"/>
          <w:lang w:val="en-GB"/>
        </w:rPr>
        <w:t>ly</w:t>
      </w:r>
      <w:r w:rsidRPr="0002056A">
        <w:rPr>
          <w:rFonts w:ascii="Georgia" w:hAnsi="Georgia"/>
          <w:lang w:val="en-GB"/>
        </w:rPr>
        <w:t xml:space="preserve"> </w:t>
      </w:r>
      <w:r w:rsidR="00216AD0" w:rsidRPr="0002056A">
        <w:rPr>
          <w:rFonts w:ascii="Georgia" w:hAnsi="Georgia"/>
          <w:lang w:val="en-GB"/>
        </w:rPr>
        <w:t>busy</w:t>
      </w:r>
      <w:r w:rsidRPr="0002056A">
        <w:rPr>
          <w:rFonts w:ascii="Georgia" w:hAnsi="Georgia"/>
          <w:lang w:val="en-GB"/>
        </w:rPr>
        <w:t xml:space="preserve"> period characterised by </w:t>
      </w:r>
      <w:r w:rsidR="00EB6EDC" w:rsidRPr="0002056A">
        <w:rPr>
          <w:rFonts w:ascii="Georgia" w:hAnsi="Georgia"/>
          <w:lang w:val="en-GB"/>
        </w:rPr>
        <w:t xml:space="preserve">the relatively </w:t>
      </w:r>
      <w:r w:rsidRPr="0002056A">
        <w:rPr>
          <w:rFonts w:ascii="Georgia" w:hAnsi="Georgia"/>
          <w:lang w:val="en-GB"/>
        </w:rPr>
        <w:t xml:space="preserve">frequent publication of scientific research results, policy </w:t>
      </w:r>
      <w:r w:rsidR="00216AD0" w:rsidRPr="0002056A">
        <w:rPr>
          <w:rFonts w:ascii="Georgia" w:hAnsi="Georgia"/>
          <w:lang w:val="en-GB"/>
        </w:rPr>
        <w:t>background</w:t>
      </w:r>
      <w:r w:rsidRPr="0002056A">
        <w:rPr>
          <w:rFonts w:ascii="Georgia" w:hAnsi="Georgia"/>
          <w:lang w:val="en-GB"/>
        </w:rPr>
        <w:t xml:space="preserve"> documents, reports and related strategic document content</w:t>
      </w:r>
      <w:r w:rsidR="00EB6EDC" w:rsidRPr="0002056A">
        <w:rPr>
          <w:rFonts w:ascii="Georgia" w:hAnsi="Georgia"/>
          <w:lang w:val="en-GB"/>
        </w:rPr>
        <w:t xml:space="preserve"> at</w:t>
      </w:r>
      <w:r w:rsidRPr="0002056A">
        <w:rPr>
          <w:rFonts w:ascii="Georgia" w:hAnsi="Georgia"/>
          <w:lang w:val="en-GB"/>
        </w:rPr>
        <w:t xml:space="preserve"> the turn of the 2000s and 2010s, especially between 20</w:t>
      </w:r>
      <w:r w:rsidR="00EB6EDC" w:rsidRPr="0002056A">
        <w:rPr>
          <w:rFonts w:ascii="Georgia" w:hAnsi="Georgia"/>
          <w:lang w:val="en-GB"/>
        </w:rPr>
        <w:t>0</w:t>
      </w:r>
      <w:r w:rsidRPr="0002056A">
        <w:rPr>
          <w:rFonts w:ascii="Georgia" w:hAnsi="Georgia"/>
          <w:lang w:val="en-GB"/>
        </w:rPr>
        <w:t xml:space="preserve">8 and 2011 when some kind of a spatial planning and thinking </w:t>
      </w:r>
      <w:r w:rsidR="00216AD0" w:rsidRPr="0002056A">
        <w:rPr>
          <w:rFonts w:ascii="Georgia" w:hAnsi="Georgia"/>
          <w:lang w:val="en-GB"/>
        </w:rPr>
        <w:t>renaissance</w:t>
      </w:r>
      <w:r w:rsidRPr="0002056A">
        <w:rPr>
          <w:rFonts w:ascii="Georgia" w:hAnsi="Georgia"/>
          <w:lang w:val="en-GB"/>
        </w:rPr>
        <w:t xml:space="preserve"> could be experienced </w:t>
      </w:r>
      <w:r w:rsidR="00EB6EDC" w:rsidRPr="0002056A">
        <w:rPr>
          <w:rFonts w:ascii="Georgia" w:hAnsi="Georgia"/>
          <w:lang w:val="en-GB"/>
        </w:rPr>
        <w:t>in</w:t>
      </w:r>
      <w:r w:rsidRPr="0002056A">
        <w:rPr>
          <w:rFonts w:ascii="Georgia" w:hAnsi="Georgia"/>
          <w:lang w:val="en-GB"/>
        </w:rPr>
        <w:t xml:space="preserve"> the European development planning sphere, topics like spatial planning’s relation with and its role in adaptation policy</w:t>
      </w:r>
      <w:r w:rsidR="001A77EE" w:rsidRPr="0002056A">
        <w:rPr>
          <w:rFonts w:ascii="Georgia" w:hAnsi="Georgia"/>
          <w:lang w:val="en-GB"/>
        </w:rPr>
        <w:t xml:space="preserve"> as well as </w:t>
      </w:r>
      <w:r w:rsidRPr="0002056A">
        <w:rPr>
          <w:rFonts w:ascii="Georgia" w:hAnsi="Georgia"/>
          <w:lang w:val="en-GB"/>
        </w:rPr>
        <w:t>regional geograph</w:t>
      </w:r>
      <w:r w:rsidR="00EB6EDC" w:rsidRPr="0002056A">
        <w:rPr>
          <w:rFonts w:ascii="Georgia" w:hAnsi="Georgia"/>
          <w:lang w:val="en-GB"/>
        </w:rPr>
        <w:t>ical approach</w:t>
      </w:r>
      <w:r w:rsidRPr="0002056A">
        <w:rPr>
          <w:rFonts w:ascii="Georgia" w:hAnsi="Georgia"/>
          <w:lang w:val="en-GB"/>
        </w:rPr>
        <w:t xml:space="preserve">’s role in the issue nowadays get only smaller emphasis again. </w:t>
      </w:r>
      <w:r w:rsidR="000675DC" w:rsidRPr="0002056A">
        <w:rPr>
          <w:rFonts w:ascii="Georgia" w:hAnsi="Georgia"/>
          <w:lang w:val="en-GB"/>
        </w:rPr>
        <w:t xml:space="preserve">Explicit spatiality of adaptation policy practice, moreover, has never or barely got proper emphasis in </w:t>
      </w:r>
      <w:r w:rsidR="000675DC" w:rsidRPr="0002056A">
        <w:rPr>
          <w:rFonts w:ascii="Georgia" w:hAnsi="Georgia"/>
          <w:lang w:val="en-GB"/>
        </w:rPr>
        <w:lastRenderedPageBreak/>
        <w:t xml:space="preserve">the literature. </w:t>
      </w:r>
      <w:r w:rsidRPr="0002056A">
        <w:rPr>
          <w:rFonts w:ascii="Georgia" w:hAnsi="Georgia"/>
          <w:lang w:val="en-GB"/>
        </w:rPr>
        <w:t xml:space="preserve">My dissertation tries to </w:t>
      </w:r>
      <w:r w:rsidR="003D3131" w:rsidRPr="0002056A">
        <w:rPr>
          <w:rFonts w:ascii="Georgia" w:hAnsi="Georgia"/>
          <w:lang w:val="en-GB"/>
        </w:rPr>
        <w:t xml:space="preserve">contribute to </w:t>
      </w:r>
      <w:r w:rsidRPr="0002056A">
        <w:rPr>
          <w:rFonts w:ascii="Georgia" w:hAnsi="Georgia"/>
          <w:lang w:val="en-GB"/>
        </w:rPr>
        <w:t>turn</w:t>
      </w:r>
      <w:r w:rsidR="003D3131" w:rsidRPr="0002056A">
        <w:rPr>
          <w:rFonts w:ascii="Georgia" w:hAnsi="Georgia"/>
          <w:lang w:val="en-GB"/>
        </w:rPr>
        <w:t>ing</w:t>
      </w:r>
      <w:r w:rsidRPr="0002056A">
        <w:rPr>
          <w:rFonts w:ascii="Georgia" w:hAnsi="Georgia"/>
          <w:lang w:val="en-GB"/>
        </w:rPr>
        <w:t xml:space="preserve"> the tide or at least take the first steps on a long road to the reinventing of spatiality in climate adaptation. </w:t>
      </w:r>
    </w:p>
    <w:p w14:paraId="10A39A21" w14:textId="276BF135" w:rsidR="00BA01DB" w:rsidRPr="0002056A" w:rsidRDefault="00BA01DB" w:rsidP="00214BD9">
      <w:pPr>
        <w:pStyle w:val="Cmsor2"/>
        <w:numPr>
          <w:ilvl w:val="1"/>
          <w:numId w:val="4"/>
        </w:numPr>
        <w:rPr>
          <w:rFonts w:asciiTheme="minorHAnsi" w:hAnsiTheme="minorHAnsi" w:cstheme="minorHAnsi"/>
          <w:b w:val="0"/>
          <w:bCs w:val="0"/>
          <w:i/>
          <w:iCs/>
          <w:lang w:val="en-GB"/>
        </w:rPr>
      </w:pPr>
      <w:bookmarkStart w:id="23" w:name="_Toc225578845"/>
      <w:r w:rsidRPr="0002056A">
        <w:rPr>
          <w:rFonts w:asciiTheme="minorHAnsi" w:hAnsiTheme="minorHAnsi" w:cstheme="minorHAnsi"/>
          <w:b w:val="0"/>
          <w:bCs w:val="0"/>
          <w:i/>
          <w:iCs/>
          <w:lang w:val="en-GB"/>
        </w:rPr>
        <w:t xml:space="preserve">Space interpretations of different </w:t>
      </w:r>
      <w:r w:rsidR="00C03EAA" w:rsidRPr="0002056A">
        <w:rPr>
          <w:rFonts w:asciiTheme="minorHAnsi" w:hAnsiTheme="minorHAnsi" w:cstheme="minorHAnsi"/>
          <w:b w:val="0"/>
          <w:bCs w:val="0"/>
          <w:i/>
          <w:iCs/>
          <w:lang w:val="en-GB"/>
        </w:rPr>
        <w:t xml:space="preserve">scientific </w:t>
      </w:r>
      <w:r w:rsidRPr="0002056A">
        <w:rPr>
          <w:rFonts w:asciiTheme="minorHAnsi" w:hAnsiTheme="minorHAnsi" w:cstheme="minorHAnsi"/>
          <w:b w:val="0"/>
          <w:bCs w:val="0"/>
          <w:i/>
          <w:iCs/>
          <w:lang w:val="en-GB"/>
        </w:rPr>
        <w:t>disciplines</w:t>
      </w:r>
      <w:r w:rsidR="00C03EAA" w:rsidRPr="0002056A">
        <w:rPr>
          <w:rFonts w:asciiTheme="minorHAnsi" w:hAnsiTheme="minorHAnsi" w:cstheme="minorHAnsi"/>
          <w:b w:val="0"/>
          <w:bCs w:val="0"/>
          <w:i/>
          <w:iCs/>
          <w:lang w:val="en-GB"/>
        </w:rPr>
        <w:t xml:space="preserve"> and practical </w:t>
      </w:r>
      <w:r w:rsidRPr="0002056A">
        <w:rPr>
          <w:rFonts w:asciiTheme="minorHAnsi" w:hAnsiTheme="minorHAnsi" w:cstheme="minorHAnsi"/>
          <w:b w:val="0"/>
          <w:bCs w:val="0"/>
          <w:i/>
          <w:iCs/>
          <w:lang w:val="en-GB"/>
        </w:rPr>
        <w:t>fields</w:t>
      </w:r>
      <w:bookmarkEnd w:id="23"/>
    </w:p>
    <w:p w14:paraId="52F5F031" w14:textId="7C37B341" w:rsidR="000E0D6D" w:rsidRPr="0002056A" w:rsidRDefault="00B54C51" w:rsidP="00CD5BF3">
      <w:pPr>
        <w:spacing w:before="120" w:after="120"/>
        <w:jc w:val="both"/>
        <w:rPr>
          <w:rFonts w:ascii="Georgia" w:hAnsi="Georgia" w:cs="Times New Roman"/>
          <w:lang w:val="en-GB"/>
        </w:rPr>
      </w:pPr>
      <w:r w:rsidRPr="0002056A">
        <w:rPr>
          <w:rFonts w:ascii="Georgia" w:hAnsi="Georgia" w:cs="Times New Roman"/>
          <w:lang w:val="en-GB"/>
        </w:rPr>
        <w:t>T</w:t>
      </w:r>
      <w:r w:rsidR="00657C25" w:rsidRPr="0002056A">
        <w:rPr>
          <w:rFonts w:ascii="Georgia" w:hAnsi="Georgia" w:cs="Times New Roman"/>
          <w:lang w:val="en-GB"/>
        </w:rPr>
        <w:t xml:space="preserve">o </w:t>
      </w:r>
      <w:r w:rsidR="000C758F" w:rsidRPr="0002056A">
        <w:rPr>
          <w:rFonts w:ascii="Georgia" w:hAnsi="Georgia" w:cs="Times New Roman"/>
          <w:lang w:val="en-GB"/>
        </w:rPr>
        <w:t xml:space="preserve">support the </w:t>
      </w:r>
      <w:r w:rsidR="00D17B85" w:rsidRPr="0002056A">
        <w:rPr>
          <w:rFonts w:ascii="Georgia" w:hAnsi="Georgia" w:cs="Times New Roman"/>
          <w:lang w:val="en-GB"/>
        </w:rPr>
        <w:t>improveme</w:t>
      </w:r>
      <w:r w:rsidR="000C758F" w:rsidRPr="0002056A">
        <w:rPr>
          <w:rFonts w:ascii="Georgia" w:hAnsi="Georgia" w:cs="Times New Roman"/>
          <w:lang w:val="en-GB"/>
        </w:rPr>
        <w:t>nt of climate</w:t>
      </w:r>
      <w:r w:rsidR="00657C25" w:rsidRPr="0002056A">
        <w:rPr>
          <w:rFonts w:ascii="Georgia" w:hAnsi="Georgia" w:cs="Times New Roman"/>
          <w:lang w:val="en-GB"/>
        </w:rPr>
        <w:t xml:space="preserve"> adaptation </w:t>
      </w:r>
      <w:r w:rsidR="000C758F" w:rsidRPr="0002056A">
        <w:rPr>
          <w:rFonts w:ascii="Georgia" w:hAnsi="Georgia" w:cs="Times New Roman"/>
          <w:lang w:val="en-GB"/>
        </w:rPr>
        <w:t xml:space="preserve">policy </w:t>
      </w:r>
      <w:r w:rsidR="004C7B5C" w:rsidRPr="0002056A">
        <w:rPr>
          <w:rFonts w:ascii="Georgia" w:hAnsi="Georgia" w:cs="Times New Roman"/>
          <w:lang w:val="en-GB"/>
        </w:rPr>
        <w:t xml:space="preserve">planning instruments </w:t>
      </w:r>
      <w:r w:rsidR="000C758F" w:rsidRPr="0002056A">
        <w:rPr>
          <w:rFonts w:ascii="Georgia" w:hAnsi="Georgia" w:cs="Times New Roman"/>
          <w:lang w:val="en-GB"/>
        </w:rPr>
        <w:t xml:space="preserve">in </w:t>
      </w:r>
      <w:r w:rsidR="004C7B5C" w:rsidRPr="0002056A">
        <w:rPr>
          <w:rFonts w:ascii="Georgia" w:hAnsi="Georgia" w:cs="Times New Roman"/>
          <w:lang w:val="en-GB"/>
        </w:rPr>
        <w:t>Europe</w:t>
      </w:r>
      <w:r w:rsidR="004D2602" w:rsidRPr="0002056A">
        <w:rPr>
          <w:rFonts w:ascii="Georgia" w:hAnsi="Georgia" w:cs="Times New Roman"/>
          <w:lang w:val="en-GB"/>
        </w:rPr>
        <w:t xml:space="preserve"> to </w:t>
      </w:r>
      <w:r w:rsidR="000C758F" w:rsidRPr="0002056A">
        <w:rPr>
          <w:rFonts w:ascii="Georgia" w:hAnsi="Georgia" w:cs="Times New Roman"/>
          <w:iCs/>
          <w:lang w:val="en-GB"/>
        </w:rPr>
        <w:t>mov</w:t>
      </w:r>
      <w:r w:rsidR="004D2602" w:rsidRPr="0002056A">
        <w:rPr>
          <w:rFonts w:ascii="Georgia" w:hAnsi="Georgia" w:cs="Times New Roman"/>
          <w:iCs/>
          <w:lang w:val="en-GB"/>
        </w:rPr>
        <w:t>e</w:t>
      </w:r>
      <w:r w:rsidR="000C758F" w:rsidRPr="0002056A">
        <w:rPr>
          <w:rFonts w:ascii="Georgia" w:hAnsi="Georgia" w:cs="Times New Roman"/>
          <w:iCs/>
          <w:lang w:val="en-GB"/>
        </w:rPr>
        <w:t xml:space="preserve"> them in a direction that makes them capable of performing the proper </w:t>
      </w:r>
      <w:r w:rsidR="000C758F" w:rsidRPr="0002056A">
        <w:rPr>
          <w:rFonts w:ascii="Georgia" w:hAnsi="Georgia" w:cs="Times New Roman"/>
          <w:lang w:val="en-GB"/>
        </w:rPr>
        <w:t xml:space="preserve">and </w:t>
      </w:r>
      <w:r w:rsidR="00362B2C" w:rsidRPr="0002056A">
        <w:rPr>
          <w:rFonts w:ascii="Georgia" w:hAnsi="Georgia" w:cs="Times New Roman"/>
          <w:lang w:val="en-GB"/>
        </w:rPr>
        <w:t>spatial</w:t>
      </w:r>
      <w:r w:rsidR="000C758F" w:rsidRPr="0002056A">
        <w:rPr>
          <w:rFonts w:ascii="Georgia" w:hAnsi="Georgia" w:cs="Times New Roman"/>
          <w:lang w:val="en-GB"/>
        </w:rPr>
        <w:t>ly conscious</w:t>
      </w:r>
      <w:r w:rsidR="000C758F" w:rsidRPr="0002056A">
        <w:rPr>
          <w:rFonts w:ascii="Georgia" w:hAnsi="Georgia" w:cs="Times New Roman"/>
          <w:iCs/>
          <w:lang w:val="en-GB"/>
        </w:rPr>
        <w:t xml:space="preserve"> planning, monitoring and regular evaluation of climate impacts and adaptation responses</w:t>
      </w:r>
      <w:r w:rsidRPr="0002056A">
        <w:rPr>
          <w:rFonts w:ascii="Georgia" w:hAnsi="Georgia" w:cs="Times New Roman"/>
          <w:iCs/>
          <w:lang w:val="en-GB"/>
        </w:rPr>
        <w:t xml:space="preserve"> </w:t>
      </w:r>
      <w:r w:rsidR="00685C12" w:rsidRPr="0002056A">
        <w:rPr>
          <w:rFonts w:ascii="Georgia" w:hAnsi="Georgia" w:cs="Times New Roman"/>
          <w:iCs/>
          <w:lang w:val="en-GB"/>
        </w:rPr>
        <w:t>one need</w:t>
      </w:r>
      <w:r w:rsidR="00472C1E">
        <w:rPr>
          <w:rFonts w:ascii="Georgia" w:hAnsi="Georgia" w:cs="Times New Roman"/>
          <w:iCs/>
          <w:lang w:val="en-GB"/>
        </w:rPr>
        <w:t>s</w:t>
      </w:r>
      <w:r w:rsidR="00685C12" w:rsidRPr="0002056A">
        <w:rPr>
          <w:rFonts w:ascii="Georgia" w:hAnsi="Georgia" w:cs="Times New Roman"/>
          <w:iCs/>
          <w:lang w:val="en-GB"/>
        </w:rPr>
        <w:t xml:space="preserve"> </w:t>
      </w:r>
      <w:r w:rsidRPr="0002056A">
        <w:rPr>
          <w:rFonts w:ascii="Georgia" w:hAnsi="Georgia" w:cs="Times New Roman"/>
          <w:iCs/>
          <w:lang w:val="en-GB"/>
        </w:rPr>
        <w:t xml:space="preserve">some basic information about the current situation. </w:t>
      </w:r>
      <w:r w:rsidR="00D17B85" w:rsidRPr="0002056A">
        <w:rPr>
          <w:rFonts w:ascii="Georgia" w:hAnsi="Georgia" w:cs="Times New Roman"/>
          <w:iCs/>
          <w:lang w:val="en-GB"/>
        </w:rPr>
        <w:t>For this</w:t>
      </w:r>
      <w:r w:rsidR="00472C1E">
        <w:rPr>
          <w:rFonts w:ascii="Georgia" w:hAnsi="Georgia" w:cs="Times New Roman"/>
          <w:iCs/>
          <w:lang w:val="en-GB"/>
        </w:rPr>
        <w:t>,</w:t>
      </w:r>
      <w:r w:rsidR="00D17B85" w:rsidRPr="0002056A">
        <w:rPr>
          <w:rFonts w:ascii="Georgia" w:hAnsi="Georgia" w:cs="Times New Roman"/>
          <w:iCs/>
          <w:lang w:val="en-GB"/>
        </w:rPr>
        <w:t xml:space="preserve"> t</w:t>
      </w:r>
      <w:r w:rsidR="000C758F" w:rsidRPr="0002056A">
        <w:rPr>
          <w:rFonts w:ascii="Georgia" w:hAnsi="Georgia" w:cs="Times New Roman"/>
          <w:lang w:val="en-GB"/>
        </w:rPr>
        <w:t xml:space="preserve">he </w:t>
      </w:r>
      <w:r w:rsidR="00480084" w:rsidRPr="0002056A">
        <w:rPr>
          <w:rFonts w:ascii="Georgia" w:hAnsi="Georgia" w:cs="Times New Roman"/>
          <w:lang w:val="en-GB"/>
        </w:rPr>
        <w:t>dissertation</w:t>
      </w:r>
      <w:r w:rsidR="000C758F" w:rsidRPr="0002056A">
        <w:rPr>
          <w:rFonts w:ascii="Georgia" w:hAnsi="Georgia" w:cs="Times New Roman"/>
          <w:lang w:val="en-GB"/>
        </w:rPr>
        <w:t xml:space="preserve"> examine</w:t>
      </w:r>
      <w:r w:rsidR="002A6344" w:rsidRPr="0002056A">
        <w:rPr>
          <w:rFonts w:ascii="Georgia" w:hAnsi="Georgia" w:cs="Times New Roman"/>
          <w:lang w:val="en-GB"/>
        </w:rPr>
        <w:t>s</w:t>
      </w:r>
      <w:r w:rsidR="000C758F" w:rsidRPr="0002056A">
        <w:rPr>
          <w:rFonts w:ascii="Georgia" w:hAnsi="Georgia" w:cs="Times New Roman"/>
          <w:lang w:val="en-GB"/>
        </w:rPr>
        <w:t xml:space="preserve"> the current presence of</w:t>
      </w:r>
      <w:r w:rsidR="004D2602" w:rsidRPr="0002056A">
        <w:rPr>
          <w:rFonts w:ascii="Georgia" w:hAnsi="Georgia" w:cs="Times New Roman"/>
          <w:lang w:val="en-GB"/>
        </w:rPr>
        <w:t xml:space="preserve"> </w:t>
      </w:r>
      <w:r w:rsidR="00D17B85" w:rsidRPr="0002056A">
        <w:rPr>
          <w:rFonts w:ascii="Georgia" w:hAnsi="Georgia" w:cs="Times New Roman"/>
          <w:lang w:val="en-GB"/>
        </w:rPr>
        <w:t>spatial (</w:t>
      </w:r>
      <w:r w:rsidR="004D2602" w:rsidRPr="0002056A">
        <w:rPr>
          <w:rFonts w:ascii="Georgia" w:hAnsi="Georgia" w:cs="Times New Roman"/>
          <w:lang w:val="en-GB"/>
        </w:rPr>
        <w:t>geographical</w:t>
      </w:r>
      <w:r w:rsidR="00D17B85" w:rsidRPr="0002056A">
        <w:rPr>
          <w:rFonts w:ascii="Georgia" w:hAnsi="Georgia" w:cs="Times New Roman"/>
          <w:lang w:val="en-GB"/>
        </w:rPr>
        <w:t>)</w:t>
      </w:r>
      <w:r w:rsidR="000C758F" w:rsidRPr="0002056A">
        <w:rPr>
          <w:rFonts w:ascii="Georgia" w:hAnsi="Georgia" w:cs="Times New Roman"/>
          <w:lang w:val="en-GB"/>
        </w:rPr>
        <w:t xml:space="preserve"> content </w:t>
      </w:r>
      <w:r w:rsidR="00480084" w:rsidRPr="0002056A">
        <w:rPr>
          <w:rFonts w:ascii="Georgia" w:hAnsi="Georgia" w:cs="Times New Roman"/>
          <w:lang w:val="en-GB"/>
        </w:rPr>
        <w:t xml:space="preserve">and emphases </w:t>
      </w:r>
      <w:r w:rsidR="000C758F" w:rsidRPr="0002056A">
        <w:rPr>
          <w:rFonts w:ascii="Georgia" w:hAnsi="Georgia" w:cs="Times New Roman"/>
          <w:lang w:val="en-GB"/>
        </w:rPr>
        <w:t xml:space="preserve">in adaptation policy making. To conduct this analysis, as a first step, we must define the essence of </w:t>
      </w:r>
      <w:r w:rsidR="004C7B5C" w:rsidRPr="0002056A">
        <w:rPr>
          <w:rFonts w:ascii="Georgia" w:hAnsi="Georgia" w:cs="Times New Roman"/>
          <w:lang w:val="en-GB"/>
        </w:rPr>
        <w:t>spatial</w:t>
      </w:r>
      <w:r w:rsidR="000C758F" w:rsidRPr="0002056A">
        <w:rPr>
          <w:rFonts w:ascii="Georgia" w:hAnsi="Georgia" w:cs="Times New Roman"/>
          <w:lang w:val="en-GB"/>
        </w:rPr>
        <w:t>ity</w:t>
      </w:r>
      <w:r w:rsidR="00480084" w:rsidRPr="0002056A">
        <w:rPr>
          <w:rFonts w:ascii="Georgia" w:hAnsi="Georgia" w:cs="Times New Roman"/>
          <w:lang w:val="en-GB"/>
        </w:rPr>
        <w:t xml:space="preserve"> from our point of view</w:t>
      </w:r>
      <w:r w:rsidR="000C758F" w:rsidRPr="0002056A">
        <w:rPr>
          <w:rFonts w:ascii="Georgia" w:hAnsi="Georgia" w:cs="Times New Roman"/>
          <w:lang w:val="en-GB"/>
        </w:rPr>
        <w:t xml:space="preserve">: what </w:t>
      </w:r>
      <w:r w:rsidR="00480084" w:rsidRPr="0002056A">
        <w:rPr>
          <w:rFonts w:ascii="Georgia" w:hAnsi="Georgia" w:cs="Times New Roman"/>
          <w:lang w:val="en-GB"/>
        </w:rPr>
        <w:t xml:space="preserve">do </w:t>
      </w:r>
      <w:r w:rsidR="000C758F" w:rsidRPr="0002056A">
        <w:rPr>
          <w:rFonts w:ascii="Georgia" w:hAnsi="Georgia" w:cs="Times New Roman"/>
          <w:lang w:val="en-GB"/>
        </w:rPr>
        <w:t>we understand under the terms “</w:t>
      </w:r>
      <w:r w:rsidR="004C7B5C" w:rsidRPr="0002056A">
        <w:rPr>
          <w:rFonts w:ascii="Georgia" w:hAnsi="Georgia" w:cs="Times New Roman"/>
          <w:i/>
          <w:iCs/>
          <w:lang w:val="en-GB"/>
        </w:rPr>
        <w:t>spatial</w:t>
      </w:r>
      <w:r w:rsidR="000C758F" w:rsidRPr="0002056A">
        <w:rPr>
          <w:rFonts w:ascii="Georgia" w:hAnsi="Georgia" w:cs="Times New Roman"/>
          <w:i/>
          <w:iCs/>
          <w:lang w:val="en-GB"/>
        </w:rPr>
        <w:t xml:space="preserve"> as</w:t>
      </w:r>
      <w:r w:rsidR="000C758F" w:rsidRPr="0002056A">
        <w:rPr>
          <w:rFonts w:ascii="Georgia" w:hAnsi="Georgia" w:cs="Times New Roman"/>
          <w:i/>
          <w:lang w:val="en-GB"/>
        </w:rPr>
        <w:t>pects</w:t>
      </w:r>
      <w:r w:rsidR="005B59A3" w:rsidRPr="0002056A">
        <w:rPr>
          <w:rFonts w:ascii="Georgia" w:hAnsi="Georgia" w:cs="Times New Roman"/>
          <w:i/>
          <w:lang w:val="en-GB"/>
        </w:rPr>
        <w:t>/dimensions</w:t>
      </w:r>
      <w:r w:rsidR="000C758F" w:rsidRPr="0002056A">
        <w:rPr>
          <w:rFonts w:ascii="Georgia" w:hAnsi="Georgia" w:cs="Times New Roman"/>
          <w:lang w:val="en-GB"/>
        </w:rPr>
        <w:t xml:space="preserve">” </w:t>
      </w:r>
      <w:r w:rsidR="002A6344" w:rsidRPr="0002056A">
        <w:rPr>
          <w:rFonts w:ascii="Georgia" w:hAnsi="Georgia" w:cs="Times New Roman"/>
          <w:lang w:val="en-GB"/>
        </w:rPr>
        <w:t>or</w:t>
      </w:r>
      <w:r w:rsidR="000C758F" w:rsidRPr="0002056A">
        <w:rPr>
          <w:rFonts w:ascii="Georgia" w:hAnsi="Georgia" w:cs="Times New Roman"/>
          <w:lang w:val="en-GB"/>
        </w:rPr>
        <w:t xml:space="preserve"> “</w:t>
      </w:r>
      <w:r w:rsidR="000C758F" w:rsidRPr="0002056A">
        <w:rPr>
          <w:rFonts w:ascii="Georgia" w:hAnsi="Georgia" w:cs="Times New Roman"/>
          <w:i/>
          <w:lang w:val="en-GB"/>
        </w:rPr>
        <w:t>spatial approach</w:t>
      </w:r>
      <w:r w:rsidR="000C758F" w:rsidRPr="0002056A">
        <w:rPr>
          <w:rFonts w:ascii="Georgia" w:hAnsi="Georgia" w:cs="Times New Roman"/>
          <w:lang w:val="en-GB"/>
        </w:rPr>
        <w:t>”</w:t>
      </w:r>
      <w:r w:rsidR="00971CE7" w:rsidRPr="0002056A">
        <w:rPr>
          <w:rFonts w:ascii="Georgia" w:hAnsi="Georgia" w:cs="Times New Roman"/>
          <w:lang w:val="en-GB"/>
        </w:rPr>
        <w:t xml:space="preserve"> </w:t>
      </w:r>
      <w:r w:rsidR="000A7573" w:rsidRPr="0002056A">
        <w:rPr>
          <w:rFonts w:ascii="Georgia" w:hAnsi="Georgia" w:cs="Times New Roman"/>
          <w:lang w:val="en-GB"/>
        </w:rPr>
        <w:t xml:space="preserve">and </w:t>
      </w:r>
      <w:r w:rsidR="000C758F" w:rsidRPr="0002056A">
        <w:rPr>
          <w:rFonts w:ascii="Georgia" w:hAnsi="Georgia" w:cs="Times New Roman"/>
          <w:lang w:val="en-GB"/>
        </w:rPr>
        <w:t>under the concept “</w:t>
      </w:r>
      <w:r w:rsidR="004C7B5C" w:rsidRPr="0002056A">
        <w:rPr>
          <w:rFonts w:ascii="Georgia" w:hAnsi="Georgia" w:cs="Times New Roman"/>
          <w:i/>
          <w:iCs/>
          <w:lang w:val="en-GB"/>
        </w:rPr>
        <w:t>spatial</w:t>
      </w:r>
      <w:r w:rsidR="000C758F" w:rsidRPr="0002056A">
        <w:rPr>
          <w:rFonts w:ascii="Georgia" w:hAnsi="Georgia" w:cs="Times New Roman"/>
          <w:i/>
          <w:iCs/>
          <w:lang w:val="en-GB"/>
        </w:rPr>
        <w:t>ity</w:t>
      </w:r>
      <w:r w:rsidR="000C758F" w:rsidRPr="0002056A">
        <w:rPr>
          <w:rFonts w:ascii="Georgia" w:hAnsi="Georgia" w:cs="Times New Roman"/>
          <w:lang w:val="en-GB"/>
        </w:rPr>
        <w:t>” in general and in climate adaptation polic</w:t>
      </w:r>
      <w:r w:rsidR="00A74456" w:rsidRPr="0002056A">
        <w:rPr>
          <w:rFonts w:ascii="Georgia" w:hAnsi="Georgia" w:cs="Times New Roman"/>
          <w:lang w:val="en-GB"/>
        </w:rPr>
        <w:t>y</w:t>
      </w:r>
      <w:r w:rsidR="000C758F" w:rsidRPr="0002056A">
        <w:rPr>
          <w:rFonts w:ascii="Georgia" w:hAnsi="Georgia" w:cs="Times New Roman"/>
          <w:lang w:val="en-GB"/>
        </w:rPr>
        <w:t xml:space="preserve"> </w:t>
      </w:r>
      <w:r w:rsidR="002A6344" w:rsidRPr="0002056A">
        <w:rPr>
          <w:rFonts w:ascii="Georgia" w:hAnsi="Georgia" w:cs="Times New Roman"/>
          <w:lang w:val="en-GB"/>
        </w:rPr>
        <w:t>tools</w:t>
      </w:r>
      <w:r w:rsidR="00472C1E">
        <w:rPr>
          <w:rFonts w:ascii="Georgia" w:hAnsi="Georgia" w:cs="Times New Roman"/>
          <w:lang w:val="en-GB"/>
        </w:rPr>
        <w:t>,</w:t>
      </w:r>
      <w:r w:rsidR="000C758F" w:rsidRPr="0002056A">
        <w:rPr>
          <w:rFonts w:ascii="Georgia" w:hAnsi="Georgia" w:cs="Times New Roman"/>
          <w:lang w:val="en-GB"/>
        </w:rPr>
        <w:t xml:space="preserve"> particularly. Or, in other words</w:t>
      </w:r>
      <w:r w:rsidR="00472C1E">
        <w:rPr>
          <w:rFonts w:ascii="Georgia" w:hAnsi="Georgia" w:cs="Times New Roman"/>
          <w:lang w:val="en-GB"/>
        </w:rPr>
        <w:t>,</w:t>
      </w:r>
      <w:r w:rsidR="00472C1E" w:rsidRPr="0002056A">
        <w:rPr>
          <w:rFonts w:ascii="Georgia" w:hAnsi="Georgia" w:cs="Times New Roman"/>
          <w:lang w:val="en-GB"/>
        </w:rPr>
        <w:t xml:space="preserve"> </w:t>
      </w:r>
      <w:r w:rsidR="000C758F" w:rsidRPr="0002056A">
        <w:rPr>
          <w:rFonts w:ascii="Georgia" w:hAnsi="Georgia" w:cs="Times New Roman"/>
          <w:b/>
          <w:bCs/>
          <w:lang w:val="en-GB"/>
        </w:rPr>
        <w:t xml:space="preserve">how can we approach </w:t>
      </w:r>
      <w:r w:rsidR="004C7B5C" w:rsidRPr="0002056A">
        <w:rPr>
          <w:rFonts w:ascii="Georgia" w:hAnsi="Georgia" w:cs="Times New Roman"/>
          <w:b/>
          <w:bCs/>
          <w:lang w:val="en-GB"/>
        </w:rPr>
        <w:t>spatiality</w:t>
      </w:r>
      <w:r w:rsidR="000C758F" w:rsidRPr="0002056A">
        <w:rPr>
          <w:rFonts w:ascii="Georgia" w:hAnsi="Georgia" w:cs="Times New Roman"/>
          <w:b/>
          <w:bCs/>
          <w:lang w:val="en-GB"/>
        </w:rPr>
        <w:t xml:space="preserve"> </w:t>
      </w:r>
      <w:r w:rsidR="004C7B5C" w:rsidRPr="0002056A">
        <w:rPr>
          <w:rFonts w:ascii="Georgia" w:hAnsi="Georgia" w:cs="Times New Roman"/>
          <w:b/>
          <w:bCs/>
          <w:lang w:val="en-GB"/>
        </w:rPr>
        <w:t xml:space="preserve">in </w:t>
      </w:r>
      <w:r w:rsidR="000C758F" w:rsidRPr="0002056A">
        <w:rPr>
          <w:rFonts w:ascii="Georgia" w:hAnsi="Georgia" w:cs="Times New Roman"/>
          <w:b/>
          <w:bCs/>
          <w:lang w:val="en-GB"/>
        </w:rPr>
        <w:t>adaptation</w:t>
      </w:r>
      <w:r w:rsidR="000C758F" w:rsidRPr="0002056A">
        <w:rPr>
          <w:rFonts w:ascii="Georgia" w:hAnsi="Georgia" w:cs="Times New Roman"/>
          <w:lang w:val="en-GB"/>
        </w:rPr>
        <w:t xml:space="preserve">? </w:t>
      </w:r>
      <w:r w:rsidR="003B1DA7" w:rsidRPr="0002056A">
        <w:rPr>
          <w:rFonts w:ascii="Georgia" w:hAnsi="Georgia" w:cs="Times New Roman"/>
          <w:lang w:val="en-GB"/>
        </w:rPr>
        <w:t xml:space="preserve">To </w:t>
      </w:r>
      <w:r w:rsidR="00441503" w:rsidRPr="0002056A">
        <w:rPr>
          <w:rFonts w:ascii="Georgia" w:hAnsi="Georgia" w:cs="Times New Roman"/>
          <w:lang w:val="en-GB"/>
        </w:rPr>
        <w:t>secure</w:t>
      </w:r>
      <w:r w:rsidR="003B1DA7" w:rsidRPr="0002056A">
        <w:rPr>
          <w:rFonts w:ascii="Georgia" w:hAnsi="Georgia" w:cs="Times New Roman"/>
          <w:lang w:val="en-GB"/>
        </w:rPr>
        <w:t xml:space="preserve"> our analysis some depth, </w:t>
      </w:r>
      <w:r w:rsidR="000C758F" w:rsidRPr="0002056A">
        <w:rPr>
          <w:rFonts w:ascii="Georgia" w:hAnsi="Georgia" w:cs="Times New Roman"/>
          <w:b/>
          <w:bCs/>
          <w:lang w:val="en-GB"/>
        </w:rPr>
        <w:t xml:space="preserve">we turned to the different space interpretations </w:t>
      </w:r>
      <w:r w:rsidR="000C758F" w:rsidRPr="0002056A">
        <w:rPr>
          <w:rFonts w:ascii="Georgia" w:hAnsi="Georgia" w:cs="Times New Roman"/>
          <w:lang w:val="en-GB"/>
        </w:rPr>
        <w:t>of those relevant</w:t>
      </w:r>
      <w:r w:rsidR="00AF1E19" w:rsidRPr="0002056A">
        <w:rPr>
          <w:rFonts w:ascii="Georgia" w:hAnsi="Georgia" w:cs="Times New Roman"/>
          <w:b/>
          <w:bCs/>
          <w:lang w:val="en-GB"/>
        </w:rPr>
        <w:t xml:space="preserve"> space-oriented</w:t>
      </w:r>
      <w:r w:rsidR="000C758F" w:rsidRPr="0002056A">
        <w:rPr>
          <w:rFonts w:ascii="Georgia" w:hAnsi="Georgia" w:cs="Times New Roman"/>
          <w:b/>
          <w:bCs/>
          <w:lang w:val="en-GB"/>
        </w:rPr>
        <w:t xml:space="preserve"> disciplines</w:t>
      </w:r>
      <w:r w:rsidR="000C758F" w:rsidRPr="0002056A">
        <w:rPr>
          <w:rFonts w:ascii="Georgia" w:hAnsi="Georgia" w:cs="Times New Roman"/>
          <w:lang w:val="en-GB"/>
        </w:rPr>
        <w:t xml:space="preserve"> </w:t>
      </w:r>
      <w:r w:rsidR="00EA58F4" w:rsidRPr="0002056A">
        <w:rPr>
          <w:rFonts w:ascii="Georgia" w:hAnsi="Georgia" w:cs="Times New Roman"/>
          <w:lang w:val="en-GB"/>
        </w:rPr>
        <w:t>[</w:t>
      </w:r>
      <w:r w:rsidR="00971CE7" w:rsidRPr="0002056A">
        <w:rPr>
          <w:rFonts w:ascii="Georgia" w:hAnsi="Georgia" w:cs="Times New Roman"/>
          <w:i/>
          <w:iCs/>
          <w:lang w:val="en-GB"/>
        </w:rPr>
        <w:t xml:space="preserve">environmental </w:t>
      </w:r>
      <w:r w:rsidR="000C758F" w:rsidRPr="0002056A">
        <w:rPr>
          <w:rFonts w:ascii="Georgia" w:hAnsi="Georgia" w:cs="Times New Roman"/>
          <w:i/>
          <w:iCs/>
          <w:lang w:val="en-GB"/>
        </w:rPr>
        <w:t xml:space="preserve">geography, </w:t>
      </w:r>
      <w:r w:rsidR="00971CE7" w:rsidRPr="0002056A">
        <w:rPr>
          <w:rFonts w:ascii="Georgia" w:hAnsi="Georgia" w:cs="Times New Roman"/>
          <w:i/>
          <w:iCs/>
          <w:lang w:val="en-GB"/>
        </w:rPr>
        <w:t xml:space="preserve">human </w:t>
      </w:r>
      <w:r w:rsidR="00EA58F4" w:rsidRPr="0002056A">
        <w:rPr>
          <w:rFonts w:ascii="Georgia" w:hAnsi="Georgia" w:cs="Times New Roman"/>
          <w:i/>
          <w:iCs/>
          <w:lang w:val="en-GB"/>
        </w:rPr>
        <w:t>(</w:t>
      </w:r>
      <w:r w:rsidR="000C758F" w:rsidRPr="0002056A">
        <w:rPr>
          <w:rFonts w:ascii="Georgia" w:hAnsi="Georgia" w:cs="Times New Roman"/>
          <w:i/>
          <w:iCs/>
          <w:lang w:val="en-GB"/>
        </w:rPr>
        <w:t>social</w:t>
      </w:r>
      <w:r w:rsidR="00EA58F4" w:rsidRPr="0002056A">
        <w:rPr>
          <w:rFonts w:ascii="Georgia" w:hAnsi="Georgia" w:cs="Times New Roman"/>
          <w:i/>
          <w:iCs/>
          <w:lang w:val="en-GB"/>
        </w:rPr>
        <w:t xml:space="preserve"> and</w:t>
      </w:r>
      <w:r w:rsidR="004C7B5C" w:rsidRPr="0002056A">
        <w:rPr>
          <w:rFonts w:ascii="Georgia" w:hAnsi="Georgia" w:cs="Times New Roman"/>
          <w:i/>
          <w:iCs/>
          <w:lang w:val="en-GB"/>
        </w:rPr>
        <w:t xml:space="preserve"> economic</w:t>
      </w:r>
      <w:r w:rsidR="00EA58F4" w:rsidRPr="0002056A">
        <w:rPr>
          <w:rFonts w:ascii="Georgia" w:hAnsi="Georgia" w:cs="Times New Roman"/>
          <w:i/>
          <w:iCs/>
          <w:lang w:val="en-GB"/>
        </w:rPr>
        <w:t>)</w:t>
      </w:r>
      <w:r w:rsidR="004C7B5C" w:rsidRPr="0002056A">
        <w:rPr>
          <w:rFonts w:ascii="Georgia" w:hAnsi="Georgia" w:cs="Times New Roman"/>
          <w:i/>
          <w:iCs/>
          <w:lang w:val="en-GB"/>
        </w:rPr>
        <w:t xml:space="preserve"> </w:t>
      </w:r>
      <w:r w:rsidR="000C758F" w:rsidRPr="0002056A">
        <w:rPr>
          <w:rFonts w:ascii="Georgia" w:hAnsi="Georgia" w:cs="Times New Roman"/>
          <w:i/>
          <w:iCs/>
          <w:lang w:val="en-GB"/>
        </w:rPr>
        <w:t>geography, regional sciences</w:t>
      </w:r>
      <w:r w:rsidR="00EA58F4" w:rsidRPr="0002056A">
        <w:rPr>
          <w:rFonts w:ascii="Georgia" w:hAnsi="Georgia" w:cs="Times New Roman"/>
          <w:i/>
          <w:iCs/>
          <w:lang w:val="en-GB"/>
        </w:rPr>
        <w:t xml:space="preserve"> and regional geography</w:t>
      </w:r>
      <w:r w:rsidR="000C758F" w:rsidRPr="0002056A">
        <w:rPr>
          <w:rFonts w:ascii="Georgia" w:hAnsi="Georgia" w:cs="Times New Roman"/>
          <w:i/>
          <w:iCs/>
          <w:lang w:val="en-GB"/>
        </w:rPr>
        <w:t xml:space="preserve">, political and administrational sciences and international relations, geopolitics and </w:t>
      </w:r>
      <w:r w:rsidR="004C7B5C" w:rsidRPr="0002056A">
        <w:rPr>
          <w:rFonts w:ascii="Georgia" w:hAnsi="Georgia" w:cs="Times New Roman"/>
          <w:i/>
          <w:iCs/>
          <w:lang w:val="en-GB"/>
        </w:rPr>
        <w:t>regional</w:t>
      </w:r>
      <w:r w:rsidR="00EA58F4" w:rsidRPr="0002056A">
        <w:rPr>
          <w:rFonts w:ascii="Georgia" w:hAnsi="Georgia" w:cs="Times New Roman"/>
          <w:i/>
          <w:iCs/>
          <w:lang w:val="en-GB"/>
        </w:rPr>
        <w:t>/environmental</w:t>
      </w:r>
      <w:r w:rsidR="004C7B5C" w:rsidRPr="0002056A">
        <w:rPr>
          <w:rFonts w:ascii="Georgia" w:hAnsi="Georgia" w:cs="Times New Roman"/>
          <w:i/>
          <w:iCs/>
          <w:lang w:val="en-GB"/>
        </w:rPr>
        <w:t xml:space="preserve"> </w:t>
      </w:r>
      <w:r w:rsidR="000C758F" w:rsidRPr="0002056A">
        <w:rPr>
          <w:rFonts w:ascii="Georgia" w:hAnsi="Georgia" w:cs="Times New Roman"/>
          <w:i/>
          <w:iCs/>
          <w:lang w:val="en-GB"/>
        </w:rPr>
        <w:t>economics</w:t>
      </w:r>
      <w:r w:rsidR="00EA58F4" w:rsidRPr="0002056A">
        <w:rPr>
          <w:rFonts w:ascii="Georgia" w:hAnsi="Georgia" w:cs="Times New Roman"/>
          <w:lang w:val="en-GB"/>
        </w:rPr>
        <w:t>]</w:t>
      </w:r>
      <w:r w:rsidR="000C758F" w:rsidRPr="0002056A">
        <w:rPr>
          <w:rFonts w:ascii="Georgia" w:hAnsi="Georgia" w:cs="Times New Roman"/>
          <w:lang w:val="en-GB"/>
        </w:rPr>
        <w:t xml:space="preserve"> and fields of professions </w:t>
      </w:r>
      <w:r w:rsidR="00EA58F4" w:rsidRPr="0002056A">
        <w:rPr>
          <w:rFonts w:ascii="Georgia" w:hAnsi="Georgia" w:cs="Times New Roman"/>
          <w:lang w:val="en-GB"/>
        </w:rPr>
        <w:t>[</w:t>
      </w:r>
      <w:r w:rsidR="000C758F" w:rsidRPr="0002056A">
        <w:rPr>
          <w:rFonts w:ascii="Georgia" w:hAnsi="Georgia" w:cs="Times New Roman"/>
          <w:i/>
          <w:iCs/>
          <w:lang w:val="en-GB"/>
        </w:rPr>
        <w:t>regional development</w:t>
      </w:r>
      <w:r w:rsidR="00EA58F4" w:rsidRPr="0002056A">
        <w:rPr>
          <w:rFonts w:ascii="Georgia" w:hAnsi="Georgia" w:cs="Times New Roman"/>
          <w:i/>
          <w:iCs/>
          <w:lang w:val="en-GB"/>
        </w:rPr>
        <w:t>,</w:t>
      </w:r>
      <w:r w:rsidR="000C758F" w:rsidRPr="0002056A">
        <w:rPr>
          <w:rFonts w:ascii="Georgia" w:hAnsi="Georgia" w:cs="Times New Roman"/>
          <w:i/>
          <w:iCs/>
          <w:lang w:val="en-GB"/>
        </w:rPr>
        <w:t xml:space="preserve"> spatial planning, </w:t>
      </w:r>
      <w:r w:rsidR="00EA58F4" w:rsidRPr="0002056A">
        <w:rPr>
          <w:rFonts w:ascii="Georgia" w:hAnsi="Georgia" w:cs="Times New Roman"/>
          <w:i/>
          <w:iCs/>
          <w:lang w:val="en-GB"/>
        </w:rPr>
        <w:t xml:space="preserve">land use planning, </w:t>
      </w:r>
      <w:r w:rsidR="000C758F" w:rsidRPr="0002056A">
        <w:rPr>
          <w:rFonts w:ascii="Georgia" w:hAnsi="Georgia" w:cs="Times New Roman"/>
          <w:i/>
          <w:iCs/>
          <w:lang w:val="en-GB"/>
        </w:rPr>
        <w:t>strategic planning</w:t>
      </w:r>
      <w:r w:rsidR="00EA58F4" w:rsidRPr="0002056A">
        <w:rPr>
          <w:rFonts w:ascii="Georgia" w:hAnsi="Georgia" w:cs="Times New Roman"/>
          <w:lang w:val="en-GB"/>
        </w:rPr>
        <w:t>]</w:t>
      </w:r>
      <w:r w:rsidR="004316EB" w:rsidRPr="0002056A">
        <w:rPr>
          <w:rFonts w:ascii="Georgia" w:hAnsi="Georgia" w:cs="Times New Roman"/>
          <w:lang w:val="en-GB"/>
        </w:rPr>
        <w:t xml:space="preserve"> that </w:t>
      </w:r>
      <w:r w:rsidR="00216AD0" w:rsidRPr="0002056A">
        <w:rPr>
          <w:rFonts w:ascii="Georgia" w:hAnsi="Georgia" w:cs="Times New Roman"/>
          <w:lang w:val="en-GB"/>
        </w:rPr>
        <w:t>particularly</w:t>
      </w:r>
      <w:r w:rsidR="004316EB" w:rsidRPr="0002056A">
        <w:rPr>
          <w:rFonts w:ascii="Georgia" w:hAnsi="Georgia" w:cs="Times New Roman"/>
          <w:lang w:val="en-GB"/>
        </w:rPr>
        <w:t xml:space="preserve"> deal with the concept and characteristics of space(s)</w:t>
      </w:r>
      <w:r w:rsidR="006B12C9" w:rsidRPr="0002056A">
        <w:rPr>
          <w:rFonts w:ascii="Georgia" w:hAnsi="Georgia" w:cs="Times New Roman"/>
          <w:lang w:val="en-GB"/>
        </w:rPr>
        <w:t>. T</w:t>
      </w:r>
      <w:r w:rsidR="000C758F" w:rsidRPr="0002056A">
        <w:rPr>
          <w:rFonts w:ascii="Georgia" w:hAnsi="Georgia" w:cs="Times New Roman"/>
          <w:lang w:val="en-GB"/>
        </w:rPr>
        <w:t xml:space="preserve">he research is </w:t>
      </w:r>
      <w:r w:rsidR="0095481A" w:rsidRPr="0002056A">
        <w:rPr>
          <w:rFonts w:ascii="Georgia" w:hAnsi="Georgia" w:cs="Times New Roman"/>
          <w:lang w:val="en-GB"/>
        </w:rPr>
        <w:t>link</w:t>
      </w:r>
      <w:r w:rsidR="000C758F" w:rsidRPr="0002056A">
        <w:rPr>
          <w:rFonts w:ascii="Georgia" w:hAnsi="Georgia" w:cs="Times New Roman"/>
          <w:lang w:val="en-GB"/>
        </w:rPr>
        <w:t>ed to</w:t>
      </w:r>
      <w:r w:rsidR="004C7B5C" w:rsidRPr="0002056A">
        <w:rPr>
          <w:rFonts w:ascii="Georgia" w:hAnsi="Georgia" w:cs="Times New Roman"/>
          <w:lang w:val="en-GB"/>
        </w:rPr>
        <w:t xml:space="preserve"> </w:t>
      </w:r>
      <w:r w:rsidR="006B12C9" w:rsidRPr="0002056A">
        <w:rPr>
          <w:rFonts w:ascii="Georgia" w:hAnsi="Georgia" w:cs="Times New Roman"/>
          <w:lang w:val="en-GB"/>
        </w:rPr>
        <w:t>these</w:t>
      </w:r>
      <w:r w:rsidR="004C7B5C" w:rsidRPr="0002056A">
        <w:rPr>
          <w:rFonts w:ascii="Georgia" w:hAnsi="Georgia" w:cs="Times New Roman"/>
          <w:lang w:val="en-GB"/>
        </w:rPr>
        <w:t xml:space="preserve"> disciplines</w:t>
      </w:r>
      <w:r w:rsidR="00472C1E">
        <w:rPr>
          <w:rFonts w:ascii="Georgia" w:hAnsi="Georgia" w:cs="Times New Roman"/>
          <w:lang w:val="en-GB"/>
        </w:rPr>
        <w:t>,</w:t>
      </w:r>
      <w:r w:rsidR="004C7B5C" w:rsidRPr="0002056A">
        <w:rPr>
          <w:rFonts w:ascii="Georgia" w:hAnsi="Georgia" w:cs="Times New Roman"/>
          <w:lang w:val="en-GB"/>
        </w:rPr>
        <w:t xml:space="preserve"> </w:t>
      </w:r>
      <w:r w:rsidR="0095481A" w:rsidRPr="0002056A">
        <w:rPr>
          <w:rFonts w:ascii="Georgia" w:hAnsi="Georgia" w:cs="Times New Roman"/>
          <w:lang w:val="en-GB"/>
        </w:rPr>
        <w:t xml:space="preserve">mostly </w:t>
      </w:r>
      <w:r w:rsidR="004C7B5C" w:rsidRPr="0002056A">
        <w:rPr>
          <w:rFonts w:ascii="Georgia" w:hAnsi="Georgia" w:cs="Times New Roman"/>
          <w:lang w:val="en-GB"/>
        </w:rPr>
        <w:t xml:space="preserve">of the </w:t>
      </w:r>
      <w:r w:rsidR="00DF3F78" w:rsidRPr="0002056A">
        <w:rPr>
          <w:rFonts w:ascii="Georgia" w:hAnsi="Georgia" w:cs="Times New Roman"/>
          <w:lang w:val="en-GB"/>
        </w:rPr>
        <w:t xml:space="preserve">external </w:t>
      </w:r>
      <w:r w:rsidR="00AF1E19" w:rsidRPr="0002056A">
        <w:rPr>
          <w:rFonts w:ascii="Georgia" w:hAnsi="Georgia" w:cs="Times New Roman"/>
          <w:lang w:val="en-GB"/>
        </w:rPr>
        <w:t>(</w:t>
      </w:r>
      <w:r w:rsidR="004C7B5C" w:rsidRPr="0002056A">
        <w:rPr>
          <w:rFonts w:ascii="Georgia" w:hAnsi="Georgia" w:cs="Times New Roman"/>
          <w:lang w:val="en-GB"/>
        </w:rPr>
        <w:t>geographical, physical</w:t>
      </w:r>
      <w:r w:rsidR="00AF1E19" w:rsidRPr="0002056A">
        <w:rPr>
          <w:rFonts w:ascii="Georgia" w:hAnsi="Georgia" w:cs="Times New Roman"/>
          <w:lang w:val="en-GB"/>
        </w:rPr>
        <w:t>)</w:t>
      </w:r>
      <w:r w:rsidR="004C7B5C" w:rsidRPr="0002056A">
        <w:rPr>
          <w:rFonts w:ascii="Georgia" w:hAnsi="Georgia" w:cs="Times New Roman"/>
          <w:lang w:val="en-GB"/>
        </w:rPr>
        <w:t xml:space="preserve"> and </w:t>
      </w:r>
      <w:r w:rsidR="0095481A" w:rsidRPr="0002056A">
        <w:rPr>
          <w:rFonts w:ascii="Georgia" w:hAnsi="Georgia" w:cs="Times New Roman"/>
          <w:lang w:val="en-GB"/>
        </w:rPr>
        <w:t xml:space="preserve">partly of the </w:t>
      </w:r>
      <w:r w:rsidR="004C7B5C" w:rsidRPr="0002056A">
        <w:rPr>
          <w:rFonts w:ascii="Georgia" w:hAnsi="Georgia" w:cs="Times New Roman"/>
          <w:lang w:val="en-GB"/>
        </w:rPr>
        <w:t>internal</w:t>
      </w:r>
      <w:r w:rsidR="00AF1E19" w:rsidRPr="0002056A">
        <w:rPr>
          <w:rFonts w:ascii="Georgia" w:hAnsi="Georgia" w:cs="Times New Roman"/>
          <w:lang w:val="en-GB"/>
        </w:rPr>
        <w:t xml:space="preserve"> (</w:t>
      </w:r>
      <w:r w:rsidR="004C7B5C" w:rsidRPr="0002056A">
        <w:rPr>
          <w:rFonts w:ascii="Georgia" w:hAnsi="Georgia" w:cs="Times New Roman"/>
          <w:lang w:val="en-GB"/>
        </w:rPr>
        <w:t>social</w:t>
      </w:r>
      <w:r w:rsidR="00AF1E19" w:rsidRPr="0002056A">
        <w:rPr>
          <w:rFonts w:ascii="Georgia" w:hAnsi="Georgia" w:cs="Times New Roman"/>
          <w:lang w:val="en-GB"/>
        </w:rPr>
        <w:t>)</w:t>
      </w:r>
      <w:r w:rsidR="004C7B5C" w:rsidRPr="0002056A">
        <w:rPr>
          <w:rFonts w:ascii="Georgia" w:hAnsi="Georgia" w:cs="Times New Roman"/>
          <w:lang w:val="en-GB"/>
        </w:rPr>
        <w:t xml:space="preserve"> spaces</w:t>
      </w:r>
      <w:r w:rsidR="00BD03C8" w:rsidRPr="0002056A">
        <w:rPr>
          <w:rFonts w:ascii="Georgia" w:hAnsi="Georgia" w:cs="Times New Roman"/>
          <w:lang w:val="en-GB"/>
        </w:rPr>
        <w:t xml:space="preserve"> </w:t>
      </w:r>
      <w:r w:rsidR="006B12C9" w:rsidRPr="0002056A">
        <w:rPr>
          <w:rFonts w:ascii="Georgia" w:hAnsi="Georgia" w:cs="Times New Roman"/>
          <w:lang w:val="en-GB"/>
        </w:rPr>
        <w:t xml:space="preserve">that have </w:t>
      </w:r>
      <w:r w:rsidR="00BD03C8" w:rsidRPr="0002056A">
        <w:rPr>
          <w:rFonts w:ascii="Georgia" w:hAnsi="Georgia" w:cs="Times New Roman"/>
          <w:lang w:val="en-GB"/>
        </w:rPr>
        <w:t xml:space="preserve">relevance </w:t>
      </w:r>
      <w:r w:rsidR="00DF3F78" w:rsidRPr="0002056A">
        <w:rPr>
          <w:rFonts w:ascii="Georgia" w:hAnsi="Georgia" w:cs="Times New Roman"/>
          <w:lang w:val="en-GB"/>
        </w:rPr>
        <w:t>and</w:t>
      </w:r>
      <w:r w:rsidR="00BD03C8" w:rsidRPr="0002056A">
        <w:rPr>
          <w:rFonts w:ascii="Georgia" w:hAnsi="Georgia" w:cs="Times New Roman"/>
          <w:lang w:val="en-GB"/>
        </w:rPr>
        <w:t xml:space="preserve"> connection with </w:t>
      </w:r>
      <w:r w:rsidR="002C417D" w:rsidRPr="0002056A">
        <w:rPr>
          <w:rFonts w:ascii="Georgia" w:hAnsi="Georgia" w:cs="Times New Roman"/>
          <w:lang w:val="en-GB"/>
        </w:rPr>
        <w:t>climate</w:t>
      </w:r>
      <w:r w:rsidR="00BD03C8" w:rsidRPr="0002056A">
        <w:rPr>
          <w:rFonts w:ascii="Georgia" w:hAnsi="Georgia" w:cs="Times New Roman"/>
          <w:lang w:val="en-GB"/>
        </w:rPr>
        <w:t xml:space="preserve"> adaptation</w:t>
      </w:r>
      <w:r w:rsidR="000C758F" w:rsidRPr="0002056A">
        <w:rPr>
          <w:rFonts w:ascii="Georgia" w:hAnsi="Georgia" w:cs="Times New Roman"/>
          <w:lang w:val="en-GB"/>
        </w:rPr>
        <w:t>. Th</w:t>
      </w:r>
      <w:r w:rsidR="00780A66" w:rsidRPr="0002056A">
        <w:rPr>
          <w:rFonts w:ascii="Georgia" w:hAnsi="Georgia" w:cs="Times New Roman"/>
          <w:lang w:val="en-GB"/>
        </w:rPr>
        <w:t xml:space="preserve">is </w:t>
      </w:r>
      <w:r w:rsidR="000C758F" w:rsidRPr="0002056A">
        <w:rPr>
          <w:rFonts w:ascii="Georgia" w:hAnsi="Georgia" w:cs="Times New Roman"/>
          <w:lang w:val="en-GB"/>
        </w:rPr>
        <w:t>chapter introduce</w:t>
      </w:r>
      <w:r w:rsidR="00C85C57" w:rsidRPr="0002056A">
        <w:rPr>
          <w:rFonts w:ascii="Georgia" w:hAnsi="Georgia" w:cs="Times New Roman"/>
          <w:lang w:val="en-GB"/>
        </w:rPr>
        <w:t>s</w:t>
      </w:r>
      <w:r w:rsidR="000C758F" w:rsidRPr="0002056A">
        <w:rPr>
          <w:rFonts w:ascii="Georgia" w:hAnsi="Georgia" w:cs="Times New Roman"/>
          <w:lang w:val="en-GB"/>
        </w:rPr>
        <w:t xml:space="preserve"> the results of this overview based on scientific and grey literature review and </w:t>
      </w:r>
      <w:r w:rsidR="007F319F" w:rsidRPr="0002056A">
        <w:rPr>
          <w:rFonts w:ascii="Georgia" w:hAnsi="Georgia" w:cs="Times New Roman"/>
          <w:lang w:val="en-GB"/>
        </w:rPr>
        <w:t xml:space="preserve">my </w:t>
      </w:r>
      <w:r w:rsidR="000C758F" w:rsidRPr="0002056A">
        <w:rPr>
          <w:rFonts w:ascii="Georgia" w:hAnsi="Georgia" w:cs="Times New Roman"/>
          <w:lang w:val="en-GB"/>
        </w:rPr>
        <w:t>related development policy experience.</w:t>
      </w:r>
      <w:r w:rsidR="00DF3F78" w:rsidRPr="0002056A">
        <w:rPr>
          <w:rFonts w:ascii="Georgia" w:hAnsi="Georgia" w:cs="Times New Roman"/>
          <w:color w:val="000000"/>
          <w:lang w:val="en-GB"/>
        </w:rPr>
        <w:t xml:space="preserve"> </w:t>
      </w:r>
      <w:r w:rsidR="000E0D6D" w:rsidRPr="0002056A">
        <w:rPr>
          <w:rFonts w:ascii="Georgia" w:hAnsi="Georgia" w:cs="Times New Roman"/>
          <w:color w:val="000000"/>
          <w:lang w:val="en-GB"/>
        </w:rPr>
        <w:t>Th</w:t>
      </w:r>
      <w:r w:rsidR="00C85C57" w:rsidRPr="0002056A">
        <w:rPr>
          <w:rFonts w:ascii="Georgia" w:hAnsi="Georgia" w:cs="Times New Roman"/>
          <w:color w:val="000000"/>
          <w:lang w:val="en-GB"/>
        </w:rPr>
        <w:t>e</w:t>
      </w:r>
      <w:r w:rsidR="000E0D6D" w:rsidRPr="0002056A">
        <w:rPr>
          <w:rFonts w:ascii="Georgia" w:hAnsi="Georgia" w:cs="Times New Roman"/>
          <w:color w:val="000000"/>
          <w:lang w:val="en-GB"/>
        </w:rPr>
        <w:t xml:space="preserve"> method followed the logic of the first </w:t>
      </w:r>
      <w:r w:rsidR="00C85C57" w:rsidRPr="0002056A">
        <w:rPr>
          <w:rFonts w:ascii="Georgia" w:hAnsi="Georgia" w:cs="Times New Roman"/>
          <w:color w:val="000000"/>
          <w:lang w:val="en-GB"/>
        </w:rPr>
        <w:t>literature review</w:t>
      </w:r>
      <w:r w:rsidR="00DF3F78" w:rsidRPr="0002056A">
        <w:rPr>
          <w:rFonts w:ascii="Georgia" w:hAnsi="Georgia" w:cs="Times New Roman"/>
          <w:color w:val="000000"/>
          <w:lang w:val="en-GB"/>
        </w:rPr>
        <w:t xml:space="preserve"> </w:t>
      </w:r>
      <w:r w:rsidR="000E0D6D" w:rsidRPr="0002056A">
        <w:rPr>
          <w:rFonts w:ascii="Georgia" w:hAnsi="Georgia" w:cs="Times New Roman"/>
          <w:color w:val="000000"/>
          <w:lang w:val="en-GB"/>
        </w:rPr>
        <w:t>part, introducing short excerpts, this time from space interpretation</w:t>
      </w:r>
      <w:r w:rsidR="00AF1E19" w:rsidRPr="0002056A">
        <w:rPr>
          <w:rFonts w:ascii="Georgia" w:hAnsi="Georgia" w:cs="Times New Roman"/>
          <w:color w:val="000000"/>
          <w:lang w:val="en-GB"/>
        </w:rPr>
        <w:t>-</w:t>
      </w:r>
      <w:r w:rsidR="000E0D6D" w:rsidRPr="0002056A">
        <w:rPr>
          <w:rFonts w:ascii="Georgia" w:hAnsi="Georgia" w:cs="Times New Roman"/>
          <w:color w:val="000000"/>
          <w:lang w:val="en-GB"/>
        </w:rPr>
        <w:t xml:space="preserve">related articles. </w:t>
      </w:r>
    </w:p>
    <w:p w14:paraId="400C6E74" w14:textId="1FBC4FB7" w:rsidR="000E0D6D" w:rsidRPr="0002056A" w:rsidRDefault="000E0D6D" w:rsidP="00CD5BF3">
      <w:pPr>
        <w:spacing w:before="60" w:after="60"/>
        <w:jc w:val="both"/>
        <w:rPr>
          <w:rFonts w:ascii="Georgia" w:hAnsi="Georgia" w:cs="Times New Roman"/>
          <w:lang w:val="en-GB"/>
        </w:rPr>
      </w:pPr>
      <w:r w:rsidRPr="0002056A">
        <w:rPr>
          <w:rFonts w:ascii="Georgia" w:hAnsi="Georgia" w:cs="Times New Roman"/>
          <w:lang w:val="en-GB"/>
        </w:rPr>
        <w:t xml:space="preserve">Beyond the literature items and practical policy materials I collected from </w:t>
      </w:r>
      <w:r w:rsidR="00271B50" w:rsidRPr="0002056A">
        <w:rPr>
          <w:rFonts w:ascii="Georgia" w:hAnsi="Georgia" w:cs="Times New Roman"/>
          <w:lang w:val="en-GB"/>
        </w:rPr>
        <w:t xml:space="preserve">my </w:t>
      </w:r>
      <w:r w:rsidRPr="0002056A">
        <w:rPr>
          <w:rFonts w:ascii="Georgia" w:hAnsi="Georgia" w:cs="Times New Roman"/>
          <w:lang w:val="en-GB"/>
        </w:rPr>
        <w:t xml:space="preserve">regional and spatial planning </w:t>
      </w:r>
      <w:r w:rsidR="00271B50" w:rsidRPr="0002056A">
        <w:rPr>
          <w:rFonts w:ascii="Georgia" w:hAnsi="Georgia" w:cs="Times New Roman"/>
          <w:lang w:val="en-GB"/>
        </w:rPr>
        <w:t>experience</w:t>
      </w:r>
      <w:r w:rsidRPr="0002056A">
        <w:rPr>
          <w:rFonts w:ascii="Georgia" w:hAnsi="Georgia" w:cs="Times New Roman"/>
          <w:lang w:val="en-GB"/>
        </w:rPr>
        <w:t xml:space="preserve"> during the recent decades, the literature selection was based again on </w:t>
      </w:r>
      <w:r w:rsidR="00472C1E">
        <w:rPr>
          <w:rFonts w:ascii="Georgia" w:hAnsi="Georgia" w:cs="Times New Roman"/>
          <w:lang w:val="en-GB"/>
        </w:rPr>
        <w:t xml:space="preserve">a </w:t>
      </w:r>
      <w:r w:rsidRPr="0002056A">
        <w:rPr>
          <w:rFonts w:ascii="Georgia" w:hAnsi="Georgia" w:cs="Times New Roman"/>
          <w:lang w:val="en-GB"/>
        </w:rPr>
        <w:t>detailed library and internet search. In the review process, I used the same databases of JSTOR (</w:t>
      </w:r>
      <w:hyperlink r:id="rId25" w:history="1">
        <w:r w:rsidRPr="0002056A">
          <w:rPr>
            <w:rFonts w:ascii="Georgia" w:hAnsi="Georgia" w:cs="Times New Roman"/>
            <w:lang w:val="en-GB"/>
          </w:rPr>
          <w:t>https://www.jstor.org/</w:t>
        </w:r>
      </w:hyperlink>
      <w:r w:rsidRPr="0002056A">
        <w:rPr>
          <w:rFonts w:ascii="Georgia" w:hAnsi="Georgia" w:cs="Times New Roman"/>
          <w:lang w:val="en-GB"/>
        </w:rPr>
        <w:t xml:space="preserve">) </w:t>
      </w:r>
      <w:r w:rsidR="00271B50" w:rsidRPr="0002056A">
        <w:rPr>
          <w:rFonts w:ascii="Georgia" w:hAnsi="Georgia" w:cs="Times New Roman"/>
          <w:lang w:val="en-GB"/>
        </w:rPr>
        <w:t>and Google Scholar</w:t>
      </w:r>
      <w:r w:rsidR="00946560" w:rsidRPr="0002056A">
        <w:rPr>
          <w:rFonts w:ascii="Georgia" w:hAnsi="Georgia" w:cs="Times New Roman"/>
          <w:lang w:val="en-GB"/>
        </w:rPr>
        <w:t xml:space="preserve"> as well as </w:t>
      </w:r>
      <w:r w:rsidRPr="0002056A">
        <w:rPr>
          <w:rFonts w:ascii="Georgia" w:hAnsi="Georgia" w:cs="Times New Roman"/>
          <w:lang w:val="en-GB"/>
        </w:rPr>
        <w:t>the BCE’s Library (</w:t>
      </w:r>
      <w:hyperlink r:id="rId26" w:history="1">
        <w:r w:rsidRPr="0002056A">
          <w:rPr>
            <w:rFonts w:ascii="Georgia" w:hAnsi="Georgia" w:cs="Times New Roman"/>
            <w:lang w:val="en-GB"/>
          </w:rPr>
          <w:t>https://hunteka.uni-corvinus.hu/</w:t>
        </w:r>
      </w:hyperlink>
      <w:r w:rsidRPr="0002056A">
        <w:rPr>
          <w:rFonts w:ascii="Georgia" w:hAnsi="Georgia" w:cs="Times New Roman"/>
          <w:lang w:val="en-GB"/>
        </w:rPr>
        <w:t>). The used keywords of the advanced search rounds were, “</w:t>
      </w:r>
      <w:r w:rsidRPr="0002056A">
        <w:rPr>
          <w:rFonts w:ascii="Georgia" w:hAnsi="Georgia" w:cs="Times New Roman"/>
          <w:i/>
          <w:iCs/>
          <w:lang w:val="en-GB"/>
        </w:rPr>
        <w:t>spatiality</w:t>
      </w:r>
      <w:r w:rsidRPr="0002056A">
        <w:rPr>
          <w:rFonts w:ascii="Georgia" w:hAnsi="Georgia" w:cs="Times New Roman"/>
          <w:lang w:val="en-GB"/>
        </w:rPr>
        <w:t>”</w:t>
      </w:r>
      <w:r w:rsidR="00947215" w:rsidRPr="0002056A">
        <w:rPr>
          <w:rFonts w:ascii="Georgia" w:hAnsi="Georgia" w:cs="Times New Roman"/>
          <w:lang w:val="en-GB"/>
        </w:rPr>
        <w:t>,</w:t>
      </w:r>
      <w:r w:rsidRPr="0002056A">
        <w:rPr>
          <w:rFonts w:ascii="Georgia" w:hAnsi="Georgia" w:cs="Times New Roman"/>
          <w:lang w:val="en-GB"/>
        </w:rPr>
        <w:t xml:space="preserve"> “</w:t>
      </w:r>
      <w:r w:rsidRPr="0002056A">
        <w:rPr>
          <w:rFonts w:ascii="Georgia" w:hAnsi="Georgia" w:cs="Times New Roman"/>
          <w:i/>
          <w:iCs/>
          <w:lang w:val="en-GB"/>
        </w:rPr>
        <w:t>territoriality</w:t>
      </w:r>
      <w:r w:rsidRPr="0002056A">
        <w:rPr>
          <w:rFonts w:ascii="Georgia" w:hAnsi="Georgia" w:cs="Times New Roman"/>
          <w:lang w:val="en-GB"/>
        </w:rPr>
        <w:t xml:space="preserve">”, </w:t>
      </w:r>
      <w:r w:rsidR="00947215" w:rsidRPr="0002056A">
        <w:rPr>
          <w:rFonts w:ascii="Georgia" w:hAnsi="Georgia" w:cs="Times New Roman"/>
          <w:lang w:val="en-GB"/>
        </w:rPr>
        <w:t>“</w:t>
      </w:r>
      <w:r w:rsidR="00947215" w:rsidRPr="0002056A">
        <w:rPr>
          <w:rFonts w:ascii="Georgia" w:hAnsi="Georgia" w:cs="Times New Roman"/>
          <w:i/>
          <w:iCs/>
          <w:lang w:val="en-GB"/>
        </w:rPr>
        <w:t>space interpretation</w:t>
      </w:r>
      <w:r w:rsidR="00947215" w:rsidRPr="0002056A">
        <w:rPr>
          <w:rFonts w:ascii="Georgia" w:hAnsi="Georgia" w:cs="Times New Roman"/>
          <w:lang w:val="en-GB"/>
        </w:rPr>
        <w:t xml:space="preserve">”, </w:t>
      </w:r>
      <w:r w:rsidR="00627A41" w:rsidRPr="0002056A">
        <w:rPr>
          <w:rFonts w:ascii="Georgia" w:hAnsi="Georgia" w:cs="Times New Roman"/>
          <w:lang w:val="en-GB"/>
        </w:rPr>
        <w:t>“</w:t>
      </w:r>
      <w:r w:rsidR="00627A41" w:rsidRPr="0002056A">
        <w:rPr>
          <w:rFonts w:ascii="Georgia" w:hAnsi="Georgia" w:cs="Times New Roman"/>
          <w:i/>
          <w:iCs/>
          <w:lang w:val="en-GB"/>
        </w:rPr>
        <w:t>spatial thinking</w:t>
      </w:r>
      <w:r w:rsidR="00627A41" w:rsidRPr="0002056A">
        <w:rPr>
          <w:rFonts w:ascii="Georgia" w:hAnsi="Georgia" w:cs="Times New Roman"/>
          <w:lang w:val="en-GB"/>
        </w:rPr>
        <w:t>”</w:t>
      </w:r>
      <w:r w:rsidR="0003475D" w:rsidRPr="0002056A">
        <w:rPr>
          <w:rFonts w:ascii="Georgia" w:hAnsi="Georgia" w:cs="Times New Roman"/>
          <w:lang w:val="en-GB"/>
        </w:rPr>
        <w:t>,</w:t>
      </w:r>
      <w:r w:rsidR="00627A41" w:rsidRPr="0002056A">
        <w:rPr>
          <w:rFonts w:ascii="Georgia" w:hAnsi="Georgia" w:cs="Times New Roman"/>
          <w:lang w:val="en-GB"/>
        </w:rPr>
        <w:t xml:space="preserve"> </w:t>
      </w:r>
      <w:r w:rsidRPr="0002056A">
        <w:rPr>
          <w:rFonts w:ascii="Georgia" w:hAnsi="Georgia" w:cs="Times New Roman"/>
          <w:lang w:val="en-GB"/>
        </w:rPr>
        <w:t>“</w:t>
      </w:r>
      <w:r w:rsidRPr="0002056A">
        <w:rPr>
          <w:rFonts w:ascii="Georgia" w:hAnsi="Georgia" w:cs="Times New Roman"/>
          <w:i/>
          <w:iCs/>
          <w:lang w:val="en-GB"/>
        </w:rPr>
        <w:t>territorial thinking</w:t>
      </w:r>
      <w:r w:rsidRPr="0002056A">
        <w:rPr>
          <w:rFonts w:ascii="Georgia" w:hAnsi="Georgia" w:cs="Times New Roman"/>
          <w:lang w:val="en-GB"/>
        </w:rPr>
        <w:t xml:space="preserve">”, </w:t>
      </w:r>
      <w:r w:rsidR="00627A41" w:rsidRPr="0002056A">
        <w:rPr>
          <w:rFonts w:ascii="Georgia" w:hAnsi="Georgia" w:cs="Times New Roman"/>
          <w:lang w:val="en-GB"/>
        </w:rPr>
        <w:t>“</w:t>
      </w:r>
      <w:r w:rsidR="00627A41" w:rsidRPr="0002056A">
        <w:rPr>
          <w:rFonts w:ascii="Georgia" w:hAnsi="Georgia" w:cs="Times New Roman"/>
          <w:i/>
          <w:iCs/>
          <w:lang w:val="en-GB"/>
        </w:rPr>
        <w:t>spatial aspects</w:t>
      </w:r>
      <w:r w:rsidR="00627A41" w:rsidRPr="0002056A">
        <w:rPr>
          <w:rFonts w:ascii="Georgia" w:hAnsi="Georgia" w:cs="Times New Roman"/>
          <w:lang w:val="en-GB"/>
        </w:rPr>
        <w:t xml:space="preserve">”, </w:t>
      </w:r>
      <w:r w:rsidRPr="0002056A">
        <w:rPr>
          <w:rFonts w:ascii="Georgia" w:hAnsi="Georgia" w:cs="Times New Roman"/>
          <w:lang w:val="en-GB"/>
        </w:rPr>
        <w:t>“</w:t>
      </w:r>
      <w:r w:rsidRPr="0002056A">
        <w:rPr>
          <w:rFonts w:ascii="Georgia" w:hAnsi="Georgia" w:cs="Times New Roman"/>
          <w:i/>
          <w:iCs/>
          <w:lang w:val="en-GB"/>
        </w:rPr>
        <w:t>territorial aspects</w:t>
      </w:r>
      <w:r w:rsidRPr="0002056A">
        <w:rPr>
          <w:rFonts w:ascii="Georgia" w:hAnsi="Georgia" w:cs="Times New Roman"/>
          <w:lang w:val="en-GB"/>
        </w:rPr>
        <w:t>”, “</w:t>
      </w:r>
      <w:r w:rsidRPr="0002056A">
        <w:rPr>
          <w:rFonts w:ascii="Georgia" w:hAnsi="Georgia" w:cs="Times New Roman"/>
          <w:i/>
          <w:iCs/>
          <w:lang w:val="en-GB"/>
        </w:rPr>
        <w:t>spatial sensitivity</w:t>
      </w:r>
      <w:r w:rsidRPr="0002056A">
        <w:rPr>
          <w:rFonts w:ascii="Georgia" w:hAnsi="Georgia" w:cs="Times New Roman"/>
          <w:lang w:val="en-GB"/>
        </w:rPr>
        <w:t>”, “</w:t>
      </w:r>
      <w:r w:rsidRPr="0002056A">
        <w:rPr>
          <w:rFonts w:ascii="Georgia" w:hAnsi="Georgia" w:cs="Times New Roman"/>
          <w:i/>
          <w:iCs/>
          <w:lang w:val="en-GB"/>
        </w:rPr>
        <w:t>territorial sensitivity</w:t>
      </w:r>
      <w:r w:rsidRPr="0002056A">
        <w:rPr>
          <w:rFonts w:ascii="Georgia" w:hAnsi="Georgia" w:cs="Times New Roman"/>
          <w:lang w:val="en-GB"/>
        </w:rPr>
        <w:t xml:space="preserve">”, and their further permutations, completed with the name of a </w:t>
      </w:r>
      <w:r w:rsidR="0069093A" w:rsidRPr="0002056A">
        <w:rPr>
          <w:rFonts w:ascii="Georgia" w:hAnsi="Georgia" w:cs="Times New Roman"/>
          <w:lang w:val="en-GB"/>
        </w:rPr>
        <w:t xml:space="preserve">given </w:t>
      </w:r>
      <w:r w:rsidRPr="0002056A">
        <w:rPr>
          <w:rFonts w:ascii="Georgia" w:hAnsi="Georgia" w:cs="Times New Roman"/>
          <w:lang w:val="en-GB"/>
        </w:rPr>
        <w:t xml:space="preserve">discipline (e.g., </w:t>
      </w:r>
      <w:r w:rsidR="007F1575" w:rsidRPr="0002056A">
        <w:rPr>
          <w:rFonts w:ascii="Georgia" w:hAnsi="Georgia" w:cs="Times New Roman"/>
          <w:i/>
          <w:iCs/>
          <w:lang w:val="en-GB"/>
        </w:rPr>
        <w:t>spatial sensitivity + regional study;</w:t>
      </w:r>
      <w:r w:rsidR="007F1575" w:rsidRPr="0002056A">
        <w:rPr>
          <w:rFonts w:ascii="Georgia" w:hAnsi="Georgia" w:cs="Times New Roman"/>
          <w:lang w:val="en-GB"/>
        </w:rPr>
        <w:t xml:space="preserve"> </w:t>
      </w:r>
      <w:r w:rsidRPr="0002056A">
        <w:rPr>
          <w:rFonts w:ascii="Georgia" w:hAnsi="Georgia" w:cs="Times New Roman"/>
          <w:i/>
          <w:iCs/>
          <w:lang w:val="en-GB"/>
        </w:rPr>
        <w:t xml:space="preserve">territorial thinking </w:t>
      </w:r>
      <w:r w:rsidR="007F1575" w:rsidRPr="0002056A">
        <w:rPr>
          <w:rFonts w:ascii="Georgia" w:hAnsi="Georgia" w:cs="Times New Roman"/>
          <w:i/>
          <w:iCs/>
          <w:lang w:val="en-GB"/>
        </w:rPr>
        <w:t>+ geopolitics</w:t>
      </w:r>
      <w:r w:rsidRPr="0002056A">
        <w:rPr>
          <w:rFonts w:ascii="Georgia" w:hAnsi="Georgia" w:cs="Times New Roman"/>
          <w:lang w:val="en-GB"/>
        </w:rPr>
        <w:t xml:space="preserve">, etc.). I must emphasise that </w:t>
      </w:r>
      <w:r w:rsidRPr="0002056A">
        <w:rPr>
          <w:rFonts w:ascii="Georgia" w:hAnsi="Georgia" w:cs="Times New Roman"/>
          <w:b/>
          <w:bCs/>
          <w:lang w:val="en-GB"/>
        </w:rPr>
        <w:t>the review concentrated explicitly on spatiality</w:t>
      </w:r>
      <w:r w:rsidRPr="0002056A">
        <w:rPr>
          <w:rFonts w:ascii="Georgia" w:hAnsi="Georgia" w:cs="Times New Roman"/>
          <w:lang w:val="en-GB"/>
        </w:rPr>
        <w:t xml:space="preserve"> (</w:t>
      </w:r>
      <w:r w:rsidR="00AF1E19" w:rsidRPr="0002056A">
        <w:rPr>
          <w:rFonts w:ascii="Georgia" w:hAnsi="Georgia" w:cs="Times New Roman"/>
          <w:lang w:val="en-GB"/>
        </w:rPr>
        <w:t xml:space="preserve">with </w:t>
      </w:r>
      <w:r w:rsidRPr="0002056A">
        <w:rPr>
          <w:rFonts w:ascii="Georgia" w:hAnsi="Georgia" w:cs="Times New Roman"/>
          <w:lang w:val="en-GB"/>
        </w:rPr>
        <w:t xml:space="preserve">delimited/limitless space as a general concept </w:t>
      </w:r>
      <w:r w:rsidR="00472C1E">
        <w:rPr>
          <w:rFonts w:ascii="Georgia" w:hAnsi="Georgia" w:cs="Times New Roman"/>
          <w:lang w:val="en-GB"/>
        </w:rPr>
        <w:t>at</w:t>
      </w:r>
      <w:r w:rsidRPr="0002056A">
        <w:rPr>
          <w:rFonts w:ascii="Georgia" w:hAnsi="Georgia" w:cs="Times New Roman"/>
          <w:lang w:val="en-GB"/>
        </w:rPr>
        <w:t xml:space="preserve"> the centre) </w:t>
      </w:r>
      <w:r w:rsidRPr="0002056A">
        <w:rPr>
          <w:rFonts w:ascii="Georgia" w:hAnsi="Georgia" w:cs="Times New Roman"/>
          <w:b/>
          <w:bCs/>
          <w:lang w:val="en-GB"/>
        </w:rPr>
        <w:t>and not on territoriality</w:t>
      </w:r>
      <w:r w:rsidRPr="0002056A">
        <w:rPr>
          <w:rFonts w:ascii="Georgia" w:hAnsi="Georgia" w:cs="Times New Roman"/>
          <w:lang w:val="en-GB"/>
        </w:rPr>
        <w:t xml:space="preserve"> (</w:t>
      </w:r>
      <w:r w:rsidR="005863BD" w:rsidRPr="0002056A">
        <w:rPr>
          <w:rFonts w:ascii="Georgia" w:hAnsi="Georgia" w:cs="Times New Roman"/>
          <w:lang w:val="en-GB"/>
        </w:rPr>
        <w:t>where</w:t>
      </w:r>
      <w:r w:rsidRPr="0002056A">
        <w:rPr>
          <w:rFonts w:ascii="Georgia" w:hAnsi="Georgia" w:cs="Times New Roman"/>
          <w:lang w:val="en-GB"/>
        </w:rPr>
        <w:t xml:space="preserve"> statistically/administratively delimited units of the surface </w:t>
      </w:r>
      <w:r w:rsidR="005863BD" w:rsidRPr="0002056A">
        <w:rPr>
          <w:rFonts w:ascii="Georgia" w:hAnsi="Georgia" w:cs="Times New Roman"/>
          <w:lang w:val="en-GB"/>
        </w:rPr>
        <w:t xml:space="preserve">are </w:t>
      </w:r>
      <w:r w:rsidRPr="0002056A">
        <w:rPr>
          <w:rFonts w:ascii="Georgia" w:hAnsi="Georgia" w:cs="Times New Roman"/>
          <w:lang w:val="en-GB"/>
        </w:rPr>
        <w:t xml:space="preserve">in focus); </w:t>
      </w:r>
      <w:r w:rsidRPr="0002056A">
        <w:rPr>
          <w:rFonts w:ascii="Georgia" w:hAnsi="Georgia" w:cs="Times New Roman"/>
          <w:b/>
          <w:bCs/>
          <w:lang w:val="en-GB"/>
        </w:rPr>
        <w:t xml:space="preserve">but to cover as wide </w:t>
      </w:r>
      <w:r w:rsidR="00472C1E">
        <w:rPr>
          <w:rFonts w:ascii="Georgia" w:hAnsi="Georgia" w:cs="Times New Roman"/>
          <w:b/>
          <w:bCs/>
          <w:lang w:val="en-GB"/>
        </w:rPr>
        <w:t xml:space="preserve">a </w:t>
      </w:r>
      <w:r w:rsidRPr="0002056A">
        <w:rPr>
          <w:rFonts w:ascii="Georgia" w:hAnsi="Georgia" w:cs="Times New Roman"/>
          <w:b/>
          <w:bCs/>
          <w:lang w:val="en-GB"/>
        </w:rPr>
        <w:t>literature basis as possible, I used both spatiality and territoriality as keywords</w:t>
      </w:r>
      <w:r w:rsidRPr="0002056A">
        <w:rPr>
          <w:rFonts w:ascii="Georgia" w:hAnsi="Georgia" w:cs="Times New Roman"/>
          <w:lang w:val="en-GB"/>
        </w:rPr>
        <w:t>.</w:t>
      </w:r>
    </w:p>
    <w:p w14:paraId="37F62C23" w14:textId="57430A87" w:rsidR="000E0D6D" w:rsidRPr="0002056A" w:rsidRDefault="000E0D6D" w:rsidP="00CD5BF3">
      <w:pPr>
        <w:spacing w:before="60" w:after="60"/>
        <w:jc w:val="both"/>
        <w:rPr>
          <w:rFonts w:ascii="Georgia" w:hAnsi="Georgia" w:cs="Times New Roman"/>
          <w:lang w:val="en-GB"/>
        </w:rPr>
      </w:pPr>
      <w:r w:rsidRPr="0002056A">
        <w:rPr>
          <w:rFonts w:ascii="Georgia" w:hAnsi="Georgia" w:cs="Times New Roman"/>
          <w:lang w:val="en-GB"/>
        </w:rPr>
        <w:t xml:space="preserve">Regarding the </w:t>
      </w:r>
      <w:r w:rsidRPr="0002056A">
        <w:rPr>
          <w:rFonts w:ascii="Georgia" w:hAnsi="Georgia" w:cs="Times New Roman"/>
          <w:b/>
          <w:bCs/>
          <w:lang w:val="en-GB"/>
        </w:rPr>
        <w:t>selected criteria for analysis</w:t>
      </w:r>
      <w:r w:rsidRPr="0002056A">
        <w:rPr>
          <w:rFonts w:ascii="Georgia" w:hAnsi="Georgia" w:cs="Times New Roman"/>
          <w:lang w:val="en-GB"/>
        </w:rPr>
        <w:t xml:space="preserve">, I basically sought </w:t>
      </w:r>
      <w:r w:rsidR="00472C1E">
        <w:rPr>
          <w:rFonts w:ascii="Georgia" w:hAnsi="Georgia" w:cs="Times New Roman"/>
          <w:lang w:val="en-GB"/>
        </w:rPr>
        <w:t xml:space="preserve">literature </w:t>
      </w:r>
      <w:r w:rsidR="00472C1E" w:rsidRPr="006E0919">
        <w:rPr>
          <w:rFonts w:ascii="Georgia" w:hAnsi="Georgia" w:cs="Times New Roman"/>
          <w:i/>
          <w:iCs/>
          <w:lang w:val="en-GB"/>
        </w:rPr>
        <w:t>from previously chosen disciplines / practical fields</w:t>
      </w:r>
      <w:r w:rsidR="00472C1E">
        <w:rPr>
          <w:rFonts w:ascii="Georgia" w:hAnsi="Georgia" w:cs="Times New Roman"/>
          <w:lang w:val="en-GB"/>
        </w:rPr>
        <w:t xml:space="preserve"> that I consider spatially interesting</w:t>
      </w:r>
      <w:r w:rsidRPr="0002056A">
        <w:rPr>
          <w:rFonts w:ascii="Georgia" w:hAnsi="Georgia" w:cs="Times New Roman"/>
          <w:lang w:val="en-GB"/>
        </w:rPr>
        <w:t xml:space="preserve">. I did </w:t>
      </w:r>
      <w:r w:rsidRPr="0002056A">
        <w:rPr>
          <w:rFonts w:ascii="Georgia" w:hAnsi="Georgia" w:cs="Times New Roman"/>
          <w:i/>
          <w:iCs/>
          <w:lang w:val="en-GB"/>
        </w:rPr>
        <w:t>not</w:t>
      </w:r>
      <w:r w:rsidRPr="0002056A">
        <w:rPr>
          <w:rFonts w:ascii="Georgia" w:hAnsi="Georgia" w:cs="Times New Roman"/>
          <w:lang w:val="en-GB"/>
        </w:rPr>
        <w:t xml:space="preserve"> apply </w:t>
      </w:r>
      <w:r w:rsidRPr="0002056A">
        <w:rPr>
          <w:rFonts w:ascii="Georgia" w:hAnsi="Georgia" w:cs="Times New Roman"/>
          <w:i/>
          <w:iCs/>
          <w:lang w:val="en-GB"/>
        </w:rPr>
        <w:t>any regional selection criterion</w:t>
      </w:r>
      <w:r w:rsidRPr="0002056A">
        <w:rPr>
          <w:rFonts w:ascii="Georgia" w:hAnsi="Georgia" w:cs="Times New Roman"/>
          <w:lang w:val="en-GB"/>
        </w:rPr>
        <w:t xml:space="preserve">; the processed literature came from all regions/countries of the world. As opposed to the first phase of the literature review, I did </w:t>
      </w:r>
      <w:r w:rsidRPr="0002056A">
        <w:rPr>
          <w:rFonts w:ascii="Georgia" w:hAnsi="Georgia" w:cs="Times New Roman"/>
          <w:i/>
          <w:iCs/>
          <w:lang w:val="en-GB"/>
        </w:rPr>
        <w:t>not</w:t>
      </w:r>
      <w:r w:rsidRPr="0002056A">
        <w:rPr>
          <w:rFonts w:ascii="Georgia" w:hAnsi="Georgia" w:cs="Times New Roman"/>
          <w:lang w:val="en-GB"/>
        </w:rPr>
        <w:t xml:space="preserve"> apply </w:t>
      </w:r>
      <w:r w:rsidRPr="0002056A">
        <w:rPr>
          <w:rFonts w:ascii="Georgia" w:hAnsi="Georgia" w:cs="Times New Roman"/>
          <w:i/>
          <w:iCs/>
          <w:lang w:val="en-GB"/>
        </w:rPr>
        <w:t>any limit regarding the year range</w:t>
      </w:r>
      <w:r w:rsidRPr="0002056A">
        <w:rPr>
          <w:rFonts w:ascii="Georgia" w:hAnsi="Georgia" w:cs="Times New Roman"/>
          <w:lang w:val="en-GB"/>
        </w:rPr>
        <w:t xml:space="preserve"> of the literature items because I was interested </w:t>
      </w:r>
      <w:r w:rsidR="00472C1E">
        <w:rPr>
          <w:rFonts w:ascii="Georgia" w:hAnsi="Georgia" w:cs="Times New Roman"/>
          <w:lang w:val="en-GB"/>
        </w:rPr>
        <w:t>in all kinds of space interpretations independently of</w:t>
      </w:r>
      <w:r w:rsidRPr="0002056A">
        <w:rPr>
          <w:rFonts w:ascii="Georgia" w:hAnsi="Georgia" w:cs="Times New Roman"/>
          <w:lang w:val="en-GB"/>
        </w:rPr>
        <w:t xml:space="preserve"> the time of their creation. </w:t>
      </w:r>
    </w:p>
    <w:p w14:paraId="7A0805F1" w14:textId="68074F84" w:rsidR="000E0D6D" w:rsidRPr="0002056A" w:rsidRDefault="000E0D6D" w:rsidP="00CD5BF3">
      <w:pPr>
        <w:spacing w:before="60" w:after="60"/>
        <w:jc w:val="both"/>
        <w:rPr>
          <w:rFonts w:ascii="Georgia" w:hAnsi="Georgia" w:cs="Times New Roman"/>
          <w:lang w:val="en-GB"/>
        </w:rPr>
      </w:pPr>
      <w:r w:rsidRPr="0002056A">
        <w:rPr>
          <w:rFonts w:ascii="Georgia" w:hAnsi="Georgia" w:cs="Times New Roman"/>
          <w:b/>
          <w:bCs/>
          <w:lang w:val="en-GB"/>
        </w:rPr>
        <w:t>All literature items were analysed according to a predefined aspect system</w:t>
      </w:r>
      <w:r w:rsidRPr="0002056A">
        <w:rPr>
          <w:rFonts w:ascii="Georgia" w:hAnsi="Georgia" w:cs="Times New Roman"/>
          <w:lang w:val="en-GB"/>
        </w:rPr>
        <w:t xml:space="preserve">. I sought in the articles 1) </w:t>
      </w:r>
      <w:r w:rsidRPr="0002056A">
        <w:rPr>
          <w:rFonts w:ascii="Georgia" w:hAnsi="Georgia" w:cs="Times New Roman"/>
          <w:i/>
          <w:iCs/>
          <w:lang w:val="en-GB"/>
        </w:rPr>
        <w:t>the presence of related concepts</w:t>
      </w:r>
      <w:r w:rsidRPr="0002056A">
        <w:rPr>
          <w:rFonts w:ascii="Georgia" w:hAnsi="Georgia" w:cs="Times New Roman"/>
          <w:lang w:val="en-GB"/>
        </w:rPr>
        <w:t xml:space="preserve"> (space, territory, place, region, etc.); 2) </w:t>
      </w:r>
      <w:r w:rsidRPr="0002056A">
        <w:rPr>
          <w:rFonts w:ascii="Georgia" w:hAnsi="Georgia" w:cs="Times New Roman"/>
          <w:i/>
          <w:iCs/>
          <w:lang w:val="en-GB"/>
        </w:rPr>
        <w:t>the mentioning of spatial elements</w:t>
      </w:r>
      <w:r w:rsidRPr="0002056A">
        <w:rPr>
          <w:rFonts w:ascii="Georgia" w:hAnsi="Georgia" w:cs="Times New Roman"/>
          <w:lang w:val="en-GB"/>
        </w:rPr>
        <w:t xml:space="preserve">; 3) </w:t>
      </w:r>
      <w:r w:rsidRPr="0002056A">
        <w:rPr>
          <w:rFonts w:ascii="Georgia" w:hAnsi="Georgia" w:cs="Times New Roman"/>
          <w:i/>
          <w:iCs/>
          <w:lang w:val="en-GB"/>
        </w:rPr>
        <w:t>spatial dimensions</w:t>
      </w:r>
      <w:r w:rsidRPr="0002056A">
        <w:rPr>
          <w:rFonts w:ascii="Georgia" w:hAnsi="Georgia" w:cs="Times New Roman"/>
          <w:lang w:val="en-GB"/>
        </w:rPr>
        <w:t xml:space="preserve"> or 4) </w:t>
      </w:r>
      <w:r w:rsidRPr="0002056A">
        <w:rPr>
          <w:rFonts w:ascii="Georgia" w:hAnsi="Georgia" w:cs="Times New Roman"/>
          <w:i/>
          <w:iCs/>
          <w:lang w:val="en-GB"/>
        </w:rPr>
        <w:t>spatial structure</w:t>
      </w:r>
      <w:r w:rsidR="008A0DFB" w:rsidRPr="0002056A">
        <w:rPr>
          <w:rFonts w:ascii="Georgia" w:hAnsi="Georgia" w:cs="Times New Roman"/>
          <w:i/>
          <w:iCs/>
          <w:lang w:val="en-GB"/>
        </w:rPr>
        <w:t>s</w:t>
      </w:r>
      <w:r w:rsidRPr="0002056A">
        <w:rPr>
          <w:rFonts w:ascii="Georgia" w:hAnsi="Georgia" w:cs="Times New Roman"/>
          <w:lang w:val="en-GB"/>
        </w:rPr>
        <w:t xml:space="preserve">; </w:t>
      </w:r>
      <w:r w:rsidR="008A0DFB" w:rsidRPr="0002056A">
        <w:rPr>
          <w:rFonts w:ascii="Georgia" w:hAnsi="Georgia" w:cs="Times New Roman"/>
          <w:lang w:val="en-GB"/>
        </w:rPr>
        <w:t xml:space="preserve">and </w:t>
      </w:r>
      <w:r w:rsidRPr="0002056A">
        <w:rPr>
          <w:rFonts w:ascii="Georgia" w:hAnsi="Georgia" w:cs="Times New Roman"/>
          <w:lang w:val="en-GB"/>
        </w:rPr>
        <w:t xml:space="preserve">5) </w:t>
      </w:r>
      <w:r w:rsidRPr="0002056A">
        <w:rPr>
          <w:rFonts w:ascii="Georgia" w:hAnsi="Georgia" w:cs="Times New Roman"/>
          <w:lang w:val="en-GB"/>
        </w:rPr>
        <w:lastRenderedPageBreak/>
        <w:t xml:space="preserve">the </w:t>
      </w:r>
      <w:r w:rsidRPr="0002056A">
        <w:rPr>
          <w:rFonts w:ascii="Georgia" w:hAnsi="Georgia" w:cs="Times New Roman"/>
          <w:i/>
          <w:iCs/>
          <w:lang w:val="en-GB"/>
        </w:rPr>
        <w:t>concrete description of actual space interpretations</w:t>
      </w:r>
      <w:r w:rsidRPr="0002056A">
        <w:rPr>
          <w:rFonts w:ascii="Georgia" w:hAnsi="Georgia" w:cs="Times New Roman"/>
          <w:lang w:val="en-GB"/>
        </w:rPr>
        <w:t xml:space="preserve">. </w:t>
      </w:r>
      <w:r w:rsidR="00207582" w:rsidRPr="0002056A">
        <w:rPr>
          <w:rFonts w:ascii="Georgia" w:hAnsi="Georgia" w:cs="Times New Roman"/>
          <w:lang w:val="en-GB"/>
        </w:rPr>
        <w:t xml:space="preserve">Finally, </w:t>
      </w:r>
      <w:r w:rsidR="00076DAA" w:rsidRPr="0002056A">
        <w:rPr>
          <w:rFonts w:ascii="Georgia" w:hAnsi="Georgia" w:cs="Times New Roman"/>
          <w:lang w:val="en-GB"/>
        </w:rPr>
        <w:t xml:space="preserve">both </w:t>
      </w:r>
      <w:r w:rsidRPr="0002056A">
        <w:rPr>
          <w:rFonts w:ascii="Georgia" w:hAnsi="Georgia" w:cs="Times New Roman"/>
          <w:lang w:val="en-GB"/>
        </w:rPr>
        <w:t xml:space="preserve">the possible </w:t>
      </w:r>
      <w:r w:rsidR="00076DAA" w:rsidRPr="0002056A">
        <w:rPr>
          <w:rFonts w:ascii="Georgia" w:hAnsi="Georgia" w:cs="Times New Roman"/>
          <w:lang w:val="en-GB"/>
        </w:rPr>
        <w:t>relevance</w:t>
      </w:r>
      <w:r w:rsidRPr="0002056A">
        <w:rPr>
          <w:rFonts w:ascii="Georgia" w:hAnsi="Georgia" w:cs="Times New Roman"/>
          <w:lang w:val="en-GB"/>
        </w:rPr>
        <w:t xml:space="preserve"> of these aspects in climate policy and the</w:t>
      </w:r>
      <w:r w:rsidR="00AF1E19" w:rsidRPr="0002056A">
        <w:rPr>
          <w:rFonts w:ascii="Georgia" w:hAnsi="Georgia" w:cs="Times New Roman"/>
          <w:lang w:val="en-GB"/>
        </w:rPr>
        <w:t xml:space="preserve">ir </w:t>
      </w:r>
      <w:r w:rsidR="00076DAA" w:rsidRPr="0002056A">
        <w:rPr>
          <w:rFonts w:ascii="Georgia" w:hAnsi="Georgia" w:cs="Times New Roman"/>
          <w:lang w:val="en-GB"/>
        </w:rPr>
        <w:t>potential</w:t>
      </w:r>
      <w:r w:rsidRPr="0002056A">
        <w:rPr>
          <w:rFonts w:ascii="Georgia" w:hAnsi="Georgia" w:cs="Times New Roman"/>
          <w:lang w:val="en-GB"/>
        </w:rPr>
        <w:t xml:space="preserve"> </w:t>
      </w:r>
      <w:r w:rsidR="00472C1E">
        <w:rPr>
          <w:rFonts w:ascii="Georgia" w:hAnsi="Georgia" w:cs="Times New Roman"/>
          <w:lang w:val="en-GB"/>
        </w:rPr>
        <w:t>utilisation</w:t>
      </w:r>
      <w:r w:rsidR="00472C1E" w:rsidRPr="0002056A">
        <w:rPr>
          <w:rFonts w:ascii="Georgia" w:hAnsi="Georgia" w:cs="Times New Roman"/>
          <w:lang w:val="en-GB"/>
        </w:rPr>
        <w:t xml:space="preserve"> </w:t>
      </w:r>
      <w:r w:rsidR="00076DAA" w:rsidRPr="0002056A">
        <w:rPr>
          <w:rFonts w:ascii="Georgia" w:hAnsi="Georgia" w:cs="Times New Roman"/>
          <w:lang w:val="en-GB"/>
        </w:rPr>
        <w:t xml:space="preserve">in the </w:t>
      </w:r>
      <w:r w:rsidR="00207582" w:rsidRPr="0002056A">
        <w:rPr>
          <w:rFonts w:ascii="Georgia" w:hAnsi="Georgia" w:cs="Times New Roman"/>
          <w:lang w:val="en-GB"/>
        </w:rPr>
        <w:t xml:space="preserve">dissertation’s </w:t>
      </w:r>
      <w:r w:rsidRPr="0002056A">
        <w:rPr>
          <w:rFonts w:ascii="Georgia" w:hAnsi="Georgia" w:cs="Times New Roman"/>
          <w:lang w:val="en-GB"/>
        </w:rPr>
        <w:t xml:space="preserve">comparative document analysis were </w:t>
      </w:r>
      <w:r w:rsidR="00076DAA" w:rsidRPr="0002056A">
        <w:rPr>
          <w:rFonts w:ascii="Georgia" w:hAnsi="Georgia" w:cs="Times New Roman"/>
          <w:lang w:val="en-GB"/>
        </w:rPr>
        <w:t xml:space="preserve">also </w:t>
      </w:r>
      <w:r w:rsidRPr="0002056A">
        <w:rPr>
          <w:rFonts w:ascii="Georgia" w:hAnsi="Georgia" w:cs="Times New Roman"/>
          <w:lang w:val="en-GB"/>
        </w:rPr>
        <w:t>considered.</w:t>
      </w:r>
    </w:p>
    <w:p w14:paraId="67729545" w14:textId="63E60FF5" w:rsidR="007263D7" w:rsidRPr="0002056A" w:rsidRDefault="007263D7" w:rsidP="00CD5BF3">
      <w:pPr>
        <w:spacing w:before="120" w:after="120"/>
        <w:jc w:val="both"/>
        <w:rPr>
          <w:rFonts w:ascii="Georgia" w:hAnsi="Georgia" w:cs="Times New Roman"/>
          <w:lang w:val="en-GB"/>
        </w:rPr>
      </w:pPr>
      <w:r w:rsidRPr="0002056A">
        <w:rPr>
          <w:rFonts w:ascii="Georgia" w:hAnsi="Georgia" w:cs="Times New Roman"/>
          <w:b/>
          <w:bCs/>
          <w:lang w:val="en-GB"/>
        </w:rPr>
        <w:t xml:space="preserve">The review preferred the conceptual or </w:t>
      </w:r>
      <w:r w:rsidR="00472C1E">
        <w:rPr>
          <w:rFonts w:ascii="Georgia" w:hAnsi="Georgia" w:cs="Times New Roman"/>
          <w:b/>
          <w:bCs/>
          <w:lang w:val="en-GB"/>
        </w:rPr>
        <w:t>synthesi</w:t>
      </w:r>
      <w:r w:rsidR="005B19FA">
        <w:rPr>
          <w:rFonts w:ascii="Georgia" w:hAnsi="Georgia" w:cs="Times New Roman"/>
          <w:b/>
          <w:bCs/>
          <w:lang w:val="en-GB"/>
        </w:rPr>
        <w:t>ser</w:t>
      </w:r>
      <w:r w:rsidR="00472C1E" w:rsidRPr="0002056A">
        <w:rPr>
          <w:rFonts w:ascii="Georgia" w:hAnsi="Georgia" w:cs="Times New Roman"/>
          <w:b/>
          <w:bCs/>
          <w:lang w:val="en-GB"/>
        </w:rPr>
        <w:t xml:space="preserve"> </w:t>
      </w:r>
      <w:r w:rsidRPr="0002056A">
        <w:rPr>
          <w:rFonts w:ascii="Georgia" w:hAnsi="Georgia" w:cs="Times New Roman"/>
          <w:b/>
          <w:bCs/>
          <w:lang w:val="en-GB"/>
        </w:rPr>
        <w:t>works</w:t>
      </w:r>
      <w:r w:rsidRPr="0002056A">
        <w:rPr>
          <w:rFonts w:ascii="Georgia" w:hAnsi="Georgia" w:cs="Times New Roman"/>
          <w:lang w:val="en-GB"/>
        </w:rPr>
        <w:t xml:space="preserve"> of authors that can provide us with a comprehensive picture of space considerations. As an initial step I turned both to definitive space concepts like that of </w:t>
      </w:r>
      <w:r w:rsidRPr="0002056A">
        <w:rPr>
          <w:rFonts w:ascii="Georgia" w:hAnsi="Georgia" w:cs="Times New Roman"/>
          <w:smallCaps/>
          <w:lang w:val="en-GB"/>
        </w:rPr>
        <w:t>Agnew, Massey</w:t>
      </w:r>
      <w:r w:rsidRPr="0002056A">
        <w:rPr>
          <w:rFonts w:ascii="Georgia" w:hAnsi="Georgia" w:cs="Times New Roman"/>
          <w:lang w:val="en-GB"/>
        </w:rPr>
        <w:t xml:space="preserve"> or </w:t>
      </w:r>
      <w:r w:rsidRPr="0002056A">
        <w:rPr>
          <w:rFonts w:ascii="Georgia" w:hAnsi="Georgia" w:cs="Times New Roman"/>
          <w:smallCaps/>
          <w:lang w:val="en-GB"/>
        </w:rPr>
        <w:t>Cresswell</w:t>
      </w:r>
      <w:r w:rsidRPr="0002056A">
        <w:rPr>
          <w:rFonts w:ascii="Georgia" w:hAnsi="Georgia" w:cs="Times New Roman"/>
          <w:lang w:val="en-GB"/>
        </w:rPr>
        <w:t xml:space="preserve"> and to synthetizing or collective works like that of </w:t>
      </w:r>
      <w:r w:rsidRPr="0002056A">
        <w:rPr>
          <w:rFonts w:ascii="Georgia" w:hAnsi="Georgia" w:cs="Times New Roman"/>
          <w:smallCaps/>
          <w:lang w:val="en-GB"/>
        </w:rPr>
        <w:t>Haggett</w:t>
      </w:r>
      <w:r w:rsidRPr="0002056A">
        <w:rPr>
          <w:rFonts w:ascii="Georgia" w:hAnsi="Georgia" w:cs="Times New Roman"/>
          <w:lang w:val="en-GB"/>
        </w:rPr>
        <w:t xml:space="preserve"> (who defined the basic territorial concepts of the geographical space), </w:t>
      </w:r>
      <w:r w:rsidRPr="0002056A">
        <w:rPr>
          <w:rFonts w:ascii="Georgia" w:hAnsi="Georgia" w:cs="Times New Roman"/>
          <w:smallCaps/>
          <w:lang w:val="en-GB"/>
        </w:rPr>
        <w:t>Faragó</w:t>
      </w:r>
      <w:r w:rsidRPr="0002056A">
        <w:rPr>
          <w:rFonts w:ascii="Georgia" w:hAnsi="Georgia" w:cs="Times New Roman"/>
          <w:lang w:val="en-GB"/>
        </w:rPr>
        <w:t xml:space="preserve"> (who introduced the main interpretations and approaches of territorial reasoning and evolution of space concepts and notions), </w:t>
      </w:r>
      <w:r w:rsidRPr="0002056A">
        <w:rPr>
          <w:rFonts w:ascii="Georgia" w:hAnsi="Georgia" w:cs="Times New Roman"/>
          <w:smallCaps/>
          <w:lang w:val="en-GB"/>
        </w:rPr>
        <w:t>Nemes-Nagy</w:t>
      </w:r>
      <w:r w:rsidRPr="0002056A">
        <w:rPr>
          <w:rFonts w:ascii="Georgia" w:hAnsi="Georgia" w:cs="Times New Roman"/>
          <w:lang w:val="en-GB"/>
        </w:rPr>
        <w:t xml:space="preserve"> (who introduced the development of concepts and examination methodologies of the relationship between space and society in regional science) and </w:t>
      </w:r>
      <w:r w:rsidRPr="0002056A">
        <w:rPr>
          <w:rFonts w:ascii="Georgia" w:hAnsi="Georgia" w:cs="Times New Roman"/>
          <w:smallCaps/>
          <w:lang w:val="en-GB"/>
        </w:rPr>
        <w:t>Dusek</w:t>
      </w:r>
      <w:r w:rsidRPr="0002056A">
        <w:rPr>
          <w:rFonts w:ascii="Georgia" w:hAnsi="Georgia" w:cs="Times New Roman"/>
          <w:lang w:val="en-GB"/>
        </w:rPr>
        <w:t xml:space="preserve"> (who summarized the basic issues of social space research as a foundation of territorial analyses). </w:t>
      </w:r>
    </w:p>
    <w:p w14:paraId="5B61470F" w14:textId="1294FD8C" w:rsidR="00B14379" w:rsidRPr="0002056A" w:rsidRDefault="00B14379" w:rsidP="00CD5BF3">
      <w:pPr>
        <w:spacing w:before="120" w:after="120"/>
        <w:jc w:val="both"/>
        <w:rPr>
          <w:rFonts w:ascii="Georgia" w:hAnsi="Georgia" w:cs="Times New Roman"/>
          <w:lang w:val="en-GB"/>
        </w:rPr>
      </w:pPr>
      <w:r w:rsidRPr="0002056A">
        <w:rPr>
          <w:rFonts w:ascii="Georgia" w:hAnsi="Georgia" w:cs="Times New Roman"/>
          <w:lang w:val="en-GB"/>
        </w:rPr>
        <w:t xml:space="preserve">The detailed introduction of the different notions, interpretations and concepts of space is introduced by </w:t>
      </w:r>
      <w:r w:rsidRPr="0002056A">
        <w:rPr>
          <w:rFonts w:ascii="Georgia" w:hAnsi="Georgia" w:cs="Times New Roman"/>
          <w:b/>
          <w:bCs/>
          <w:lang w:val="en-GB"/>
        </w:rPr>
        <w:t>Annex 2</w:t>
      </w:r>
      <w:r w:rsidRPr="0002056A">
        <w:rPr>
          <w:rFonts w:ascii="Georgia" w:hAnsi="Georgia" w:cs="Times New Roman"/>
          <w:lang w:val="en-GB"/>
        </w:rPr>
        <w:t xml:space="preserve">. </w:t>
      </w:r>
      <w:r w:rsidR="00CC454D" w:rsidRPr="0002056A">
        <w:rPr>
          <w:rFonts w:ascii="Georgia" w:hAnsi="Georgia" w:cs="Times New Roman"/>
          <w:lang w:val="en-GB"/>
        </w:rPr>
        <w:t>In this chapter</w:t>
      </w:r>
      <w:r w:rsidR="00472C1E">
        <w:rPr>
          <w:rFonts w:ascii="Georgia" w:hAnsi="Georgia" w:cs="Times New Roman"/>
          <w:lang w:val="en-GB"/>
        </w:rPr>
        <w:t>, we restrict ourselves to presenting</w:t>
      </w:r>
      <w:r w:rsidRPr="0002056A">
        <w:rPr>
          <w:rFonts w:ascii="Georgia" w:hAnsi="Georgia" w:cs="Times New Roman"/>
          <w:lang w:val="en-GB"/>
        </w:rPr>
        <w:t xml:space="preserve"> the main </w:t>
      </w:r>
      <w:r w:rsidR="00216AD0" w:rsidRPr="0002056A">
        <w:rPr>
          <w:rFonts w:ascii="Georgia" w:hAnsi="Georgia" w:cs="Times New Roman"/>
          <w:lang w:val="en-GB"/>
        </w:rPr>
        <w:t>conclusions</w:t>
      </w:r>
      <w:r w:rsidR="00CC454D" w:rsidRPr="0002056A">
        <w:rPr>
          <w:rFonts w:ascii="Georgia" w:hAnsi="Georgia" w:cs="Times New Roman"/>
          <w:lang w:val="en-GB"/>
        </w:rPr>
        <w:t>.</w:t>
      </w:r>
    </w:p>
    <w:p w14:paraId="625D444D" w14:textId="0D67E74F" w:rsidR="007263D7" w:rsidRPr="0002056A" w:rsidRDefault="00472C1E" w:rsidP="00CD5BF3">
      <w:pPr>
        <w:pStyle w:val="Default"/>
        <w:spacing w:before="120" w:after="120" w:line="276" w:lineRule="auto"/>
        <w:jc w:val="both"/>
        <w:rPr>
          <w:rFonts w:ascii="Georgia" w:hAnsi="Georgia" w:cs="Times New Roman"/>
          <w:color w:val="auto"/>
          <w:sz w:val="22"/>
          <w:szCs w:val="22"/>
          <w:lang w:val="en-GB"/>
        </w:rPr>
      </w:pPr>
      <w:r>
        <w:rPr>
          <w:rFonts w:ascii="Georgia" w:hAnsi="Georgia" w:cs="Times New Roman"/>
          <w:color w:val="auto"/>
          <w:sz w:val="22"/>
          <w:szCs w:val="22"/>
          <w:lang w:val="en-GB"/>
        </w:rPr>
        <w:t xml:space="preserve">Summarising the different concepts’ main meanings, </w:t>
      </w:r>
      <w:r w:rsidRPr="005B19FA">
        <w:rPr>
          <w:rFonts w:ascii="Georgia" w:hAnsi="Georgia" w:cs="Times New Roman"/>
          <w:b/>
          <w:bCs/>
          <w:color w:val="auto"/>
          <w:sz w:val="22"/>
          <w:szCs w:val="22"/>
          <w:lang w:val="en-GB"/>
        </w:rPr>
        <w:t>territory means a delimited, administrative unit principally</w:t>
      </w:r>
      <w:r w:rsidR="007263D7" w:rsidRPr="0002056A">
        <w:rPr>
          <w:rFonts w:ascii="Georgia" w:hAnsi="Georgia" w:cs="Times New Roman"/>
          <w:color w:val="auto"/>
          <w:sz w:val="22"/>
          <w:szCs w:val="22"/>
          <w:lang w:val="en-GB"/>
        </w:rPr>
        <w:t xml:space="preserve">, meanwhile </w:t>
      </w:r>
      <w:r w:rsidR="007263D7" w:rsidRPr="0002056A">
        <w:rPr>
          <w:rFonts w:ascii="Georgia" w:hAnsi="Georgia" w:cs="Times New Roman"/>
          <w:b/>
          <w:bCs/>
          <w:color w:val="auto"/>
          <w:sz w:val="22"/>
          <w:szCs w:val="22"/>
          <w:lang w:val="en-GB"/>
        </w:rPr>
        <w:t>space is a more general/abstract spatial concept</w:t>
      </w:r>
      <w:r w:rsidR="00E87CCB" w:rsidRPr="0002056A">
        <w:rPr>
          <w:rFonts w:ascii="Georgia" w:hAnsi="Georgia" w:cs="Times New Roman"/>
          <w:b/>
          <w:bCs/>
          <w:color w:val="auto"/>
          <w:sz w:val="22"/>
          <w:szCs w:val="22"/>
          <w:lang w:val="en-GB"/>
        </w:rPr>
        <w:t>. P</w:t>
      </w:r>
      <w:r w:rsidR="005C33AF" w:rsidRPr="0002056A">
        <w:rPr>
          <w:rFonts w:ascii="Georgia" w:hAnsi="Georgia" w:cs="Times New Roman"/>
          <w:b/>
          <w:bCs/>
          <w:color w:val="auto"/>
          <w:sz w:val="22"/>
          <w:szCs w:val="22"/>
          <w:lang w:val="en-GB"/>
        </w:rPr>
        <w:t>lace</w:t>
      </w:r>
      <w:r w:rsidR="0027582B" w:rsidRPr="0002056A">
        <w:rPr>
          <w:rFonts w:ascii="Georgia" w:hAnsi="Georgia" w:cs="Times New Roman"/>
          <w:b/>
          <w:bCs/>
          <w:color w:val="auto"/>
          <w:sz w:val="22"/>
          <w:szCs w:val="22"/>
          <w:lang w:val="en-GB"/>
        </w:rPr>
        <w:t xml:space="preserve"> and region</w:t>
      </w:r>
      <w:r w:rsidR="005C33AF" w:rsidRPr="0002056A">
        <w:rPr>
          <w:rFonts w:ascii="Georgia" w:hAnsi="Georgia" w:cs="Times New Roman"/>
          <w:b/>
          <w:bCs/>
          <w:color w:val="auto"/>
          <w:sz w:val="22"/>
          <w:szCs w:val="22"/>
          <w:lang w:val="en-GB"/>
        </w:rPr>
        <w:t xml:space="preserve">, </w:t>
      </w:r>
      <w:r w:rsidR="005C33AF" w:rsidRPr="0002056A">
        <w:rPr>
          <w:rFonts w:ascii="Georgia" w:hAnsi="Georgia" w:cs="Times New Roman"/>
          <w:color w:val="auto"/>
          <w:sz w:val="22"/>
          <w:szCs w:val="22"/>
          <w:lang w:val="en-GB"/>
        </w:rPr>
        <w:t xml:space="preserve">as occupied localities in space have a perceptorial </w:t>
      </w:r>
      <w:r w:rsidR="0027582B" w:rsidRPr="0002056A">
        <w:rPr>
          <w:rFonts w:ascii="Georgia" w:hAnsi="Georgia" w:cs="Times New Roman"/>
          <w:color w:val="auto"/>
          <w:sz w:val="22"/>
          <w:szCs w:val="22"/>
          <w:lang w:val="en-GB"/>
        </w:rPr>
        <w:t xml:space="preserve">and statistical-analytical </w:t>
      </w:r>
      <w:r w:rsidR="005C33AF" w:rsidRPr="0002056A">
        <w:rPr>
          <w:rFonts w:ascii="Georgia" w:hAnsi="Georgia" w:cs="Times New Roman"/>
          <w:color w:val="auto"/>
          <w:sz w:val="22"/>
          <w:szCs w:val="22"/>
          <w:lang w:val="en-GB"/>
        </w:rPr>
        <w:t>content</w:t>
      </w:r>
      <w:r w:rsidR="007263D7" w:rsidRPr="0002056A">
        <w:rPr>
          <w:rFonts w:ascii="Georgia" w:hAnsi="Georgia" w:cs="Times New Roman"/>
          <w:color w:val="auto"/>
          <w:sz w:val="22"/>
          <w:szCs w:val="22"/>
          <w:lang w:val="en-GB"/>
        </w:rPr>
        <w:t>. In case of adaptation policy</w:t>
      </w:r>
      <w:r w:rsidR="002F4411" w:rsidRPr="0002056A">
        <w:rPr>
          <w:rFonts w:ascii="Georgia" w:hAnsi="Georgia" w:cs="Times New Roman"/>
          <w:color w:val="auto"/>
          <w:sz w:val="22"/>
          <w:szCs w:val="22"/>
          <w:lang w:val="en-GB"/>
        </w:rPr>
        <w:t>’s spatial performance</w:t>
      </w:r>
      <w:r w:rsidR="007263D7" w:rsidRPr="0002056A">
        <w:rPr>
          <w:rFonts w:ascii="Georgia" w:hAnsi="Georgia" w:cs="Times New Roman"/>
          <w:color w:val="auto"/>
          <w:sz w:val="22"/>
          <w:szCs w:val="22"/>
          <w:lang w:val="en-GB"/>
        </w:rPr>
        <w:t xml:space="preserve">, </w:t>
      </w:r>
      <w:r w:rsidR="00DB1BF5" w:rsidRPr="0002056A">
        <w:rPr>
          <w:rFonts w:ascii="Georgia" w:hAnsi="Georgia" w:cs="Times New Roman"/>
          <w:color w:val="auto"/>
          <w:sz w:val="22"/>
          <w:szCs w:val="22"/>
          <w:lang w:val="en-GB"/>
        </w:rPr>
        <w:t xml:space="preserve">the dissertation </w:t>
      </w:r>
      <w:r w:rsidR="007263D7" w:rsidRPr="0002056A">
        <w:rPr>
          <w:rFonts w:ascii="Georgia" w:hAnsi="Georgia" w:cs="Times New Roman"/>
          <w:color w:val="auto"/>
          <w:sz w:val="22"/>
          <w:szCs w:val="22"/>
          <w:lang w:val="en-GB"/>
        </w:rPr>
        <w:t>concentrate</w:t>
      </w:r>
      <w:r w:rsidR="00DB1BF5" w:rsidRPr="0002056A">
        <w:rPr>
          <w:rFonts w:ascii="Georgia" w:hAnsi="Georgia" w:cs="Times New Roman"/>
          <w:color w:val="auto"/>
          <w:sz w:val="22"/>
          <w:szCs w:val="22"/>
          <w:lang w:val="en-GB"/>
        </w:rPr>
        <w:t>s</w:t>
      </w:r>
      <w:r w:rsidR="007263D7" w:rsidRPr="0002056A">
        <w:rPr>
          <w:rFonts w:ascii="Georgia" w:hAnsi="Georgia" w:cs="Times New Roman"/>
          <w:color w:val="auto"/>
          <w:sz w:val="22"/>
          <w:szCs w:val="22"/>
          <w:lang w:val="en-GB"/>
        </w:rPr>
        <w:t xml:space="preserve"> rather on </w:t>
      </w:r>
      <w:r w:rsidR="0027582B" w:rsidRPr="0002056A">
        <w:rPr>
          <w:rFonts w:ascii="Georgia" w:hAnsi="Georgia" w:cs="Times New Roman"/>
          <w:color w:val="auto"/>
          <w:sz w:val="22"/>
          <w:szCs w:val="22"/>
          <w:lang w:val="en-GB"/>
        </w:rPr>
        <w:t xml:space="preserve">the more general </w:t>
      </w:r>
      <w:r w:rsidR="005C33AF" w:rsidRPr="0002056A">
        <w:rPr>
          <w:rFonts w:ascii="Georgia" w:hAnsi="Georgia" w:cs="Times New Roman"/>
          <w:color w:val="auto"/>
          <w:sz w:val="22"/>
          <w:szCs w:val="22"/>
          <w:lang w:val="en-GB"/>
        </w:rPr>
        <w:t xml:space="preserve">space </w:t>
      </w:r>
      <w:r w:rsidR="0027582B" w:rsidRPr="0002056A">
        <w:rPr>
          <w:rFonts w:ascii="Georgia" w:hAnsi="Georgia" w:cs="Times New Roman"/>
          <w:color w:val="auto"/>
          <w:sz w:val="22"/>
          <w:szCs w:val="22"/>
          <w:lang w:val="en-GB"/>
        </w:rPr>
        <w:t xml:space="preserve">concept </w:t>
      </w:r>
      <w:r w:rsidR="005C33AF" w:rsidRPr="0002056A">
        <w:rPr>
          <w:rFonts w:ascii="Georgia" w:hAnsi="Georgia" w:cs="Times New Roman"/>
          <w:color w:val="auto"/>
          <w:sz w:val="22"/>
          <w:szCs w:val="22"/>
          <w:lang w:val="en-GB"/>
        </w:rPr>
        <w:t xml:space="preserve">and to a </w:t>
      </w:r>
      <w:r w:rsidR="00E87CCB" w:rsidRPr="0002056A">
        <w:rPr>
          <w:rFonts w:ascii="Georgia" w:hAnsi="Georgia" w:cs="Times New Roman"/>
          <w:color w:val="auto"/>
          <w:sz w:val="22"/>
          <w:szCs w:val="22"/>
          <w:lang w:val="en-GB"/>
        </w:rPr>
        <w:t xml:space="preserve">much </w:t>
      </w:r>
      <w:r w:rsidR="005C33AF" w:rsidRPr="0002056A">
        <w:rPr>
          <w:rFonts w:ascii="Georgia" w:hAnsi="Georgia" w:cs="Times New Roman"/>
          <w:color w:val="auto"/>
          <w:sz w:val="22"/>
          <w:szCs w:val="22"/>
          <w:lang w:val="en-GB"/>
        </w:rPr>
        <w:t xml:space="preserve">lesser extent </w:t>
      </w:r>
      <w:r w:rsidR="00E87CCB" w:rsidRPr="0002056A">
        <w:rPr>
          <w:rFonts w:ascii="Georgia" w:hAnsi="Georgia" w:cs="Times New Roman"/>
          <w:color w:val="auto"/>
          <w:sz w:val="22"/>
          <w:szCs w:val="22"/>
          <w:lang w:val="en-GB"/>
        </w:rPr>
        <w:t xml:space="preserve">on </w:t>
      </w:r>
      <w:r w:rsidR="005C33AF" w:rsidRPr="0002056A">
        <w:rPr>
          <w:rFonts w:ascii="Georgia" w:hAnsi="Georgia" w:cs="Times New Roman"/>
          <w:color w:val="auto"/>
          <w:sz w:val="22"/>
          <w:szCs w:val="22"/>
          <w:lang w:val="en-GB"/>
        </w:rPr>
        <w:t xml:space="preserve">territory, taking into consideration even regional analytical </w:t>
      </w:r>
      <w:r w:rsidR="00DB1BF5" w:rsidRPr="0002056A">
        <w:rPr>
          <w:rFonts w:ascii="Georgia" w:hAnsi="Georgia" w:cs="Times New Roman"/>
          <w:color w:val="auto"/>
          <w:sz w:val="22"/>
          <w:szCs w:val="22"/>
          <w:lang w:val="en-GB"/>
        </w:rPr>
        <w:t xml:space="preserve">aspects in the empirical </w:t>
      </w:r>
      <w:r w:rsidR="00216AD0" w:rsidRPr="0002056A">
        <w:rPr>
          <w:rFonts w:ascii="Georgia" w:hAnsi="Georgia" w:cs="Times New Roman"/>
          <w:color w:val="auto"/>
          <w:sz w:val="22"/>
          <w:szCs w:val="22"/>
          <w:lang w:val="en-GB"/>
        </w:rPr>
        <w:t>work phase</w:t>
      </w:r>
      <w:r w:rsidR="007263D7" w:rsidRPr="0002056A">
        <w:rPr>
          <w:rFonts w:ascii="Georgia" w:hAnsi="Georgia" w:cs="Times New Roman"/>
          <w:color w:val="auto"/>
          <w:sz w:val="22"/>
          <w:szCs w:val="22"/>
          <w:lang w:val="en-GB"/>
        </w:rPr>
        <w:t xml:space="preserve">. </w:t>
      </w:r>
    </w:p>
    <w:p w14:paraId="5FFE6817" w14:textId="510E2506" w:rsidR="0004008A" w:rsidRPr="0002056A" w:rsidRDefault="00420979" w:rsidP="00CD5BF3">
      <w:pPr>
        <w:spacing w:before="120" w:after="120"/>
        <w:jc w:val="both"/>
        <w:rPr>
          <w:rFonts w:ascii="Georgia" w:hAnsi="Georgia"/>
          <w:bCs/>
          <w:lang w:val="en-GB"/>
        </w:rPr>
      </w:pPr>
      <w:r w:rsidRPr="0002056A">
        <w:rPr>
          <w:rFonts w:ascii="Georgia" w:hAnsi="Georgia"/>
          <w:bCs/>
          <w:lang w:val="en-GB"/>
        </w:rPr>
        <w:t xml:space="preserve">As it was already mentioned earlier, </w:t>
      </w:r>
      <w:r w:rsidR="00EA2724" w:rsidRPr="0002056A">
        <w:rPr>
          <w:rFonts w:ascii="Georgia" w:hAnsi="Georgia"/>
          <w:bCs/>
          <w:lang w:val="en-GB"/>
        </w:rPr>
        <w:t>Annex</w:t>
      </w:r>
      <w:r w:rsidRPr="0002056A">
        <w:rPr>
          <w:rFonts w:ascii="Georgia" w:hAnsi="Georgia"/>
          <w:bCs/>
          <w:lang w:val="en-GB"/>
        </w:rPr>
        <w:t xml:space="preserve"> </w:t>
      </w:r>
      <w:r w:rsidR="00EA2724" w:rsidRPr="0002056A">
        <w:rPr>
          <w:rFonts w:ascii="Georgia" w:hAnsi="Georgia"/>
          <w:bCs/>
          <w:lang w:val="en-GB"/>
        </w:rPr>
        <w:t>2</w:t>
      </w:r>
      <w:r w:rsidR="00D4618E" w:rsidRPr="0002056A">
        <w:rPr>
          <w:rFonts w:ascii="Georgia" w:hAnsi="Georgia"/>
          <w:bCs/>
          <w:lang w:val="en-GB"/>
        </w:rPr>
        <w:t xml:space="preserve">, to support the definition of </w:t>
      </w:r>
      <w:r w:rsidR="0004008A" w:rsidRPr="0002056A">
        <w:rPr>
          <w:rFonts w:ascii="Georgia" w:hAnsi="Georgia"/>
          <w:bCs/>
          <w:lang w:val="en-GB"/>
        </w:rPr>
        <w:t xml:space="preserve">adaptation’s spatiality, </w:t>
      </w:r>
      <w:r w:rsidR="00D4618E" w:rsidRPr="0002056A">
        <w:rPr>
          <w:rFonts w:ascii="Georgia" w:hAnsi="Georgia"/>
          <w:bCs/>
          <w:lang w:val="en-GB"/>
        </w:rPr>
        <w:t>collected</w:t>
      </w:r>
      <w:r w:rsidR="0004008A" w:rsidRPr="0002056A">
        <w:rPr>
          <w:rFonts w:ascii="Georgia" w:hAnsi="Georgia"/>
          <w:bCs/>
          <w:lang w:val="en-GB"/>
        </w:rPr>
        <w:t xml:space="preserve"> space</w:t>
      </w:r>
      <w:r w:rsidR="00A402A6" w:rsidRPr="0002056A">
        <w:rPr>
          <w:rFonts w:ascii="Georgia" w:hAnsi="Georgia"/>
          <w:bCs/>
          <w:lang w:val="en-GB"/>
        </w:rPr>
        <w:t xml:space="preserve">-related theories and approaches </w:t>
      </w:r>
      <w:r w:rsidR="0004008A" w:rsidRPr="0002056A">
        <w:rPr>
          <w:rFonts w:ascii="Georgia" w:hAnsi="Georgia"/>
          <w:bCs/>
          <w:lang w:val="en-GB"/>
        </w:rPr>
        <w:t xml:space="preserve">of </w:t>
      </w:r>
      <w:r w:rsidR="00D328A2" w:rsidRPr="0002056A">
        <w:rPr>
          <w:rFonts w:ascii="Georgia" w:hAnsi="Georgia"/>
          <w:bCs/>
          <w:lang w:val="en-GB"/>
        </w:rPr>
        <w:t>space-</w:t>
      </w:r>
      <w:r w:rsidR="0004008A" w:rsidRPr="0002056A">
        <w:rPr>
          <w:rFonts w:ascii="Georgia" w:hAnsi="Georgia"/>
          <w:bCs/>
          <w:lang w:val="en-GB"/>
        </w:rPr>
        <w:t xml:space="preserve"> or </w:t>
      </w:r>
      <w:r w:rsidR="00D328A2" w:rsidRPr="0002056A">
        <w:rPr>
          <w:rFonts w:ascii="Georgia" w:hAnsi="Georgia"/>
          <w:bCs/>
          <w:lang w:val="en-GB"/>
        </w:rPr>
        <w:t>territory-</w:t>
      </w:r>
      <w:r w:rsidR="0004008A" w:rsidRPr="0002056A">
        <w:rPr>
          <w:rFonts w:ascii="Georgia" w:hAnsi="Georgia"/>
          <w:bCs/>
          <w:lang w:val="en-GB"/>
        </w:rPr>
        <w:t xml:space="preserve">oriented disciplines and </w:t>
      </w:r>
      <w:r w:rsidR="00D328A2" w:rsidRPr="0002056A">
        <w:rPr>
          <w:rFonts w:ascii="Georgia" w:hAnsi="Georgia"/>
          <w:bCs/>
          <w:lang w:val="en-GB"/>
        </w:rPr>
        <w:t>practical fields/</w:t>
      </w:r>
      <w:r w:rsidR="0004008A" w:rsidRPr="0002056A">
        <w:rPr>
          <w:rFonts w:ascii="Georgia" w:hAnsi="Georgia"/>
          <w:bCs/>
          <w:lang w:val="en-GB"/>
        </w:rPr>
        <w:t>policy domains. A</w:t>
      </w:r>
      <w:r w:rsidR="00D4618E" w:rsidRPr="0002056A">
        <w:rPr>
          <w:rFonts w:ascii="Georgia" w:hAnsi="Georgia"/>
          <w:bCs/>
          <w:lang w:val="en-GB"/>
        </w:rPr>
        <w:t>s the result, a</w:t>
      </w:r>
      <w:r w:rsidR="0004008A" w:rsidRPr="0002056A">
        <w:rPr>
          <w:rFonts w:ascii="Georgia" w:hAnsi="Georgia"/>
          <w:bCs/>
          <w:lang w:val="en-GB"/>
        </w:rPr>
        <w:t xml:space="preserve"> wide variety of </w:t>
      </w:r>
      <w:r w:rsidR="00A402A6" w:rsidRPr="0002056A">
        <w:rPr>
          <w:rFonts w:ascii="Georgia" w:hAnsi="Georgia"/>
          <w:bCs/>
          <w:lang w:val="en-GB"/>
        </w:rPr>
        <w:t>concepts/</w:t>
      </w:r>
      <w:r w:rsidR="0004008A" w:rsidRPr="0002056A">
        <w:rPr>
          <w:rFonts w:ascii="Georgia" w:hAnsi="Georgia"/>
          <w:bCs/>
          <w:lang w:val="en-GB"/>
        </w:rPr>
        <w:t>interpretations emerged before us show</w:t>
      </w:r>
      <w:r w:rsidR="00A402A6" w:rsidRPr="0002056A">
        <w:rPr>
          <w:rFonts w:ascii="Georgia" w:hAnsi="Georgia"/>
          <w:bCs/>
          <w:lang w:val="en-GB"/>
        </w:rPr>
        <w:t>ing potential</w:t>
      </w:r>
      <w:r w:rsidR="0004008A" w:rsidRPr="0002056A">
        <w:rPr>
          <w:rFonts w:ascii="Georgia" w:hAnsi="Georgia"/>
          <w:bCs/>
          <w:lang w:val="en-GB"/>
        </w:rPr>
        <w:t xml:space="preserve"> connections to adaptation policy, and in several points, they can be linked to the </w:t>
      </w:r>
      <w:r w:rsidR="00A402A6" w:rsidRPr="0002056A">
        <w:rPr>
          <w:rFonts w:ascii="Georgia" w:hAnsi="Georgia"/>
          <w:bCs/>
          <w:lang w:val="en-GB"/>
        </w:rPr>
        <w:t>dissertation’s comparative</w:t>
      </w:r>
      <w:r w:rsidR="0004008A" w:rsidRPr="0002056A">
        <w:rPr>
          <w:rFonts w:ascii="Georgia" w:hAnsi="Georgia"/>
          <w:bCs/>
          <w:lang w:val="en-GB"/>
        </w:rPr>
        <w:t xml:space="preserve"> analysis of national adaptation policy </w:t>
      </w:r>
      <w:r w:rsidR="00216AD0" w:rsidRPr="0002056A">
        <w:rPr>
          <w:rFonts w:ascii="Georgia" w:hAnsi="Georgia"/>
          <w:bCs/>
          <w:lang w:val="en-GB"/>
        </w:rPr>
        <w:t>activities</w:t>
      </w:r>
      <w:r w:rsidR="0004008A" w:rsidRPr="0002056A">
        <w:rPr>
          <w:rFonts w:ascii="Georgia" w:hAnsi="Georgia"/>
          <w:bCs/>
          <w:lang w:val="en-GB"/>
        </w:rPr>
        <w:t xml:space="preserve">’ spatiality (Figure </w:t>
      </w:r>
      <w:r w:rsidR="00985740" w:rsidRPr="0002056A">
        <w:rPr>
          <w:rFonts w:ascii="Georgia" w:hAnsi="Georgia"/>
          <w:bCs/>
          <w:lang w:val="en-GB"/>
        </w:rPr>
        <w:t>10</w:t>
      </w:r>
      <w:r w:rsidRPr="0002056A">
        <w:rPr>
          <w:rFonts w:ascii="Georgia" w:hAnsi="Georgia"/>
          <w:bCs/>
          <w:lang w:val="en-GB"/>
        </w:rPr>
        <w:t>)</w:t>
      </w:r>
      <w:r w:rsidR="0004008A" w:rsidRPr="0002056A">
        <w:rPr>
          <w:rFonts w:ascii="Georgia" w:hAnsi="Georgia"/>
          <w:bCs/>
          <w:lang w:val="en-GB"/>
        </w:rPr>
        <w:t xml:space="preserve">. </w:t>
      </w:r>
    </w:p>
    <w:p w14:paraId="0832D547" w14:textId="1CE3C6C2" w:rsidR="008E19DE" w:rsidRPr="0002056A" w:rsidRDefault="00431360" w:rsidP="00CD5BF3">
      <w:pPr>
        <w:tabs>
          <w:tab w:val="left" w:pos="6237"/>
        </w:tabs>
        <w:spacing w:before="120" w:after="120"/>
        <w:jc w:val="both"/>
        <w:rPr>
          <w:rFonts w:ascii="Georgia" w:hAnsi="Georgia"/>
          <w:bCs/>
          <w:lang w:val="en-GB"/>
        </w:rPr>
      </w:pPr>
      <w:r w:rsidRPr="0002056A">
        <w:rPr>
          <w:rFonts w:ascii="Georgia" w:hAnsi="Georgia"/>
          <w:bCs/>
          <w:lang w:val="en-GB"/>
        </w:rPr>
        <w:t xml:space="preserve">In the </w:t>
      </w:r>
      <w:r w:rsidR="008E19DE" w:rsidRPr="0002056A">
        <w:rPr>
          <w:rFonts w:ascii="Georgia" w:hAnsi="Georgia"/>
          <w:bCs/>
          <w:lang w:val="en-GB"/>
        </w:rPr>
        <w:t xml:space="preserve">dissertation’s </w:t>
      </w:r>
      <w:r w:rsidR="00216AD0" w:rsidRPr="0002056A">
        <w:rPr>
          <w:rFonts w:ascii="Georgia" w:hAnsi="Georgia"/>
          <w:bCs/>
          <w:lang w:val="en-GB"/>
        </w:rPr>
        <w:t>spatial</w:t>
      </w:r>
      <w:r w:rsidR="001C1846" w:rsidRPr="0002056A">
        <w:rPr>
          <w:rFonts w:ascii="Georgia" w:hAnsi="Georgia"/>
          <w:bCs/>
          <w:lang w:val="en-GB"/>
        </w:rPr>
        <w:t xml:space="preserve"> sensitivity concept and </w:t>
      </w:r>
      <w:r w:rsidRPr="0002056A">
        <w:rPr>
          <w:rFonts w:ascii="Georgia" w:hAnsi="Georgia"/>
          <w:bCs/>
          <w:lang w:val="en-GB"/>
        </w:rPr>
        <w:t xml:space="preserve">analytical aspect system (see Chapter 4.2.) we can make use both of </w:t>
      </w:r>
      <w:r w:rsidRPr="0002056A">
        <w:rPr>
          <w:rFonts w:ascii="Georgia" w:hAnsi="Georgia"/>
          <w:b/>
          <w:lang w:val="en-GB"/>
        </w:rPr>
        <w:t>absolutist</w:t>
      </w:r>
      <w:r w:rsidRPr="0002056A">
        <w:rPr>
          <w:rFonts w:ascii="Georgia" w:hAnsi="Georgia"/>
          <w:bCs/>
          <w:lang w:val="en-GB"/>
        </w:rPr>
        <w:t xml:space="preserve"> (the container-like, 3-dimesional space with its ordering force) and </w:t>
      </w:r>
      <w:r w:rsidRPr="0002056A">
        <w:rPr>
          <w:rFonts w:ascii="Georgia" w:hAnsi="Georgia"/>
          <w:b/>
          <w:lang w:val="en-GB"/>
        </w:rPr>
        <w:t>relative interpretations</w:t>
      </w:r>
      <w:r w:rsidRPr="0002056A">
        <w:rPr>
          <w:rFonts w:ascii="Georgia" w:hAnsi="Georgia"/>
          <w:bCs/>
          <w:lang w:val="en-GB"/>
        </w:rPr>
        <w:t xml:space="preserve"> (where the relation system between spatial elements is the basic regulator). The former is </w:t>
      </w:r>
      <w:r w:rsidR="00472C1E">
        <w:rPr>
          <w:rFonts w:ascii="Georgia" w:hAnsi="Georgia"/>
          <w:bCs/>
          <w:lang w:val="en-GB"/>
        </w:rPr>
        <w:t>utilisable</w:t>
      </w:r>
      <w:r w:rsidR="00472C1E" w:rsidRPr="0002056A">
        <w:rPr>
          <w:rFonts w:ascii="Georgia" w:hAnsi="Georgia"/>
          <w:bCs/>
          <w:lang w:val="en-GB"/>
        </w:rPr>
        <w:t xml:space="preserve"> </w:t>
      </w:r>
      <w:r w:rsidRPr="0002056A">
        <w:rPr>
          <w:rFonts w:ascii="Georgia" w:hAnsi="Georgia"/>
          <w:bCs/>
          <w:lang w:val="en-GB"/>
        </w:rPr>
        <w:t xml:space="preserve">in the depiction of the geographical space as the place where climate change processes occur. </w:t>
      </w:r>
      <w:r w:rsidR="00216AD0" w:rsidRPr="0002056A">
        <w:rPr>
          <w:rFonts w:ascii="Georgia" w:hAnsi="Georgia"/>
          <w:bCs/>
          <w:i/>
          <w:iCs/>
          <w:lang w:val="en-GB"/>
        </w:rPr>
        <w:t>Environmental</w:t>
      </w:r>
      <w:r w:rsidRPr="0002056A">
        <w:rPr>
          <w:rFonts w:ascii="Georgia" w:hAnsi="Georgia"/>
          <w:bCs/>
          <w:i/>
          <w:iCs/>
          <w:lang w:val="en-GB"/>
        </w:rPr>
        <w:t xml:space="preserve"> </w:t>
      </w:r>
      <w:r w:rsidR="00024DF8">
        <w:rPr>
          <w:rFonts w:ascii="Georgia" w:hAnsi="Georgia"/>
          <w:bCs/>
          <w:i/>
          <w:iCs/>
          <w:lang w:val="en-GB"/>
        </w:rPr>
        <w:t>g</w:t>
      </w:r>
      <w:r w:rsidR="00472C1E">
        <w:rPr>
          <w:rFonts w:ascii="Georgia" w:hAnsi="Georgia"/>
          <w:bCs/>
          <w:i/>
          <w:iCs/>
          <w:lang w:val="en-GB"/>
        </w:rPr>
        <w:t>eography’s</w:t>
      </w:r>
      <w:r w:rsidR="00472C1E" w:rsidRPr="0002056A">
        <w:rPr>
          <w:rFonts w:ascii="Georgia" w:hAnsi="Georgia"/>
          <w:bCs/>
          <w:i/>
          <w:iCs/>
          <w:lang w:val="en-GB"/>
        </w:rPr>
        <w:t xml:space="preserve"> </w:t>
      </w:r>
      <w:r w:rsidRPr="0002056A">
        <w:rPr>
          <w:rFonts w:ascii="Georgia" w:hAnsi="Georgia"/>
          <w:bCs/>
          <w:i/>
          <w:iCs/>
          <w:lang w:val="en-GB"/>
        </w:rPr>
        <w:t>absolute space interpretation</w:t>
      </w:r>
      <w:r w:rsidRPr="0002056A">
        <w:rPr>
          <w:rFonts w:ascii="Georgia" w:hAnsi="Georgia"/>
          <w:bCs/>
          <w:lang w:val="en-GB"/>
        </w:rPr>
        <w:t xml:space="preserve"> and its space, place and territory concepts preserved their significant impact on human space interpretations even today. The relativist approach can be used in the analysis of </w:t>
      </w:r>
      <w:r w:rsidR="00472C1E">
        <w:rPr>
          <w:rFonts w:ascii="Georgia" w:hAnsi="Georgia"/>
          <w:bCs/>
          <w:lang w:val="en-GB"/>
        </w:rPr>
        <w:t xml:space="preserve">the </w:t>
      </w:r>
      <w:r w:rsidRPr="0002056A">
        <w:rPr>
          <w:rFonts w:ascii="Georgia" w:hAnsi="Georgia"/>
          <w:bCs/>
          <w:lang w:val="en-GB"/>
        </w:rPr>
        <w:t>spatial dimensions</w:t>
      </w:r>
      <w:r w:rsidR="00E47930" w:rsidRPr="0002056A">
        <w:rPr>
          <w:rFonts w:ascii="Georgia" w:hAnsi="Georgia"/>
          <w:bCs/>
          <w:lang w:val="en-GB"/>
        </w:rPr>
        <w:t xml:space="preserve"> of climate change and climate adaptation policy</w:t>
      </w:r>
      <w:r w:rsidRPr="0002056A">
        <w:rPr>
          <w:rFonts w:ascii="Georgia" w:hAnsi="Georgia"/>
          <w:bCs/>
          <w:lang w:val="en-GB"/>
        </w:rPr>
        <w:t xml:space="preserve">. </w:t>
      </w:r>
      <w:r w:rsidRPr="0002056A">
        <w:rPr>
          <w:rFonts w:ascii="Georgia" w:hAnsi="Georgia"/>
          <w:bCs/>
          <w:i/>
          <w:iCs/>
          <w:lang w:val="en-GB"/>
        </w:rPr>
        <w:t>Social and economic geography’s space considerations</w:t>
      </w:r>
      <w:r w:rsidRPr="0002056A">
        <w:rPr>
          <w:rFonts w:ascii="Georgia" w:hAnsi="Georgia"/>
          <w:bCs/>
          <w:lang w:val="en-GB"/>
        </w:rPr>
        <w:t xml:space="preserve"> as a system of relations between objects is </w:t>
      </w:r>
      <w:r w:rsidR="00E47930" w:rsidRPr="0002056A">
        <w:rPr>
          <w:rFonts w:ascii="Georgia" w:hAnsi="Georgia"/>
          <w:bCs/>
          <w:lang w:val="en-GB"/>
        </w:rPr>
        <w:t>consequently</w:t>
      </w:r>
      <w:r w:rsidRPr="0002056A">
        <w:rPr>
          <w:rFonts w:ascii="Georgia" w:hAnsi="Georgia"/>
          <w:bCs/>
          <w:lang w:val="en-GB"/>
        </w:rPr>
        <w:t xml:space="preserve"> essential because the research concentrates on spatial/territorial differences, as climate policy monitors different spatial impacts of and adaptive capacities/vulnerabilities to climate change in given places</w:t>
      </w:r>
      <w:r w:rsidR="00CB71D7" w:rsidRPr="0002056A">
        <w:rPr>
          <w:rFonts w:ascii="Georgia" w:hAnsi="Georgia"/>
          <w:bCs/>
          <w:lang w:val="en-GB"/>
        </w:rPr>
        <w:t xml:space="preserve"> and spatial (</w:t>
      </w:r>
      <w:r w:rsidRPr="0002056A">
        <w:rPr>
          <w:rFonts w:ascii="Georgia" w:hAnsi="Georgia"/>
          <w:bCs/>
          <w:lang w:val="en-GB"/>
        </w:rPr>
        <w:t>territorial or functional</w:t>
      </w:r>
      <w:r w:rsidR="00CB71D7" w:rsidRPr="0002056A">
        <w:rPr>
          <w:rFonts w:ascii="Georgia" w:hAnsi="Georgia"/>
          <w:bCs/>
          <w:lang w:val="en-GB"/>
        </w:rPr>
        <w:t>)</w:t>
      </w:r>
      <w:r w:rsidRPr="0002056A">
        <w:rPr>
          <w:rFonts w:ascii="Georgia" w:hAnsi="Georgia"/>
          <w:bCs/>
          <w:lang w:val="en-GB"/>
        </w:rPr>
        <w:t xml:space="preserve"> units. The examination of different spatial </w:t>
      </w:r>
      <w:r w:rsidR="00472C1E">
        <w:rPr>
          <w:rFonts w:ascii="Georgia" w:hAnsi="Georgia"/>
          <w:bCs/>
          <w:lang w:val="en-GB"/>
        </w:rPr>
        <w:t>elements</w:t>
      </w:r>
      <w:r w:rsidR="00472C1E" w:rsidRPr="0002056A">
        <w:rPr>
          <w:rFonts w:ascii="Georgia" w:hAnsi="Georgia"/>
          <w:bCs/>
          <w:lang w:val="en-GB"/>
        </w:rPr>
        <w:t xml:space="preserve"> </w:t>
      </w:r>
      <w:r w:rsidRPr="0002056A">
        <w:rPr>
          <w:rFonts w:ascii="Georgia" w:hAnsi="Georgia"/>
          <w:bCs/>
          <w:lang w:val="en-GB"/>
        </w:rPr>
        <w:t>(movements, points and point formations, hierarchies, networks, and surfaces)</w:t>
      </w:r>
      <w:r w:rsidR="00F22D0C" w:rsidRPr="0002056A">
        <w:rPr>
          <w:rFonts w:ascii="Georgia" w:hAnsi="Georgia"/>
          <w:bCs/>
          <w:lang w:val="en-GB"/>
        </w:rPr>
        <w:t xml:space="preserve"> as affected parties’</w:t>
      </w:r>
      <w:r w:rsidRPr="0002056A">
        <w:rPr>
          <w:rFonts w:ascii="Georgia" w:hAnsi="Georgia"/>
          <w:bCs/>
          <w:lang w:val="en-GB"/>
        </w:rPr>
        <w:t xml:space="preserve"> presence </w:t>
      </w:r>
      <w:r w:rsidR="001F4333" w:rsidRPr="0002056A">
        <w:rPr>
          <w:rFonts w:ascii="Georgia" w:hAnsi="Georgia"/>
          <w:bCs/>
          <w:lang w:val="en-GB"/>
        </w:rPr>
        <w:t xml:space="preserve">in a given region </w:t>
      </w:r>
      <w:r w:rsidRPr="0002056A">
        <w:rPr>
          <w:rFonts w:ascii="Georgia" w:hAnsi="Georgia"/>
          <w:bCs/>
          <w:lang w:val="en-GB"/>
        </w:rPr>
        <w:t xml:space="preserve">and vulnerability assessments </w:t>
      </w:r>
      <w:r w:rsidR="00F22D0C" w:rsidRPr="0002056A">
        <w:rPr>
          <w:rFonts w:ascii="Georgia" w:hAnsi="Georgia"/>
          <w:bCs/>
          <w:lang w:val="en-GB"/>
        </w:rPr>
        <w:t xml:space="preserve">themselves </w:t>
      </w:r>
      <w:r w:rsidRPr="0002056A">
        <w:rPr>
          <w:rFonts w:ascii="Georgia" w:hAnsi="Georgia"/>
          <w:bCs/>
          <w:lang w:val="en-GB"/>
        </w:rPr>
        <w:t xml:space="preserve">also use relative space interpretations. The </w:t>
      </w:r>
      <w:r w:rsidRPr="0002056A">
        <w:rPr>
          <w:rFonts w:ascii="Georgia" w:hAnsi="Georgia"/>
          <w:b/>
          <w:lang w:val="en-GB"/>
        </w:rPr>
        <w:t>interpretative approach</w:t>
      </w:r>
      <w:r w:rsidRPr="0002056A">
        <w:rPr>
          <w:rFonts w:ascii="Georgia" w:hAnsi="Georgia"/>
          <w:bCs/>
          <w:lang w:val="en-GB"/>
        </w:rPr>
        <w:t xml:space="preserve"> is also remarkable, because adaptation policy crosscuts several sectors, </w:t>
      </w:r>
      <w:r w:rsidR="00472C1E">
        <w:rPr>
          <w:rFonts w:ascii="Georgia" w:hAnsi="Georgia"/>
          <w:bCs/>
          <w:lang w:val="en-GB"/>
        </w:rPr>
        <w:t>harmonising different sectoral considerations of space that require</w:t>
      </w:r>
      <w:r w:rsidRPr="0002056A">
        <w:rPr>
          <w:rFonts w:ascii="Georgia" w:hAnsi="Georgia"/>
          <w:bCs/>
          <w:lang w:val="en-GB"/>
        </w:rPr>
        <w:t xml:space="preserve"> different interpretations.</w:t>
      </w:r>
    </w:p>
    <w:p w14:paraId="729E413E" w14:textId="093D7244" w:rsidR="00172891" w:rsidRPr="0002056A" w:rsidRDefault="009D1824" w:rsidP="00CD5BF3">
      <w:pPr>
        <w:tabs>
          <w:tab w:val="left" w:pos="6237"/>
        </w:tabs>
        <w:spacing w:before="120" w:after="120"/>
        <w:jc w:val="both"/>
        <w:rPr>
          <w:rFonts w:ascii="Georgia" w:hAnsi="Georgia"/>
          <w:bCs/>
          <w:lang w:val="en-GB"/>
        </w:rPr>
      </w:pPr>
      <w:r w:rsidRPr="0002056A">
        <w:rPr>
          <w:rFonts w:ascii="Georgia" w:hAnsi="Georgia"/>
          <w:bCs/>
          <w:lang w:val="en-GB"/>
        </w:rPr>
        <w:lastRenderedPageBreak/>
        <w:t xml:space="preserve">Objective spaces, and within this category, </w:t>
      </w:r>
      <w:r w:rsidRPr="0002056A">
        <w:rPr>
          <w:rFonts w:ascii="Georgia" w:hAnsi="Georgia"/>
          <w:b/>
          <w:lang w:val="en-GB"/>
        </w:rPr>
        <w:t>external space</w:t>
      </w:r>
      <w:r w:rsidR="00472C1E">
        <w:rPr>
          <w:rFonts w:ascii="Georgia" w:hAnsi="Georgia"/>
          <w:bCs/>
          <w:lang w:val="en-GB"/>
        </w:rPr>
        <w:t>, as a localised outer space of given spheres,</w:t>
      </w:r>
      <w:r w:rsidR="00FE57CD" w:rsidRPr="0002056A">
        <w:rPr>
          <w:rFonts w:ascii="Georgia" w:hAnsi="Georgia"/>
          <w:bCs/>
          <w:lang w:val="en-GB"/>
        </w:rPr>
        <w:t xml:space="preserve"> must be especially focused on</w:t>
      </w:r>
      <w:r w:rsidRPr="0002056A">
        <w:rPr>
          <w:rFonts w:ascii="Georgia" w:hAnsi="Georgia"/>
          <w:bCs/>
          <w:lang w:val="en-GB"/>
        </w:rPr>
        <w:t>. In climate adaptation policy</w:t>
      </w:r>
      <w:r w:rsidR="00472C1E">
        <w:rPr>
          <w:rFonts w:ascii="Georgia" w:hAnsi="Georgia"/>
          <w:bCs/>
          <w:lang w:val="en-GB"/>
        </w:rPr>
        <w:t>,</w:t>
      </w:r>
      <w:r w:rsidRPr="0002056A">
        <w:rPr>
          <w:rFonts w:ascii="Georgia" w:hAnsi="Georgia"/>
          <w:bCs/>
          <w:lang w:val="en-GB"/>
        </w:rPr>
        <w:t xml:space="preserve"> a given territorial or functional unit’s economy or a sector of the economy; </w:t>
      </w:r>
      <w:r w:rsidR="001F4333" w:rsidRPr="0002056A">
        <w:rPr>
          <w:rFonts w:ascii="Georgia" w:hAnsi="Georgia"/>
          <w:bCs/>
          <w:lang w:val="en-GB"/>
        </w:rPr>
        <w:t xml:space="preserve">the </w:t>
      </w:r>
      <w:r w:rsidRPr="0002056A">
        <w:rPr>
          <w:rFonts w:ascii="Georgia" w:hAnsi="Georgia"/>
          <w:bCs/>
          <w:lang w:val="en-GB"/>
        </w:rPr>
        <w:t>society or a group of society are mostly the subject (</w:t>
      </w:r>
      <w:r w:rsidR="00D96FF3" w:rsidRPr="0002056A">
        <w:rPr>
          <w:rFonts w:ascii="Georgia" w:hAnsi="Georgia"/>
          <w:bCs/>
          <w:lang w:val="en-GB"/>
        </w:rPr>
        <w:t>or</w:t>
      </w:r>
      <w:r w:rsidRPr="0002056A">
        <w:rPr>
          <w:rFonts w:ascii="Georgia" w:hAnsi="Georgia"/>
          <w:bCs/>
          <w:lang w:val="en-GB"/>
        </w:rPr>
        <w:t xml:space="preserve"> </w:t>
      </w:r>
      <w:r w:rsidR="001F4333" w:rsidRPr="0002056A">
        <w:rPr>
          <w:rFonts w:ascii="Georgia" w:hAnsi="Georgia"/>
          <w:bCs/>
          <w:lang w:val="en-GB"/>
        </w:rPr>
        <w:t xml:space="preserve">examined </w:t>
      </w:r>
      <w:r w:rsidRPr="0002056A">
        <w:rPr>
          <w:rFonts w:ascii="Georgia" w:hAnsi="Georgia"/>
          <w:bCs/>
          <w:lang w:val="en-GB"/>
        </w:rPr>
        <w:t xml:space="preserve">sphere) of adaptation-related analyses. However, as </w:t>
      </w:r>
      <w:r w:rsidR="00D96FF3" w:rsidRPr="0002056A">
        <w:rPr>
          <w:rFonts w:ascii="Georgia" w:hAnsi="Georgia"/>
          <w:bCs/>
          <w:lang w:val="en-GB"/>
        </w:rPr>
        <w:t>Annex 2 shows</w:t>
      </w:r>
      <w:r w:rsidRPr="0002056A">
        <w:rPr>
          <w:rFonts w:ascii="Georgia" w:hAnsi="Georgia"/>
          <w:bCs/>
          <w:lang w:val="en-GB"/>
        </w:rPr>
        <w:t xml:space="preserve">, the evolution of space interpretations brings economic and social space-oriented studies into our attention. </w:t>
      </w:r>
      <w:r w:rsidRPr="0002056A">
        <w:rPr>
          <w:rFonts w:ascii="Georgia" w:hAnsi="Georgia"/>
          <w:bCs/>
          <w:i/>
          <w:iCs/>
          <w:lang w:val="en-GB"/>
        </w:rPr>
        <w:t xml:space="preserve">Regional study, </w:t>
      </w:r>
      <w:r w:rsidRPr="0002056A">
        <w:rPr>
          <w:rFonts w:ascii="Georgia" w:hAnsi="Georgia"/>
          <w:bCs/>
          <w:lang w:val="en-GB"/>
        </w:rPr>
        <w:t>for example, focuses simultaneously</w:t>
      </w:r>
      <w:r w:rsidRPr="0002056A">
        <w:rPr>
          <w:rFonts w:ascii="Georgia" w:hAnsi="Georgia"/>
          <w:bCs/>
          <w:i/>
          <w:iCs/>
          <w:lang w:val="en-GB"/>
        </w:rPr>
        <w:t xml:space="preserve"> </w:t>
      </w:r>
      <w:r w:rsidRPr="0002056A">
        <w:rPr>
          <w:rFonts w:ascii="Georgia" w:hAnsi="Georgia"/>
          <w:bCs/>
          <w:lang w:val="en-GB"/>
        </w:rPr>
        <w:t>on</w:t>
      </w:r>
      <w:r w:rsidRPr="0002056A">
        <w:rPr>
          <w:rFonts w:ascii="Georgia" w:hAnsi="Georgia"/>
          <w:bCs/>
          <w:i/>
          <w:iCs/>
          <w:lang w:val="en-GB"/>
        </w:rPr>
        <w:t xml:space="preserve"> </w:t>
      </w:r>
      <w:r w:rsidRPr="0002056A">
        <w:rPr>
          <w:rFonts w:ascii="Georgia" w:hAnsi="Georgia"/>
          <w:bCs/>
          <w:lang w:val="en-GB"/>
        </w:rPr>
        <w:t xml:space="preserve">external, </w:t>
      </w:r>
      <w:r w:rsidR="00472C1E">
        <w:rPr>
          <w:rFonts w:ascii="Georgia" w:hAnsi="Georgia"/>
          <w:bCs/>
          <w:lang w:val="en-GB"/>
        </w:rPr>
        <w:t>localised</w:t>
      </w:r>
      <w:r w:rsidR="00472C1E" w:rsidRPr="0002056A">
        <w:rPr>
          <w:rFonts w:ascii="Georgia" w:hAnsi="Georgia"/>
          <w:bCs/>
          <w:lang w:val="en-GB"/>
        </w:rPr>
        <w:t xml:space="preserve"> </w:t>
      </w:r>
      <w:r w:rsidRPr="0002056A">
        <w:rPr>
          <w:rFonts w:ascii="Georgia" w:hAnsi="Georgia"/>
          <w:bCs/>
          <w:lang w:val="en-GB"/>
        </w:rPr>
        <w:t>outer spaces of social/economic spheres with geographic space-attributions and on</w:t>
      </w:r>
      <w:r w:rsidRPr="0002056A">
        <w:rPr>
          <w:rFonts w:ascii="Georgia" w:hAnsi="Georgia"/>
          <w:bCs/>
          <w:i/>
          <w:iCs/>
          <w:lang w:val="en-GB"/>
        </w:rPr>
        <w:t xml:space="preserve"> </w:t>
      </w:r>
      <w:r w:rsidRPr="0002056A">
        <w:rPr>
          <w:rFonts w:ascii="Georgia" w:hAnsi="Georgia"/>
          <w:b/>
          <w:lang w:val="en-GB"/>
        </w:rPr>
        <w:t>internal spatial structures and concepts of given spheres</w:t>
      </w:r>
      <w:r w:rsidRPr="0002056A">
        <w:rPr>
          <w:rFonts w:ascii="Georgia" w:hAnsi="Georgia"/>
          <w:bCs/>
          <w:i/>
          <w:iCs/>
          <w:lang w:val="en-GB"/>
        </w:rPr>
        <w:t>.</w:t>
      </w:r>
      <w:r w:rsidRPr="0002056A">
        <w:rPr>
          <w:rFonts w:ascii="Georgia" w:hAnsi="Georgia"/>
          <w:bCs/>
          <w:lang w:val="en-GB"/>
        </w:rPr>
        <w:t xml:space="preserve"> It applies </w:t>
      </w:r>
      <w:r w:rsidRPr="0002056A">
        <w:rPr>
          <w:rFonts w:ascii="Georgia" w:hAnsi="Georgia"/>
          <w:b/>
          <w:lang w:val="en-GB"/>
        </w:rPr>
        <w:t>regional analysis</w:t>
      </w:r>
      <w:r w:rsidRPr="0002056A">
        <w:rPr>
          <w:rFonts w:ascii="Georgia" w:hAnsi="Georgia"/>
          <w:bCs/>
          <w:lang w:val="en-GB"/>
        </w:rPr>
        <w:t xml:space="preserve"> instead of the sector-oriented one; concentrates on different space categories parallel with each other, implementing given social spheres’ locali</w:t>
      </w:r>
      <w:r w:rsidR="00472C1E">
        <w:rPr>
          <w:rFonts w:ascii="Georgia" w:hAnsi="Georgia"/>
          <w:bCs/>
          <w:lang w:val="en-GB"/>
        </w:rPr>
        <w:t>s</w:t>
      </w:r>
      <w:r w:rsidRPr="0002056A">
        <w:rPr>
          <w:rFonts w:ascii="Georgia" w:hAnsi="Georgia"/>
          <w:bCs/>
          <w:lang w:val="en-GB"/>
        </w:rPr>
        <w:t xml:space="preserve">ation and connection to geographical space where differences/structures within a given thematic space can be transformed into spatial inequalities. </w:t>
      </w:r>
      <w:r w:rsidR="00172891" w:rsidRPr="0002056A">
        <w:rPr>
          <w:rFonts w:ascii="Georgia" w:hAnsi="Georgia"/>
          <w:lang w:val="en-GB"/>
        </w:rPr>
        <w:t xml:space="preserve">Regional study nominates the </w:t>
      </w:r>
      <w:r w:rsidR="00172891" w:rsidRPr="0002056A">
        <w:rPr>
          <w:rFonts w:ascii="Georgia" w:hAnsi="Georgia"/>
          <w:b/>
          <w:bCs/>
          <w:lang w:val="en-GB"/>
        </w:rPr>
        <w:t>two main components of the spatial dimension: spatial/territorial inequalities</w:t>
      </w:r>
      <w:r w:rsidR="00172891" w:rsidRPr="0002056A">
        <w:rPr>
          <w:rFonts w:ascii="Georgia" w:hAnsi="Georgia"/>
          <w:lang w:val="en-GB"/>
        </w:rPr>
        <w:t xml:space="preserve"> (internal differences within the functioning system, examined by quantitative analyses) and </w:t>
      </w:r>
      <w:r w:rsidR="00172891" w:rsidRPr="0002056A">
        <w:rPr>
          <w:rFonts w:ascii="Georgia" w:hAnsi="Georgia"/>
          <w:b/>
          <w:bCs/>
          <w:lang w:val="en-GB"/>
        </w:rPr>
        <w:t>spatial/territorial order/configuration</w:t>
      </w:r>
      <w:r w:rsidR="00172891" w:rsidRPr="0002056A">
        <w:rPr>
          <w:rFonts w:ascii="Georgia" w:hAnsi="Georgia"/>
          <w:lang w:val="en-GB"/>
        </w:rPr>
        <w:t xml:space="preserve"> (the functioning systems’ spatial structure depicted by thematic maps) (</w:t>
      </w:r>
      <w:r w:rsidR="00172891" w:rsidRPr="0002056A">
        <w:rPr>
          <w:rFonts w:ascii="Georgia" w:hAnsi="Georgia" w:cstheme="minorHAnsi"/>
          <w:smallCaps/>
          <w:lang w:val="en-GB"/>
        </w:rPr>
        <w:t>Nemes-Nagy, 1998</w:t>
      </w:r>
      <w:r w:rsidR="00172891" w:rsidRPr="0002056A">
        <w:rPr>
          <w:rFonts w:ascii="Georgia" w:hAnsi="Georgia"/>
          <w:lang w:val="en-GB"/>
        </w:rPr>
        <w:t xml:space="preserve">). </w:t>
      </w:r>
    </w:p>
    <w:p w14:paraId="212CB127" w14:textId="57AC3F73" w:rsidR="009D1824" w:rsidRPr="0002056A" w:rsidRDefault="00172891" w:rsidP="00CD5BF3">
      <w:pPr>
        <w:tabs>
          <w:tab w:val="left" w:pos="6237"/>
        </w:tabs>
        <w:spacing w:before="120" w:after="120"/>
        <w:jc w:val="both"/>
        <w:rPr>
          <w:rFonts w:ascii="Georgia" w:hAnsi="Georgia"/>
          <w:bCs/>
          <w:lang w:val="en-GB"/>
        </w:rPr>
      </w:pPr>
      <w:r w:rsidRPr="0002056A">
        <w:rPr>
          <w:rFonts w:ascii="Georgia" w:hAnsi="Georgia"/>
          <w:bCs/>
          <w:lang w:val="en-GB"/>
        </w:rPr>
        <w:t xml:space="preserve">Regional studies </w:t>
      </w:r>
      <w:r w:rsidR="009D1824" w:rsidRPr="0002056A">
        <w:rPr>
          <w:rFonts w:ascii="Georgia" w:hAnsi="Georgia"/>
          <w:bCs/>
          <w:lang w:val="en-GB"/>
        </w:rPr>
        <w:t xml:space="preserve">consider </w:t>
      </w:r>
      <w:r w:rsidR="009D1824" w:rsidRPr="0002056A">
        <w:rPr>
          <w:rFonts w:ascii="Georgia" w:hAnsi="Georgia"/>
          <w:b/>
          <w:lang w:val="en-GB"/>
        </w:rPr>
        <w:t>different (geographical, social, economic) spaces as different layers upon each other</w:t>
      </w:r>
      <w:r w:rsidR="009D1824" w:rsidRPr="0002056A">
        <w:rPr>
          <w:rFonts w:ascii="Georgia" w:hAnsi="Georgia"/>
          <w:bCs/>
          <w:lang w:val="en-GB"/>
        </w:rPr>
        <w:t xml:space="preserve">. This approach cannot be neglected in the case of climate policy, let alone climate adaptation, that, with its comprehensive, horizontal nature integrate numerous sectors, overarching them with a climate vulnerability- or risk assessment-oriented umbrella. </w:t>
      </w:r>
      <w:r w:rsidR="00472C1E">
        <w:rPr>
          <w:rFonts w:ascii="Georgia" w:hAnsi="Georgia"/>
          <w:bCs/>
          <w:lang w:val="en-GB"/>
        </w:rPr>
        <w:t>Similar to spatial planning, adaptation policy and planning also synthesises</w:t>
      </w:r>
      <w:r w:rsidR="009D1824" w:rsidRPr="0002056A">
        <w:rPr>
          <w:rFonts w:ascii="Georgia" w:hAnsi="Georgia"/>
          <w:bCs/>
          <w:lang w:val="en-GB"/>
        </w:rPr>
        <w:t xml:space="preserve"> different sectoral development directions onto a spatial unit. For doing this</w:t>
      </w:r>
      <w:r w:rsidR="00472C1E">
        <w:rPr>
          <w:rFonts w:ascii="Georgia" w:hAnsi="Georgia"/>
          <w:bCs/>
          <w:lang w:val="en-GB"/>
        </w:rPr>
        <w:t>,</w:t>
      </w:r>
      <w:r w:rsidR="009D1824" w:rsidRPr="0002056A">
        <w:rPr>
          <w:rFonts w:ascii="Georgia" w:hAnsi="Georgia"/>
          <w:bCs/>
          <w:lang w:val="en-GB"/>
        </w:rPr>
        <w:t xml:space="preserve"> the multi-layered approach’s benefit is unambiguous. </w:t>
      </w:r>
    </w:p>
    <w:p w14:paraId="4A94ED06" w14:textId="2F2B53CB" w:rsidR="009D1824" w:rsidRPr="0002056A" w:rsidRDefault="009D1824" w:rsidP="00CD5BF3">
      <w:pPr>
        <w:tabs>
          <w:tab w:val="left" w:pos="6237"/>
        </w:tabs>
        <w:spacing w:before="120" w:after="120"/>
        <w:jc w:val="both"/>
        <w:rPr>
          <w:rFonts w:ascii="Georgia" w:hAnsi="Georgia"/>
          <w:bCs/>
          <w:lang w:val="en-GB"/>
        </w:rPr>
      </w:pPr>
      <w:r w:rsidRPr="0002056A">
        <w:rPr>
          <w:rFonts w:ascii="Georgia" w:hAnsi="Georgia" w:cstheme="minorHAnsi"/>
          <w:b/>
          <w:bCs/>
          <w:lang w:val="en-GB"/>
        </w:rPr>
        <w:t>Relativist, constructivist spatial approaches</w:t>
      </w:r>
      <w:r w:rsidRPr="0002056A">
        <w:rPr>
          <w:rFonts w:ascii="Georgia" w:hAnsi="Georgia" w:cstheme="minorHAnsi"/>
          <w:lang w:val="en-GB"/>
        </w:rPr>
        <w:t xml:space="preserve"> also emphasise the relational dimension, regarding </w:t>
      </w:r>
      <w:r w:rsidRPr="0002056A">
        <w:rPr>
          <w:rFonts w:ascii="Georgia" w:hAnsi="Georgia" w:cstheme="minorHAnsi"/>
          <w:b/>
          <w:bCs/>
          <w:lang w:val="en-GB"/>
        </w:rPr>
        <w:t>space as a direct product of society</w:t>
      </w:r>
      <w:r w:rsidRPr="0002056A">
        <w:rPr>
          <w:rFonts w:ascii="Georgia" w:hAnsi="Georgia" w:cstheme="minorHAnsi"/>
          <w:lang w:val="en-GB"/>
        </w:rPr>
        <w:t xml:space="preserve"> made up from societal relations. These </w:t>
      </w:r>
      <w:r w:rsidRPr="0002056A">
        <w:rPr>
          <w:rFonts w:ascii="Georgia" w:hAnsi="Georgia"/>
          <w:lang w:val="en-GB"/>
        </w:rPr>
        <w:t>socially constructed internal and social space interpretations can influence a given society’s administrational spatial structure</w:t>
      </w:r>
      <w:r w:rsidR="007141FE" w:rsidRPr="0002056A">
        <w:rPr>
          <w:rFonts w:ascii="Georgia" w:hAnsi="Georgia"/>
          <w:lang w:val="en-GB"/>
        </w:rPr>
        <w:t>s used in practice</w:t>
      </w:r>
      <w:r w:rsidRPr="0002056A">
        <w:rPr>
          <w:rFonts w:ascii="Georgia" w:hAnsi="Georgia"/>
          <w:lang w:val="en-GB"/>
        </w:rPr>
        <w:t xml:space="preserve">, too. The research is </w:t>
      </w:r>
      <w:r w:rsidR="00563D03">
        <w:rPr>
          <w:rFonts w:ascii="Georgia" w:hAnsi="Georgia"/>
          <w:lang w:val="en-GB"/>
        </w:rPr>
        <w:t>also interested in the extent to which differences in national adaptation planning and MRE system-building practices in different countries are rooted in national administrative</w:t>
      </w:r>
      <w:r w:rsidRPr="0002056A">
        <w:rPr>
          <w:rFonts w:ascii="Georgia" w:hAnsi="Georgia"/>
          <w:lang w:val="en-GB"/>
        </w:rPr>
        <w:t xml:space="preserve"> and governmental features.</w:t>
      </w:r>
      <w:r w:rsidRPr="0002056A">
        <w:rPr>
          <w:rFonts w:ascii="Georgia" w:hAnsi="Georgia" w:cstheme="minorHAnsi"/>
          <w:lang w:val="en-GB"/>
        </w:rPr>
        <w:t xml:space="preserve"> </w:t>
      </w:r>
    </w:p>
    <w:p w14:paraId="000D6D05" w14:textId="68329744" w:rsidR="00FE57FD" w:rsidRPr="0002056A" w:rsidRDefault="00FE57FD" w:rsidP="00CD5BF3">
      <w:pPr>
        <w:tabs>
          <w:tab w:val="left" w:pos="6237"/>
        </w:tabs>
        <w:spacing w:before="120" w:after="120"/>
        <w:jc w:val="both"/>
        <w:rPr>
          <w:rFonts w:ascii="Georgia" w:hAnsi="Georgia"/>
          <w:lang w:val="en-GB"/>
        </w:rPr>
      </w:pPr>
      <w:r w:rsidRPr="0002056A">
        <w:rPr>
          <w:rFonts w:ascii="Georgia" w:hAnsi="Georgia"/>
          <w:bCs/>
          <w:lang w:val="en-GB"/>
        </w:rPr>
        <w:t xml:space="preserve">The </w:t>
      </w:r>
      <w:r w:rsidRPr="0002056A">
        <w:rPr>
          <w:rFonts w:ascii="Georgia" w:hAnsi="Georgia"/>
          <w:b/>
          <w:lang w:val="en-GB"/>
        </w:rPr>
        <w:t>main geopolitical and regional economic spatial approaches</w:t>
      </w:r>
      <w:r w:rsidRPr="0002056A">
        <w:rPr>
          <w:rFonts w:ascii="Georgia" w:hAnsi="Georgia"/>
          <w:bCs/>
          <w:lang w:val="en-GB"/>
        </w:rPr>
        <w:t xml:space="preserve"> also play their parts. The mentioned disciplines through the </w:t>
      </w:r>
      <w:r w:rsidRPr="0002056A">
        <w:rPr>
          <w:rFonts w:ascii="Georgia" w:hAnsi="Georgia"/>
          <w:b/>
          <w:lang w:val="en-GB"/>
        </w:rPr>
        <w:t>geographical re-orientation of their mother disciplines</w:t>
      </w:r>
      <w:r w:rsidRPr="0002056A">
        <w:rPr>
          <w:rFonts w:ascii="Georgia" w:hAnsi="Georgia"/>
          <w:bCs/>
          <w:lang w:val="en-GB"/>
        </w:rPr>
        <w:t xml:space="preserve"> (politics and economics) </w:t>
      </w:r>
      <w:r w:rsidR="006A62F0" w:rsidRPr="0002056A">
        <w:rPr>
          <w:rFonts w:ascii="Georgia" w:hAnsi="Georgia"/>
          <w:bCs/>
          <w:lang w:val="en-GB"/>
        </w:rPr>
        <w:t>identify</w:t>
      </w:r>
      <w:r w:rsidRPr="0002056A">
        <w:rPr>
          <w:rFonts w:ascii="Georgia" w:hAnsi="Georgia"/>
          <w:bCs/>
          <w:lang w:val="en-GB"/>
        </w:rPr>
        <w:t xml:space="preserve"> t</w:t>
      </w:r>
      <w:r w:rsidR="006A62F0" w:rsidRPr="0002056A">
        <w:rPr>
          <w:rFonts w:ascii="Georgia" w:hAnsi="Georgia"/>
          <w:bCs/>
          <w:lang w:val="en-GB"/>
        </w:rPr>
        <w:t>heir</w:t>
      </w:r>
      <w:r w:rsidRPr="0002056A">
        <w:rPr>
          <w:rFonts w:ascii="Georgia" w:hAnsi="Georgia"/>
          <w:bCs/>
          <w:lang w:val="en-GB"/>
        </w:rPr>
        <w:t xml:space="preserve"> spatial approaches. S</w:t>
      </w:r>
      <w:r w:rsidRPr="0002056A">
        <w:rPr>
          <w:rFonts w:ascii="Georgia" w:hAnsi="Georgia"/>
          <w:lang w:val="en-GB"/>
        </w:rPr>
        <w:t xml:space="preserve">pace interpretations in geopolitics are basically identical with the already introduced external spaces (geographical space with physical environmental elements) as </w:t>
      </w:r>
      <w:r w:rsidR="00563D03">
        <w:rPr>
          <w:rFonts w:ascii="Georgia" w:hAnsi="Georgia"/>
          <w:lang w:val="en-GB"/>
        </w:rPr>
        <w:t>localised</w:t>
      </w:r>
      <w:r w:rsidR="00563D03" w:rsidRPr="0002056A">
        <w:rPr>
          <w:rFonts w:ascii="Georgia" w:hAnsi="Georgia"/>
          <w:lang w:val="en-GB"/>
        </w:rPr>
        <w:t xml:space="preserve"> </w:t>
      </w:r>
      <w:r w:rsidRPr="0002056A">
        <w:rPr>
          <w:rFonts w:ascii="Georgia" w:hAnsi="Georgia"/>
          <w:lang w:val="en-GB"/>
        </w:rPr>
        <w:t>outer perspectives of politics, where geographic proximity and places’ locations influence political decisions even in adaptation policy. Moreover, the relativist approach emerges here again: in the research</w:t>
      </w:r>
      <w:r w:rsidR="00563D03">
        <w:rPr>
          <w:rFonts w:ascii="Georgia" w:hAnsi="Georgia"/>
          <w:lang w:val="en-GB"/>
        </w:rPr>
        <w:t>, we focus on how given states can use their climate adaptation policies in strengthening cooperation with or exerting</w:t>
      </w:r>
      <w:r w:rsidRPr="0002056A">
        <w:rPr>
          <w:rFonts w:ascii="Georgia" w:hAnsi="Georgia"/>
          <w:lang w:val="en-GB"/>
        </w:rPr>
        <w:t xml:space="preserve"> influence on other regions. The relations between spatial elements (here: countries) come to the centre of attention. Similarly, regional economics concentrate on their respective </w:t>
      </w:r>
      <w:r w:rsidR="00563D03">
        <w:rPr>
          <w:rFonts w:ascii="Georgia" w:hAnsi="Georgia"/>
          <w:lang w:val="en-GB"/>
        </w:rPr>
        <w:t>localised</w:t>
      </w:r>
      <w:r w:rsidR="00563D03" w:rsidRPr="0002056A">
        <w:rPr>
          <w:rFonts w:ascii="Georgia" w:hAnsi="Georgia"/>
          <w:lang w:val="en-GB"/>
        </w:rPr>
        <w:t xml:space="preserve"> </w:t>
      </w:r>
      <w:r w:rsidRPr="0002056A">
        <w:rPr>
          <w:rFonts w:ascii="Georgia" w:hAnsi="Georgia"/>
          <w:lang w:val="en-GB"/>
        </w:rPr>
        <w:t xml:space="preserve">outer spaces. </w:t>
      </w:r>
    </w:p>
    <w:p w14:paraId="5FB63DF8" w14:textId="0F1F3E1D" w:rsidR="00FE57FD" w:rsidRDefault="00FE57FD" w:rsidP="00B12141">
      <w:pPr>
        <w:tabs>
          <w:tab w:val="left" w:pos="6237"/>
        </w:tabs>
        <w:spacing w:before="120" w:after="120"/>
        <w:jc w:val="both"/>
        <w:rPr>
          <w:rFonts w:ascii="Georgia" w:hAnsi="Georgia"/>
          <w:bCs/>
          <w:lang w:val="en-GB"/>
        </w:rPr>
      </w:pPr>
      <w:r w:rsidRPr="0002056A">
        <w:rPr>
          <w:rFonts w:ascii="Georgia" w:hAnsi="Georgia"/>
          <w:lang w:val="en-GB"/>
        </w:rPr>
        <w:t xml:space="preserve">The </w:t>
      </w:r>
      <w:r w:rsidR="00710091" w:rsidRPr="0002056A">
        <w:rPr>
          <w:rFonts w:ascii="Georgia" w:hAnsi="Georgia"/>
          <w:lang w:val="en-GB"/>
        </w:rPr>
        <w:t xml:space="preserve">dissertation’s </w:t>
      </w:r>
      <w:r w:rsidRPr="0002056A">
        <w:rPr>
          <w:rFonts w:ascii="Georgia" w:hAnsi="Georgia"/>
          <w:lang w:val="en-GB"/>
        </w:rPr>
        <w:t xml:space="preserve">main research subjects, climate adaptation planning and MRE are practical issues, so even </w:t>
      </w:r>
      <w:r w:rsidRPr="0002056A">
        <w:rPr>
          <w:rFonts w:ascii="Georgia" w:hAnsi="Georgia"/>
          <w:b/>
          <w:bCs/>
          <w:lang w:val="en-GB"/>
        </w:rPr>
        <w:t>applied policy-oriented space interpretations</w:t>
      </w:r>
      <w:r w:rsidRPr="0002056A">
        <w:rPr>
          <w:rFonts w:ascii="Georgia" w:hAnsi="Georgia"/>
          <w:lang w:val="en-GB"/>
        </w:rPr>
        <w:t xml:space="preserve"> ought to be used. Therefore, </w:t>
      </w:r>
      <w:r w:rsidRPr="0002056A">
        <w:rPr>
          <w:rFonts w:ascii="Georgia" w:hAnsi="Georgia"/>
          <w:b/>
          <w:bCs/>
          <w:lang w:val="en-GB"/>
        </w:rPr>
        <w:t>regional development policy’s territorial cohesion-oriented conceptual background</w:t>
      </w:r>
      <w:r w:rsidRPr="0002056A">
        <w:rPr>
          <w:rFonts w:ascii="Georgia" w:hAnsi="Georgia"/>
          <w:lang w:val="en-GB"/>
        </w:rPr>
        <w:t xml:space="preserve">, and the </w:t>
      </w:r>
      <w:r w:rsidRPr="0002056A">
        <w:rPr>
          <w:rFonts w:ascii="Georgia" w:hAnsi="Georgia"/>
          <w:b/>
          <w:bCs/>
          <w:lang w:val="en-GB"/>
        </w:rPr>
        <w:t>related strategic and spatial planning activities</w:t>
      </w:r>
      <w:r w:rsidRPr="0002056A">
        <w:rPr>
          <w:rFonts w:ascii="Georgia" w:hAnsi="Georgia"/>
          <w:lang w:val="en-GB"/>
        </w:rPr>
        <w:t>,</w:t>
      </w:r>
      <w:r w:rsidRPr="0002056A">
        <w:rPr>
          <w:rFonts w:ascii="Georgia" w:hAnsi="Georgia"/>
          <w:bCs/>
          <w:lang w:val="en-GB"/>
        </w:rPr>
        <w:t xml:space="preserve"> as applied practical manifestations of regional geography and regional economics</w:t>
      </w:r>
      <w:r w:rsidRPr="0002056A">
        <w:rPr>
          <w:rFonts w:ascii="Georgia" w:hAnsi="Georgia"/>
          <w:b/>
          <w:lang w:val="en-GB"/>
        </w:rPr>
        <w:t xml:space="preserve"> </w:t>
      </w:r>
      <w:r w:rsidRPr="0002056A">
        <w:rPr>
          <w:rFonts w:ascii="Georgia" w:hAnsi="Georgia"/>
          <w:lang w:val="en-GB"/>
        </w:rPr>
        <w:t xml:space="preserve">also play crucial part in the analytical aspect system. All of the territorial cohesion-related notions and concepts </w:t>
      </w:r>
      <w:r w:rsidRPr="0002056A">
        <w:rPr>
          <w:rFonts w:ascii="Georgia" w:hAnsi="Georgia"/>
          <w:lang w:val="en-GB"/>
        </w:rPr>
        <w:lastRenderedPageBreak/>
        <w:t xml:space="preserve">indicate a special space interpretation, rooted </w:t>
      </w:r>
      <w:r w:rsidR="00220FC2">
        <w:rPr>
          <w:rFonts w:ascii="Georgia" w:hAnsi="Georgia"/>
          <w:lang w:val="en-GB"/>
        </w:rPr>
        <w:t>in</w:t>
      </w:r>
      <w:r w:rsidRPr="0002056A">
        <w:rPr>
          <w:rFonts w:ascii="Georgia" w:hAnsi="Georgia"/>
          <w:lang w:val="en-GB"/>
        </w:rPr>
        <w:t xml:space="preserve"> the approaches of regional study and social/economic geography. </w:t>
      </w:r>
    </w:p>
    <w:p w14:paraId="171D2B58" w14:textId="77777777" w:rsidR="00B12141" w:rsidRPr="0002056A" w:rsidRDefault="00B12141" w:rsidP="00B12141">
      <w:pPr>
        <w:tabs>
          <w:tab w:val="left" w:pos="6237"/>
        </w:tabs>
        <w:spacing w:before="120" w:after="120"/>
        <w:jc w:val="both"/>
        <w:rPr>
          <w:rFonts w:ascii="Georgia" w:hAnsi="Georgia" w:cs="Times New Roman"/>
          <w:lang w:val="en-GB"/>
        </w:rPr>
      </w:pPr>
      <w:r w:rsidRPr="0002056A">
        <w:rPr>
          <w:rFonts w:ascii="Georgia" w:hAnsi="Georgia"/>
          <w:lang w:val="en-GB"/>
        </w:rPr>
        <w:t>Adaptation planning</w:t>
      </w:r>
      <w:r w:rsidRPr="0002056A">
        <w:rPr>
          <w:rFonts w:ascii="Georgia" w:hAnsi="Georgia" w:cs="Times New Roman"/>
          <w:lang w:val="en-GB"/>
        </w:rPr>
        <w:t xml:space="preserve"> might </w:t>
      </w:r>
      <w:r>
        <w:rPr>
          <w:rFonts w:ascii="Georgia" w:hAnsi="Georgia" w:cs="Times New Roman"/>
          <w:lang w:val="en-GB"/>
        </w:rPr>
        <w:t xml:space="preserve">also </w:t>
      </w:r>
      <w:r w:rsidRPr="0002056A">
        <w:rPr>
          <w:rFonts w:ascii="Georgia" w:hAnsi="Georgia" w:cs="Times New Roman"/>
          <w:lang w:val="en-GB"/>
        </w:rPr>
        <w:t xml:space="preserve">touch the </w:t>
      </w:r>
      <w:r w:rsidRPr="0002056A">
        <w:rPr>
          <w:rFonts w:ascii="Georgia" w:hAnsi="Georgia" w:cs="Times New Roman"/>
          <w:b/>
          <w:bCs/>
          <w:lang w:val="en-GB"/>
        </w:rPr>
        <w:t xml:space="preserve">problem of functional territories versus </w:t>
      </w:r>
      <w:r>
        <w:rPr>
          <w:rFonts w:ascii="Georgia" w:hAnsi="Georgia" w:cs="Times New Roman"/>
          <w:b/>
          <w:bCs/>
          <w:lang w:val="en-GB"/>
        </w:rPr>
        <w:t>administrative</w:t>
      </w:r>
      <w:r w:rsidRPr="0002056A">
        <w:rPr>
          <w:rFonts w:ascii="Georgia" w:hAnsi="Georgia" w:cs="Times New Roman"/>
          <w:b/>
          <w:bCs/>
          <w:lang w:val="en-GB"/>
        </w:rPr>
        <w:t xml:space="preserve"> units</w:t>
      </w:r>
      <w:r w:rsidRPr="0002056A">
        <w:rPr>
          <w:rFonts w:ascii="Georgia" w:hAnsi="Georgia" w:cs="Times New Roman"/>
          <w:lang w:val="en-GB"/>
        </w:rPr>
        <w:t xml:space="preserve">: different sectors and thematic fields are operating in particular spatial frameworks, different from </w:t>
      </w:r>
      <w:r>
        <w:rPr>
          <w:rFonts w:ascii="Georgia" w:hAnsi="Georgia" w:cs="Times New Roman"/>
          <w:lang w:val="en-GB"/>
        </w:rPr>
        <w:t>administrative</w:t>
      </w:r>
      <w:r w:rsidRPr="0002056A">
        <w:rPr>
          <w:rFonts w:ascii="Georgia" w:hAnsi="Georgia" w:cs="Times New Roman"/>
          <w:lang w:val="en-GB"/>
        </w:rPr>
        <w:t xml:space="preserve"> districts (in climate adaptation this is particularly valid, if we think about climate impacts crossing national borders or river valleys/natural macro regions as real sites of occurrence of climatic challenges). The presence of functional space concepts of regional geography and regional development policy was also considered when we examined the adaptation planning documents.</w:t>
      </w:r>
    </w:p>
    <w:p w14:paraId="5514842B" w14:textId="77777777" w:rsidR="00B12141" w:rsidRPr="0002056A" w:rsidRDefault="00B12141" w:rsidP="00B12141">
      <w:pPr>
        <w:spacing w:before="120" w:after="120"/>
        <w:jc w:val="both"/>
        <w:rPr>
          <w:rFonts w:cstheme="minorHAnsi"/>
          <w:lang w:val="en-GB"/>
        </w:rPr>
      </w:pPr>
      <w:r w:rsidRPr="0002056A">
        <w:rPr>
          <w:rFonts w:ascii="Georgia" w:hAnsi="Georgia"/>
          <w:lang w:val="en-GB"/>
        </w:rPr>
        <w:t>We see: the issue of space interpretations is a multidimensional question</w:t>
      </w:r>
      <w:r>
        <w:rPr>
          <w:rFonts w:ascii="Georgia" w:hAnsi="Georgia"/>
          <w:lang w:val="en-GB"/>
        </w:rPr>
        <w:t>,</w:t>
      </w:r>
      <w:r w:rsidRPr="0002056A">
        <w:rPr>
          <w:rFonts w:ascii="Georgia" w:hAnsi="Georgia"/>
          <w:lang w:val="en-GB"/>
        </w:rPr>
        <w:t xml:space="preserve"> as well as space itself. Consequently, when identifying spatiality in a policy field (in our case: climate adaptation), or when elaborating a comprehensive aspect system for a planned comparative analysis of national climate adaptation policy documents</w:t>
      </w:r>
      <w:r>
        <w:rPr>
          <w:rFonts w:ascii="Georgia" w:hAnsi="Georgia"/>
          <w:lang w:val="en-GB"/>
        </w:rPr>
        <w:t>,</w:t>
      </w:r>
      <w:r w:rsidRPr="0002056A">
        <w:rPr>
          <w:rFonts w:ascii="Georgia" w:hAnsi="Georgia"/>
          <w:lang w:val="en-GB"/>
        </w:rPr>
        <w:t xml:space="preserve"> we must draw from several sources. This fact does not make the task easier</w:t>
      </w:r>
      <w:r>
        <w:rPr>
          <w:rFonts w:ascii="Georgia" w:hAnsi="Georgia"/>
          <w:lang w:val="en-GB"/>
        </w:rPr>
        <w:t>, but we cannot count on easy ways if we are dealing with two such complex issues as</w:t>
      </w:r>
      <w:r w:rsidRPr="0002056A">
        <w:rPr>
          <w:rFonts w:ascii="Georgia" w:hAnsi="Georgia"/>
          <w:lang w:val="en-GB"/>
        </w:rPr>
        <w:t xml:space="preserve"> climate adaptation and spatiality.</w:t>
      </w:r>
    </w:p>
    <w:p w14:paraId="409ECDAA" w14:textId="6A643D72" w:rsidR="00B12141" w:rsidRPr="0002056A" w:rsidRDefault="00B12141" w:rsidP="00431360">
      <w:pPr>
        <w:tabs>
          <w:tab w:val="left" w:pos="6237"/>
        </w:tabs>
        <w:spacing w:before="120" w:after="120" w:line="240" w:lineRule="auto"/>
        <w:jc w:val="both"/>
        <w:rPr>
          <w:rFonts w:ascii="Georgia" w:hAnsi="Georgia"/>
          <w:bCs/>
          <w:lang w:val="en-GB"/>
        </w:rPr>
        <w:sectPr w:rsidR="00B12141" w:rsidRPr="0002056A" w:rsidSect="0004008A">
          <w:pgSz w:w="11906" w:h="16838"/>
          <w:pgMar w:top="1417" w:right="1417" w:bottom="1417" w:left="1417" w:header="708" w:footer="708" w:gutter="0"/>
          <w:cols w:space="708"/>
          <w:titlePg/>
          <w:docGrid w:linePitch="360"/>
        </w:sectPr>
      </w:pPr>
    </w:p>
    <w:p w14:paraId="6B515A32" w14:textId="48FAD0A3" w:rsidR="008E19DE" w:rsidRPr="0002056A" w:rsidRDefault="002A3BF5" w:rsidP="00C645D8">
      <w:pPr>
        <w:rPr>
          <w:rFonts w:ascii="Times New Roman" w:hAnsi="Times New Roman" w:cs="Times New Roman"/>
          <w:b/>
          <w:bCs/>
          <w:lang w:val="en-GB"/>
        </w:rPr>
      </w:pPr>
      <w:r w:rsidRPr="0002056A">
        <w:rPr>
          <w:noProof/>
          <w:lang w:val="en-GB"/>
        </w:rPr>
        <w:lastRenderedPageBreak/>
        <w:drawing>
          <wp:inline distT="0" distB="0" distL="0" distR="0" wp14:anchorId="5922D99A" wp14:editId="25DD2477">
            <wp:extent cx="8892540" cy="4989195"/>
            <wp:effectExtent l="0" t="0" r="3810" b="1905"/>
            <wp:docPr id="1802415949" name="Kép 2"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15949" name="Kép 2" descr="A képen szöveg, képernyőkép, Betűtípus, szám látható&#10;&#10;Automatikusan generált leírá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892540" cy="4989195"/>
                    </a:xfrm>
                    <a:prstGeom prst="rect">
                      <a:avLst/>
                    </a:prstGeom>
                  </pic:spPr>
                </pic:pic>
              </a:graphicData>
            </a:graphic>
          </wp:inline>
        </w:drawing>
      </w:r>
    </w:p>
    <w:p w14:paraId="2AFE1671" w14:textId="05B26948" w:rsidR="008E19DE" w:rsidRPr="0002056A" w:rsidRDefault="008E19DE" w:rsidP="008E19DE">
      <w:pPr>
        <w:spacing w:before="60" w:after="60" w:line="360" w:lineRule="auto"/>
        <w:jc w:val="center"/>
        <w:rPr>
          <w:rFonts w:ascii="Times New Roman" w:hAnsi="Times New Roman" w:cs="Times New Roman"/>
          <w:i/>
          <w:sz w:val="16"/>
          <w:szCs w:val="16"/>
          <w:lang w:val="en-GB"/>
        </w:rPr>
        <w:sectPr w:rsidR="008E19DE" w:rsidRPr="0002056A" w:rsidSect="008E19DE">
          <w:pgSz w:w="16838" w:h="11906" w:orient="landscape"/>
          <w:pgMar w:top="1417" w:right="1417" w:bottom="1417" w:left="1417" w:header="708" w:footer="708" w:gutter="0"/>
          <w:cols w:space="708"/>
          <w:docGrid w:linePitch="360"/>
        </w:sectPr>
      </w:pPr>
      <w:r w:rsidRPr="0002056A">
        <w:rPr>
          <w:rFonts w:ascii="Times New Roman" w:hAnsi="Times New Roman" w:cs="Times New Roman"/>
          <w:b/>
          <w:sz w:val="16"/>
          <w:szCs w:val="16"/>
          <w:lang w:val="en-GB"/>
        </w:rPr>
        <w:t xml:space="preserve">Figure </w:t>
      </w:r>
      <w:r w:rsidR="00985740" w:rsidRPr="0002056A">
        <w:rPr>
          <w:rFonts w:ascii="Times New Roman" w:hAnsi="Times New Roman" w:cs="Times New Roman"/>
          <w:b/>
          <w:sz w:val="16"/>
          <w:szCs w:val="16"/>
          <w:lang w:val="en-GB"/>
        </w:rPr>
        <w:t>10</w:t>
      </w:r>
      <w:r w:rsidRPr="0002056A">
        <w:rPr>
          <w:rFonts w:ascii="Times New Roman" w:hAnsi="Times New Roman" w:cs="Times New Roman"/>
          <w:b/>
          <w:sz w:val="16"/>
          <w:szCs w:val="16"/>
          <w:lang w:val="en-GB"/>
        </w:rPr>
        <w:t xml:space="preserve">: Space interpretations and their possible application in an analysis of adaptation policy’s spatiality. </w:t>
      </w:r>
      <w:r w:rsidRPr="0002056A">
        <w:rPr>
          <w:rFonts w:ascii="Times New Roman" w:hAnsi="Times New Roman" w:cs="Times New Roman"/>
          <w:i/>
          <w:sz w:val="16"/>
          <w:szCs w:val="16"/>
          <w:lang w:val="en-GB"/>
        </w:rPr>
        <w:t>Source: own editing</w:t>
      </w:r>
    </w:p>
    <w:p w14:paraId="199A0F16" w14:textId="05EDF956" w:rsidR="00B4030C" w:rsidRPr="0002056A" w:rsidRDefault="00B4030C" w:rsidP="00214BD9">
      <w:pPr>
        <w:pStyle w:val="Cmsor1"/>
        <w:numPr>
          <w:ilvl w:val="0"/>
          <w:numId w:val="4"/>
        </w:numPr>
        <w:rPr>
          <w:rFonts w:asciiTheme="minorHAnsi" w:hAnsiTheme="minorHAnsi" w:cstheme="minorHAnsi"/>
          <w:lang w:val="en-GB"/>
        </w:rPr>
      </w:pPr>
      <w:bookmarkStart w:id="24" w:name="_Toc225578846"/>
      <w:r w:rsidRPr="0002056A">
        <w:rPr>
          <w:rFonts w:asciiTheme="minorHAnsi" w:hAnsiTheme="minorHAnsi" w:cstheme="minorHAnsi"/>
          <w:lang w:val="en-GB"/>
        </w:rPr>
        <w:lastRenderedPageBreak/>
        <w:t>Material</w:t>
      </w:r>
      <w:r w:rsidR="00C60C17" w:rsidRPr="0002056A">
        <w:rPr>
          <w:rFonts w:asciiTheme="minorHAnsi" w:hAnsiTheme="minorHAnsi" w:cstheme="minorHAnsi"/>
          <w:lang w:val="en-GB"/>
        </w:rPr>
        <w:t>s</w:t>
      </w:r>
      <w:r w:rsidRPr="0002056A">
        <w:rPr>
          <w:rFonts w:asciiTheme="minorHAnsi" w:hAnsiTheme="minorHAnsi" w:cstheme="minorHAnsi"/>
          <w:lang w:val="en-GB"/>
        </w:rPr>
        <w:t xml:space="preserve"> and methods of the empirical research</w:t>
      </w:r>
      <w:bookmarkEnd w:id="24"/>
    </w:p>
    <w:p w14:paraId="2503BF07" w14:textId="433DD2BC" w:rsidR="00E0744B" w:rsidRPr="0002056A" w:rsidRDefault="00943617" w:rsidP="00CD5BF3">
      <w:pPr>
        <w:spacing w:before="120" w:after="120"/>
        <w:jc w:val="both"/>
        <w:rPr>
          <w:rFonts w:ascii="Georgia" w:hAnsi="Georgia"/>
          <w:lang w:val="en-GB"/>
        </w:rPr>
      </w:pPr>
      <w:r w:rsidRPr="0002056A">
        <w:rPr>
          <w:rFonts w:ascii="Georgia" w:hAnsi="Georgia"/>
          <w:lang w:val="en-GB"/>
        </w:rPr>
        <w:t>C</w:t>
      </w:r>
      <w:r w:rsidR="00E0744B" w:rsidRPr="0002056A">
        <w:rPr>
          <w:rFonts w:ascii="Georgia" w:hAnsi="Georgia"/>
          <w:lang w:val="en-GB"/>
        </w:rPr>
        <w:t xml:space="preserve">hapter </w:t>
      </w:r>
      <w:r w:rsidRPr="0002056A">
        <w:rPr>
          <w:rFonts w:ascii="Georgia" w:hAnsi="Georgia"/>
          <w:lang w:val="en-GB"/>
        </w:rPr>
        <w:t xml:space="preserve">4 </w:t>
      </w:r>
      <w:r w:rsidR="00D36E84" w:rsidRPr="0002056A">
        <w:rPr>
          <w:rFonts w:ascii="Georgia" w:hAnsi="Georgia"/>
          <w:lang w:val="en-GB"/>
        </w:rPr>
        <w:t>introduces</w:t>
      </w:r>
      <w:r w:rsidR="00E0744B" w:rsidRPr="0002056A">
        <w:rPr>
          <w:rFonts w:ascii="Georgia" w:hAnsi="Georgia"/>
          <w:lang w:val="en-GB"/>
        </w:rPr>
        <w:t xml:space="preserve"> the scope</w:t>
      </w:r>
      <w:r w:rsidRPr="0002056A">
        <w:rPr>
          <w:rFonts w:ascii="Georgia" w:hAnsi="Georgia"/>
          <w:lang w:val="en-GB"/>
        </w:rPr>
        <w:t>,</w:t>
      </w:r>
      <w:r w:rsidR="00E0744B" w:rsidRPr="0002056A">
        <w:rPr>
          <w:rFonts w:ascii="Georgia" w:hAnsi="Georgia"/>
          <w:lang w:val="en-GB"/>
        </w:rPr>
        <w:t xml:space="preserve"> subject</w:t>
      </w:r>
      <w:r w:rsidR="001D721F" w:rsidRPr="0002056A">
        <w:rPr>
          <w:rFonts w:ascii="Georgia" w:hAnsi="Georgia"/>
          <w:lang w:val="en-GB"/>
        </w:rPr>
        <w:t>s</w:t>
      </w:r>
      <w:r w:rsidR="00E0744B" w:rsidRPr="0002056A">
        <w:rPr>
          <w:rFonts w:ascii="Georgia" w:hAnsi="Georgia"/>
          <w:lang w:val="en-GB"/>
        </w:rPr>
        <w:t xml:space="preserve"> </w:t>
      </w:r>
      <w:r w:rsidRPr="0002056A">
        <w:rPr>
          <w:rFonts w:ascii="Georgia" w:hAnsi="Georgia"/>
          <w:lang w:val="en-GB"/>
        </w:rPr>
        <w:t xml:space="preserve">and tools </w:t>
      </w:r>
      <w:r w:rsidR="00E0744B" w:rsidRPr="0002056A">
        <w:rPr>
          <w:rFonts w:ascii="Georgia" w:hAnsi="Georgia"/>
          <w:lang w:val="en-GB"/>
        </w:rPr>
        <w:t xml:space="preserve">of the empirical </w:t>
      </w:r>
      <w:r w:rsidR="00216AD0" w:rsidRPr="0002056A">
        <w:rPr>
          <w:rFonts w:ascii="Georgia" w:hAnsi="Georgia"/>
          <w:lang w:val="en-GB"/>
        </w:rPr>
        <w:t>work phase</w:t>
      </w:r>
      <w:r w:rsidR="00E0744B" w:rsidRPr="0002056A">
        <w:rPr>
          <w:rFonts w:ascii="Georgia" w:hAnsi="Georgia"/>
          <w:lang w:val="en-GB"/>
        </w:rPr>
        <w:t>.</w:t>
      </w:r>
      <w:r w:rsidR="001D721F" w:rsidRPr="0002056A">
        <w:rPr>
          <w:rFonts w:ascii="Georgia" w:hAnsi="Georgia"/>
          <w:lang w:val="en-GB"/>
        </w:rPr>
        <w:t xml:space="preserve"> A </w:t>
      </w:r>
      <w:r w:rsidR="00986BC5" w:rsidRPr="0002056A">
        <w:rPr>
          <w:rFonts w:ascii="Georgia" w:hAnsi="Georgia"/>
          <w:lang w:val="en-GB"/>
        </w:rPr>
        <w:t xml:space="preserve">dedicated </w:t>
      </w:r>
      <w:r w:rsidR="001D721F" w:rsidRPr="0002056A">
        <w:rPr>
          <w:rFonts w:ascii="Georgia" w:hAnsi="Georgia"/>
          <w:lang w:val="en-GB"/>
        </w:rPr>
        <w:t xml:space="preserve">subchapter </w:t>
      </w:r>
      <w:r w:rsidR="00986BC5" w:rsidRPr="0002056A">
        <w:rPr>
          <w:rFonts w:ascii="Georgia" w:hAnsi="Georgia"/>
          <w:lang w:val="en-GB"/>
        </w:rPr>
        <w:t xml:space="preserve">even </w:t>
      </w:r>
      <w:r w:rsidR="00D36E84" w:rsidRPr="0002056A">
        <w:rPr>
          <w:rFonts w:ascii="Georgia" w:hAnsi="Georgia"/>
          <w:lang w:val="en-GB"/>
        </w:rPr>
        <w:t>detail</w:t>
      </w:r>
      <w:r w:rsidR="001D721F" w:rsidRPr="0002056A">
        <w:rPr>
          <w:rFonts w:ascii="Georgia" w:hAnsi="Georgia"/>
          <w:lang w:val="en-GB"/>
        </w:rPr>
        <w:t xml:space="preserve">s </w:t>
      </w:r>
      <w:r w:rsidR="00381888" w:rsidRPr="0002056A">
        <w:rPr>
          <w:rFonts w:ascii="Georgia" w:hAnsi="Georgia"/>
          <w:lang w:val="en-GB"/>
        </w:rPr>
        <w:t xml:space="preserve">the dissertation’s </w:t>
      </w:r>
      <w:r w:rsidR="00780A66" w:rsidRPr="0002056A">
        <w:rPr>
          <w:rFonts w:ascii="Georgia" w:hAnsi="Georgia"/>
          <w:lang w:val="en-GB"/>
        </w:rPr>
        <w:t>invented concept</w:t>
      </w:r>
      <w:r w:rsidR="001D721F" w:rsidRPr="0002056A">
        <w:rPr>
          <w:rFonts w:ascii="Georgia" w:hAnsi="Georgia"/>
          <w:lang w:val="en-GB"/>
        </w:rPr>
        <w:t xml:space="preserve"> of spatial sensitivity, </w:t>
      </w:r>
      <w:r w:rsidR="00D36E84" w:rsidRPr="0002056A">
        <w:rPr>
          <w:rFonts w:ascii="Georgia" w:hAnsi="Georgia"/>
          <w:lang w:val="en-GB"/>
        </w:rPr>
        <w:t>elaborat</w:t>
      </w:r>
      <w:r w:rsidR="001D721F" w:rsidRPr="0002056A">
        <w:rPr>
          <w:rFonts w:ascii="Georgia" w:hAnsi="Georgia"/>
          <w:lang w:val="en-GB"/>
        </w:rPr>
        <w:t xml:space="preserve">ed especially for the </w:t>
      </w:r>
      <w:r w:rsidR="00986BC5" w:rsidRPr="0002056A">
        <w:rPr>
          <w:rFonts w:ascii="Georgia" w:hAnsi="Georgia"/>
          <w:lang w:val="en-GB"/>
        </w:rPr>
        <w:t xml:space="preserve">comparative document </w:t>
      </w:r>
      <w:r w:rsidR="001D721F" w:rsidRPr="0002056A">
        <w:rPr>
          <w:rFonts w:ascii="Georgia" w:hAnsi="Georgia"/>
          <w:lang w:val="en-GB"/>
        </w:rPr>
        <w:t>analysis</w:t>
      </w:r>
      <w:r w:rsidR="006A1B33" w:rsidRPr="0002056A">
        <w:rPr>
          <w:rFonts w:ascii="Georgia" w:hAnsi="Georgia"/>
          <w:lang w:val="en-GB"/>
        </w:rPr>
        <w:t>, on the basis of the spac</w:t>
      </w:r>
      <w:r w:rsidR="008C1909" w:rsidRPr="0002056A">
        <w:rPr>
          <w:rFonts w:ascii="Georgia" w:hAnsi="Georgia"/>
          <w:lang w:val="en-GB"/>
        </w:rPr>
        <w:t xml:space="preserve">e definitions and </w:t>
      </w:r>
      <w:r w:rsidR="006A1B33" w:rsidRPr="0002056A">
        <w:rPr>
          <w:rFonts w:ascii="Georgia" w:hAnsi="Georgia"/>
          <w:lang w:val="en-GB"/>
        </w:rPr>
        <w:t xml:space="preserve">interpretations </w:t>
      </w:r>
      <w:r w:rsidR="008C1909" w:rsidRPr="0002056A">
        <w:rPr>
          <w:rFonts w:ascii="Georgia" w:hAnsi="Georgia"/>
          <w:lang w:val="en-GB"/>
        </w:rPr>
        <w:t xml:space="preserve">of disciplines/fields </w:t>
      </w:r>
      <w:r w:rsidR="006A1B33" w:rsidRPr="0002056A">
        <w:rPr>
          <w:rFonts w:ascii="Georgia" w:hAnsi="Georgia"/>
          <w:lang w:val="en-GB"/>
        </w:rPr>
        <w:t xml:space="preserve">described by </w:t>
      </w:r>
      <w:r w:rsidR="00015AA4" w:rsidRPr="0002056A">
        <w:rPr>
          <w:rFonts w:ascii="Georgia" w:hAnsi="Georgia"/>
          <w:lang w:val="en-GB"/>
        </w:rPr>
        <w:t xml:space="preserve">Annex 2 and </w:t>
      </w:r>
      <w:r w:rsidR="008C1909" w:rsidRPr="0002056A">
        <w:rPr>
          <w:rFonts w:ascii="Georgia" w:hAnsi="Georgia"/>
          <w:lang w:val="en-GB"/>
        </w:rPr>
        <w:t>C</w:t>
      </w:r>
      <w:r w:rsidR="006A1B33" w:rsidRPr="0002056A">
        <w:rPr>
          <w:rFonts w:ascii="Georgia" w:hAnsi="Georgia"/>
          <w:lang w:val="en-GB"/>
        </w:rPr>
        <w:t>hapter</w:t>
      </w:r>
      <w:r w:rsidR="008C1909" w:rsidRPr="0002056A">
        <w:rPr>
          <w:rFonts w:ascii="Georgia" w:hAnsi="Georgia"/>
          <w:lang w:val="en-GB"/>
        </w:rPr>
        <w:t xml:space="preserve"> 3.</w:t>
      </w:r>
      <w:r w:rsidR="00F56B56" w:rsidRPr="0002056A">
        <w:rPr>
          <w:rFonts w:ascii="Georgia" w:hAnsi="Georgia"/>
          <w:lang w:val="en-GB"/>
        </w:rPr>
        <w:t>6</w:t>
      </w:r>
      <w:r w:rsidR="008C1909" w:rsidRPr="0002056A">
        <w:rPr>
          <w:rFonts w:ascii="Georgia" w:hAnsi="Georgia"/>
          <w:lang w:val="en-GB"/>
        </w:rPr>
        <w:t>.</w:t>
      </w:r>
    </w:p>
    <w:p w14:paraId="413C66ED" w14:textId="31375747" w:rsidR="00B4030C" w:rsidRPr="0002056A" w:rsidRDefault="00B4030C" w:rsidP="00214BD9">
      <w:pPr>
        <w:pStyle w:val="Cmsor2"/>
        <w:numPr>
          <w:ilvl w:val="1"/>
          <w:numId w:val="4"/>
        </w:numPr>
        <w:rPr>
          <w:rFonts w:asciiTheme="minorHAnsi" w:hAnsiTheme="minorHAnsi" w:cstheme="minorHAnsi"/>
          <w:b w:val="0"/>
          <w:bCs w:val="0"/>
          <w:i/>
          <w:iCs/>
          <w:lang w:val="en-GB"/>
        </w:rPr>
      </w:pPr>
      <w:bookmarkStart w:id="25" w:name="_Toc225578847"/>
      <w:r w:rsidRPr="0002056A">
        <w:rPr>
          <w:rFonts w:asciiTheme="minorHAnsi" w:hAnsiTheme="minorHAnsi" w:cstheme="minorHAnsi"/>
          <w:b w:val="0"/>
          <w:bCs w:val="0"/>
          <w:i/>
          <w:iCs/>
          <w:lang w:val="en-GB"/>
        </w:rPr>
        <w:t xml:space="preserve">Subject of the </w:t>
      </w:r>
      <w:r w:rsidR="00EF5C36" w:rsidRPr="0002056A">
        <w:rPr>
          <w:rFonts w:asciiTheme="minorHAnsi" w:hAnsiTheme="minorHAnsi" w:cstheme="minorHAnsi"/>
          <w:b w:val="0"/>
          <w:bCs w:val="0"/>
          <w:i/>
          <w:iCs/>
          <w:lang w:val="en-GB"/>
        </w:rPr>
        <w:t xml:space="preserve">empirical </w:t>
      </w:r>
      <w:r w:rsidRPr="0002056A">
        <w:rPr>
          <w:rFonts w:asciiTheme="minorHAnsi" w:hAnsiTheme="minorHAnsi" w:cstheme="minorHAnsi"/>
          <w:b w:val="0"/>
          <w:bCs w:val="0"/>
          <w:i/>
          <w:iCs/>
          <w:lang w:val="en-GB"/>
        </w:rPr>
        <w:t>research</w:t>
      </w:r>
      <w:bookmarkEnd w:id="25"/>
    </w:p>
    <w:p w14:paraId="70EE2568" w14:textId="7B36BD73" w:rsidR="00893027" w:rsidRPr="0002056A" w:rsidRDefault="008C1909" w:rsidP="00CD5BF3">
      <w:pPr>
        <w:spacing w:before="120" w:after="120"/>
        <w:jc w:val="both"/>
        <w:rPr>
          <w:rFonts w:ascii="Georgia" w:hAnsi="Georgia"/>
          <w:lang w:val="en-GB"/>
        </w:rPr>
      </w:pPr>
      <w:r w:rsidRPr="0002056A">
        <w:rPr>
          <w:rFonts w:ascii="Georgia" w:hAnsi="Georgia"/>
          <w:lang w:val="en-GB"/>
        </w:rPr>
        <w:t xml:space="preserve">As </w:t>
      </w:r>
      <w:r w:rsidR="00220FC2">
        <w:rPr>
          <w:rFonts w:ascii="Georgia" w:hAnsi="Georgia"/>
          <w:lang w:val="en-GB"/>
        </w:rPr>
        <w:t>outlined above, the main goal of the research is to examine</w:t>
      </w:r>
      <w:r w:rsidR="00E0744B" w:rsidRPr="0002056A">
        <w:rPr>
          <w:rFonts w:ascii="Georgia" w:hAnsi="Georgia"/>
          <w:lang w:val="en-GB"/>
        </w:rPr>
        <w:t xml:space="preserve"> the </w:t>
      </w:r>
      <w:r w:rsidRPr="0002056A">
        <w:rPr>
          <w:rFonts w:ascii="Georgia" w:hAnsi="Georgia"/>
          <w:lang w:val="en-GB"/>
        </w:rPr>
        <w:t xml:space="preserve">presence and </w:t>
      </w:r>
      <w:r w:rsidR="00E0744B" w:rsidRPr="0002056A">
        <w:rPr>
          <w:rFonts w:ascii="Georgia" w:hAnsi="Georgia"/>
          <w:lang w:val="en-GB"/>
        </w:rPr>
        <w:t>degree of spatial</w:t>
      </w:r>
      <w:r w:rsidR="00381888" w:rsidRPr="0002056A">
        <w:rPr>
          <w:rFonts w:ascii="Georgia" w:hAnsi="Georgia"/>
          <w:lang w:val="en-GB"/>
        </w:rPr>
        <w:t>ity-related</w:t>
      </w:r>
      <w:r w:rsidR="00E0744B" w:rsidRPr="0002056A">
        <w:rPr>
          <w:rFonts w:ascii="Georgia" w:hAnsi="Georgia"/>
          <w:lang w:val="en-GB"/>
        </w:rPr>
        <w:t xml:space="preserve"> content</w:t>
      </w:r>
      <w:r w:rsidRPr="0002056A">
        <w:rPr>
          <w:rFonts w:ascii="Georgia" w:hAnsi="Georgia"/>
          <w:lang w:val="en-GB"/>
        </w:rPr>
        <w:t>/emphases</w:t>
      </w:r>
      <w:r w:rsidR="00E0744B" w:rsidRPr="0002056A">
        <w:rPr>
          <w:rFonts w:ascii="Georgia" w:hAnsi="Georgia"/>
          <w:lang w:val="en-GB"/>
        </w:rPr>
        <w:t xml:space="preserve"> </w:t>
      </w:r>
      <w:r w:rsidR="0080793E" w:rsidRPr="0002056A">
        <w:rPr>
          <w:rFonts w:ascii="Georgia" w:hAnsi="Georgia"/>
          <w:lang w:val="en-GB"/>
        </w:rPr>
        <w:t>in</w:t>
      </w:r>
      <w:r w:rsidR="00E0744B" w:rsidRPr="0002056A">
        <w:rPr>
          <w:rFonts w:ascii="Georgia" w:hAnsi="Georgia"/>
          <w:lang w:val="en-GB"/>
        </w:rPr>
        <w:t xml:space="preserve"> European national climate adaptation polic</w:t>
      </w:r>
      <w:r w:rsidRPr="0002056A">
        <w:rPr>
          <w:rFonts w:ascii="Georgia" w:hAnsi="Georgia"/>
          <w:lang w:val="en-GB"/>
        </w:rPr>
        <w:t>y activit</w:t>
      </w:r>
      <w:r w:rsidR="00E0744B" w:rsidRPr="0002056A">
        <w:rPr>
          <w:rFonts w:ascii="Georgia" w:hAnsi="Georgia"/>
          <w:lang w:val="en-GB"/>
        </w:rPr>
        <w:t xml:space="preserve">ies. </w:t>
      </w:r>
      <w:r w:rsidR="00220FC2">
        <w:rPr>
          <w:rFonts w:ascii="Georgia" w:hAnsi="Georgia"/>
          <w:lang w:val="en-GB"/>
        </w:rPr>
        <w:t>Within the framework of the dissertation, a comparative analysis has been conducted, focusing on explicit</w:t>
      </w:r>
      <w:r w:rsidR="00883312" w:rsidRPr="0002056A">
        <w:rPr>
          <w:rFonts w:ascii="Georgia" w:hAnsi="Georgia"/>
          <w:lang w:val="en-GB"/>
        </w:rPr>
        <w:t xml:space="preserve"> national-level</w:t>
      </w:r>
      <w:r w:rsidR="006861F4" w:rsidRPr="0002056A">
        <w:rPr>
          <w:rFonts w:ascii="Georgia" w:hAnsi="Georgia"/>
          <w:lang w:val="en-GB"/>
        </w:rPr>
        <w:t xml:space="preserve"> policy planning </w:t>
      </w:r>
      <w:r w:rsidR="00BB3270" w:rsidRPr="0002056A">
        <w:rPr>
          <w:rFonts w:ascii="Georgia" w:hAnsi="Georgia"/>
          <w:lang w:val="en-GB"/>
        </w:rPr>
        <w:t xml:space="preserve">and MRE </w:t>
      </w:r>
      <w:r w:rsidR="006861F4" w:rsidRPr="0002056A">
        <w:rPr>
          <w:rFonts w:ascii="Georgia" w:hAnsi="Georgia"/>
          <w:lang w:val="en-GB"/>
        </w:rPr>
        <w:t>instruments</w:t>
      </w:r>
      <w:r w:rsidR="00150C38" w:rsidRPr="0002056A">
        <w:rPr>
          <w:rFonts w:ascii="Georgia" w:hAnsi="Georgia"/>
          <w:lang w:val="en-GB"/>
        </w:rPr>
        <w:t>. The analysis was</w:t>
      </w:r>
      <w:r w:rsidR="00E0744B" w:rsidRPr="0002056A">
        <w:rPr>
          <w:rFonts w:ascii="Georgia" w:hAnsi="Georgia"/>
          <w:lang w:val="en-GB"/>
        </w:rPr>
        <w:t xml:space="preserve"> based on a predefined analytical aspect system.</w:t>
      </w:r>
      <w:r w:rsidR="008446F5" w:rsidRPr="0002056A">
        <w:rPr>
          <w:rFonts w:ascii="Georgia" w:hAnsi="Georgia"/>
          <w:lang w:val="en-GB"/>
        </w:rPr>
        <w:t xml:space="preserve"> The main tool </w:t>
      </w:r>
      <w:r w:rsidR="00D20A49" w:rsidRPr="0002056A">
        <w:rPr>
          <w:rFonts w:ascii="Georgia" w:hAnsi="Georgia"/>
          <w:lang w:val="en-GB"/>
        </w:rPr>
        <w:t>(the</w:t>
      </w:r>
      <w:r w:rsidR="008446F5" w:rsidRPr="0002056A">
        <w:rPr>
          <w:rFonts w:ascii="Georgia" w:hAnsi="Georgia"/>
          <w:lang w:val="en-GB"/>
        </w:rPr>
        <w:t xml:space="preserve"> document analysis</w:t>
      </w:r>
      <w:r w:rsidR="00D20A49" w:rsidRPr="0002056A">
        <w:rPr>
          <w:rFonts w:ascii="Georgia" w:hAnsi="Georgia"/>
          <w:lang w:val="en-GB"/>
        </w:rPr>
        <w:t xml:space="preserve">) </w:t>
      </w:r>
      <w:r w:rsidR="00BB3270" w:rsidRPr="0002056A">
        <w:rPr>
          <w:rFonts w:ascii="Georgia" w:hAnsi="Georgia"/>
          <w:lang w:val="en-GB"/>
        </w:rPr>
        <w:t>has part</w:t>
      </w:r>
      <w:r w:rsidR="00412913" w:rsidRPr="0002056A">
        <w:rPr>
          <w:rFonts w:ascii="Georgia" w:hAnsi="Georgia"/>
          <w:lang w:val="en-GB"/>
        </w:rPr>
        <w:t>l</w:t>
      </w:r>
      <w:r w:rsidR="00BB3270" w:rsidRPr="0002056A">
        <w:rPr>
          <w:rFonts w:ascii="Georgia" w:hAnsi="Georgia"/>
          <w:lang w:val="en-GB"/>
        </w:rPr>
        <w:t xml:space="preserve">y been </w:t>
      </w:r>
      <w:r w:rsidR="008446F5" w:rsidRPr="0002056A">
        <w:rPr>
          <w:rFonts w:ascii="Georgia" w:hAnsi="Georgia"/>
          <w:lang w:val="en-GB"/>
        </w:rPr>
        <w:t xml:space="preserve">completed with </w:t>
      </w:r>
      <w:r w:rsidR="00883312" w:rsidRPr="0002056A">
        <w:rPr>
          <w:rFonts w:ascii="Georgia" w:hAnsi="Georgia"/>
          <w:lang w:val="en-GB"/>
        </w:rPr>
        <w:t xml:space="preserve">a </w:t>
      </w:r>
      <w:r w:rsidR="00393E54" w:rsidRPr="0002056A">
        <w:rPr>
          <w:rFonts w:ascii="Georgia" w:hAnsi="Georgia"/>
          <w:lang w:val="en-GB"/>
        </w:rPr>
        <w:t xml:space="preserve">few </w:t>
      </w:r>
      <w:r w:rsidR="00412913" w:rsidRPr="0002056A">
        <w:rPr>
          <w:rFonts w:ascii="Georgia" w:hAnsi="Georgia"/>
          <w:lang w:val="en-GB"/>
        </w:rPr>
        <w:t xml:space="preserve">questionnaire-based </w:t>
      </w:r>
      <w:r w:rsidR="00393E54" w:rsidRPr="0002056A">
        <w:rPr>
          <w:rFonts w:ascii="Georgia" w:hAnsi="Georgia"/>
          <w:lang w:val="en-GB"/>
        </w:rPr>
        <w:t xml:space="preserve">e-mail interviews to gain soft information as well; </w:t>
      </w:r>
      <w:r w:rsidR="008446F5" w:rsidRPr="0002056A">
        <w:rPr>
          <w:rFonts w:ascii="Georgia" w:hAnsi="Georgia"/>
          <w:lang w:val="en-GB"/>
        </w:rPr>
        <w:t xml:space="preserve">and a complementary </w:t>
      </w:r>
      <w:r w:rsidR="0099126C" w:rsidRPr="0002056A">
        <w:rPr>
          <w:rFonts w:ascii="Georgia" w:hAnsi="Georgia"/>
          <w:lang w:val="en-GB"/>
        </w:rPr>
        <w:t>correlation</w:t>
      </w:r>
      <w:r w:rsidR="008446F5" w:rsidRPr="0002056A">
        <w:rPr>
          <w:rFonts w:ascii="Georgia" w:hAnsi="Georgia"/>
          <w:lang w:val="en-GB"/>
        </w:rPr>
        <w:t xml:space="preserve"> analysis</w:t>
      </w:r>
      <w:r w:rsidR="00393E54" w:rsidRPr="0002056A">
        <w:rPr>
          <w:rFonts w:ascii="Georgia" w:hAnsi="Georgia"/>
          <w:lang w:val="en-GB"/>
        </w:rPr>
        <w:t xml:space="preserve"> to examine the main factors </w:t>
      </w:r>
      <w:r w:rsidR="00F07D3E" w:rsidRPr="0002056A">
        <w:rPr>
          <w:rFonts w:ascii="Georgia" w:hAnsi="Georgia"/>
          <w:lang w:val="en-GB"/>
        </w:rPr>
        <w:t xml:space="preserve">influencing </w:t>
      </w:r>
      <w:r w:rsidR="00393E54" w:rsidRPr="0002056A">
        <w:rPr>
          <w:rFonts w:ascii="Georgia" w:hAnsi="Georgia"/>
          <w:lang w:val="en-GB"/>
        </w:rPr>
        <w:t>the national adaptation policies</w:t>
      </w:r>
      <w:r w:rsidR="0099126C" w:rsidRPr="0002056A">
        <w:rPr>
          <w:rFonts w:ascii="Georgia" w:hAnsi="Georgia"/>
          <w:lang w:val="en-GB"/>
        </w:rPr>
        <w:t>’</w:t>
      </w:r>
      <w:r w:rsidR="00393E54" w:rsidRPr="0002056A">
        <w:rPr>
          <w:rFonts w:ascii="Georgia" w:hAnsi="Georgia"/>
          <w:lang w:val="en-GB"/>
        </w:rPr>
        <w:t xml:space="preserve"> spatial sensitivity</w:t>
      </w:r>
      <w:r w:rsidR="008446F5" w:rsidRPr="0002056A">
        <w:rPr>
          <w:rFonts w:ascii="Georgia" w:hAnsi="Georgia"/>
          <w:lang w:val="en-GB"/>
        </w:rPr>
        <w:t>.</w:t>
      </w:r>
    </w:p>
    <w:p w14:paraId="37F086AF" w14:textId="730ED0F8" w:rsidR="00DD0AEC" w:rsidRPr="0002056A" w:rsidRDefault="0099126C" w:rsidP="00CD5BF3">
      <w:pPr>
        <w:spacing w:before="120" w:after="120"/>
        <w:jc w:val="both"/>
        <w:rPr>
          <w:rFonts w:ascii="Georgia" w:hAnsi="Georgia"/>
          <w:lang w:val="en-GB"/>
        </w:rPr>
      </w:pPr>
      <w:r w:rsidRPr="0002056A">
        <w:rPr>
          <w:rFonts w:ascii="Georgia" w:hAnsi="Georgia"/>
          <w:lang w:val="en-GB"/>
        </w:rPr>
        <w:t xml:space="preserve">Regarding the </w:t>
      </w:r>
      <w:r w:rsidRPr="0002056A">
        <w:rPr>
          <w:rFonts w:ascii="Georgia" w:hAnsi="Georgia"/>
          <w:b/>
          <w:bCs/>
          <w:lang w:val="en-GB"/>
        </w:rPr>
        <w:t>c</w:t>
      </w:r>
      <w:r w:rsidR="00DD0AEC" w:rsidRPr="0002056A">
        <w:rPr>
          <w:rFonts w:ascii="Georgia" w:hAnsi="Georgia"/>
          <w:b/>
          <w:bCs/>
          <w:lang w:val="en-GB"/>
        </w:rPr>
        <w:t xml:space="preserve">hosen </w:t>
      </w:r>
      <w:r w:rsidRPr="0002056A">
        <w:rPr>
          <w:rFonts w:ascii="Georgia" w:hAnsi="Georgia"/>
          <w:b/>
          <w:bCs/>
          <w:lang w:val="en-GB"/>
        </w:rPr>
        <w:t xml:space="preserve">spatial </w:t>
      </w:r>
      <w:r w:rsidR="00DD0AEC" w:rsidRPr="0002056A">
        <w:rPr>
          <w:rFonts w:ascii="Georgia" w:hAnsi="Georgia"/>
          <w:b/>
          <w:bCs/>
          <w:lang w:val="en-GB"/>
        </w:rPr>
        <w:t>level</w:t>
      </w:r>
      <w:r w:rsidRPr="0002056A">
        <w:rPr>
          <w:rFonts w:ascii="Georgia" w:hAnsi="Georgia"/>
          <w:b/>
          <w:bCs/>
          <w:lang w:val="en-GB"/>
        </w:rPr>
        <w:t xml:space="preserve"> of the analysis</w:t>
      </w:r>
      <w:r w:rsidR="00220FC2">
        <w:rPr>
          <w:rFonts w:ascii="Georgia" w:hAnsi="Georgia"/>
          <w:b/>
          <w:bCs/>
          <w:lang w:val="en-GB"/>
        </w:rPr>
        <w:t>,</w:t>
      </w:r>
      <w:r w:rsidR="00573C51" w:rsidRPr="0002056A">
        <w:rPr>
          <w:rFonts w:ascii="Georgia" w:hAnsi="Georgia"/>
          <w:lang w:val="en-GB"/>
        </w:rPr>
        <w:t xml:space="preserve"> the</w:t>
      </w:r>
      <w:r w:rsidR="00DD0AEC" w:rsidRPr="0002056A">
        <w:rPr>
          <w:rFonts w:ascii="Georgia" w:hAnsi="Georgia"/>
          <w:lang w:val="en-GB"/>
        </w:rPr>
        <w:t xml:space="preserve"> national</w:t>
      </w:r>
      <w:r w:rsidR="00573C51" w:rsidRPr="0002056A">
        <w:rPr>
          <w:rFonts w:ascii="Georgia" w:hAnsi="Georgia"/>
          <w:lang w:val="en-GB"/>
        </w:rPr>
        <w:t xml:space="preserve"> level was selected</w:t>
      </w:r>
      <w:r w:rsidR="00FF689F" w:rsidRPr="0002056A">
        <w:rPr>
          <w:rFonts w:ascii="Georgia" w:hAnsi="Georgia"/>
          <w:lang w:val="en-GB"/>
        </w:rPr>
        <w:t>,</w:t>
      </w:r>
      <w:r w:rsidR="00573C51" w:rsidRPr="0002056A">
        <w:rPr>
          <w:rFonts w:ascii="Georgia" w:hAnsi="Georgia"/>
          <w:lang w:val="en-GB"/>
        </w:rPr>
        <w:t xml:space="preserve"> focusing on European states. As the literature review already ha</w:t>
      </w:r>
      <w:r w:rsidR="00FF689F" w:rsidRPr="0002056A">
        <w:rPr>
          <w:rFonts w:ascii="Georgia" w:hAnsi="Georgia"/>
          <w:lang w:val="en-GB"/>
        </w:rPr>
        <w:t>s</w:t>
      </w:r>
      <w:r w:rsidR="00573C51" w:rsidRPr="0002056A">
        <w:rPr>
          <w:rFonts w:ascii="Georgia" w:hAnsi="Georgia"/>
          <w:lang w:val="en-GB"/>
        </w:rPr>
        <w:t xml:space="preserve"> shown, the l</w:t>
      </w:r>
      <w:r w:rsidR="00DD0AEC" w:rsidRPr="0002056A">
        <w:rPr>
          <w:rFonts w:ascii="Georgia" w:hAnsi="Georgia"/>
          <w:lang w:val="en-GB"/>
        </w:rPr>
        <w:t xml:space="preserve">ocal level is </w:t>
      </w:r>
      <w:r w:rsidR="00FF689F" w:rsidRPr="0002056A">
        <w:rPr>
          <w:rFonts w:ascii="Georgia" w:hAnsi="Georgia"/>
          <w:lang w:val="en-GB"/>
        </w:rPr>
        <w:t>“</w:t>
      </w:r>
      <w:r w:rsidR="00DD0AEC" w:rsidRPr="0002056A">
        <w:rPr>
          <w:rFonts w:ascii="Georgia" w:hAnsi="Georgia"/>
          <w:lang w:val="en-GB"/>
        </w:rPr>
        <w:t>overexamined</w:t>
      </w:r>
      <w:r w:rsidR="00FF689F" w:rsidRPr="0002056A">
        <w:rPr>
          <w:rFonts w:ascii="Georgia" w:hAnsi="Georgia"/>
          <w:lang w:val="en-GB"/>
        </w:rPr>
        <w:t>”</w:t>
      </w:r>
      <w:r w:rsidR="00DD0AEC" w:rsidRPr="0002056A">
        <w:rPr>
          <w:rFonts w:ascii="Georgia" w:hAnsi="Georgia"/>
          <w:lang w:val="en-GB"/>
        </w:rPr>
        <w:t xml:space="preserve">; </w:t>
      </w:r>
      <w:r w:rsidR="007536BB" w:rsidRPr="0002056A">
        <w:rPr>
          <w:rFonts w:ascii="Georgia" w:hAnsi="Georgia"/>
          <w:lang w:val="en-GB"/>
        </w:rPr>
        <w:t>meanwhile</w:t>
      </w:r>
      <w:r w:rsidR="00220FC2">
        <w:rPr>
          <w:rFonts w:ascii="Georgia" w:hAnsi="Georgia"/>
          <w:lang w:val="en-GB"/>
        </w:rPr>
        <w:t>,</w:t>
      </w:r>
      <w:r w:rsidR="007536BB" w:rsidRPr="0002056A">
        <w:rPr>
          <w:rFonts w:ascii="Georgia" w:hAnsi="Georgia"/>
          <w:lang w:val="en-GB"/>
        </w:rPr>
        <w:t xml:space="preserve"> the </w:t>
      </w:r>
      <w:r w:rsidR="00DD0AEC" w:rsidRPr="0002056A">
        <w:rPr>
          <w:rFonts w:ascii="Georgia" w:hAnsi="Georgia"/>
          <w:lang w:val="en-GB"/>
        </w:rPr>
        <w:t xml:space="preserve">regional and </w:t>
      </w:r>
      <w:r w:rsidR="00FF689F" w:rsidRPr="0002056A">
        <w:rPr>
          <w:rFonts w:ascii="Georgia" w:hAnsi="Georgia"/>
          <w:lang w:val="en-GB"/>
        </w:rPr>
        <w:t xml:space="preserve">the </w:t>
      </w:r>
      <w:r w:rsidR="00DD0AEC" w:rsidRPr="0002056A">
        <w:rPr>
          <w:rFonts w:ascii="Georgia" w:hAnsi="Georgia"/>
          <w:lang w:val="en-GB"/>
        </w:rPr>
        <w:t>nat</w:t>
      </w:r>
      <w:r w:rsidR="00FF689F" w:rsidRPr="0002056A">
        <w:rPr>
          <w:rFonts w:ascii="Georgia" w:hAnsi="Georgia"/>
          <w:lang w:val="en-GB"/>
        </w:rPr>
        <w:t>i</w:t>
      </w:r>
      <w:r w:rsidR="00DD0AEC" w:rsidRPr="0002056A">
        <w:rPr>
          <w:rFonts w:ascii="Georgia" w:hAnsi="Georgia"/>
          <w:lang w:val="en-GB"/>
        </w:rPr>
        <w:t>onal</w:t>
      </w:r>
      <w:r w:rsidR="00220FC2">
        <w:rPr>
          <w:rFonts w:ascii="Georgia" w:hAnsi="Georgia"/>
          <w:lang w:val="en-GB"/>
        </w:rPr>
        <w:t xml:space="preserve"> levels</w:t>
      </w:r>
      <w:r w:rsidR="00DD0AEC" w:rsidRPr="0002056A">
        <w:rPr>
          <w:rFonts w:ascii="Georgia" w:hAnsi="Georgia"/>
          <w:lang w:val="en-GB"/>
        </w:rPr>
        <w:t xml:space="preserve"> </w:t>
      </w:r>
      <w:r w:rsidR="007536BB" w:rsidRPr="0002056A">
        <w:rPr>
          <w:rFonts w:ascii="Georgia" w:hAnsi="Georgia"/>
          <w:lang w:val="en-GB"/>
        </w:rPr>
        <w:t>were analysed to a lesser extent. Out of these two levels</w:t>
      </w:r>
      <w:r w:rsidR="00220FC2">
        <w:rPr>
          <w:rFonts w:ascii="Georgia" w:hAnsi="Georgia"/>
          <w:lang w:val="en-GB"/>
        </w:rPr>
        <w:t xml:space="preserve">, the national gets somewhat bigger emphasis in the literature, but to make a Europe-wide comparison of the regional level (NUTS 2 or 3) units, the </w:t>
      </w:r>
      <w:r w:rsidR="003C3661">
        <w:rPr>
          <w:rFonts w:ascii="Georgia" w:hAnsi="Georgia"/>
          <w:lang w:val="en-GB"/>
        </w:rPr>
        <w:t>difficulties in managing</w:t>
      </w:r>
      <w:r w:rsidR="00220FC2">
        <w:rPr>
          <w:rFonts w:ascii="Georgia" w:hAnsi="Georgia"/>
          <w:lang w:val="en-GB"/>
        </w:rPr>
        <w:t xml:space="preserve"> the number of analytical units due to the time and resource constraints of my one-man project</w:t>
      </w:r>
      <w:r w:rsidR="007D0CB7" w:rsidRPr="0002056A">
        <w:rPr>
          <w:rFonts w:ascii="Georgia" w:hAnsi="Georgia"/>
          <w:lang w:val="en-GB"/>
        </w:rPr>
        <w:t xml:space="preserve"> </w:t>
      </w:r>
      <w:r w:rsidR="00D8612B" w:rsidRPr="0002056A">
        <w:rPr>
          <w:rFonts w:ascii="Georgia" w:hAnsi="Georgia"/>
          <w:lang w:val="en-GB"/>
        </w:rPr>
        <w:t xml:space="preserve">proved to be overwhelming. The </w:t>
      </w:r>
      <w:r w:rsidR="00CA1C0A" w:rsidRPr="0002056A">
        <w:rPr>
          <w:rFonts w:ascii="Georgia" w:hAnsi="Georgia"/>
          <w:lang w:val="en-GB"/>
        </w:rPr>
        <w:t>dissertation preferred</w:t>
      </w:r>
      <w:r w:rsidR="007D0CB7" w:rsidRPr="0002056A">
        <w:rPr>
          <w:rFonts w:ascii="Georgia" w:hAnsi="Georgia"/>
          <w:lang w:val="en-GB"/>
        </w:rPr>
        <w:t xml:space="preserve"> f</w:t>
      </w:r>
      <w:r w:rsidR="00D8612B" w:rsidRPr="0002056A">
        <w:rPr>
          <w:rFonts w:ascii="Georgia" w:hAnsi="Georgia"/>
          <w:lang w:val="en-GB"/>
        </w:rPr>
        <w:t>i</w:t>
      </w:r>
      <w:r w:rsidR="007D0CB7" w:rsidRPr="0002056A">
        <w:rPr>
          <w:rFonts w:ascii="Georgia" w:hAnsi="Georgia"/>
          <w:lang w:val="en-GB"/>
        </w:rPr>
        <w:t xml:space="preserve">nally the </w:t>
      </w:r>
      <w:r w:rsidR="007D0CB7" w:rsidRPr="0002056A">
        <w:rPr>
          <w:rFonts w:ascii="Georgia" w:hAnsi="Georgia"/>
          <w:b/>
          <w:bCs/>
          <w:lang w:val="en-GB"/>
        </w:rPr>
        <w:t xml:space="preserve">comparative assessment of </w:t>
      </w:r>
      <w:r w:rsidR="00220FC2">
        <w:rPr>
          <w:rFonts w:ascii="Georgia" w:hAnsi="Georgia"/>
          <w:b/>
          <w:bCs/>
          <w:lang w:val="en-GB"/>
        </w:rPr>
        <w:t>national-level</w:t>
      </w:r>
      <w:r w:rsidR="007D0CB7" w:rsidRPr="0002056A">
        <w:rPr>
          <w:rFonts w:ascii="Georgia" w:hAnsi="Georgia"/>
          <w:b/>
          <w:bCs/>
          <w:lang w:val="en-GB"/>
        </w:rPr>
        <w:t xml:space="preserve"> policy planning tools from Eur</w:t>
      </w:r>
      <w:r w:rsidR="00D8612B" w:rsidRPr="0002056A">
        <w:rPr>
          <w:rFonts w:ascii="Georgia" w:hAnsi="Georgia"/>
          <w:b/>
          <w:bCs/>
          <w:lang w:val="en-GB"/>
        </w:rPr>
        <w:t>o</w:t>
      </w:r>
      <w:r w:rsidR="007D0CB7" w:rsidRPr="0002056A">
        <w:rPr>
          <w:rFonts w:ascii="Georgia" w:hAnsi="Georgia"/>
          <w:b/>
          <w:bCs/>
          <w:lang w:val="en-GB"/>
        </w:rPr>
        <w:t>pean countries</w:t>
      </w:r>
      <w:r w:rsidR="007D0CB7" w:rsidRPr="0002056A">
        <w:rPr>
          <w:rFonts w:ascii="Georgia" w:hAnsi="Georgia"/>
          <w:lang w:val="en-GB"/>
        </w:rPr>
        <w:t xml:space="preserve"> instead of </w:t>
      </w:r>
      <w:r w:rsidR="00D25CC9" w:rsidRPr="0002056A">
        <w:rPr>
          <w:rFonts w:ascii="Georgia" w:hAnsi="Georgia"/>
          <w:lang w:val="en-GB"/>
        </w:rPr>
        <w:t xml:space="preserve">the same analysis of </w:t>
      </w:r>
      <w:r w:rsidR="00D8612B" w:rsidRPr="0002056A">
        <w:rPr>
          <w:rFonts w:ascii="Georgia" w:hAnsi="Georgia"/>
          <w:lang w:val="en-GB"/>
        </w:rPr>
        <w:t xml:space="preserve">all or a chosen pool of </w:t>
      </w:r>
      <w:r w:rsidR="00D25CC9" w:rsidRPr="0002056A">
        <w:rPr>
          <w:rFonts w:ascii="Georgia" w:hAnsi="Georgia"/>
          <w:lang w:val="en-GB"/>
        </w:rPr>
        <w:t>European reg</w:t>
      </w:r>
      <w:r w:rsidR="00D8612B" w:rsidRPr="0002056A">
        <w:rPr>
          <w:rFonts w:ascii="Georgia" w:hAnsi="Georgia"/>
          <w:lang w:val="en-GB"/>
        </w:rPr>
        <w:t>i</w:t>
      </w:r>
      <w:r w:rsidR="00D25CC9" w:rsidRPr="0002056A">
        <w:rPr>
          <w:rFonts w:ascii="Georgia" w:hAnsi="Georgia"/>
          <w:lang w:val="en-GB"/>
        </w:rPr>
        <w:t>ons.</w:t>
      </w:r>
      <w:r w:rsidR="007306C4" w:rsidRPr="0002056A">
        <w:rPr>
          <w:rFonts w:ascii="Georgia" w:hAnsi="Georgia"/>
          <w:lang w:val="en-GB"/>
        </w:rPr>
        <w:t xml:space="preserve"> </w:t>
      </w:r>
      <w:r w:rsidR="00F430F8" w:rsidRPr="0002056A">
        <w:rPr>
          <w:rFonts w:ascii="Georgia" w:hAnsi="Georgia"/>
          <w:lang w:val="en-GB"/>
        </w:rPr>
        <w:t>Although</w:t>
      </w:r>
      <w:r w:rsidR="007306C4" w:rsidRPr="0002056A">
        <w:rPr>
          <w:rFonts w:ascii="Georgia" w:hAnsi="Georgia"/>
          <w:lang w:val="en-GB"/>
        </w:rPr>
        <w:t xml:space="preserve"> spatial diversity </w:t>
      </w:r>
      <w:r w:rsidR="00F430F8" w:rsidRPr="0002056A">
        <w:rPr>
          <w:rFonts w:ascii="Georgia" w:hAnsi="Georgia"/>
          <w:lang w:val="en-GB"/>
        </w:rPr>
        <w:t>c</w:t>
      </w:r>
      <w:r w:rsidR="00BA425E" w:rsidRPr="0002056A">
        <w:rPr>
          <w:rFonts w:ascii="Georgia" w:hAnsi="Georgia"/>
          <w:lang w:val="en-GB"/>
        </w:rPr>
        <w:t>an be considered</w:t>
      </w:r>
      <w:r w:rsidR="007306C4" w:rsidRPr="0002056A">
        <w:rPr>
          <w:rFonts w:ascii="Georgia" w:hAnsi="Georgia"/>
          <w:lang w:val="en-GB"/>
        </w:rPr>
        <w:t xml:space="preserve"> stronger at </w:t>
      </w:r>
      <w:r w:rsidR="00220FC2">
        <w:rPr>
          <w:rFonts w:ascii="Georgia" w:hAnsi="Georgia"/>
          <w:lang w:val="en-GB"/>
        </w:rPr>
        <w:t>the regional level than at the ab-ovo coordinative, comprehensive national level</w:t>
      </w:r>
      <w:r w:rsidR="00FC0DC2" w:rsidRPr="0002056A">
        <w:rPr>
          <w:rFonts w:ascii="Georgia" w:hAnsi="Georgia"/>
          <w:lang w:val="en-GB"/>
        </w:rPr>
        <w:t xml:space="preserve">, </w:t>
      </w:r>
      <w:r w:rsidR="00831FC0" w:rsidRPr="0002056A">
        <w:rPr>
          <w:rFonts w:ascii="Georgia" w:hAnsi="Georgia"/>
          <w:lang w:val="en-GB"/>
        </w:rPr>
        <w:t>special spatial characters c</w:t>
      </w:r>
      <w:r w:rsidR="00BA425E" w:rsidRPr="0002056A">
        <w:rPr>
          <w:rFonts w:ascii="Georgia" w:hAnsi="Georgia"/>
          <w:lang w:val="en-GB"/>
        </w:rPr>
        <w:t>ould</w:t>
      </w:r>
      <w:r w:rsidR="00831FC0" w:rsidRPr="0002056A">
        <w:rPr>
          <w:rFonts w:ascii="Georgia" w:hAnsi="Georgia"/>
          <w:lang w:val="en-GB"/>
        </w:rPr>
        <w:t xml:space="preserve"> also be grasped in state-level documents and activities as well.</w:t>
      </w:r>
      <w:r w:rsidR="00CA1C0A" w:rsidRPr="0002056A">
        <w:rPr>
          <w:rFonts w:ascii="Georgia" w:hAnsi="Georgia"/>
          <w:lang w:val="en-GB"/>
        </w:rPr>
        <w:t xml:space="preserve"> With this in mind</w:t>
      </w:r>
      <w:r w:rsidR="00BA425E" w:rsidRPr="0002056A">
        <w:rPr>
          <w:rFonts w:ascii="Georgia" w:hAnsi="Georgia"/>
          <w:lang w:val="en-GB"/>
        </w:rPr>
        <w:t>,</w:t>
      </w:r>
      <w:r w:rsidR="00CA1C0A" w:rsidRPr="0002056A">
        <w:rPr>
          <w:rFonts w:ascii="Georgia" w:hAnsi="Georgia"/>
          <w:lang w:val="en-GB"/>
        </w:rPr>
        <w:t xml:space="preserve"> we </w:t>
      </w:r>
      <w:r w:rsidR="00BA425E" w:rsidRPr="0002056A">
        <w:rPr>
          <w:rFonts w:ascii="Georgia" w:hAnsi="Georgia"/>
          <w:lang w:val="en-GB"/>
        </w:rPr>
        <w:t xml:space="preserve">can </w:t>
      </w:r>
      <w:r w:rsidR="00CA1C0A" w:rsidRPr="0002056A">
        <w:rPr>
          <w:rFonts w:ascii="Georgia" w:hAnsi="Georgia"/>
          <w:lang w:val="en-GB"/>
        </w:rPr>
        <w:t>start the comparative assessment.</w:t>
      </w:r>
    </w:p>
    <w:p w14:paraId="191B0919" w14:textId="38A75895" w:rsidR="00B4030C" w:rsidRPr="0002056A" w:rsidRDefault="00B4030C" w:rsidP="00214BD9">
      <w:pPr>
        <w:pStyle w:val="Cmsor3"/>
        <w:numPr>
          <w:ilvl w:val="2"/>
          <w:numId w:val="4"/>
        </w:numPr>
        <w:rPr>
          <w:rFonts w:ascii="Calibri" w:hAnsi="Calibri" w:cs="Calibri"/>
          <w:color w:val="2F5496" w:themeColor="accent1" w:themeShade="BF"/>
          <w:lang w:val="en-GB"/>
        </w:rPr>
      </w:pPr>
      <w:bookmarkStart w:id="26" w:name="_Toc225578848"/>
      <w:r w:rsidRPr="0002056A">
        <w:rPr>
          <w:rFonts w:ascii="Calibri" w:hAnsi="Calibri" w:cs="Calibri"/>
          <w:color w:val="2F5496" w:themeColor="accent1" w:themeShade="BF"/>
          <w:lang w:val="en-GB"/>
        </w:rPr>
        <w:t>Adaptation polic</w:t>
      </w:r>
      <w:r w:rsidR="00554206" w:rsidRPr="0002056A">
        <w:rPr>
          <w:rFonts w:ascii="Calibri" w:hAnsi="Calibri" w:cs="Calibri"/>
          <w:color w:val="2F5496" w:themeColor="accent1" w:themeShade="BF"/>
          <w:lang w:val="en-GB"/>
        </w:rPr>
        <w:t>y planning</w:t>
      </w:r>
      <w:r w:rsidRPr="0002056A">
        <w:rPr>
          <w:rFonts w:ascii="Calibri" w:hAnsi="Calibri" w:cs="Calibri"/>
          <w:color w:val="2F5496" w:themeColor="accent1" w:themeShade="BF"/>
          <w:lang w:val="en-GB"/>
        </w:rPr>
        <w:t xml:space="preserve"> </w:t>
      </w:r>
      <w:r w:rsidR="002673CD" w:rsidRPr="0002056A">
        <w:rPr>
          <w:rFonts w:ascii="Calibri" w:hAnsi="Calibri" w:cs="Calibri"/>
          <w:color w:val="2F5496" w:themeColor="accent1" w:themeShade="BF"/>
          <w:lang w:val="en-GB"/>
        </w:rPr>
        <w:t>instruments</w:t>
      </w:r>
      <w:bookmarkEnd w:id="26"/>
    </w:p>
    <w:p w14:paraId="7DEB93DE" w14:textId="30D02927" w:rsidR="004300E5" w:rsidRPr="0002056A" w:rsidRDefault="00554206" w:rsidP="00CD5BF3">
      <w:pPr>
        <w:spacing w:before="120" w:after="120"/>
        <w:jc w:val="both"/>
        <w:rPr>
          <w:rFonts w:ascii="Georgia" w:hAnsi="Georgia"/>
          <w:lang w:val="en-GB"/>
        </w:rPr>
      </w:pPr>
      <w:r w:rsidRPr="0002056A">
        <w:rPr>
          <w:rFonts w:ascii="Georgia" w:hAnsi="Georgia"/>
          <w:lang w:val="en-GB"/>
        </w:rPr>
        <w:t>What we consider</w:t>
      </w:r>
      <w:r w:rsidR="009C7311" w:rsidRPr="0002056A">
        <w:rPr>
          <w:rFonts w:ascii="Georgia" w:hAnsi="Georgia"/>
          <w:lang w:val="en-GB"/>
        </w:rPr>
        <w:t xml:space="preserve"> </w:t>
      </w:r>
      <w:r w:rsidR="00A34B7C" w:rsidRPr="0002056A">
        <w:rPr>
          <w:rFonts w:ascii="Georgia" w:hAnsi="Georgia"/>
          <w:lang w:val="en-GB"/>
        </w:rPr>
        <w:t xml:space="preserve">adaptation policy instruments </w:t>
      </w:r>
      <w:r w:rsidR="009C7311" w:rsidRPr="0002056A">
        <w:rPr>
          <w:rFonts w:ascii="Georgia" w:hAnsi="Georgia"/>
          <w:lang w:val="en-GB"/>
        </w:rPr>
        <w:t xml:space="preserve">in the framework of the research </w:t>
      </w:r>
      <w:r w:rsidR="00B44345" w:rsidRPr="0002056A">
        <w:rPr>
          <w:rFonts w:ascii="Georgia" w:hAnsi="Georgia"/>
          <w:lang w:val="en-GB"/>
        </w:rPr>
        <w:t>is</w:t>
      </w:r>
      <w:r w:rsidR="009C7311" w:rsidRPr="0002056A">
        <w:rPr>
          <w:rFonts w:ascii="Georgia" w:hAnsi="Georgia"/>
          <w:lang w:val="en-GB"/>
        </w:rPr>
        <w:t xml:space="preserve"> the </w:t>
      </w:r>
      <w:r w:rsidR="00D20A49" w:rsidRPr="0002056A">
        <w:rPr>
          <w:rFonts w:ascii="Georgia" w:hAnsi="Georgia"/>
          <w:b/>
          <w:bCs/>
          <w:lang w:val="en-GB"/>
        </w:rPr>
        <w:t xml:space="preserve">entirety </w:t>
      </w:r>
      <w:r w:rsidR="008446F5" w:rsidRPr="0002056A">
        <w:rPr>
          <w:rFonts w:ascii="Georgia" w:hAnsi="Georgia"/>
          <w:b/>
          <w:bCs/>
          <w:lang w:val="en-GB"/>
        </w:rPr>
        <w:t xml:space="preserve">of the </w:t>
      </w:r>
      <w:r w:rsidR="00AA2693" w:rsidRPr="0002056A">
        <w:rPr>
          <w:rFonts w:ascii="Georgia" w:hAnsi="Georgia"/>
          <w:b/>
          <w:bCs/>
          <w:lang w:val="en-GB"/>
        </w:rPr>
        <w:t xml:space="preserve">tools </w:t>
      </w:r>
      <w:r w:rsidR="0018399A" w:rsidRPr="0002056A">
        <w:rPr>
          <w:rFonts w:ascii="Georgia" w:hAnsi="Georgia"/>
          <w:b/>
          <w:bCs/>
          <w:lang w:val="en-GB"/>
        </w:rPr>
        <w:t>related to the</w:t>
      </w:r>
      <w:r w:rsidR="00B44345" w:rsidRPr="0002056A">
        <w:rPr>
          <w:rFonts w:ascii="Georgia" w:hAnsi="Georgia"/>
          <w:b/>
          <w:bCs/>
          <w:lang w:val="en-GB"/>
        </w:rPr>
        <w:t xml:space="preserve"> </w:t>
      </w:r>
      <w:r w:rsidR="002673CD" w:rsidRPr="0002056A">
        <w:rPr>
          <w:rFonts w:ascii="Georgia" w:hAnsi="Georgia"/>
          <w:b/>
          <w:bCs/>
          <w:lang w:val="en-GB"/>
        </w:rPr>
        <w:t>climate</w:t>
      </w:r>
      <w:r w:rsidR="009C7311" w:rsidRPr="0002056A">
        <w:rPr>
          <w:rFonts w:ascii="Georgia" w:hAnsi="Georgia"/>
          <w:b/>
          <w:bCs/>
          <w:lang w:val="en-GB"/>
        </w:rPr>
        <w:t xml:space="preserve"> adaptation-oriented strategic planning cycle</w:t>
      </w:r>
      <w:r w:rsidR="00220FC2">
        <w:rPr>
          <w:rFonts w:ascii="Georgia" w:hAnsi="Georgia"/>
          <w:b/>
          <w:bCs/>
          <w:lang w:val="en-GB"/>
        </w:rPr>
        <w:t>,</w:t>
      </w:r>
      <w:r w:rsidR="00B44345" w:rsidRPr="0002056A">
        <w:rPr>
          <w:rFonts w:ascii="Georgia" w:hAnsi="Georgia"/>
          <w:lang w:val="en-GB"/>
        </w:rPr>
        <w:t xml:space="preserve"> from</w:t>
      </w:r>
      <w:r w:rsidR="009C7311" w:rsidRPr="0002056A">
        <w:rPr>
          <w:rFonts w:ascii="Georgia" w:hAnsi="Georgia"/>
          <w:lang w:val="en-GB"/>
        </w:rPr>
        <w:t xml:space="preserve"> strategic planning </w:t>
      </w:r>
      <w:r w:rsidR="00B44345" w:rsidRPr="0002056A">
        <w:rPr>
          <w:rFonts w:ascii="Georgia" w:hAnsi="Georgia"/>
          <w:lang w:val="en-GB"/>
        </w:rPr>
        <w:t xml:space="preserve">through </w:t>
      </w:r>
      <w:r w:rsidR="009C7311" w:rsidRPr="0002056A">
        <w:rPr>
          <w:rFonts w:ascii="Georgia" w:hAnsi="Georgia"/>
          <w:lang w:val="en-GB"/>
        </w:rPr>
        <w:t>monitoring</w:t>
      </w:r>
      <w:r w:rsidR="00B44345" w:rsidRPr="0002056A">
        <w:rPr>
          <w:rFonts w:ascii="Georgia" w:hAnsi="Georgia"/>
          <w:lang w:val="en-GB"/>
        </w:rPr>
        <w:t xml:space="preserve"> and </w:t>
      </w:r>
      <w:r w:rsidR="0018399A" w:rsidRPr="0002056A">
        <w:rPr>
          <w:rFonts w:ascii="Georgia" w:hAnsi="Georgia"/>
          <w:lang w:val="en-GB"/>
        </w:rPr>
        <w:t xml:space="preserve">reporting to </w:t>
      </w:r>
      <w:r w:rsidR="009C7311" w:rsidRPr="0002056A">
        <w:rPr>
          <w:rFonts w:ascii="Georgia" w:hAnsi="Georgia"/>
          <w:lang w:val="en-GB"/>
        </w:rPr>
        <w:t>evaluation.</w:t>
      </w:r>
      <w:r w:rsidR="004300E5" w:rsidRPr="0002056A">
        <w:rPr>
          <w:rFonts w:ascii="Georgia" w:hAnsi="Georgia"/>
          <w:lang w:val="en-GB"/>
        </w:rPr>
        <w:t xml:space="preserve"> Consequently, the empirical research implement</w:t>
      </w:r>
      <w:r w:rsidR="002673CD" w:rsidRPr="0002056A">
        <w:rPr>
          <w:rFonts w:ascii="Georgia" w:hAnsi="Georgia"/>
          <w:lang w:val="en-GB"/>
        </w:rPr>
        <w:t>s</w:t>
      </w:r>
      <w:r w:rsidR="004300E5" w:rsidRPr="0002056A">
        <w:rPr>
          <w:rFonts w:ascii="Georgia" w:hAnsi="Georgia"/>
          <w:lang w:val="en-GB"/>
        </w:rPr>
        <w:t xml:space="preserve"> </w:t>
      </w:r>
      <w:r w:rsidR="00220FC2">
        <w:rPr>
          <w:rFonts w:ascii="Georgia" w:hAnsi="Georgia"/>
          <w:lang w:val="en-GB"/>
        </w:rPr>
        <w:t xml:space="preserve">a comparative analysis of European countries’ national-level adaptation planning (national adaptation strategies </w:t>
      </w:r>
      <w:r w:rsidR="00736436">
        <w:rPr>
          <w:rFonts w:ascii="Georgia" w:hAnsi="Georgia"/>
          <w:lang w:val="en-GB"/>
        </w:rPr>
        <w:t>–</w:t>
      </w:r>
      <w:r w:rsidR="00220FC2">
        <w:rPr>
          <w:rFonts w:ascii="Georgia" w:hAnsi="Georgia"/>
          <w:lang w:val="en-GB"/>
        </w:rPr>
        <w:t xml:space="preserve"> NASs</w:t>
      </w:r>
      <w:r w:rsidR="00736436">
        <w:rPr>
          <w:rFonts w:ascii="Georgia" w:hAnsi="Georgia"/>
          <w:lang w:val="en-GB"/>
        </w:rPr>
        <w:t>;</w:t>
      </w:r>
      <w:r w:rsidR="00220FC2">
        <w:rPr>
          <w:rFonts w:ascii="Georgia" w:hAnsi="Georgia"/>
          <w:lang w:val="en-GB"/>
        </w:rPr>
        <w:t xml:space="preserve"> and programmes/action plans - </w:t>
      </w:r>
      <w:r w:rsidR="00AA2693" w:rsidRPr="0002056A">
        <w:rPr>
          <w:rFonts w:ascii="Georgia" w:hAnsi="Georgia"/>
          <w:lang w:val="en-GB"/>
        </w:rPr>
        <w:t>NAPs</w:t>
      </w:r>
      <w:r w:rsidR="004300E5" w:rsidRPr="0002056A">
        <w:rPr>
          <w:rFonts w:ascii="Georgia" w:hAnsi="Georgia"/>
          <w:lang w:val="en-GB"/>
        </w:rPr>
        <w:t xml:space="preserve">) </w:t>
      </w:r>
      <w:r w:rsidR="00D20A49" w:rsidRPr="0002056A">
        <w:rPr>
          <w:rFonts w:ascii="Georgia" w:hAnsi="Georgia"/>
          <w:b/>
          <w:bCs/>
          <w:lang w:val="en-GB"/>
        </w:rPr>
        <w:t xml:space="preserve">and </w:t>
      </w:r>
      <w:r w:rsidR="004300E5" w:rsidRPr="0002056A">
        <w:rPr>
          <w:rFonts w:ascii="Georgia" w:hAnsi="Georgia"/>
          <w:b/>
          <w:bCs/>
          <w:lang w:val="en-GB"/>
        </w:rPr>
        <w:t>MRE materials</w:t>
      </w:r>
      <w:r w:rsidR="004300E5" w:rsidRPr="0002056A">
        <w:rPr>
          <w:rFonts w:ascii="Georgia" w:hAnsi="Georgia"/>
          <w:lang w:val="en-GB"/>
        </w:rPr>
        <w:t xml:space="preserve"> (monitoring backgro</w:t>
      </w:r>
      <w:r w:rsidR="002673CD" w:rsidRPr="0002056A">
        <w:rPr>
          <w:rFonts w:ascii="Georgia" w:hAnsi="Georgia"/>
          <w:lang w:val="en-GB"/>
        </w:rPr>
        <w:t>u</w:t>
      </w:r>
      <w:r w:rsidR="004300E5" w:rsidRPr="0002056A">
        <w:rPr>
          <w:rFonts w:ascii="Georgia" w:hAnsi="Georgia"/>
          <w:lang w:val="en-GB"/>
        </w:rPr>
        <w:t xml:space="preserve">nd materials, indicator set </w:t>
      </w:r>
      <w:r w:rsidR="002673CD" w:rsidRPr="0002056A">
        <w:rPr>
          <w:rFonts w:ascii="Georgia" w:hAnsi="Georgia"/>
          <w:lang w:val="en-GB"/>
        </w:rPr>
        <w:t>description</w:t>
      </w:r>
      <w:r w:rsidR="008446F5" w:rsidRPr="0002056A">
        <w:rPr>
          <w:rFonts w:ascii="Georgia" w:hAnsi="Georgia"/>
          <w:lang w:val="en-GB"/>
        </w:rPr>
        <w:t>s</w:t>
      </w:r>
      <w:r w:rsidR="004300E5" w:rsidRPr="0002056A">
        <w:rPr>
          <w:rFonts w:ascii="Georgia" w:hAnsi="Georgia"/>
          <w:lang w:val="en-GB"/>
        </w:rPr>
        <w:t xml:space="preserve">, </w:t>
      </w:r>
      <w:r w:rsidR="00D9573D" w:rsidRPr="0002056A">
        <w:rPr>
          <w:rFonts w:ascii="Georgia" w:hAnsi="Georgia"/>
          <w:lang w:val="en-GB"/>
        </w:rPr>
        <w:t xml:space="preserve">evaluation methodology </w:t>
      </w:r>
      <w:r w:rsidR="007D67E9" w:rsidRPr="0002056A">
        <w:rPr>
          <w:rFonts w:ascii="Georgia" w:hAnsi="Georgia"/>
          <w:lang w:val="en-GB"/>
        </w:rPr>
        <w:t>studies</w:t>
      </w:r>
      <w:r w:rsidR="00D9573D" w:rsidRPr="0002056A">
        <w:rPr>
          <w:rFonts w:ascii="Georgia" w:hAnsi="Georgia"/>
          <w:lang w:val="en-GB"/>
        </w:rPr>
        <w:t xml:space="preserve">, actual monitoring or </w:t>
      </w:r>
      <w:r w:rsidR="004300E5" w:rsidRPr="0002056A">
        <w:rPr>
          <w:rFonts w:ascii="Georgia" w:hAnsi="Georgia"/>
          <w:lang w:val="en-GB"/>
        </w:rPr>
        <w:t>evaluation reports</w:t>
      </w:r>
      <w:r w:rsidR="00D9573D" w:rsidRPr="0002056A">
        <w:rPr>
          <w:rFonts w:ascii="Georgia" w:hAnsi="Georgia"/>
          <w:lang w:val="en-GB"/>
        </w:rPr>
        <w:t>,</w:t>
      </w:r>
      <w:r w:rsidR="004300E5" w:rsidRPr="0002056A">
        <w:rPr>
          <w:rFonts w:ascii="Georgia" w:hAnsi="Georgia"/>
          <w:lang w:val="en-GB"/>
        </w:rPr>
        <w:t xml:space="preserve"> etc.). </w:t>
      </w:r>
      <w:r w:rsidR="00D9573D" w:rsidRPr="0002056A">
        <w:rPr>
          <w:rFonts w:ascii="Georgia" w:hAnsi="Georgia"/>
          <w:lang w:val="en-GB"/>
        </w:rPr>
        <w:t>Due to tim</w:t>
      </w:r>
      <w:r w:rsidR="008C1FD9" w:rsidRPr="0002056A">
        <w:rPr>
          <w:rFonts w:ascii="Georgia" w:hAnsi="Georgia"/>
          <w:lang w:val="en-GB"/>
        </w:rPr>
        <w:t>e</w:t>
      </w:r>
      <w:r w:rsidR="00D9573D" w:rsidRPr="0002056A">
        <w:rPr>
          <w:rFonts w:ascii="Georgia" w:hAnsi="Georgia"/>
          <w:lang w:val="en-GB"/>
        </w:rPr>
        <w:t xml:space="preserve"> and resource constraints, </w:t>
      </w:r>
      <w:r w:rsidR="004300E5" w:rsidRPr="0002056A">
        <w:rPr>
          <w:rFonts w:ascii="Georgia" w:hAnsi="Georgia"/>
          <w:lang w:val="en-GB"/>
        </w:rPr>
        <w:t xml:space="preserve">different generations of the documents </w:t>
      </w:r>
      <w:r w:rsidR="008446F5" w:rsidRPr="0002056A">
        <w:rPr>
          <w:rFonts w:ascii="Georgia" w:hAnsi="Georgia"/>
          <w:lang w:val="en-GB"/>
        </w:rPr>
        <w:t xml:space="preserve">(e.g. NASs, NAPs) </w:t>
      </w:r>
      <w:r w:rsidR="00D9573D" w:rsidRPr="0002056A">
        <w:rPr>
          <w:rFonts w:ascii="Georgia" w:hAnsi="Georgia"/>
          <w:lang w:val="en-GB"/>
        </w:rPr>
        <w:t xml:space="preserve">have not been compared to each other; </w:t>
      </w:r>
      <w:r w:rsidR="00BB25BA" w:rsidRPr="0002056A">
        <w:rPr>
          <w:rFonts w:ascii="Georgia" w:hAnsi="Georgia"/>
          <w:lang w:val="en-GB"/>
        </w:rPr>
        <w:t>so,</w:t>
      </w:r>
      <w:r w:rsidR="004300E5" w:rsidRPr="0002056A">
        <w:rPr>
          <w:rFonts w:ascii="Georgia" w:hAnsi="Georgia"/>
          <w:lang w:val="en-GB"/>
        </w:rPr>
        <w:t xml:space="preserve"> monitor</w:t>
      </w:r>
      <w:r w:rsidR="008B753D" w:rsidRPr="0002056A">
        <w:rPr>
          <w:rFonts w:ascii="Georgia" w:hAnsi="Georgia"/>
          <w:lang w:val="en-GB"/>
        </w:rPr>
        <w:t>ing</w:t>
      </w:r>
      <w:r w:rsidR="004300E5" w:rsidRPr="0002056A">
        <w:rPr>
          <w:rFonts w:ascii="Georgia" w:hAnsi="Georgia"/>
          <w:lang w:val="en-GB"/>
        </w:rPr>
        <w:t xml:space="preserve"> the possible changes in approaches and spatial emphases</w:t>
      </w:r>
      <w:r w:rsidR="008B753D" w:rsidRPr="0002056A">
        <w:rPr>
          <w:rFonts w:ascii="Georgia" w:hAnsi="Georgia"/>
          <w:lang w:val="en-GB"/>
        </w:rPr>
        <w:t xml:space="preserve"> in a given country was not part of th</w:t>
      </w:r>
      <w:r w:rsidR="00272841" w:rsidRPr="0002056A">
        <w:rPr>
          <w:rFonts w:ascii="Georgia" w:hAnsi="Georgia"/>
          <w:lang w:val="en-GB"/>
        </w:rPr>
        <w:t>e</w:t>
      </w:r>
      <w:r w:rsidR="008B753D" w:rsidRPr="0002056A">
        <w:rPr>
          <w:rFonts w:ascii="Georgia" w:hAnsi="Georgia"/>
          <w:lang w:val="en-GB"/>
        </w:rPr>
        <w:t xml:space="preserve"> research</w:t>
      </w:r>
      <w:r w:rsidR="004300E5" w:rsidRPr="0002056A">
        <w:rPr>
          <w:rFonts w:ascii="Georgia" w:hAnsi="Georgia"/>
          <w:lang w:val="en-GB"/>
        </w:rPr>
        <w:t>.</w:t>
      </w:r>
      <w:r w:rsidR="008B753D" w:rsidRPr="0002056A">
        <w:rPr>
          <w:rFonts w:ascii="Georgia" w:hAnsi="Georgia"/>
          <w:lang w:val="en-GB"/>
        </w:rPr>
        <w:t xml:space="preserve"> At the same time, in each analysed country, when more generations of NAS/NAP documents </w:t>
      </w:r>
      <w:r w:rsidR="00272841" w:rsidRPr="0002056A">
        <w:rPr>
          <w:rFonts w:ascii="Georgia" w:hAnsi="Georgia"/>
          <w:lang w:val="en-GB"/>
        </w:rPr>
        <w:t>were available</w:t>
      </w:r>
      <w:r w:rsidR="008B753D" w:rsidRPr="0002056A">
        <w:rPr>
          <w:rFonts w:ascii="Georgia" w:hAnsi="Georgia"/>
          <w:lang w:val="en-GB"/>
        </w:rPr>
        <w:t xml:space="preserve">, </w:t>
      </w:r>
      <w:r w:rsidR="00272841" w:rsidRPr="0002056A">
        <w:rPr>
          <w:rFonts w:ascii="Georgia" w:hAnsi="Georgia"/>
          <w:lang w:val="en-GB"/>
        </w:rPr>
        <w:t>I</w:t>
      </w:r>
      <w:r w:rsidR="008B753D" w:rsidRPr="0002056A">
        <w:rPr>
          <w:rFonts w:ascii="Georgia" w:hAnsi="Georgia"/>
          <w:lang w:val="en-GB"/>
        </w:rPr>
        <w:t xml:space="preserve"> </w:t>
      </w:r>
      <w:r w:rsidR="00114152" w:rsidRPr="0002056A">
        <w:rPr>
          <w:rFonts w:ascii="Georgia" w:hAnsi="Georgia"/>
          <w:lang w:val="en-GB"/>
        </w:rPr>
        <w:t>examined</w:t>
      </w:r>
      <w:r w:rsidR="008B753D" w:rsidRPr="0002056A">
        <w:rPr>
          <w:rFonts w:ascii="Georgia" w:hAnsi="Georgia"/>
          <w:lang w:val="en-GB"/>
        </w:rPr>
        <w:t xml:space="preserve"> only the most up-to-date and </w:t>
      </w:r>
      <w:r w:rsidR="00AF49D3" w:rsidRPr="0002056A">
        <w:rPr>
          <w:rFonts w:ascii="Georgia" w:hAnsi="Georgia"/>
          <w:lang w:val="en-GB"/>
        </w:rPr>
        <w:t>accessible</w:t>
      </w:r>
      <w:r w:rsidR="008B753D" w:rsidRPr="0002056A">
        <w:rPr>
          <w:rFonts w:ascii="Georgia" w:hAnsi="Georgia"/>
          <w:lang w:val="en-GB"/>
        </w:rPr>
        <w:t xml:space="preserve"> ones.</w:t>
      </w:r>
    </w:p>
    <w:p w14:paraId="59DBA1FC" w14:textId="520F99CC" w:rsidR="00F95DCF" w:rsidRPr="0002056A" w:rsidRDefault="0027478C" w:rsidP="00CD5BF3">
      <w:pPr>
        <w:autoSpaceDE w:val="0"/>
        <w:autoSpaceDN w:val="0"/>
        <w:adjustRightInd w:val="0"/>
        <w:spacing w:before="120" w:after="120"/>
        <w:jc w:val="both"/>
        <w:rPr>
          <w:rFonts w:ascii="Georgia" w:hAnsi="Georgia"/>
          <w:lang w:val="en-GB"/>
        </w:rPr>
      </w:pPr>
      <w:r w:rsidRPr="0002056A">
        <w:rPr>
          <w:rFonts w:ascii="Georgia" w:hAnsi="Georgia" w:cs="FranklinGothic-Book"/>
          <w:lang w:val="en-GB"/>
          <w14:ligatures w14:val="standardContextual"/>
        </w:rPr>
        <w:t xml:space="preserve">Swart </w:t>
      </w:r>
      <w:r w:rsidR="00AF49D3" w:rsidRPr="0002056A">
        <w:rPr>
          <w:rFonts w:ascii="Georgia" w:hAnsi="Georgia" w:cs="FranklinGothic-Book"/>
          <w:lang w:val="en-GB"/>
          <w14:ligatures w14:val="standardContextual"/>
        </w:rPr>
        <w:t xml:space="preserve">and his colleagues </w:t>
      </w:r>
      <w:r w:rsidRPr="0002056A">
        <w:rPr>
          <w:rFonts w:ascii="Georgia" w:hAnsi="Georgia" w:cs="FranklinGothic-Book"/>
          <w:lang w:val="en-GB"/>
          <w14:ligatures w14:val="standardContextual"/>
        </w:rPr>
        <w:t>in 2009 defined a</w:t>
      </w:r>
      <w:r w:rsidR="00F95DCF" w:rsidRPr="0002056A">
        <w:rPr>
          <w:rFonts w:ascii="Georgia" w:hAnsi="Georgia" w:cs="FranklinGothic-Book"/>
          <w:lang w:val="en-GB"/>
          <w14:ligatures w14:val="standardContextual"/>
        </w:rPr>
        <w:t>daptation strategies</w:t>
      </w:r>
      <w:r w:rsidRPr="0002056A">
        <w:rPr>
          <w:rFonts w:ascii="Georgia" w:hAnsi="Georgia" w:cs="FranklinGothic-Book"/>
          <w:lang w:val="en-GB"/>
          <w14:ligatures w14:val="standardContextual"/>
        </w:rPr>
        <w:t>, based on the UNDP definition, as</w:t>
      </w:r>
      <w:r w:rsidR="00F95DCF" w:rsidRPr="0002056A">
        <w:rPr>
          <w:rFonts w:ascii="Georgia" w:hAnsi="Georgia" w:cs="FranklinGothic-Book"/>
          <w:lang w:val="en-GB"/>
          <w14:ligatures w14:val="standardContextual"/>
        </w:rPr>
        <w:t xml:space="preserve"> a general</w:t>
      </w:r>
      <w:r w:rsidRPr="0002056A">
        <w:rPr>
          <w:rFonts w:ascii="Georgia" w:hAnsi="Georgia" w:cs="FranklinGothic-Book"/>
          <w:lang w:val="en-GB"/>
          <w14:ligatures w14:val="standardContextual"/>
        </w:rPr>
        <w:t xml:space="preserve"> </w:t>
      </w:r>
      <w:r w:rsidR="00F95DCF" w:rsidRPr="0002056A">
        <w:rPr>
          <w:rFonts w:ascii="Georgia" w:hAnsi="Georgia" w:cs="FranklinGothic-Book"/>
          <w:lang w:val="en-GB"/>
          <w14:ligatures w14:val="standardContextual"/>
        </w:rPr>
        <w:t xml:space="preserve">plan of action for addressing </w:t>
      </w:r>
      <w:r w:rsidRPr="0002056A">
        <w:rPr>
          <w:rFonts w:ascii="Georgia" w:hAnsi="Georgia" w:cs="FranklinGothic-Book"/>
          <w:lang w:val="en-GB"/>
          <w14:ligatures w14:val="standardContextual"/>
        </w:rPr>
        <w:t xml:space="preserve">climate change </w:t>
      </w:r>
      <w:r w:rsidR="00F95DCF" w:rsidRPr="0002056A">
        <w:rPr>
          <w:rFonts w:ascii="Georgia" w:hAnsi="Georgia" w:cs="FranklinGothic-Book"/>
          <w:lang w:val="en-GB"/>
          <w14:ligatures w14:val="standardContextual"/>
        </w:rPr>
        <w:t>impacts</w:t>
      </w:r>
      <w:r w:rsidRPr="0002056A">
        <w:rPr>
          <w:rFonts w:ascii="Georgia" w:hAnsi="Georgia" w:cs="FranklinGothic-Book"/>
          <w:lang w:val="en-GB"/>
          <w14:ligatures w14:val="standardContextual"/>
        </w:rPr>
        <w:t xml:space="preserve"> (v</w:t>
      </w:r>
      <w:r w:rsidR="00F95DCF" w:rsidRPr="0002056A">
        <w:rPr>
          <w:rFonts w:ascii="Georgia" w:hAnsi="Georgia" w:cs="FranklinGothic-Book"/>
          <w:lang w:val="en-GB"/>
          <w14:ligatures w14:val="standardContextual"/>
        </w:rPr>
        <w:t>ariability and extremes</w:t>
      </w:r>
      <w:r w:rsidRPr="0002056A">
        <w:rPr>
          <w:rFonts w:ascii="Georgia" w:hAnsi="Georgia" w:cs="FranklinGothic-Book"/>
          <w:lang w:val="en-GB"/>
          <w14:ligatures w14:val="standardContextual"/>
        </w:rPr>
        <w:t>)</w:t>
      </w:r>
      <w:r w:rsidR="00CA2C85" w:rsidRPr="0002056A">
        <w:rPr>
          <w:rFonts w:ascii="Georgia" w:hAnsi="Georgia" w:cs="FranklinGothic-Book"/>
          <w:lang w:val="en-GB"/>
          <w14:ligatures w14:val="standardContextual"/>
        </w:rPr>
        <w:t>, consisting of a</w:t>
      </w:r>
      <w:r w:rsidR="00F95DCF" w:rsidRPr="0002056A">
        <w:rPr>
          <w:rFonts w:ascii="Georgia" w:hAnsi="Georgia" w:cs="FranklinGothic-Book"/>
          <w:lang w:val="en-GB"/>
          <w14:ligatures w14:val="standardContextual"/>
        </w:rPr>
        <w:t xml:space="preserve"> mix of policies and measures with the</w:t>
      </w:r>
      <w:r w:rsidR="00CA2C85" w:rsidRPr="0002056A">
        <w:rPr>
          <w:rFonts w:ascii="Georgia" w:hAnsi="Georgia" w:cs="FranklinGothic-Book"/>
          <w:lang w:val="en-GB"/>
          <w14:ligatures w14:val="standardContextual"/>
        </w:rPr>
        <w:t xml:space="preserve"> </w:t>
      </w:r>
      <w:r w:rsidR="00F95DCF" w:rsidRPr="0002056A">
        <w:rPr>
          <w:rFonts w:ascii="Georgia" w:hAnsi="Georgia" w:cs="FranklinGothic-Book"/>
          <w:lang w:val="en-GB"/>
          <w14:ligatures w14:val="standardContextual"/>
        </w:rPr>
        <w:t xml:space="preserve">overarching objective of reducing </w:t>
      </w:r>
      <w:r w:rsidR="00114964" w:rsidRPr="0002056A">
        <w:rPr>
          <w:rFonts w:ascii="Georgia" w:hAnsi="Georgia" w:cs="FranklinGothic-Book"/>
          <w:lang w:val="en-GB"/>
          <w14:ligatures w14:val="standardContextual"/>
        </w:rPr>
        <w:t>a</w:t>
      </w:r>
      <w:r w:rsidR="00F95DCF" w:rsidRPr="0002056A">
        <w:rPr>
          <w:rFonts w:ascii="Georgia" w:hAnsi="Georgia" w:cs="FranklinGothic-Book"/>
          <w:lang w:val="en-GB"/>
          <w14:ligatures w14:val="standardContextual"/>
        </w:rPr>
        <w:t xml:space="preserve"> country’</w:t>
      </w:r>
      <w:r w:rsidR="00CA2C85" w:rsidRPr="0002056A">
        <w:rPr>
          <w:rFonts w:ascii="Georgia" w:hAnsi="Georgia" w:cs="FranklinGothic-Book"/>
          <w:lang w:val="en-GB"/>
          <w14:ligatures w14:val="standardContextual"/>
        </w:rPr>
        <w:t>s vulnerability. These documents</w:t>
      </w:r>
      <w:r w:rsidR="00114152" w:rsidRPr="0002056A">
        <w:rPr>
          <w:rFonts w:ascii="Georgia" w:hAnsi="Georgia" w:cs="FranklinGothic-Book"/>
          <w:lang w:val="en-GB"/>
          <w14:ligatures w14:val="standardContextual"/>
        </w:rPr>
        <w:t>, according to the author</w:t>
      </w:r>
      <w:r w:rsidR="009D20F6" w:rsidRPr="0002056A">
        <w:rPr>
          <w:rFonts w:ascii="Georgia" w:hAnsi="Georgia" w:cs="FranklinGothic-Book"/>
          <w:lang w:val="en-GB"/>
          <w14:ligatures w14:val="standardContextual"/>
        </w:rPr>
        <w:t>s</w:t>
      </w:r>
      <w:r w:rsidR="00114152" w:rsidRPr="0002056A">
        <w:rPr>
          <w:rFonts w:ascii="Georgia" w:hAnsi="Georgia" w:cs="FranklinGothic-Book"/>
          <w:lang w:val="en-GB"/>
          <w14:ligatures w14:val="standardContextual"/>
        </w:rPr>
        <w:t xml:space="preserve">, </w:t>
      </w:r>
      <w:r w:rsidR="00F95DCF" w:rsidRPr="0002056A">
        <w:rPr>
          <w:rFonts w:ascii="Georgia" w:hAnsi="Georgia" w:cs="FranklinGothic-Book"/>
          <w:lang w:val="en-GB"/>
          <w14:ligatures w14:val="standardContextual"/>
        </w:rPr>
        <w:t xml:space="preserve">can be </w:t>
      </w:r>
      <w:r w:rsidR="00CA2C85" w:rsidRPr="0002056A">
        <w:rPr>
          <w:rFonts w:ascii="Georgia" w:hAnsi="Georgia" w:cs="FranklinGothic-Book"/>
          <w:lang w:val="en-GB"/>
          <w14:ligatures w14:val="standardContextual"/>
        </w:rPr>
        <w:t xml:space="preserve">either </w:t>
      </w:r>
      <w:r w:rsidR="00F95DCF" w:rsidRPr="0002056A">
        <w:rPr>
          <w:rFonts w:ascii="Georgia" w:hAnsi="Georgia" w:cs="FranklinGothic-Book"/>
          <w:lang w:val="en-GB"/>
          <w14:ligatures w14:val="standardContextual"/>
        </w:rPr>
        <w:lastRenderedPageBreak/>
        <w:t xml:space="preserve">comprehensive at a national level </w:t>
      </w:r>
      <w:r w:rsidR="00CA2C85" w:rsidRPr="0002056A">
        <w:rPr>
          <w:rFonts w:ascii="Georgia" w:hAnsi="Georgia" w:cs="FranklinGothic-Book"/>
          <w:lang w:val="en-GB"/>
          <w14:ligatures w14:val="standardContextual"/>
        </w:rPr>
        <w:t xml:space="preserve">covering </w:t>
      </w:r>
      <w:r w:rsidR="00F95DCF" w:rsidRPr="0002056A">
        <w:rPr>
          <w:rFonts w:ascii="Georgia" w:hAnsi="Georgia" w:cs="FranklinGothic-Book"/>
          <w:lang w:val="en-GB"/>
          <w14:ligatures w14:val="standardContextual"/>
        </w:rPr>
        <w:t xml:space="preserve">adaptation </w:t>
      </w:r>
      <w:r w:rsidR="00CA2C85" w:rsidRPr="0002056A">
        <w:rPr>
          <w:rFonts w:ascii="Georgia" w:hAnsi="Georgia" w:cs="FranklinGothic-Book"/>
          <w:lang w:val="en-GB"/>
          <w14:ligatures w14:val="standardContextual"/>
        </w:rPr>
        <w:t xml:space="preserve">of different </w:t>
      </w:r>
      <w:r w:rsidR="00F95DCF" w:rsidRPr="0002056A">
        <w:rPr>
          <w:rFonts w:ascii="Georgia" w:hAnsi="Georgia" w:cs="FranklinGothic-Book"/>
          <w:lang w:val="en-GB"/>
          <w14:ligatures w14:val="standardContextual"/>
        </w:rPr>
        <w:t xml:space="preserve">sectors, regions and vulnerable populations, or it can be </w:t>
      </w:r>
      <w:r w:rsidR="00CA2C85" w:rsidRPr="0002056A">
        <w:rPr>
          <w:rFonts w:ascii="Georgia" w:hAnsi="Georgia" w:cs="FranklinGothic-Book"/>
          <w:lang w:val="en-GB"/>
          <w14:ligatures w14:val="standardContextual"/>
        </w:rPr>
        <w:t>l</w:t>
      </w:r>
      <w:r w:rsidR="00F95DCF" w:rsidRPr="0002056A">
        <w:rPr>
          <w:rFonts w:ascii="Georgia" w:hAnsi="Georgia" w:cs="FranklinGothic-Book"/>
          <w:lang w:val="en-GB"/>
          <w14:ligatures w14:val="standardContextual"/>
        </w:rPr>
        <w:t>imited</w:t>
      </w:r>
      <w:r w:rsidR="00CA2C85" w:rsidRPr="0002056A">
        <w:rPr>
          <w:rFonts w:ascii="Georgia" w:hAnsi="Georgia" w:cs="FranklinGothic-Book"/>
          <w:lang w:val="en-GB"/>
          <w14:ligatures w14:val="standardContextual"/>
        </w:rPr>
        <w:t xml:space="preserve"> to</w:t>
      </w:r>
      <w:r w:rsidR="00F95DCF" w:rsidRPr="0002056A">
        <w:rPr>
          <w:rFonts w:ascii="Georgia" w:hAnsi="Georgia" w:cs="FranklinGothic-Book"/>
          <w:lang w:val="en-GB"/>
          <w14:ligatures w14:val="standardContextual"/>
        </w:rPr>
        <w:t xml:space="preserve"> just one or two sectors or regions</w:t>
      </w:r>
      <w:r w:rsidR="00CA2C85" w:rsidRPr="0002056A">
        <w:rPr>
          <w:rFonts w:ascii="Georgia" w:hAnsi="Georgia" w:cs="FranklinGothic-Book"/>
          <w:lang w:val="en-GB"/>
          <w14:ligatures w14:val="standardContextual"/>
        </w:rPr>
        <w:t xml:space="preserve"> (</w:t>
      </w:r>
      <w:r w:rsidR="00CA2C85" w:rsidRPr="0002056A">
        <w:rPr>
          <w:rFonts w:ascii="Georgia" w:hAnsi="Georgia" w:cs="FranklinGothic-Book"/>
          <w:smallCaps/>
          <w:lang w:val="en-GB"/>
          <w14:ligatures w14:val="standardContextual"/>
        </w:rPr>
        <w:t>Swart et al, 2009</w:t>
      </w:r>
      <w:r w:rsidR="00CA2C85" w:rsidRPr="0002056A">
        <w:rPr>
          <w:rFonts w:ascii="Georgia" w:hAnsi="Georgia" w:cs="FranklinGothic-Book"/>
          <w:lang w:val="en-GB"/>
          <w14:ligatures w14:val="standardContextual"/>
        </w:rPr>
        <w:t>)</w:t>
      </w:r>
      <w:r w:rsidR="00F95DCF" w:rsidRPr="0002056A">
        <w:rPr>
          <w:rFonts w:ascii="Georgia" w:hAnsi="Georgia" w:cs="FranklinGothic-Book"/>
          <w:lang w:val="en-GB"/>
          <w14:ligatures w14:val="standardContextual"/>
        </w:rPr>
        <w:t>.</w:t>
      </w:r>
      <w:r w:rsidR="00F60D59" w:rsidRPr="0002056A">
        <w:rPr>
          <w:rFonts w:ascii="Georgia" w:hAnsi="Georgia" w:cs="FranklinGothic-Book"/>
          <w:lang w:val="en-GB"/>
          <w14:ligatures w14:val="standardContextual"/>
        </w:rPr>
        <w:t xml:space="preserve"> Similarly to </w:t>
      </w:r>
      <w:r w:rsidR="00114152" w:rsidRPr="0002056A">
        <w:rPr>
          <w:rFonts w:ascii="Georgia" w:hAnsi="Georgia" w:cs="FranklinGothic-Book"/>
          <w:lang w:val="en-GB"/>
          <w14:ligatures w14:val="standardContextual"/>
        </w:rPr>
        <w:t>Swart and his c</w:t>
      </w:r>
      <w:r w:rsidR="009D20F6" w:rsidRPr="0002056A">
        <w:rPr>
          <w:rFonts w:ascii="Georgia" w:hAnsi="Georgia" w:cs="FranklinGothic-Book"/>
          <w:lang w:val="en-GB"/>
          <w14:ligatures w14:val="standardContextual"/>
        </w:rPr>
        <w:t>ol</w:t>
      </w:r>
      <w:r w:rsidR="00114152" w:rsidRPr="0002056A">
        <w:rPr>
          <w:rFonts w:ascii="Georgia" w:hAnsi="Georgia" w:cs="FranklinGothic-Book"/>
          <w:lang w:val="en-GB"/>
          <w14:ligatures w14:val="standardContextual"/>
        </w:rPr>
        <w:t>le</w:t>
      </w:r>
      <w:r w:rsidR="009D20F6" w:rsidRPr="0002056A">
        <w:rPr>
          <w:rFonts w:ascii="Georgia" w:hAnsi="Georgia" w:cs="FranklinGothic-Book"/>
          <w:lang w:val="en-GB"/>
          <w14:ligatures w14:val="standardContextual"/>
        </w:rPr>
        <w:t>a</w:t>
      </w:r>
      <w:r w:rsidR="00114152" w:rsidRPr="0002056A">
        <w:rPr>
          <w:rFonts w:ascii="Georgia" w:hAnsi="Georgia" w:cs="FranklinGothic-Book"/>
          <w:lang w:val="en-GB"/>
          <w14:ligatures w14:val="standardContextual"/>
        </w:rPr>
        <w:t>gues</w:t>
      </w:r>
      <w:r w:rsidR="00F60D59" w:rsidRPr="0002056A">
        <w:rPr>
          <w:rFonts w:ascii="Georgia" w:hAnsi="Georgia" w:cs="FranklinGothic-Book"/>
          <w:lang w:val="en-GB"/>
          <w14:ligatures w14:val="standardContextual"/>
        </w:rPr>
        <w:t xml:space="preserve">, we worked with National Adaptation Strategies </w:t>
      </w:r>
      <w:r w:rsidR="009D20F6" w:rsidRPr="0002056A">
        <w:rPr>
          <w:rFonts w:ascii="Georgia" w:hAnsi="Georgia" w:cs="FranklinGothic-Book"/>
          <w:lang w:val="en-GB"/>
          <w14:ligatures w14:val="standardContextual"/>
        </w:rPr>
        <w:t xml:space="preserve">and National Adaptation Programmes/Action Plans </w:t>
      </w:r>
      <w:r w:rsidR="00F60D59" w:rsidRPr="0002056A">
        <w:rPr>
          <w:rFonts w:ascii="Georgia" w:hAnsi="Georgia" w:cs="FranklinGothic-Book"/>
          <w:lang w:val="en-GB"/>
          <w14:ligatures w14:val="standardContextual"/>
        </w:rPr>
        <w:t xml:space="preserve">developed by the respective </w:t>
      </w:r>
      <w:r w:rsidR="00F73AA4" w:rsidRPr="0002056A">
        <w:rPr>
          <w:rFonts w:ascii="Georgia" w:hAnsi="Georgia" w:cs="FranklinGothic-Book"/>
          <w:lang w:val="en-GB"/>
          <w14:ligatures w14:val="standardContextual"/>
        </w:rPr>
        <w:t>ministries/</w:t>
      </w:r>
      <w:r w:rsidR="00216AD0" w:rsidRPr="0002056A">
        <w:rPr>
          <w:rFonts w:ascii="Georgia" w:hAnsi="Georgia" w:cs="FranklinGothic-Book"/>
          <w:lang w:val="en-GB"/>
          <w14:ligatures w14:val="standardContextual"/>
        </w:rPr>
        <w:t>background</w:t>
      </w:r>
      <w:r w:rsidR="00F73AA4" w:rsidRPr="0002056A">
        <w:rPr>
          <w:rFonts w:ascii="Georgia" w:hAnsi="Georgia" w:cs="FranklinGothic-Book"/>
          <w:lang w:val="en-GB"/>
          <w14:ligatures w14:val="standardContextual"/>
        </w:rPr>
        <w:t xml:space="preserve"> institutes/agencies</w:t>
      </w:r>
      <w:r w:rsidR="00F60D59" w:rsidRPr="0002056A">
        <w:rPr>
          <w:rFonts w:ascii="Georgia" w:hAnsi="Georgia" w:cs="FranklinGothic-Book"/>
          <w:lang w:val="en-GB"/>
          <w14:ligatures w14:val="standardContextual"/>
        </w:rPr>
        <w:t xml:space="preserve"> for adoption by national decision makers</w:t>
      </w:r>
      <w:r w:rsidR="009D20F6" w:rsidRPr="0002056A">
        <w:rPr>
          <w:rFonts w:ascii="Georgia" w:hAnsi="Georgia" w:cs="FranklinGothic-Book"/>
          <w:lang w:val="en-GB"/>
          <w14:ligatures w14:val="standardContextual"/>
        </w:rPr>
        <w:t>.</w:t>
      </w:r>
      <w:r w:rsidR="00AD27E0" w:rsidRPr="0002056A">
        <w:rPr>
          <w:rFonts w:ascii="Georgia" w:hAnsi="Georgia" w:cs="FranklinGothic-Book"/>
          <w:lang w:val="en-GB"/>
          <w14:ligatures w14:val="standardContextual"/>
        </w:rPr>
        <w:t xml:space="preserve"> The </w:t>
      </w:r>
      <w:r w:rsidR="00AD27E0" w:rsidRPr="0002056A">
        <w:rPr>
          <w:rFonts w:ascii="Georgia" w:hAnsi="Georgia" w:cs="FranklinGothic-Book"/>
          <w:b/>
          <w:bCs/>
          <w:lang w:val="en-GB"/>
          <w14:ligatures w14:val="standardContextual"/>
        </w:rPr>
        <w:t xml:space="preserve">number of available MRE materials was </w:t>
      </w:r>
      <w:r w:rsidR="00F73AA4" w:rsidRPr="0002056A">
        <w:rPr>
          <w:rFonts w:ascii="Georgia" w:hAnsi="Georgia" w:cs="FranklinGothic-Book"/>
          <w:b/>
          <w:bCs/>
          <w:lang w:val="en-GB"/>
          <w14:ligatures w14:val="standardContextual"/>
        </w:rPr>
        <w:t>significantly</w:t>
      </w:r>
      <w:r w:rsidR="00AD27E0" w:rsidRPr="0002056A">
        <w:rPr>
          <w:rFonts w:ascii="Georgia" w:hAnsi="Georgia" w:cs="FranklinGothic-Book"/>
          <w:b/>
          <w:bCs/>
          <w:lang w:val="en-GB"/>
          <w14:ligatures w14:val="standardContextual"/>
        </w:rPr>
        <w:t xml:space="preserve"> smaller</w:t>
      </w:r>
      <w:r w:rsidR="00AD27E0" w:rsidRPr="0002056A">
        <w:rPr>
          <w:rFonts w:ascii="Georgia" w:hAnsi="Georgia" w:cs="FranklinGothic-Book"/>
          <w:lang w:val="en-GB"/>
          <w14:ligatures w14:val="standardContextual"/>
        </w:rPr>
        <w:t xml:space="preserve"> – in these cases we tried to </w:t>
      </w:r>
      <w:r w:rsidR="00AD27E0" w:rsidRPr="0002056A">
        <w:rPr>
          <w:rFonts w:ascii="Georgia" w:hAnsi="Georgia" w:cs="FranklinGothic-Book"/>
          <w:b/>
          <w:bCs/>
          <w:lang w:val="en-GB"/>
          <w14:ligatures w14:val="standardContextual"/>
        </w:rPr>
        <w:t>consider all available documents</w:t>
      </w:r>
      <w:r w:rsidR="00F12669" w:rsidRPr="0002056A">
        <w:rPr>
          <w:rFonts w:ascii="Georgia" w:hAnsi="Georgia" w:cs="FranklinGothic-Book"/>
          <w:b/>
          <w:bCs/>
          <w:lang w:val="en-GB"/>
          <w14:ligatures w14:val="standardContextual"/>
        </w:rPr>
        <w:t>, even more generations of them from a given country</w:t>
      </w:r>
      <w:r w:rsidR="00F12669" w:rsidRPr="0002056A">
        <w:rPr>
          <w:rFonts w:ascii="Georgia" w:hAnsi="Georgia" w:cs="FranklinGothic-Book"/>
          <w:lang w:val="en-GB"/>
          <w14:ligatures w14:val="standardContextual"/>
        </w:rPr>
        <w:t xml:space="preserve">. </w:t>
      </w:r>
      <w:r w:rsidR="00B15282" w:rsidRPr="0002056A">
        <w:rPr>
          <w:rFonts w:ascii="Georgia" w:hAnsi="Georgia" w:cs="FranklinGothic-Book"/>
          <w:lang w:val="en-GB"/>
          <w14:ligatures w14:val="standardContextual"/>
        </w:rPr>
        <w:t>A</w:t>
      </w:r>
      <w:r w:rsidR="00F12669" w:rsidRPr="0002056A">
        <w:rPr>
          <w:rFonts w:ascii="Georgia" w:hAnsi="Georgia" w:cs="FranklinGothic-Book"/>
          <w:lang w:val="en-GB"/>
          <w14:ligatures w14:val="standardContextual"/>
        </w:rPr>
        <w:t xml:space="preserve">ll in all, the </w:t>
      </w:r>
      <w:r w:rsidR="00B15282" w:rsidRPr="0002056A">
        <w:rPr>
          <w:rFonts w:ascii="Georgia" w:hAnsi="Georgia" w:cs="FranklinGothic-Book"/>
          <w:lang w:val="en-GB"/>
          <w14:ligatures w14:val="standardContextual"/>
        </w:rPr>
        <w:t>v</w:t>
      </w:r>
      <w:r w:rsidR="00F12669" w:rsidRPr="0002056A">
        <w:rPr>
          <w:rFonts w:ascii="Georgia" w:hAnsi="Georgia" w:cs="FranklinGothic-Book"/>
          <w:lang w:val="en-GB"/>
          <w14:ligatures w14:val="standardContextual"/>
        </w:rPr>
        <w:t>ast majority of the analysed materials were NASs/NAPs.</w:t>
      </w:r>
    </w:p>
    <w:p w14:paraId="42A9EF54" w14:textId="49F51F69" w:rsidR="001148E6" w:rsidRPr="0002056A" w:rsidRDefault="001B50F9" w:rsidP="00214BD9">
      <w:pPr>
        <w:pStyle w:val="Cmsor3"/>
        <w:numPr>
          <w:ilvl w:val="2"/>
          <w:numId w:val="4"/>
        </w:numPr>
        <w:rPr>
          <w:rFonts w:ascii="Calibri" w:hAnsi="Calibri" w:cs="Calibri"/>
          <w:color w:val="2F5496" w:themeColor="accent1" w:themeShade="BF"/>
          <w:lang w:val="en-GB"/>
        </w:rPr>
      </w:pPr>
      <w:bookmarkStart w:id="27" w:name="_Toc225578849"/>
      <w:r w:rsidRPr="0002056A">
        <w:rPr>
          <w:rFonts w:ascii="Calibri" w:hAnsi="Calibri" w:cs="Calibri"/>
          <w:color w:val="2F5496" w:themeColor="accent1" w:themeShade="BF"/>
          <w:lang w:val="en-GB"/>
        </w:rPr>
        <w:t xml:space="preserve">Geographical </w:t>
      </w:r>
      <w:r w:rsidR="00D20A49" w:rsidRPr="0002056A">
        <w:rPr>
          <w:rFonts w:ascii="Calibri" w:hAnsi="Calibri" w:cs="Calibri"/>
          <w:color w:val="2F5496" w:themeColor="accent1" w:themeShade="BF"/>
          <w:lang w:val="en-GB"/>
        </w:rPr>
        <w:t xml:space="preserve">and time </w:t>
      </w:r>
      <w:r w:rsidR="001148E6" w:rsidRPr="0002056A">
        <w:rPr>
          <w:rFonts w:ascii="Calibri" w:hAnsi="Calibri" w:cs="Calibri"/>
          <w:color w:val="2F5496" w:themeColor="accent1" w:themeShade="BF"/>
          <w:lang w:val="en-GB"/>
        </w:rPr>
        <w:t>context</w:t>
      </w:r>
      <w:bookmarkEnd w:id="27"/>
    </w:p>
    <w:p w14:paraId="1EA61528" w14:textId="6E770141" w:rsidR="001148E6" w:rsidRPr="0002056A" w:rsidRDefault="008446F5" w:rsidP="00CD5BF3">
      <w:pPr>
        <w:spacing w:before="120" w:after="120"/>
        <w:jc w:val="both"/>
        <w:rPr>
          <w:rFonts w:ascii="Georgia" w:hAnsi="Georgia"/>
          <w:lang w:val="en-GB"/>
        </w:rPr>
      </w:pPr>
      <w:r w:rsidRPr="0002056A">
        <w:rPr>
          <w:rFonts w:ascii="Georgia" w:hAnsi="Georgia"/>
          <w:lang w:val="en-GB"/>
        </w:rPr>
        <w:t xml:space="preserve">One of the most important basic conditions of an adequate analysis is the proper definition and description of </w:t>
      </w:r>
      <w:r w:rsidR="00801A88" w:rsidRPr="0002056A">
        <w:rPr>
          <w:rFonts w:ascii="Georgia" w:hAnsi="Georgia"/>
          <w:lang w:val="en-GB"/>
        </w:rPr>
        <w:t xml:space="preserve">the research’s </w:t>
      </w:r>
      <w:r w:rsidR="00823F34" w:rsidRPr="0002056A">
        <w:rPr>
          <w:rFonts w:ascii="Georgia" w:hAnsi="Georgia"/>
          <w:lang w:val="en-GB"/>
        </w:rPr>
        <w:t xml:space="preserve">time </w:t>
      </w:r>
      <w:r w:rsidR="00801A88" w:rsidRPr="0002056A">
        <w:rPr>
          <w:rFonts w:ascii="Georgia" w:hAnsi="Georgia"/>
          <w:lang w:val="en-GB"/>
        </w:rPr>
        <w:t xml:space="preserve">and </w:t>
      </w:r>
      <w:r w:rsidR="00823F34" w:rsidRPr="0002056A">
        <w:rPr>
          <w:rFonts w:ascii="Georgia" w:hAnsi="Georgia"/>
          <w:lang w:val="en-GB"/>
        </w:rPr>
        <w:t xml:space="preserve">geographic </w:t>
      </w:r>
      <w:r w:rsidR="00801A88" w:rsidRPr="0002056A">
        <w:rPr>
          <w:rFonts w:ascii="Georgia" w:hAnsi="Georgia"/>
          <w:lang w:val="en-GB"/>
        </w:rPr>
        <w:t>frame</w:t>
      </w:r>
      <w:r w:rsidR="0067641A" w:rsidRPr="0002056A">
        <w:rPr>
          <w:rFonts w:ascii="Georgia" w:hAnsi="Georgia"/>
          <w:lang w:val="en-GB"/>
        </w:rPr>
        <w:t xml:space="preserve">s. The </w:t>
      </w:r>
      <w:r w:rsidR="00823F34" w:rsidRPr="0002056A">
        <w:rPr>
          <w:rFonts w:ascii="Georgia" w:hAnsi="Georgia"/>
          <w:lang w:val="en-GB"/>
        </w:rPr>
        <w:t>latter, beyond</w:t>
      </w:r>
      <w:r w:rsidR="0067641A" w:rsidRPr="0002056A">
        <w:rPr>
          <w:rFonts w:ascii="Georgia" w:hAnsi="Georgia"/>
          <w:lang w:val="en-GB"/>
        </w:rPr>
        <w:t xml:space="preserve"> the spatial extent of the analysis</w:t>
      </w:r>
      <w:r w:rsidR="00220FC2">
        <w:rPr>
          <w:rFonts w:ascii="Georgia" w:hAnsi="Georgia"/>
          <w:lang w:val="en-GB"/>
        </w:rPr>
        <w:t>,</w:t>
      </w:r>
      <w:r w:rsidR="00823F34" w:rsidRPr="0002056A">
        <w:rPr>
          <w:rFonts w:ascii="Georgia" w:hAnsi="Georgia"/>
          <w:lang w:val="en-GB"/>
        </w:rPr>
        <w:t xml:space="preserve"> comprise</w:t>
      </w:r>
      <w:r w:rsidR="0067641A" w:rsidRPr="0002056A">
        <w:rPr>
          <w:rFonts w:ascii="Georgia" w:hAnsi="Georgia"/>
          <w:lang w:val="en-GB"/>
        </w:rPr>
        <w:t xml:space="preserve">s </w:t>
      </w:r>
      <w:r w:rsidR="004443C8" w:rsidRPr="0002056A">
        <w:rPr>
          <w:rFonts w:ascii="Georgia" w:hAnsi="Georgia"/>
          <w:lang w:val="en-GB"/>
        </w:rPr>
        <w:t>macro-regional contexts within the continent</w:t>
      </w:r>
      <w:r w:rsidR="00823F34" w:rsidRPr="0002056A">
        <w:rPr>
          <w:rFonts w:ascii="Georgia" w:hAnsi="Georgia"/>
          <w:lang w:val="en-GB"/>
        </w:rPr>
        <w:t xml:space="preserve"> too,</w:t>
      </w:r>
      <w:r w:rsidR="00CA1C0A" w:rsidRPr="0002056A">
        <w:rPr>
          <w:rFonts w:ascii="Georgia" w:hAnsi="Georgia"/>
          <w:lang w:val="en-GB"/>
        </w:rPr>
        <w:t xml:space="preserve"> </w:t>
      </w:r>
      <w:r w:rsidR="00C40EB4" w:rsidRPr="0002056A">
        <w:rPr>
          <w:rFonts w:ascii="Georgia" w:hAnsi="Georgia"/>
          <w:lang w:val="en-GB"/>
        </w:rPr>
        <w:t xml:space="preserve">as foundations </w:t>
      </w:r>
      <w:r w:rsidR="00CA1C0A" w:rsidRPr="0002056A">
        <w:rPr>
          <w:rFonts w:ascii="Georgia" w:hAnsi="Georgia"/>
          <w:lang w:val="en-GB"/>
        </w:rPr>
        <w:t>to define positions of the countries within Europe</w:t>
      </w:r>
      <w:r w:rsidR="004443C8" w:rsidRPr="0002056A">
        <w:rPr>
          <w:rFonts w:ascii="Georgia" w:hAnsi="Georgia"/>
          <w:lang w:val="en-GB"/>
        </w:rPr>
        <w:t xml:space="preserve">.  </w:t>
      </w:r>
    </w:p>
    <w:p w14:paraId="0B3FA590" w14:textId="0690055D" w:rsidR="001B50F9" w:rsidRPr="0002056A" w:rsidRDefault="001148E6" w:rsidP="00214BD9">
      <w:pPr>
        <w:pStyle w:val="Cmsor4"/>
        <w:numPr>
          <w:ilvl w:val="3"/>
          <w:numId w:val="4"/>
        </w:numPr>
        <w:rPr>
          <w:lang w:val="en-GB"/>
        </w:rPr>
      </w:pPr>
      <w:r w:rsidRPr="0002056A">
        <w:rPr>
          <w:lang w:val="en-GB"/>
        </w:rPr>
        <w:t xml:space="preserve">Geographical </w:t>
      </w:r>
      <w:r w:rsidR="001B50F9" w:rsidRPr="0002056A">
        <w:rPr>
          <w:lang w:val="en-GB"/>
        </w:rPr>
        <w:t>and time scope of the analysis</w:t>
      </w:r>
    </w:p>
    <w:p w14:paraId="0FB398EF" w14:textId="34FB629B" w:rsidR="002305C1" w:rsidRDefault="00801A88" w:rsidP="00CD5BF3">
      <w:pPr>
        <w:spacing w:before="120" w:after="120"/>
        <w:jc w:val="both"/>
        <w:rPr>
          <w:rFonts w:ascii="Georgia" w:hAnsi="Georgia"/>
          <w:lang w:val="en-GB"/>
        </w:rPr>
      </w:pPr>
      <w:r w:rsidRPr="0002056A">
        <w:rPr>
          <w:rFonts w:ascii="Georgia" w:hAnsi="Georgia"/>
          <w:lang w:val="en-GB"/>
        </w:rPr>
        <w:t xml:space="preserve">As for the </w:t>
      </w:r>
      <w:r w:rsidRPr="0002056A">
        <w:rPr>
          <w:rFonts w:ascii="Georgia" w:hAnsi="Georgia"/>
          <w:b/>
          <w:bCs/>
          <w:lang w:val="en-GB"/>
        </w:rPr>
        <w:t>geographical frameworks</w:t>
      </w:r>
      <w:r w:rsidRPr="0002056A">
        <w:rPr>
          <w:rFonts w:ascii="Georgia" w:hAnsi="Georgia"/>
          <w:lang w:val="en-GB"/>
        </w:rPr>
        <w:t xml:space="preserve"> of the research</w:t>
      </w:r>
      <w:r w:rsidR="00220FC2">
        <w:rPr>
          <w:rFonts w:ascii="Georgia" w:hAnsi="Georgia"/>
          <w:lang w:val="en-GB"/>
        </w:rPr>
        <w:t>,</w:t>
      </w:r>
      <w:r w:rsidRPr="0002056A">
        <w:rPr>
          <w:rFonts w:ascii="Georgia" w:hAnsi="Georgia"/>
          <w:lang w:val="en-GB"/>
        </w:rPr>
        <w:t xml:space="preserve"> </w:t>
      </w:r>
      <w:r w:rsidRPr="0002056A">
        <w:rPr>
          <w:rFonts w:ascii="Georgia" w:hAnsi="Georgia"/>
          <w:b/>
          <w:bCs/>
          <w:lang w:val="en-GB"/>
        </w:rPr>
        <w:t>t</w:t>
      </w:r>
      <w:r w:rsidR="002305C1" w:rsidRPr="0002056A">
        <w:rPr>
          <w:rFonts w:ascii="Georgia" w:hAnsi="Georgia"/>
          <w:b/>
          <w:bCs/>
          <w:lang w:val="en-GB"/>
        </w:rPr>
        <w:t xml:space="preserve">he </w:t>
      </w:r>
      <w:r w:rsidRPr="0002056A">
        <w:rPr>
          <w:rFonts w:ascii="Georgia" w:hAnsi="Georgia"/>
          <w:b/>
          <w:bCs/>
          <w:lang w:val="en-GB"/>
        </w:rPr>
        <w:t>analysis</w:t>
      </w:r>
      <w:r w:rsidR="002305C1" w:rsidRPr="0002056A">
        <w:rPr>
          <w:rFonts w:ascii="Georgia" w:hAnsi="Georgia"/>
          <w:b/>
          <w:bCs/>
          <w:lang w:val="en-GB"/>
        </w:rPr>
        <w:t xml:space="preserve"> concentrates</w:t>
      </w:r>
      <w:r w:rsidR="002305C1" w:rsidRPr="0002056A">
        <w:rPr>
          <w:rFonts w:ascii="Georgia" w:hAnsi="Georgia"/>
          <w:lang w:val="en-GB"/>
        </w:rPr>
        <w:t xml:space="preserve"> first and foremost on Europe, </w:t>
      </w:r>
      <w:r w:rsidR="002673CD" w:rsidRPr="0002056A">
        <w:rPr>
          <w:rFonts w:ascii="Georgia" w:hAnsi="Georgia"/>
          <w:lang w:val="en-GB"/>
        </w:rPr>
        <w:t xml:space="preserve">more exactly </w:t>
      </w:r>
      <w:r w:rsidR="002673CD" w:rsidRPr="0002056A">
        <w:rPr>
          <w:rFonts w:ascii="Georgia" w:hAnsi="Georgia"/>
          <w:b/>
          <w:bCs/>
          <w:lang w:val="en-GB"/>
        </w:rPr>
        <w:t xml:space="preserve">on </w:t>
      </w:r>
      <w:r w:rsidR="00F83C82" w:rsidRPr="0002056A">
        <w:rPr>
          <w:rFonts w:ascii="Georgia" w:hAnsi="Georgia"/>
          <w:b/>
          <w:bCs/>
          <w:lang w:val="en-GB"/>
        </w:rPr>
        <w:t>the majority</w:t>
      </w:r>
      <w:r w:rsidR="008446F5" w:rsidRPr="0002056A">
        <w:rPr>
          <w:rFonts w:ascii="Georgia" w:hAnsi="Georgia"/>
          <w:b/>
          <w:bCs/>
          <w:lang w:val="en-GB"/>
        </w:rPr>
        <w:t xml:space="preserve"> of the</w:t>
      </w:r>
      <w:r w:rsidR="002305C1" w:rsidRPr="0002056A">
        <w:rPr>
          <w:rFonts w:ascii="Georgia" w:hAnsi="Georgia"/>
          <w:b/>
          <w:bCs/>
          <w:lang w:val="en-GB"/>
        </w:rPr>
        <w:t xml:space="preserve"> continent’s countries</w:t>
      </w:r>
      <w:r w:rsidR="00F83C82" w:rsidRPr="0002056A">
        <w:rPr>
          <w:rFonts w:ascii="Georgia" w:hAnsi="Georgia"/>
          <w:lang w:val="en-GB"/>
        </w:rPr>
        <w:t xml:space="preserve">. </w:t>
      </w:r>
      <w:r w:rsidR="00220FC2">
        <w:rPr>
          <w:rFonts w:ascii="Georgia" w:hAnsi="Georgia"/>
          <w:lang w:val="en-GB"/>
        </w:rPr>
        <w:t xml:space="preserve">The majority, because not all countries of the continent are part of the analysis: the empirical part includes only the EU countries, completed </w:t>
      </w:r>
      <w:r w:rsidR="00F83C82" w:rsidRPr="0002056A">
        <w:rPr>
          <w:rFonts w:ascii="Georgia" w:hAnsi="Georgia"/>
          <w:lang w:val="en-GB"/>
        </w:rPr>
        <w:t>with Iceland, Norway</w:t>
      </w:r>
      <w:r w:rsidR="00FC277F" w:rsidRPr="0002056A">
        <w:rPr>
          <w:rFonts w:ascii="Georgia" w:hAnsi="Georgia"/>
          <w:lang w:val="en-GB"/>
        </w:rPr>
        <w:t>,</w:t>
      </w:r>
      <w:r w:rsidR="00957DC5" w:rsidRPr="0002056A">
        <w:rPr>
          <w:rFonts w:ascii="Georgia" w:hAnsi="Georgia"/>
          <w:lang w:val="en-GB"/>
        </w:rPr>
        <w:t xml:space="preserve"> </w:t>
      </w:r>
      <w:r w:rsidR="00D4523B" w:rsidRPr="0002056A">
        <w:rPr>
          <w:rFonts w:ascii="Georgia" w:hAnsi="Georgia"/>
          <w:lang w:val="en-GB"/>
        </w:rPr>
        <w:t xml:space="preserve">Switzerland </w:t>
      </w:r>
      <w:r w:rsidR="00957DC5" w:rsidRPr="0002056A">
        <w:rPr>
          <w:rFonts w:ascii="Georgia" w:hAnsi="Georgia"/>
          <w:lang w:val="en-GB"/>
        </w:rPr>
        <w:t xml:space="preserve">and the UK from the European Economic Area, all of the </w:t>
      </w:r>
      <w:r w:rsidR="00D4523B" w:rsidRPr="0002056A">
        <w:rPr>
          <w:rFonts w:ascii="Georgia" w:hAnsi="Georgia"/>
          <w:lang w:val="en-GB"/>
        </w:rPr>
        <w:t xml:space="preserve">Western </w:t>
      </w:r>
      <w:r w:rsidR="00FC277F" w:rsidRPr="0002056A">
        <w:rPr>
          <w:rFonts w:ascii="Georgia" w:hAnsi="Georgia"/>
          <w:lang w:val="en-GB"/>
        </w:rPr>
        <w:t>Balkan states as countries that strongly strive for EU accession</w:t>
      </w:r>
      <w:r w:rsidR="00957DC5" w:rsidRPr="0002056A">
        <w:rPr>
          <w:rFonts w:ascii="Georgia" w:hAnsi="Georgia"/>
          <w:lang w:val="en-GB"/>
        </w:rPr>
        <w:t xml:space="preserve"> and </w:t>
      </w:r>
      <w:r w:rsidR="00A21DC2" w:rsidRPr="0002056A">
        <w:rPr>
          <w:rFonts w:ascii="Georgia" w:hAnsi="Georgia"/>
          <w:lang w:val="en-GB"/>
        </w:rPr>
        <w:t>Türkiye</w:t>
      </w:r>
      <w:r w:rsidR="00957DC5" w:rsidRPr="0002056A">
        <w:rPr>
          <w:rFonts w:ascii="Georgia" w:hAnsi="Georgia"/>
          <w:lang w:val="en-GB"/>
        </w:rPr>
        <w:t xml:space="preserve">. </w:t>
      </w:r>
      <w:r w:rsidR="00B71FE5" w:rsidRPr="0002056A">
        <w:rPr>
          <w:rFonts w:ascii="Georgia" w:hAnsi="Georgia"/>
          <w:lang w:val="en-GB"/>
        </w:rPr>
        <w:t>From the former Central-European socialist bloc and Soviet successor states</w:t>
      </w:r>
      <w:r w:rsidR="00220FC2">
        <w:rPr>
          <w:rFonts w:ascii="Georgia" w:hAnsi="Georgia"/>
          <w:lang w:val="en-GB"/>
        </w:rPr>
        <w:t>,</w:t>
      </w:r>
      <w:r w:rsidR="00B71FE5" w:rsidRPr="0002056A">
        <w:rPr>
          <w:rFonts w:ascii="Georgia" w:hAnsi="Georgia"/>
          <w:lang w:val="en-GB"/>
        </w:rPr>
        <w:t xml:space="preserve"> I focus rather on the former group and leave the second out of the analysis, concentrating explicitly on the “Eastern-Central-European” area. </w:t>
      </w:r>
      <w:r w:rsidR="00C35A96" w:rsidRPr="0002056A">
        <w:rPr>
          <w:rFonts w:ascii="Georgia" w:hAnsi="Georgia"/>
          <w:lang w:val="en-GB"/>
        </w:rPr>
        <w:t>Thus,</w:t>
      </w:r>
      <w:r w:rsidR="00B80001" w:rsidRPr="0002056A">
        <w:rPr>
          <w:rFonts w:ascii="Georgia" w:hAnsi="Georgia"/>
          <w:lang w:val="en-GB"/>
        </w:rPr>
        <w:t xml:space="preserve"> </w:t>
      </w:r>
      <w:r w:rsidR="00B80001" w:rsidRPr="0002056A">
        <w:rPr>
          <w:rFonts w:ascii="Georgia" w:hAnsi="Georgia"/>
          <w:b/>
          <w:bCs/>
          <w:lang w:val="en-GB"/>
        </w:rPr>
        <w:t>b</w:t>
      </w:r>
      <w:r w:rsidR="00957DC5" w:rsidRPr="0002056A">
        <w:rPr>
          <w:rFonts w:ascii="Georgia" w:hAnsi="Georgia"/>
          <w:b/>
          <w:bCs/>
          <w:lang w:val="en-GB"/>
        </w:rPr>
        <w:t>asically</w:t>
      </w:r>
      <w:r w:rsidR="00220FC2">
        <w:rPr>
          <w:rFonts w:ascii="Georgia" w:hAnsi="Georgia"/>
          <w:b/>
          <w:bCs/>
          <w:lang w:val="en-GB"/>
        </w:rPr>
        <w:t>,</w:t>
      </w:r>
      <w:r w:rsidR="00957DC5" w:rsidRPr="0002056A">
        <w:rPr>
          <w:rFonts w:ascii="Georgia" w:hAnsi="Georgia"/>
          <w:b/>
          <w:bCs/>
          <w:lang w:val="en-GB"/>
        </w:rPr>
        <w:t xml:space="preserve"> the European Environmental Agency member states</w:t>
      </w:r>
      <w:r w:rsidR="00957DC5" w:rsidRPr="0002056A">
        <w:rPr>
          <w:rFonts w:ascii="Georgia" w:hAnsi="Georgia"/>
          <w:lang w:val="en-GB"/>
        </w:rPr>
        <w:t xml:space="preserve"> </w:t>
      </w:r>
      <w:r w:rsidR="00B71FE5" w:rsidRPr="0002056A">
        <w:rPr>
          <w:rFonts w:ascii="Georgia" w:hAnsi="Georgia"/>
          <w:lang w:val="en-GB"/>
        </w:rPr>
        <w:t>compose the group of analysed countries</w:t>
      </w:r>
      <w:r w:rsidR="00FC277F" w:rsidRPr="0002056A">
        <w:rPr>
          <w:rFonts w:ascii="Georgia" w:hAnsi="Georgia"/>
          <w:lang w:val="en-GB"/>
        </w:rPr>
        <w:t xml:space="preserve">. </w:t>
      </w:r>
      <w:r w:rsidR="00DF135C" w:rsidRPr="0002056A">
        <w:rPr>
          <w:rFonts w:ascii="Georgia" w:hAnsi="Georgia"/>
          <w:lang w:val="en-GB"/>
        </w:rPr>
        <w:t>T</w:t>
      </w:r>
      <w:r w:rsidR="00207594" w:rsidRPr="0002056A">
        <w:rPr>
          <w:rFonts w:ascii="Georgia" w:hAnsi="Georgia"/>
          <w:lang w:val="en-GB"/>
        </w:rPr>
        <w:t>he mini states (</w:t>
      </w:r>
      <w:r w:rsidR="00D20A49" w:rsidRPr="0002056A">
        <w:rPr>
          <w:rFonts w:ascii="Georgia" w:hAnsi="Georgia"/>
          <w:lang w:val="en-GB"/>
        </w:rPr>
        <w:t>Lichtenstein, the Vatican, Andorra, Monaco, San Marino</w:t>
      </w:r>
      <w:r w:rsidR="00DF135C" w:rsidRPr="0002056A">
        <w:rPr>
          <w:rFonts w:ascii="Georgia" w:hAnsi="Georgia"/>
          <w:lang w:val="en-GB"/>
        </w:rPr>
        <w:t>) were also left out</w:t>
      </w:r>
      <w:r w:rsidR="00BD5CA2" w:rsidRPr="0002056A">
        <w:rPr>
          <w:rFonts w:ascii="Georgia" w:hAnsi="Georgia"/>
          <w:lang w:val="en-GB"/>
        </w:rPr>
        <w:t>,</w:t>
      </w:r>
      <w:r w:rsidR="00D20A49" w:rsidRPr="0002056A">
        <w:rPr>
          <w:rFonts w:ascii="Georgia" w:hAnsi="Georgia"/>
          <w:lang w:val="en-GB"/>
        </w:rPr>
        <w:t xml:space="preserve"> </w:t>
      </w:r>
      <w:r w:rsidR="008446F5" w:rsidRPr="0002056A">
        <w:rPr>
          <w:rFonts w:ascii="Georgia" w:hAnsi="Georgia"/>
          <w:lang w:val="en-GB"/>
        </w:rPr>
        <w:t xml:space="preserve">with the exception of </w:t>
      </w:r>
      <w:r w:rsidR="00207594" w:rsidRPr="0002056A">
        <w:rPr>
          <w:rFonts w:ascii="Georgia" w:hAnsi="Georgia"/>
          <w:lang w:val="en-GB"/>
        </w:rPr>
        <w:t>Luxemb</w:t>
      </w:r>
      <w:r w:rsidR="00220FC2">
        <w:rPr>
          <w:rFonts w:ascii="Georgia" w:hAnsi="Georgia"/>
          <w:lang w:val="en-GB"/>
        </w:rPr>
        <w:t>o</w:t>
      </w:r>
      <w:r w:rsidR="00207594" w:rsidRPr="0002056A">
        <w:rPr>
          <w:rFonts w:ascii="Georgia" w:hAnsi="Georgia"/>
          <w:lang w:val="en-GB"/>
        </w:rPr>
        <w:t xml:space="preserve">urg, </w:t>
      </w:r>
      <w:r w:rsidR="008446F5" w:rsidRPr="0002056A">
        <w:rPr>
          <w:rFonts w:ascii="Georgia" w:hAnsi="Georgia"/>
          <w:lang w:val="en-GB"/>
        </w:rPr>
        <w:t xml:space="preserve">which </w:t>
      </w:r>
      <w:r w:rsidR="00D20A49" w:rsidRPr="0002056A">
        <w:rPr>
          <w:rFonts w:ascii="Georgia" w:hAnsi="Georgia"/>
          <w:lang w:val="en-GB"/>
        </w:rPr>
        <w:t xml:space="preserve">is </w:t>
      </w:r>
      <w:r w:rsidR="008446F5" w:rsidRPr="0002056A">
        <w:rPr>
          <w:rFonts w:ascii="Georgia" w:hAnsi="Georgia"/>
          <w:lang w:val="en-GB"/>
        </w:rPr>
        <w:t>somewhat bigger than the others</w:t>
      </w:r>
      <w:r w:rsidR="00C40A6A" w:rsidRPr="0002056A">
        <w:rPr>
          <w:rFonts w:ascii="Georgia" w:hAnsi="Georgia"/>
          <w:lang w:val="en-GB"/>
        </w:rPr>
        <w:t>:</w:t>
      </w:r>
      <w:r w:rsidR="00FE46F8" w:rsidRPr="0002056A">
        <w:rPr>
          <w:rFonts w:ascii="Georgia" w:hAnsi="Georgia"/>
          <w:lang w:val="en-GB"/>
        </w:rPr>
        <w:t xml:space="preserve"> the main topic of the research, spatiality and spatial differences cannot be </w:t>
      </w:r>
      <w:r w:rsidR="008446F5" w:rsidRPr="0002056A">
        <w:rPr>
          <w:rFonts w:ascii="Georgia" w:hAnsi="Georgia"/>
          <w:lang w:val="en-GB"/>
        </w:rPr>
        <w:t>adeq</w:t>
      </w:r>
      <w:r w:rsidR="00183CB8" w:rsidRPr="0002056A">
        <w:rPr>
          <w:rFonts w:ascii="Georgia" w:hAnsi="Georgia"/>
          <w:lang w:val="en-GB"/>
        </w:rPr>
        <w:t>u</w:t>
      </w:r>
      <w:r w:rsidR="008446F5" w:rsidRPr="0002056A">
        <w:rPr>
          <w:rFonts w:ascii="Georgia" w:hAnsi="Georgia"/>
          <w:lang w:val="en-GB"/>
        </w:rPr>
        <w:t xml:space="preserve">ately </w:t>
      </w:r>
      <w:r w:rsidR="00FE46F8" w:rsidRPr="0002056A">
        <w:rPr>
          <w:rFonts w:ascii="Georgia" w:hAnsi="Georgia"/>
          <w:lang w:val="en-GB"/>
        </w:rPr>
        <w:t xml:space="preserve">interpreted at </w:t>
      </w:r>
      <w:r w:rsidR="00220FC2">
        <w:rPr>
          <w:rFonts w:ascii="Georgia" w:hAnsi="Georgia"/>
          <w:lang w:val="en-GB"/>
        </w:rPr>
        <w:t xml:space="preserve">the </w:t>
      </w:r>
      <w:r w:rsidR="00FE46F8" w:rsidRPr="0002056A">
        <w:rPr>
          <w:rFonts w:ascii="Georgia" w:hAnsi="Georgia"/>
          <w:lang w:val="en-GB"/>
        </w:rPr>
        <w:t xml:space="preserve">national level in </w:t>
      </w:r>
      <w:r w:rsidR="00C40A6A" w:rsidRPr="0002056A">
        <w:rPr>
          <w:rFonts w:ascii="Georgia" w:hAnsi="Georgia"/>
          <w:lang w:val="en-GB"/>
        </w:rPr>
        <w:t>too</w:t>
      </w:r>
      <w:r w:rsidR="00FE46F8" w:rsidRPr="0002056A">
        <w:rPr>
          <w:rFonts w:ascii="Georgia" w:hAnsi="Georgia"/>
          <w:lang w:val="en-GB"/>
        </w:rPr>
        <w:t xml:space="preserve"> small countries. </w:t>
      </w:r>
      <w:r w:rsidR="00530987" w:rsidRPr="0002056A">
        <w:rPr>
          <w:rFonts w:ascii="Georgia" w:hAnsi="Georgia"/>
          <w:lang w:val="en-GB"/>
        </w:rPr>
        <w:t xml:space="preserve">Due to </w:t>
      </w:r>
      <w:r w:rsidR="005E0596" w:rsidRPr="0002056A">
        <w:rPr>
          <w:rFonts w:ascii="Georgia" w:hAnsi="Georgia"/>
          <w:lang w:val="en-GB"/>
        </w:rPr>
        <w:t>document and information availability</w:t>
      </w:r>
      <w:r w:rsidR="00530987" w:rsidRPr="0002056A">
        <w:rPr>
          <w:rFonts w:ascii="Georgia" w:hAnsi="Georgia"/>
          <w:lang w:val="en-GB"/>
        </w:rPr>
        <w:t xml:space="preserve"> reasons and the lower emphasis put on </w:t>
      </w:r>
      <w:r w:rsidR="002850B6" w:rsidRPr="0002056A">
        <w:rPr>
          <w:rFonts w:ascii="Georgia" w:hAnsi="Georgia"/>
          <w:lang w:val="en-GB"/>
        </w:rPr>
        <w:t xml:space="preserve">explicit </w:t>
      </w:r>
      <w:r w:rsidR="00530987" w:rsidRPr="0002056A">
        <w:rPr>
          <w:rFonts w:ascii="Georgia" w:hAnsi="Georgia"/>
          <w:lang w:val="en-GB"/>
        </w:rPr>
        <w:t xml:space="preserve">climate </w:t>
      </w:r>
      <w:r w:rsidR="00B80001" w:rsidRPr="0002056A">
        <w:rPr>
          <w:rFonts w:ascii="Georgia" w:hAnsi="Georgia"/>
          <w:lang w:val="en-GB"/>
        </w:rPr>
        <w:t>adaptation planning and MRE</w:t>
      </w:r>
      <w:r w:rsidR="00530987" w:rsidRPr="0002056A">
        <w:rPr>
          <w:rFonts w:ascii="Georgia" w:hAnsi="Georgia"/>
          <w:lang w:val="en-GB"/>
        </w:rPr>
        <w:t xml:space="preserve"> issues</w:t>
      </w:r>
      <w:r w:rsidR="002850B6" w:rsidRPr="0002056A">
        <w:rPr>
          <w:rFonts w:ascii="Georgia" w:hAnsi="Georgia"/>
          <w:lang w:val="en-GB"/>
        </w:rPr>
        <w:t>,</w:t>
      </w:r>
      <w:r w:rsidR="00530987" w:rsidRPr="0002056A">
        <w:rPr>
          <w:rFonts w:ascii="Georgia" w:hAnsi="Georgia"/>
          <w:lang w:val="en-GB"/>
        </w:rPr>
        <w:t xml:space="preserve"> Russia and the Soviet successor states were also left out from the form</w:t>
      </w:r>
      <w:r w:rsidR="002305C1" w:rsidRPr="0002056A">
        <w:rPr>
          <w:rFonts w:ascii="Georgia" w:hAnsi="Georgia"/>
          <w:lang w:val="en-GB"/>
        </w:rPr>
        <w:t xml:space="preserve">er </w:t>
      </w:r>
      <w:r w:rsidR="00C40A6A" w:rsidRPr="0002056A">
        <w:rPr>
          <w:rFonts w:ascii="Georgia" w:hAnsi="Georgia"/>
          <w:lang w:val="en-GB"/>
        </w:rPr>
        <w:t xml:space="preserve">group of </w:t>
      </w:r>
      <w:r w:rsidR="002305C1" w:rsidRPr="0002056A">
        <w:rPr>
          <w:rFonts w:ascii="Georgia" w:hAnsi="Georgia"/>
          <w:lang w:val="en-GB"/>
        </w:rPr>
        <w:t xml:space="preserve">eastern socialist countries, with the exception of the Baltic states, which </w:t>
      </w:r>
      <w:r w:rsidR="002850B6" w:rsidRPr="0002056A">
        <w:rPr>
          <w:rFonts w:ascii="Georgia" w:hAnsi="Georgia"/>
          <w:lang w:val="en-GB"/>
        </w:rPr>
        <w:t>area</w:t>
      </w:r>
      <w:r w:rsidR="002305C1" w:rsidRPr="0002056A">
        <w:rPr>
          <w:rFonts w:ascii="Georgia" w:hAnsi="Georgia"/>
          <w:lang w:val="en-GB"/>
        </w:rPr>
        <w:t>, due to its historical and social roots</w:t>
      </w:r>
      <w:r w:rsidR="008446F5" w:rsidRPr="0002056A">
        <w:rPr>
          <w:rFonts w:ascii="Georgia" w:hAnsi="Georgia"/>
          <w:lang w:val="en-GB"/>
        </w:rPr>
        <w:t>,</w:t>
      </w:r>
      <w:r w:rsidR="002305C1" w:rsidRPr="0002056A">
        <w:rPr>
          <w:rFonts w:ascii="Georgia" w:hAnsi="Georgia"/>
          <w:lang w:val="en-GB"/>
        </w:rPr>
        <w:t xml:space="preserve"> is close</w:t>
      </w:r>
      <w:r w:rsidR="008446F5" w:rsidRPr="0002056A">
        <w:rPr>
          <w:rFonts w:ascii="Georgia" w:hAnsi="Georgia"/>
          <w:lang w:val="en-GB"/>
        </w:rPr>
        <w:t>r</w:t>
      </w:r>
      <w:r w:rsidR="002305C1" w:rsidRPr="0002056A">
        <w:rPr>
          <w:rFonts w:ascii="Georgia" w:hAnsi="Georgia"/>
          <w:lang w:val="en-GB"/>
        </w:rPr>
        <w:t xml:space="preserve"> to the </w:t>
      </w:r>
      <w:r w:rsidR="00BA26AA" w:rsidRPr="0002056A">
        <w:rPr>
          <w:rFonts w:ascii="Georgia" w:hAnsi="Georgia"/>
          <w:lang w:val="en-GB"/>
        </w:rPr>
        <w:t>Eastern-</w:t>
      </w:r>
      <w:r w:rsidR="002305C1" w:rsidRPr="0002056A">
        <w:rPr>
          <w:rFonts w:ascii="Georgia" w:hAnsi="Georgia"/>
          <w:lang w:val="en-GB"/>
        </w:rPr>
        <w:t>Central-European region tha</w:t>
      </w:r>
      <w:r w:rsidR="00BA26AA" w:rsidRPr="0002056A">
        <w:rPr>
          <w:rFonts w:ascii="Georgia" w:hAnsi="Georgia"/>
          <w:lang w:val="en-GB"/>
        </w:rPr>
        <w:t>n</w:t>
      </w:r>
      <w:r w:rsidR="002305C1" w:rsidRPr="0002056A">
        <w:rPr>
          <w:rFonts w:ascii="Georgia" w:hAnsi="Georgia"/>
          <w:lang w:val="en-GB"/>
        </w:rPr>
        <w:t xml:space="preserve"> to the former Soviet-Union.</w:t>
      </w:r>
    </w:p>
    <w:p w14:paraId="4DD07364" w14:textId="77777777" w:rsidR="00B12141" w:rsidRPr="0002056A" w:rsidRDefault="00B12141" w:rsidP="00B12141">
      <w:pPr>
        <w:spacing w:before="120" w:after="120"/>
        <w:jc w:val="both"/>
        <w:rPr>
          <w:rFonts w:ascii="Georgia" w:hAnsi="Georgia"/>
          <w:lang w:val="en-GB"/>
        </w:rPr>
      </w:pPr>
      <w:r w:rsidRPr="0002056A">
        <w:rPr>
          <w:rFonts w:ascii="Georgia" w:hAnsi="Georgia"/>
          <w:lang w:val="en-GB"/>
        </w:rPr>
        <w:t xml:space="preserve">There is one more special approach in the geographical framework of the empirical work phase. Although the UK </w:t>
      </w:r>
      <w:r>
        <w:rPr>
          <w:rFonts w:ascii="Georgia" w:hAnsi="Georgia"/>
          <w:lang w:val="en-GB"/>
        </w:rPr>
        <w:t>is</w:t>
      </w:r>
      <w:r w:rsidRPr="0002056A">
        <w:rPr>
          <w:rFonts w:ascii="Georgia" w:hAnsi="Georgia"/>
          <w:lang w:val="en-GB"/>
        </w:rPr>
        <w:t xml:space="preserve"> officially one state, due to the presence of strong devolution processes affecting even adaptation policy</w:t>
      </w:r>
      <w:r w:rsidRPr="0002056A">
        <w:rPr>
          <w:rFonts w:ascii="Georgia" w:hAnsi="Georgia"/>
          <w:b/>
          <w:bCs/>
          <w:lang w:val="en-GB"/>
        </w:rPr>
        <w:t>, the four main parts of the UK (England, Scotland, Wales and Northern Ireland) were analysed separately</w:t>
      </w:r>
      <w:r w:rsidRPr="0002056A">
        <w:rPr>
          <w:rFonts w:ascii="Georgia" w:hAnsi="Georgia"/>
          <w:lang w:val="en-GB"/>
        </w:rPr>
        <w:t xml:space="preserve"> in the comparative assessment. The richness of planning and MRE documents and the content-wise depth of these materials in these country parts</w:t>
      </w:r>
      <w:r>
        <w:rPr>
          <w:rFonts w:ascii="Georgia" w:hAnsi="Georgia"/>
          <w:lang w:val="en-GB"/>
        </w:rPr>
        <w:t>, as well as the internal logic of the national climate adaptation policy in the UK,</w:t>
      </w:r>
      <w:r w:rsidRPr="0002056A">
        <w:rPr>
          <w:rFonts w:ascii="Georgia" w:hAnsi="Georgia"/>
          <w:lang w:val="en-GB"/>
        </w:rPr>
        <w:t xml:space="preserve"> made it worth treating these country parts as individual analytical units.</w:t>
      </w:r>
    </w:p>
    <w:p w14:paraId="26420542" w14:textId="77777777" w:rsidR="00B12141" w:rsidRPr="0002056A" w:rsidRDefault="00B12141" w:rsidP="00CD5BF3">
      <w:pPr>
        <w:spacing w:before="120" w:after="120"/>
        <w:jc w:val="both"/>
        <w:rPr>
          <w:rFonts w:ascii="Georgia" w:hAnsi="Georgia"/>
          <w:lang w:val="en-GB"/>
        </w:rPr>
      </w:pPr>
    </w:p>
    <w:p w14:paraId="236AD762" w14:textId="5CFFD1F8" w:rsidR="000948B1" w:rsidRPr="0002056A" w:rsidRDefault="006900F1" w:rsidP="00CA65A8">
      <w:pPr>
        <w:spacing w:before="120" w:after="120" w:line="240" w:lineRule="auto"/>
        <w:jc w:val="both"/>
        <w:rPr>
          <w:rFonts w:ascii="Georgia" w:hAnsi="Georgia"/>
          <w:lang w:val="en-GB"/>
        </w:rPr>
      </w:pPr>
      <w:r w:rsidRPr="0002056A">
        <w:rPr>
          <w:rFonts w:ascii="Georgia" w:hAnsi="Georgia"/>
          <w:noProof/>
          <w:lang w:val="en-GB"/>
          <w14:ligatures w14:val="standardContextual"/>
        </w:rPr>
        <w:lastRenderedPageBreak/>
        <w:drawing>
          <wp:inline distT="0" distB="0" distL="0" distR="0" wp14:anchorId="5D26F953" wp14:editId="2E94C525">
            <wp:extent cx="5760720" cy="4863465"/>
            <wp:effectExtent l="19050" t="19050" r="11430" b="13335"/>
            <wp:docPr id="1039722913"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22913" name="Kép 10397229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2DB4014F" w14:textId="584AD237" w:rsidR="000948B1" w:rsidRPr="0002056A" w:rsidRDefault="000948B1" w:rsidP="00985740">
      <w:pPr>
        <w:jc w:val="center"/>
        <w:rPr>
          <w:rFonts w:ascii="Georgia" w:hAnsi="Georgia"/>
          <w:i/>
          <w:iCs/>
          <w:sz w:val="18"/>
          <w:szCs w:val="18"/>
          <w:lang w:val="en-GB"/>
        </w:rPr>
      </w:pPr>
      <w:r w:rsidRPr="0002056A">
        <w:rPr>
          <w:rFonts w:ascii="Georgia" w:hAnsi="Georgia"/>
          <w:b/>
          <w:bCs/>
          <w:sz w:val="18"/>
          <w:szCs w:val="18"/>
          <w:lang w:val="en-GB"/>
        </w:rPr>
        <w:t xml:space="preserve">Figure </w:t>
      </w:r>
      <w:r w:rsidR="00985740" w:rsidRPr="0002056A">
        <w:rPr>
          <w:rFonts w:ascii="Georgia" w:hAnsi="Georgia"/>
          <w:b/>
          <w:bCs/>
          <w:sz w:val="18"/>
          <w:szCs w:val="18"/>
          <w:lang w:val="en-GB"/>
        </w:rPr>
        <w:t>11</w:t>
      </w:r>
      <w:r w:rsidRPr="0002056A">
        <w:rPr>
          <w:rFonts w:ascii="Georgia" w:hAnsi="Georgia"/>
          <w:b/>
          <w:bCs/>
          <w:sz w:val="18"/>
          <w:szCs w:val="18"/>
          <w:lang w:val="en-GB"/>
        </w:rPr>
        <w:t xml:space="preserve">: Delimitation of the analysed area. </w:t>
      </w:r>
      <w:r w:rsidRPr="0002056A">
        <w:rPr>
          <w:rFonts w:ascii="Georgia" w:hAnsi="Georgia"/>
          <w:i/>
          <w:iCs/>
          <w:sz w:val="18"/>
          <w:szCs w:val="18"/>
          <w:lang w:val="en-GB"/>
        </w:rPr>
        <w:t>Source: own editing.</w:t>
      </w:r>
    </w:p>
    <w:p w14:paraId="55F27E07" w14:textId="69923C48" w:rsidR="001148E6" w:rsidRPr="0002056A" w:rsidRDefault="001148E6" w:rsidP="00CD5BF3">
      <w:pPr>
        <w:spacing w:before="120" w:after="120"/>
        <w:jc w:val="both"/>
        <w:rPr>
          <w:rFonts w:ascii="Georgia" w:hAnsi="Georgia"/>
          <w:lang w:val="en-GB"/>
        </w:rPr>
      </w:pPr>
      <w:r w:rsidRPr="0002056A">
        <w:rPr>
          <w:rFonts w:ascii="Georgia" w:hAnsi="Georgia"/>
          <w:lang w:val="en-GB"/>
        </w:rPr>
        <w:t xml:space="preserve">Regarding </w:t>
      </w:r>
      <w:r w:rsidRPr="0002056A">
        <w:rPr>
          <w:rFonts w:ascii="Georgia" w:hAnsi="Georgia"/>
          <w:b/>
          <w:bCs/>
          <w:lang w:val="en-GB"/>
        </w:rPr>
        <w:t>the time scope</w:t>
      </w:r>
      <w:r w:rsidRPr="0002056A">
        <w:rPr>
          <w:rFonts w:ascii="Georgia" w:hAnsi="Georgia"/>
          <w:lang w:val="en-GB"/>
        </w:rPr>
        <w:t>, considering that adaptation is a relative</w:t>
      </w:r>
      <w:r w:rsidR="00EF1CE3" w:rsidRPr="0002056A">
        <w:rPr>
          <w:rFonts w:ascii="Georgia" w:hAnsi="Georgia"/>
          <w:lang w:val="en-GB"/>
        </w:rPr>
        <w:t>ly new</w:t>
      </w:r>
      <w:r w:rsidRPr="0002056A">
        <w:rPr>
          <w:rFonts w:ascii="Georgia" w:hAnsi="Georgia"/>
          <w:lang w:val="en-GB"/>
        </w:rPr>
        <w:t xml:space="preserve"> field</w:t>
      </w:r>
      <w:r w:rsidR="00183CB8" w:rsidRPr="0002056A">
        <w:rPr>
          <w:rFonts w:ascii="Georgia" w:hAnsi="Georgia"/>
          <w:lang w:val="en-GB"/>
        </w:rPr>
        <w:t xml:space="preserve"> (</w:t>
      </w:r>
      <w:r w:rsidRPr="0002056A">
        <w:rPr>
          <w:rFonts w:ascii="Georgia" w:hAnsi="Georgia"/>
          <w:lang w:val="en-GB"/>
        </w:rPr>
        <w:t xml:space="preserve">the </w:t>
      </w:r>
      <w:r w:rsidR="0090144E" w:rsidRPr="0002056A">
        <w:rPr>
          <w:rFonts w:ascii="Georgia" w:hAnsi="Georgia"/>
          <w:lang w:val="en-GB"/>
        </w:rPr>
        <w:t>EU</w:t>
      </w:r>
      <w:r w:rsidR="00525E15" w:rsidRPr="0002056A">
        <w:rPr>
          <w:rFonts w:ascii="Georgia" w:hAnsi="Georgia"/>
          <w:lang w:val="en-GB"/>
        </w:rPr>
        <w:t>-</w:t>
      </w:r>
      <w:r w:rsidRPr="0002056A">
        <w:rPr>
          <w:rFonts w:ascii="Georgia" w:hAnsi="Georgia"/>
          <w:lang w:val="en-GB"/>
        </w:rPr>
        <w:t xml:space="preserve">level strategic frameworks has been </w:t>
      </w:r>
      <w:r w:rsidR="00D20A49" w:rsidRPr="0002056A">
        <w:rPr>
          <w:rFonts w:ascii="Georgia" w:hAnsi="Georgia"/>
          <w:lang w:val="en-GB"/>
        </w:rPr>
        <w:t xml:space="preserve">recently </w:t>
      </w:r>
      <w:r w:rsidRPr="0002056A">
        <w:rPr>
          <w:rFonts w:ascii="Georgia" w:hAnsi="Georgia"/>
          <w:lang w:val="en-GB"/>
        </w:rPr>
        <w:t xml:space="preserve">established and </w:t>
      </w:r>
      <w:r w:rsidR="00525E15" w:rsidRPr="0002056A">
        <w:rPr>
          <w:rFonts w:ascii="Georgia" w:hAnsi="Georgia"/>
          <w:lang w:val="en-GB"/>
        </w:rPr>
        <w:t>regular national/</w:t>
      </w:r>
      <w:r w:rsidRPr="0002056A">
        <w:rPr>
          <w:rFonts w:ascii="Georgia" w:hAnsi="Georgia"/>
          <w:lang w:val="en-GB"/>
        </w:rPr>
        <w:t>regional/local planning cycles ha</w:t>
      </w:r>
      <w:r w:rsidR="004A2382" w:rsidRPr="0002056A">
        <w:rPr>
          <w:rFonts w:ascii="Georgia" w:hAnsi="Georgia"/>
          <w:lang w:val="en-GB"/>
        </w:rPr>
        <w:t>ve</w:t>
      </w:r>
      <w:r w:rsidRPr="0002056A">
        <w:rPr>
          <w:rFonts w:ascii="Georgia" w:hAnsi="Georgia"/>
          <w:lang w:val="en-GB"/>
        </w:rPr>
        <w:t xml:space="preserve"> only </w:t>
      </w:r>
      <w:r w:rsidR="004A2382" w:rsidRPr="0002056A">
        <w:rPr>
          <w:rFonts w:ascii="Georgia" w:hAnsi="Georgia"/>
          <w:lang w:val="en-GB"/>
        </w:rPr>
        <w:t xml:space="preserve">begun </w:t>
      </w:r>
      <w:r w:rsidRPr="0002056A">
        <w:rPr>
          <w:rFonts w:ascii="Georgia" w:hAnsi="Georgia"/>
          <w:lang w:val="en-GB"/>
        </w:rPr>
        <w:t>since the early 2010s in Europe</w:t>
      </w:r>
      <w:r w:rsidR="00183CB8" w:rsidRPr="0002056A">
        <w:rPr>
          <w:rFonts w:ascii="Georgia" w:hAnsi="Georgia"/>
          <w:lang w:val="en-GB"/>
        </w:rPr>
        <w:t>)</w:t>
      </w:r>
      <w:r w:rsidRPr="0002056A">
        <w:rPr>
          <w:rFonts w:ascii="Georgia" w:hAnsi="Georgia"/>
          <w:lang w:val="en-GB"/>
        </w:rPr>
        <w:t xml:space="preserve"> the </w:t>
      </w:r>
      <w:r w:rsidR="006E6873" w:rsidRPr="0002056A">
        <w:rPr>
          <w:rFonts w:ascii="Georgia" w:hAnsi="Georgia"/>
          <w:lang w:val="en-GB"/>
        </w:rPr>
        <w:t xml:space="preserve">research </w:t>
      </w:r>
      <w:r w:rsidR="00CE5324" w:rsidRPr="0002056A">
        <w:rPr>
          <w:rFonts w:ascii="Georgia" w:hAnsi="Georgia"/>
          <w:lang w:val="en-GB"/>
        </w:rPr>
        <w:t>concentrates</w:t>
      </w:r>
      <w:r w:rsidR="006E6873" w:rsidRPr="0002056A">
        <w:rPr>
          <w:rFonts w:ascii="Georgia" w:hAnsi="Georgia"/>
          <w:lang w:val="en-GB"/>
        </w:rPr>
        <w:t xml:space="preserve"> on </w:t>
      </w:r>
      <w:r w:rsidR="006E6873" w:rsidRPr="0002056A">
        <w:rPr>
          <w:rFonts w:ascii="Georgia" w:hAnsi="Georgia"/>
          <w:b/>
          <w:bCs/>
          <w:lang w:val="en-GB"/>
        </w:rPr>
        <w:t>the period of the last 1-1,5 decades</w:t>
      </w:r>
      <w:r w:rsidR="006E6873" w:rsidRPr="0002056A">
        <w:rPr>
          <w:rFonts w:ascii="Georgia" w:hAnsi="Georgia"/>
          <w:lang w:val="en-GB"/>
        </w:rPr>
        <w:t xml:space="preserve">, comparatively analysing </w:t>
      </w:r>
      <w:r w:rsidR="007B6C37" w:rsidRPr="0002056A">
        <w:rPr>
          <w:rFonts w:ascii="Georgia" w:hAnsi="Georgia"/>
          <w:lang w:val="en-GB"/>
        </w:rPr>
        <w:t>the natio</w:t>
      </w:r>
      <w:r w:rsidR="006E6873" w:rsidRPr="0002056A">
        <w:rPr>
          <w:rFonts w:ascii="Georgia" w:hAnsi="Georgia"/>
          <w:lang w:val="en-GB"/>
        </w:rPr>
        <w:t xml:space="preserve">nal level planning and MRE documents of adaptation policy, and results of the first </w:t>
      </w:r>
      <w:r w:rsidR="00B03D08" w:rsidRPr="0002056A">
        <w:rPr>
          <w:rFonts w:ascii="Georgia" w:hAnsi="Georgia"/>
          <w:lang w:val="en-GB"/>
        </w:rPr>
        <w:t xml:space="preserve">complete </w:t>
      </w:r>
      <w:r w:rsidR="006E6873" w:rsidRPr="0002056A">
        <w:rPr>
          <w:rFonts w:ascii="Georgia" w:hAnsi="Georgia"/>
          <w:lang w:val="en-GB"/>
        </w:rPr>
        <w:t>MRE cycle</w:t>
      </w:r>
      <w:r w:rsidR="00FD3AFD" w:rsidRPr="0002056A">
        <w:rPr>
          <w:rFonts w:ascii="Georgia" w:hAnsi="Georgia"/>
          <w:lang w:val="en-GB"/>
        </w:rPr>
        <w:t>s</w:t>
      </w:r>
      <w:r w:rsidR="002F02E6" w:rsidRPr="0002056A">
        <w:rPr>
          <w:rFonts w:ascii="Georgia" w:hAnsi="Georgia"/>
          <w:lang w:val="en-GB"/>
        </w:rPr>
        <w:t xml:space="preserve"> from the different states</w:t>
      </w:r>
      <w:r w:rsidR="006E6873" w:rsidRPr="0002056A">
        <w:rPr>
          <w:rFonts w:ascii="Georgia" w:hAnsi="Georgia"/>
          <w:lang w:val="en-GB"/>
        </w:rPr>
        <w:t>.</w:t>
      </w:r>
      <w:r w:rsidR="00CE5324" w:rsidRPr="0002056A">
        <w:rPr>
          <w:rFonts w:ascii="Georgia" w:hAnsi="Georgia"/>
          <w:lang w:val="en-GB"/>
        </w:rPr>
        <w:t xml:space="preserve"> </w:t>
      </w:r>
      <w:r w:rsidR="00FD3AFD" w:rsidRPr="0002056A">
        <w:rPr>
          <w:rFonts w:ascii="Georgia" w:hAnsi="Georgia"/>
          <w:lang w:val="en-GB"/>
        </w:rPr>
        <w:t xml:space="preserve">As we have already </w:t>
      </w:r>
      <w:r w:rsidR="00220FC2">
        <w:rPr>
          <w:rFonts w:ascii="Georgia" w:hAnsi="Georgia"/>
          <w:lang w:val="en-GB"/>
        </w:rPr>
        <w:t xml:space="preserve">mentioned, </w:t>
      </w:r>
      <w:r w:rsidR="00220FC2" w:rsidRPr="00B77721">
        <w:rPr>
          <w:rFonts w:ascii="Georgia" w:hAnsi="Georgia"/>
          <w:b/>
          <w:bCs/>
          <w:lang w:val="en-GB"/>
        </w:rPr>
        <w:t>the analysis is static, focusing on the most recent</w:t>
      </w:r>
      <w:r w:rsidR="00B03D08" w:rsidRPr="0002056A">
        <w:rPr>
          <w:rFonts w:ascii="Georgia" w:hAnsi="Georgia"/>
          <w:b/>
          <w:bCs/>
          <w:lang w:val="en-GB"/>
        </w:rPr>
        <w:t xml:space="preserve"> </w:t>
      </w:r>
      <w:r w:rsidR="00CE5324" w:rsidRPr="0002056A">
        <w:rPr>
          <w:rFonts w:ascii="Georgia" w:hAnsi="Georgia"/>
          <w:b/>
          <w:bCs/>
          <w:lang w:val="en-GB"/>
        </w:rPr>
        <w:t>planning documents</w:t>
      </w:r>
      <w:r w:rsidR="00CE5324" w:rsidRPr="0002056A">
        <w:rPr>
          <w:rFonts w:ascii="Georgia" w:hAnsi="Georgia"/>
          <w:lang w:val="en-GB"/>
        </w:rPr>
        <w:t>.</w:t>
      </w:r>
      <w:r w:rsidR="002A68E5" w:rsidRPr="0002056A">
        <w:rPr>
          <w:rFonts w:ascii="Georgia" w:hAnsi="Georgia"/>
          <w:lang w:val="en-GB"/>
        </w:rPr>
        <w:t xml:space="preserve"> </w:t>
      </w:r>
      <w:r w:rsidR="002A68E5" w:rsidRPr="0002056A">
        <w:rPr>
          <w:rFonts w:ascii="Georgia" w:hAnsi="Georgia"/>
          <w:b/>
          <w:bCs/>
          <w:lang w:val="en-GB"/>
        </w:rPr>
        <w:t>The collection of material</w:t>
      </w:r>
      <w:r w:rsidR="005020B4" w:rsidRPr="0002056A">
        <w:rPr>
          <w:rFonts w:ascii="Georgia" w:hAnsi="Georgia"/>
          <w:b/>
          <w:bCs/>
          <w:lang w:val="en-GB"/>
        </w:rPr>
        <w:t>s</w:t>
      </w:r>
      <w:r w:rsidR="002A68E5" w:rsidRPr="0002056A">
        <w:rPr>
          <w:rFonts w:ascii="Georgia" w:hAnsi="Georgia"/>
          <w:b/>
          <w:bCs/>
          <w:lang w:val="en-GB"/>
        </w:rPr>
        <w:t xml:space="preserve"> was closed in August 2025.</w:t>
      </w:r>
      <w:r w:rsidR="005020B4" w:rsidRPr="0002056A">
        <w:rPr>
          <w:rFonts w:ascii="Georgia" w:hAnsi="Georgia"/>
          <w:lang w:val="en-GB"/>
        </w:rPr>
        <w:t xml:space="preserve"> NAS, NAP or MRE documents that were published or made available only after that date </w:t>
      </w:r>
      <w:r w:rsidR="004A2382" w:rsidRPr="0002056A">
        <w:rPr>
          <w:rFonts w:ascii="Georgia" w:hAnsi="Georgia"/>
          <w:lang w:val="en-GB"/>
        </w:rPr>
        <w:t>ha</w:t>
      </w:r>
      <w:r w:rsidR="00B011DA" w:rsidRPr="0002056A">
        <w:rPr>
          <w:rFonts w:ascii="Georgia" w:hAnsi="Georgia"/>
          <w:lang w:val="en-GB"/>
        </w:rPr>
        <w:t>d</w:t>
      </w:r>
      <w:r w:rsidR="005020B4" w:rsidRPr="0002056A">
        <w:rPr>
          <w:rFonts w:ascii="Georgia" w:hAnsi="Georgia"/>
          <w:lang w:val="en-GB"/>
        </w:rPr>
        <w:t xml:space="preserve"> not </w:t>
      </w:r>
      <w:r w:rsidR="007D0CBD" w:rsidRPr="0002056A">
        <w:rPr>
          <w:rFonts w:ascii="Georgia" w:hAnsi="Georgia"/>
          <w:lang w:val="en-GB"/>
        </w:rPr>
        <w:t xml:space="preserve">been </w:t>
      </w:r>
      <w:r w:rsidR="005020B4" w:rsidRPr="0002056A">
        <w:rPr>
          <w:rFonts w:ascii="Georgia" w:hAnsi="Georgia"/>
          <w:lang w:val="en-GB"/>
        </w:rPr>
        <w:t>taken into consideration in the research</w:t>
      </w:r>
      <w:r w:rsidR="00C01F40" w:rsidRPr="0002056A">
        <w:rPr>
          <w:rFonts w:ascii="Georgia" w:hAnsi="Georgia"/>
          <w:lang w:val="en-GB"/>
        </w:rPr>
        <w:t>.</w:t>
      </w:r>
      <w:r w:rsidR="002A68E5" w:rsidRPr="0002056A">
        <w:rPr>
          <w:rFonts w:ascii="Georgia" w:hAnsi="Georgia"/>
          <w:lang w:val="en-GB"/>
        </w:rPr>
        <w:t xml:space="preserve"> </w:t>
      </w:r>
    </w:p>
    <w:p w14:paraId="5D3DF449" w14:textId="725CC757" w:rsidR="001148E6" w:rsidRPr="0002056A" w:rsidRDefault="001148E6" w:rsidP="00214BD9">
      <w:pPr>
        <w:pStyle w:val="Cmsor4"/>
        <w:numPr>
          <w:ilvl w:val="3"/>
          <w:numId w:val="4"/>
        </w:numPr>
        <w:rPr>
          <w:lang w:val="en-GB"/>
        </w:rPr>
      </w:pPr>
      <w:r w:rsidRPr="0002056A">
        <w:rPr>
          <w:lang w:val="en-GB"/>
        </w:rPr>
        <w:t>Context of macro regional differences</w:t>
      </w:r>
    </w:p>
    <w:p w14:paraId="2BA628EA" w14:textId="5A982DA7" w:rsidR="005304F4" w:rsidRPr="0002056A" w:rsidRDefault="005304F4" w:rsidP="00CD5BF3">
      <w:pPr>
        <w:spacing w:before="120" w:after="120"/>
        <w:jc w:val="both"/>
        <w:rPr>
          <w:rFonts w:ascii="Georgia" w:hAnsi="Georgia"/>
          <w:lang w:val="en-GB"/>
        </w:rPr>
      </w:pPr>
      <w:r w:rsidRPr="0002056A">
        <w:rPr>
          <w:rFonts w:ascii="Georgia" w:hAnsi="Georgia"/>
          <w:lang w:val="en-GB"/>
        </w:rPr>
        <w:t xml:space="preserve">The </w:t>
      </w:r>
      <w:r w:rsidR="00A44CA2" w:rsidRPr="0002056A">
        <w:rPr>
          <w:rFonts w:ascii="Georgia" w:hAnsi="Georgia"/>
          <w:lang w:val="en-GB"/>
        </w:rPr>
        <w:t>last</w:t>
      </w:r>
      <w:r w:rsidRPr="0002056A">
        <w:rPr>
          <w:rFonts w:ascii="Georgia" w:hAnsi="Georgia"/>
          <w:lang w:val="en-GB"/>
        </w:rPr>
        <w:t xml:space="preserve"> part of the empirical analysis focus</w:t>
      </w:r>
      <w:r w:rsidR="00A44CA2" w:rsidRPr="0002056A">
        <w:rPr>
          <w:rFonts w:ascii="Georgia" w:hAnsi="Georgia"/>
          <w:lang w:val="en-GB"/>
        </w:rPr>
        <w:t>es</w:t>
      </w:r>
      <w:r w:rsidRPr="0002056A">
        <w:rPr>
          <w:rFonts w:ascii="Georgia" w:hAnsi="Georgia"/>
          <w:lang w:val="en-GB"/>
        </w:rPr>
        <w:t xml:space="preserve"> on potential (macro</w:t>
      </w:r>
      <w:r w:rsidR="007D0CBD" w:rsidRPr="0002056A">
        <w:rPr>
          <w:rFonts w:ascii="Georgia" w:hAnsi="Georgia"/>
          <w:lang w:val="en-GB"/>
        </w:rPr>
        <w:t xml:space="preserve"> </w:t>
      </w:r>
      <w:r w:rsidRPr="0002056A">
        <w:rPr>
          <w:rFonts w:ascii="Georgia" w:hAnsi="Georgia"/>
          <w:lang w:val="en-GB"/>
        </w:rPr>
        <w:t xml:space="preserve">regional) differences between the different groups of countries in terms of climate adaptation planning, MRE and these activities’ spatiality. </w:t>
      </w:r>
      <w:r w:rsidR="00327A3E" w:rsidRPr="0002056A">
        <w:rPr>
          <w:rFonts w:ascii="Georgia" w:hAnsi="Georgia"/>
          <w:lang w:val="en-GB"/>
        </w:rPr>
        <w:t>The basis of th</w:t>
      </w:r>
      <w:r w:rsidR="007D0CBD" w:rsidRPr="0002056A">
        <w:rPr>
          <w:rFonts w:ascii="Georgia" w:hAnsi="Georgia"/>
          <w:lang w:val="en-GB"/>
        </w:rPr>
        <w:t>e</w:t>
      </w:r>
      <w:r w:rsidR="00327A3E" w:rsidRPr="0002056A">
        <w:rPr>
          <w:rFonts w:ascii="Georgia" w:hAnsi="Georgia"/>
          <w:lang w:val="en-GB"/>
        </w:rPr>
        <w:t xml:space="preserve"> research logic root</w:t>
      </w:r>
      <w:r w:rsidR="008029B3" w:rsidRPr="0002056A">
        <w:rPr>
          <w:rFonts w:ascii="Georgia" w:hAnsi="Georgia"/>
          <w:lang w:val="en-GB"/>
        </w:rPr>
        <w:t>s</w:t>
      </w:r>
      <w:r w:rsidR="00327A3E" w:rsidRPr="0002056A">
        <w:rPr>
          <w:rFonts w:ascii="Georgia" w:hAnsi="Georgia"/>
          <w:lang w:val="en-GB"/>
        </w:rPr>
        <w:t xml:space="preserve"> back</w:t>
      </w:r>
      <w:r w:rsidR="00220FC2">
        <w:rPr>
          <w:rFonts w:ascii="Georgia" w:hAnsi="Georgia"/>
          <w:lang w:val="en-GB"/>
        </w:rPr>
        <w:t>, on the one hand, to Greiving and Fleischhauer’s study, which stated that in 2010, climate change impacts in Europe were</w:t>
      </w:r>
      <w:r w:rsidRPr="0002056A">
        <w:rPr>
          <w:rFonts w:ascii="Georgia" w:hAnsi="Georgia"/>
          <w:lang w:val="en-GB"/>
        </w:rPr>
        <w:t xml:space="preserve"> distributed differently in regions due to the variation of climatic endowments</w:t>
      </w:r>
      <w:r w:rsidR="003E6E92" w:rsidRPr="0002056A">
        <w:rPr>
          <w:rFonts w:ascii="Georgia" w:hAnsi="Georgia"/>
          <w:lang w:val="en-GB"/>
        </w:rPr>
        <w:t xml:space="preserve">, showing </w:t>
      </w:r>
      <w:r w:rsidRPr="0002056A">
        <w:rPr>
          <w:rFonts w:ascii="Georgia" w:hAnsi="Georgia"/>
          <w:lang w:val="en-GB"/>
        </w:rPr>
        <w:t>some common spatial</w:t>
      </w:r>
      <w:r w:rsidR="009F44C4" w:rsidRPr="0002056A">
        <w:rPr>
          <w:rFonts w:ascii="Georgia" w:hAnsi="Georgia"/>
          <w:lang w:val="en-GB"/>
        </w:rPr>
        <w:t xml:space="preserve"> (</w:t>
      </w:r>
      <w:r w:rsidR="00D578A0" w:rsidRPr="0002056A">
        <w:rPr>
          <w:rFonts w:ascii="Georgia" w:hAnsi="Georgia"/>
          <w:lang w:val="en-GB"/>
        </w:rPr>
        <w:t>regional</w:t>
      </w:r>
      <w:r w:rsidR="009F44C4" w:rsidRPr="0002056A">
        <w:rPr>
          <w:rFonts w:ascii="Georgia" w:hAnsi="Georgia"/>
          <w:lang w:val="en-GB"/>
        </w:rPr>
        <w:t xml:space="preserve">) </w:t>
      </w:r>
      <w:r w:rsidRPr="0002056A">
        <w:rPr>
          <w:rFonts w:ascii="Georgia" w:hAnsi="Georgia"/>
          <w:lang w:val="en-GB"/>
        </w:rPr>
        <w:t>patterns</w:t>
      </w:r>
      <w:r w:rsidR="00C83F8C" w:rsidRPr="0002056A">
        <w:rPr>
          <w:rFonts w:ascii="Georgia" w:hAnsi="Georgia"/>
          <w:lang w:val="en-GB"/>
        </w:rPr>
        <w:t xml:space="preserve"> (ma</w:t>
      </w:r>
      <w:r w:rsidR="009B75F2" w:rsidRPr="0002056A">
        <w:rPr>
          <w:rFonts w:ascii="Georgia" w:hAnsi="Georgia"/>
          <w:lang w:val="en-GB"/>
        </w:rPr>
        <w:t>cro</w:t>
      </w:r>
      <w:r w:rsidRPr="0002056A">
        <w:rPr>
          <w:rFonts w:ascii="Georgia" w:hAnsi="Georgia"/>
          <w:lang w:val="en-GB"/>
        </w:rPr>
        <w:t xml:space="preserve"> regions </w:t>
      </w:r>
      <w:r w:rsidR="009B75F2" w:rsidRPr="0002056A">
        <w:rPr>
          <w:rFonts w:ascii="Georgia" w:hAnsi="Georgia"/>
          <w:lang w:val="en-GB"/>
        </w:rPr>
        <w:t xml:space="preserve">suffering from </w:t>
      </w:r>
      <w:r w:rsidR="00C83F8C" w:rsidRPr="0002056A">
        <w:rPr>
          <w:rFonts w:ascii="Georgia" w:hAnsi="Georgia"/>
          <w:lang w:val="en-GB"/>
        </w:rPr>
        <w:t>challenges)</w:t>
      </w:r>
      <w:r w:rsidRPr="0002056A">
        <w:rPr>
          <w:rFonts w:ascii="Georgia" w:hAnsi="Georgia"/>
          <w:lang w:val="en-GB"/>
        </w:rPr>
        <w:t>. The</w:t>
      </w:r>
      <w:r w:rsidR="00D578A0" w:rsidRPr="0002056A">
        <w:rPr>
          <w:rFonts w:ascii="Georgia" w:hAnsi="Georgia"/>
          <w:lang w:val="en-GB"/>
        </w:rPr>
        <w:t>se</w:t>
      </w:r>
      <w:r w:rsidRPr="0002056A">
        <w:rPr>
          <w:rFonts w:ascii="Georgia" w:hAnsi="Georgia"/>
          <w:lang w:val="en-GB"/>
        </w:rPr>
        <w:t xml:space="preserve"> regional differences </w:t>
      </w:r>
      <w:r w:rsidR="00D578A0" w:rsidRPr="0002056A">
        <w:rPr>
          <w:rFonts w:ascii="Georgia" w:hAnsi="Georgia"/>
          <w:lang w:val="en-GB"/>
        </w:rPr>
        <w:t>may</w:t>
      </w:r>
      <w:r w:rsidRPr="0002056A">
        <w:rPr>
          <w:rFonts w:ascii="Georgia" w:hAnsi="Georgia"/>
          <w:lang w:val="en-GB"/>
        </w:rPr>
        <w:t xml:space="preserve"> influence the design of the national adaptation strategies (</w:t>
      </w:r>
      <w:r w:rsidRPr="0002056A">
        <w:rPr>
          <w:rFonts w:ascii="Georgia" w:hAnsi="Georgia" w:cstheme="minorHAnsi"/>
          <w:smallCaps/>
          <w:lang w:val="en-GB"/>
        </w:rPr>
        <w:t>Greiving-Fleischhauer, 2010</w:t>
      </w:r>
      <w:r w:rsidRPr="0002056A">
        <w:rPr>
          <w:rFonts w:ascii="Georgia" w:hAnsi="Georgia"/>
          <w:lang w:val="en-GB"/>
        </w:rPr>
        <w:t xml:space="preserve">). </w:t>
      </w:r>
      <w:r w:rsidR="007D0CBD" w:rsidRPr="0002056A">
        <w:rPr>
          <w:rFonts w:ascii="Georgia" w:hAnsi="Georgia"/>
          <w:lang w:val="en-GB"/>
        </w:rPr>
        <w:t>On the other hand, a</w:t>
      </w:r>
      <w:r w:rsidRPr="0002056A">
        <w:rPr>
          <w:rFonts w:ascii="Georgia" w:hAnsi="Georgia"/>
          <w:lang w:val="en-GB"/>
        </w:rPr>
        <w:t xml:space="preserve">ccording to my practical professional experience in planning and MRE so far, independently from the covered sector (regional </w:t>
      </w:r>
      <w:r w:rsidRPr="0002056A">
        <w:rPr>
          <w:rFonts w:ascii="Georgia" w:hAnsi="Georgia"/>
          <w:lang w:val="en-GB"/>
        </w:rPr>
        <w:lastRenderedPageBreak/>
        <w:t>development, settlement development, physical planning, tourism development, economic development, development policy planning) and based on the related literature (</w:t>
      </w:r>
      <w:r w:rsidRPr="0002056A">
        <w:rPr>
          <w:rFonts w:ascii="Georgia" w:hAnsi="Georgia"/>
          <w:smallCaps/>
          <w:lang w:val="en-GB"/>
        </w:rPr>
        <w:t xml:space="preserve">Illés, 2002; </w:t>
      </w:r>
      <w:r w:rsidR="00805D14" w:rsidRPr="0002056A">
        <w:rPr>
          <w:rFonts w:ascii="Georgia" w:eastAsia="Times New Roman" w:hAnsi="Georgia" w:cstheme="minorHAnsi"/>
          <w:smallCaps/>
          <w:lang w:val="en-GB" w:eastAsia="hu-HU"/>
        </w:rPr>
        <w:t xml:space="preserve">Damsgaard et el., </w:t>
      </w:r>
      <w:r w:rsidRPr="0002056A">
        <w:rPr>
          <w:rFonts w:ascii="Georgia" w:eastAsia="Times New Roman" w:hAnsi="Georgia" w:cstheme="minorHAnsi"/>
          <w:smallCaps/>
          <w:lang w:val="en-GB" w:eastAsia="hu-HU"/>
        </w:rPr>
        <w:t>2011</w:t>
      </w:r>
      <w:r w:rsidR="00805D14" w:rsidRPr="0002056A">
        <w:rPr>
          <w:rFonts w:ascii="Georgia" w:eastAsia="Times New Roman" w:hAnsi="Georgia" w:cstheme="minorHAnsi"/>
          <w:smallCaps/>
          <w:lang w:val="en-GB" w:eastAsia="hu-HU"/>
        </w:rPr>
        <w:t>;</w:t>
      </w:r>
      <w:r w:rsidRPr="0002056A">
        <w:rPr>
          <w:rFonts w:ascii="Georgia" w:eastAsia="Times New Roman" w:hAnsi="Georgia" w:cstheme="minorHAnsi"/>
          <w:smallCaps/>
          <w:lang w:val="en-GB" w:eastAsia="hu-HU"/>
        </w:rPr>
        <w:t xml:space="preserve"> </w:t>
      </w:r>
      <w:r w:rsidRPr="0002056A">
        <w:rPr>
          <w:rFonts w:ascii="Georgia" w:hAnsi="Georgia" w:cstheme="minorHAnsi"/>
          <w:smallCaps/>
          <w:lang w:val="en-GB"/>
        </w:rPr>
        <w:t xml:space="preserve">EEA, 2015 and 2022; Pringle et al., 2017; </w:t>
      </w:r>
      <w:r w:rsidRPr="0002056A">
        <w:rPr>
          <w:rFonts w:ascii="Georgia" w:hAnsi="Georgia"/>
          <w:smallCaps/>
          <w:lang w:val="en-GB"/>
        </w:rPr>
        <w:t>Salamin, 2018</w:t>
      </w:r>
      <w:r w:rsidR="00042F11" w:rsidRPr="0002056A">
        <w:rPr>
          <w:rFonts w:ascii="Georgia" w:hAnsi="Georgia"/>
          <w:smallCaps/>
          <w:lang w:val="en-GB"/>
        </w:rPr>
        <w:t xml:space="preserve">, </w:t>
      </w:r>
      <w:r w:rsidR="00042F11" w:rsidRPr="0002056A">
        <w:rPr>
          <w:rFonts w:ascii="Georgia" w:hAnsi="Georgia" w:cstheme="minorHAnsi"/>
          <w:lang w:val="en-GB"/>
        </w:rPr>
        <w:t>etc.</w:t>
      </w:r>
      <w:r w:rsidRPr="0002056A">
        <w:rPr>
          <w:rFonts w:ascii="Georgia" w:hAnsi="Georgia"/>
          <w:lang w:val="en-GB"/>
        </w:rPr>
        <w:t xml:space="preserve">), a basic spatial picture stands out. In accordance with these the Western and Northern parts of Europe show significantly greater traditions of long-term, conscious strategic planning than Eastern and Central Europe, thanks to the earlier-began spreading of these activities in the more developed, urbanized parts of Europe, and due to the fact that </w:t>
      </w:r>
      <w:r w:rsidR="00DE5B40" w:rsidRPr="0002056A">
        <w:rPr>
          <w:rFonts w:ascii="Georgia" w:hAnsi="Georgia"/>
          <w:lang w:val="en-GB"/>
        </w:rPr>
        <w:t xml:space="preserve">straight </w:t>
      </w:r>
      <w:r w:rsidRPr="0002056A">
        <w:rPr>
          <w:rFonts w:ascii="Georgia" w:hAnsi="Georgia"/>
          <w:lang w:val="en-GB"/>
        </w:rPr>
        <w:t xml:space="preserve">after the </w:t>
      </w:r>
      <w:r w:rsidR="00784847" w:rsidRPr="0002056A">
        <w:rPr>
          <w:rFonts w:ascii="Georgia" w:hAnsi="Georgia"/>
          <w:lang w:val="en-GB"/>
        </w:rPr>
        <w:t>1989-</w:t>
      </w:r>
      <w:r w:rsidRPr="0002056A">
        <w:rPr>
          <w:rFonts w:ascii="Georgia" w:hAnsi="Georgia"/>
          <w:lang w:val="en-GB"/>
        </w:rPr>
        <w:t xml:space="preserve">90 regime changes in the former Eastern bloc, the four decades of centrally planned economies depreciated the concept and activity of “planning” in the region. Although a renaissance of planning </w:t>
      </w:r>
      <w:r w:rsidR="001E2249" w:rsidRPr="0002056A">
        <w:rPr>
          <w:rFonts w:ascii="Georgia" w:hAnsi="Georgia"/>
          <w:lang w:val="en-GB"/>
        </w:rPr>
        <w:t>could</w:t>
      </w:r>
      <w:r w:rsidRPr="0002056A">
        <w:rPr>
          <w:rFonts w:ascii="Georgia" w:hAnsi="Georgia"/>
          <w:lang w:val="en-GB"/>
        </w:rPr>
        <w:t xml:space="preserve"> </w:t>
      </w:r>
      <w:r w:rsidR="001E2249" w:rsidRPr="0002056A">
        <w:rPr>
          <w:rFonts w:ascii="Georgia" w:hAnsi="Georgia"/>
          <w:lang w:val="en-GB"/>
        </w:rPr>
        <w:t xml:space="preserve">be </w:t>
      </w:r>
      <w:r w:rsidRPr="0002056A">
        <w:rPr>
          <w:rFonts w:ascii="Georgia" w:hAnsi="Georgia"/>
          <w:lang w:val="en-GB"/>
        </w:rPr>
        <w:t xml:space="preserve">observed </w:t>
      </w:r>
      <w:r w:rsidR="001E2249" w:rsidRPr="0002056A">
        <w:rPr>
          <w:rFonts w:ascii="Georgia" w:hAnsi="Georgia"/>
          <w:lang w:val="en-GB"/>
        </w:rPr>
        <w:t>around</w:t>
      </w:r>
      <w:r w:rsidRPr="0002056A">
        <w:rPr>
          <w:rFonts w:ascii="Georgia" w:hAnsi="Georgia"/>
          <w:lang w:val="en-GB"/>
        </w:rPr>
        <w:t xml:space="preserve"> the Millennium</w:t>
      </w:r>
      <w:r w:rsidR="00DE5B40" w:rsidRPr="0002056A">
        <w:rPr>
          <w:rFonts w:ascii="Georgia" w:hAnsi="Georgia"/>
          <w:lang w:val="en-GB"/>
        </w:rPr>
        <w:t xml:space="preserve"> in Eastern-Central Europe</w:t>
      </w:r>
      <w:r w:rsidRPr="0002056A">
        <w:rPr>
          <w:rFonts w:ascii="Georgia" w:hAnsi="Georgia"/>
          <w:lang w:val="en-GB"/>
        </w:rPr>
        <w:t xml:space="preserve">, it is still difficult to catch up with Western and Northern regions and </w:t>
      </w:r>
      <w:r w:rsidR="00220FC2">
        <w:rPr>
          <w:rFonts w:ascii="Georgia" w:hAnsi="Georgia"/>
          <w:lang w:val="en-GB"/>
        </w:rPr>
        <w:t>overcome the decades-long disadvantage</w:t>
      </w:r>
      <w:r w:rsidR="00784847" w:rsidRPr="0002056A">
        <w:rPr>
          <w:rFonts w:ascii="Georgia" w:hAnsi="Georgia"/>
          <w:lang w:val="en-GB"/>
        </w:rPr>
        <w:t>.</w:t>
      </w:r>
      <w:r w:rsidRPr="0002056A">
        <w:rPr>
          <w:rFonts w:ascii="Georgia" w:hAnsi="Georgia"/>
          <w:lang w:val="en-GB"/>
        </w:rPr>
        <w:t xml:space="preserve"> </w:t>
      </w:r>
    </w:p>
    <w:p w14:paraId="07AB1014" w14:textId="1618146E" w:rsidR="00040419" w:rsidRPr="0002056A" w:rsidRDefault="00DB5E1B" w:rsidP="00CD5BF3">
      <w:pPr>
        <w:spacing w:before="120" w:after="120"/>
        <w:jc w:val="both"/>
        <w:rPr>
          <w:rFonts w:ascii="Georgia" w:hAnsi="Georgia" w:cs="Times New Roman"/>
          <w:lang w:val="en-GB"/>
        </w:rPr>
      </w:pPr>
      <w:r w:rsidRPr="0002056A">
        <w:rPr>
          <w:rFonts w:ascii="Georgia" w:hAnsi="Georgia" w:cs="Times New Roman"/>
          <w:lang w:val="en-GB"/>
        </w:rPr>
        <w:t xml:space="preserve">To decide </w:t>
      </w:r>
      <w:r w:rsidR="00040419" w:rsidRPr="0002056A">
        <w:rPr>
          <w:rFonts w:ascii="Georgia" w:hAnsi="Georgia" w:cs="Times New Roman"/>
          <w:lang w:val="en-GB"/>
        </w:rPr>
        <w:t xml:space="preserve">whether sensitivity </w:t>
      </w:r>
      <w:r w:rsidR="00B94B9D" w:rsidRPr="0002056A">
        <w:rPr>
          <w:rFonts w:ascii="Georgia" w:hAnsi="Georgia" w:cs="Times New Roman"/>
          <w:lang w:val="en-GB"/>
        </w:rPr>
        <w:t xml:space="preserve">to spatial aspects </w:t>
      </w:r>
      <w:r w:rsidR="00A84655" w:rsidRPr="0002056A">
        <w:rPr>
          <w:rFonts w:ascii="Georgia" w:hAnsi="Georgia" w:cs="Times New Roman"/>
          <w:lang w:val="en-GB"/>
        </w:rPr>
        <w:t xml:space="preserve">in adaptation policymaking </w:t>
      </w:r>
      <w:r w:rsidR="00220FC2">
        <w:rPr>
          <w:rFonts w:ascii="Georgia" w:hAnsi="Georgia" w:cs="Times New Roman"/>
          <w:lang w:val="en-GB"/>
        </w:rPr>
        <w:t>depends on the macro-regional location of a given European country or not, countries must be compared, but first, European macro-regions</w:t>
      </w:r>
      <w:r w:rsidR="00A84655" w:rsidRPr="0002056A">
        <w:rPr>
          <w:rFonts w:ascii="Georgia" w:hAnsi="Georgia" w:cs="Times New Roman"/>
          <w:b/>
          <w:bCs/>
          <w:lang w:val="en-GB"/>
        </w:rPr>
        <w:t xml:space="preserve"> must be </w:t>
      </w:r>
      <w:r w:rsidR="00040419" w:rsidRPr="0002056A">
        <w:rPr>
          <w:rFonts w:ascii="Georgia" w:hAnsi="Georgia" w:cs="Times New Roman"/>
          <w:b/>
          <w:bCs/>
          <w:lang w:val="en-GB"/>
        </w:rPr>
        <w:t>delimited in the research</w:t>
      </w:r>
      <w:r w:rsidR="00040419" w:rsidRPr="0002056A">
        <w:rPr>
          <w:rFonts w:ascii="Georgia" w:hAnsi="Georgia" w:cs="Times New Roman"/>
          <w:lang w:val="en-GB"/>
        </w:rPr>
        <w:t xml:space="preserve">. </w:t>
      </w:r>
      <w:r w:rsidR="00220FC2">
        <w:rPr>
          <w:rFonts w:ascii="Georgia" w:hAnsi="Georgia" w:cs="Times New Roman"/>
          <w:lang w:val="en-GB"/>
        </w:rPr>
        <w:t>By</w:t>
      </w:r>
      <w:r w:rsidR="00220FC2" w:rsidRPr="0002056A">
        <w:rPr>
          <w:rFonts w:ascii="Georgia" w:hAnsi="Georgia" w:cs="Times New Roman"/>
          <w:lang w:val="en-GB"/>
        </w:rPr>
        <w:t xml:space="preserve"> </w:t>
      </w:r>
      <w:r w:rsidR="00DC1FE2" w:rsidRPr="0002056A">
        <w:rPr>
          <w:rFonts w:ascii="Georgia" w:hAnsi="Georgia" w:cs="Times New Roman"/>
          <w:lang w:val="en-GB"/>
        </w:rPr>
        <w:t>g</w:t>
      </w:r>
      <w:r w:rsidR="00040419" w:rsidRPr="0002056A">
        <w:rPr>
          <w:rFonts w:ascii="Georgia" w:hAnsi="Georgia" w:cs="Times New Roman"/>
          <w:lang w:val="en-GB"/>
        </w:rPr>
        <w:t>rouping the analysed European countries</w:t>
      </w:r>
      <w:r w:rsidR="00062933" w:rsidRPr="0002056A">
        <w:rPr>
          <w:rFonts w:ascii="Georgia" w:hAnsi="Georgia" w:cs="Times New Roman"/>
          <w:lang w:val="en-GB"/>
        </w:rPr>
        <w:t>,</w:t>
      </w:r>
      <w:r w:rsidR="00040419" w:rsidRPr="0002056A">
        <w:rPr>
          <w:rFonts w:ascii="Georgia" w:hAnsi="Georgia" w:cs="Times New Roman"/>
          <w:lang w:val="en-GB"/>
        </w:rPr>
        <w:t xml:space="preserve"> as a practical side effect, we c</w:t>
      </w:r>
      <w:r w:rsidRPr="0002056A">
        <w:rPr>
          <w:rFonts w:ascii="Georgia" w:hAnsi="Georgia" w:cs="Times New Roman"/>
          <w:lang w:val="en-GB"/>
        </w:rPr>
        <w:t xml:space="preserve">ould </w:t>
      </w:r>
      <w:r w:rsidR="00062933" w:rsidRPr="0002056A">
        <w:rPr>
          <w:rFonts w:ascii="Georgia" w:hAnsi="Georgia" w:cs="Times New Roman"/>
          <w:lang w:val="en-GB"/>
        </w:rPr>
        <w:t xml:space="preserve">also </w:t>
      </w:r>
      <w:r w:rsidR="00040419" w:rsidRPr="0002056A">
        <w:rPr>
          <w:rFonts w:ascii="Georgia" w:hAnsi="Georgia" w:cs="Times New Roman"/>
          <w:lang w:val="en-GB"/>
        </w:rPr>
        <w:t xml:space="preserve">split the empirical work phase into </w:t>
      </w:r>
      <w:r w:rsidRPr="0002056A">
        <w:rPr>
          <w:rFonts w:ascii="Georgia" w:hAnsi="Georgia" w:cs="Times New Roman"/>
          <w:lang w:val="en-GB"/>
        </w:rPr>
        <w:t>some</w:t>
      </w:r>
      <w:r w:rsidR="00062933" w:rsidRPr="0002056A">
        <w:rPr>
          <w:rFonts w:ascii="Georgia" w:hAnsi="Georgia" w:cs="Times New Roman"/>
          <w:lang w:val="en-GB"/>
        </w:rPr>
        <w:t xml:space="preserve"> </w:t>
      </w:r>
      <w:r w:rsidR="00040419" w:rsidRPr="0002056A">
        <w:rPr>
          <w:rFonts w:ascii="Georgia" w:hAnsi="Georgia" w:cs="Times New Roman"/>
          <w:lang w:val="en-GB"/>
        </w:rPr>
        <w:t>different</w:t>
      </w:r>
      <w:r w:rsidR="00062933" w:rsidRPr="0002056A">
        <w:rPr>
          <w:rFonts w:ascii="Georgia" w:hAnsi="Georgia" w:cs="Times New Roman"/>
          <w:lang w:val="en-GB"/>
        </w:rPr>
        <w:t>, consecutive</w:t>
      </w:r>
      <w:r w:rsidR="00040419" w:rsidRPr="0002056A">
        <w:rPr>
          <w:rFonts w:ascii="Georgia" w:hAnsi="Georgia" w:cs="Times New Roman"/>
          <w:lang w:val="en-GB"/>
        </w:rPr>
        <w:t xml:space="preserve"> sections</w:t>
      </w:r>
      <w:r w:rsidR="00062933" w:rsidRPr="0002056A">
        <w:rPr>
          <w:rFonts w:ascii="Georgia" w:hAnsi="Georgia" w:cs="Times New Roman"/>
          <w:lang w:val="en-GB"/>
        </w:rPr>
        <w:t xml:space="preserve">, analysing </w:t>
      </w:r>
      <w:r w:rsidR="002B775D" w:rsidRPr="0002056A">
        <w:rPr>
          <w:rFonts w:ascii="Georgia" w:hAnsi="Georgia" w:cs="Times New Roman"/>
          <w:lang w:val="en-GB"/>
        </w:rPr>
        <w:t xml:space="preserve">countries of a given macro region in a given </w:t>
      </w:r>
      <w:r w:rsidR="00386559" w:rsidRPr="0002056A">
        <w:rPr>
          <w:rFonts w:ascii="Georgia" w:hAnsi="Georgia" w:cs="Times New Roman"/>
          <w:lang w:val="en-GB"/>
        </w:rPr>
        <w:t>stage</w:t>
      </w:r>
      <w:r w:rsidR="00040419" w:rsidRPr="0002056A">
        <w:rPr>
          <w:rFonts w:ascii="Georgia" w:hAnsi="Georgia" w:cs="Times New Roman"/>
          <w:lang w:val="en-GB"/>
        </w:rPr>
        <w:t xml:space="preserve">. </w:t>
      </w:r>
      <w:r w:rsidR="00B11CF8" w:rsidRPr="0002056A">
        <w:rPr>
          <w:rFonts w:ascii="Georgia" w:hAnsi="Georgia"/>
          <w:lang w:val="en-GB"/>
        </w:rPr>
        <w:t xml:space="preserve">The question is, what </w:t>
      </w:r>
      <w:r w:rsidR="00713138" w:rsidRPr="0002056A">
        <w:rPr>
          <w:rFonts w:ascii="Georgia" w:hAnsi="Georgia"/>
          <w:lang w:val="en-GB"/>
        </w:rPr>
        <w:t xml:space="preserve">kind of </w:t>
      </w:r>
      <w:r w:rsidR="00B11CF8" w:rsidRPr="0002056A">
        <w:rPr>
          <w:rFonts w:ascii="Georgia" w:hAnsi="Georgia"/>
          <w:lang w:val="en-GB"/>
        </w:rPr>
        <w:t xml:space="preserve">macro regions </w:t>
      </w:r>
      <w:r w:rsidR="00E73751" w:rsidRPr="0002056A">
        <w:rPr>
          <w:rFonts w:ascii="Georgia" w:hAnsi="Georgia"/>
          <w:lang w:val="en-GB"/>
        </w:rPr>
        <w:t xml:space="preserve">should be </w:t>
      </w:r>
      <w:r w:rsidR="00713138" w:rsidRPr="0002056A">
        <w:rPr>
          <w:rFonts w:ascii="Georgia" w:hAnsi="Georgia"/>
          <w:lang w:val="en-GB"/>
        </w:rPr>
        <w:t xml:space="preserve">delimited </w:t>
      </w:r>
      <w:r w:rsidR="00E73751" w:rsidRPr="0002056A">
        <w:rPr>
          <w:rFonts w:ascii="Georgia" w:hAnsi="Georgia"/>
          <w:lang w:val="en-GB"/>
        </w:rPr>
        <w:t>with</w:t>
      </w:r>
      <w:r w:rsidR="00B11CF8" w:rsidRPr="0002056A">
        <w:rPr>
          <w:rFonts w:ascii="Georgia" w:hAnsi="Georgia"/>
          <w:lang w:val="en-GB"/>
        </w:rPr>
        <w:t>in Europe?</w:t>
      </w:r>
    </w:p>
    <w:p w14:paraId="4894831E" w14:textId="373F4087" w:rsidR="00040419" w:rsidRPr="0002056A" w:rsidRDefault="00040419" w:rsidP="00CD5BF3">
      <w:pPr>
        <w:spacing w:before="120" w:after="120"/>
        <w:jc w:val="both"/>
        <w:rPr>
          <w:rFonts w:ascii="Georgia" w:hAnsi="Georgia" w:cs="Times New Roman"/>
          <w:lang w:val="en-GB"/>
        </w:rPr>
      </w:pPr>
      <w:r w:rsidRPr="0002056A">
        <w:rPr>
          <w:rFonts w:ascii="Georgia" w:hAnsi="Georgia" w:cs="Times New Roman"/>
          <w:lang w:val="en-GB"/>
        </w:rPr>
        <w:t xml:space="preserve">The most frequent </w:t>
      </w:r>
      <w:r w:rsidR="00E73751" w:rsidRPr="0002056A">
        <w:rPr>
          <w:rFonts w:ascii="Georgia" w:hAnsi="Georgia" w:cs="Times New Roman"/>
          <w:lang w:val="en-GB"/>
        </w:rPr>
        <w:t xml:space="preserve">examples </w:t>
      </w:r>
      <w:r w:rsidRPr="0002056A">
        <w:rPr>
          <w:rFonts w:ascii="Georgia" w:hAnsi="Georgia" w:cs="Times New Roman"/>
          <w:lang w:val="en-GB"/>
        </w:rPr>
        <w:t xml:space="preserve">of </w:t>
      </w:r>
      <w:r w:rsidR="00B63601" w:rsidRPr="0002056A">
        <w:rPr>
          <w:rFonts w:ascii="Georgia" w:hAnsi="Georgia" w:cs="Times New Roman"/>
          <w:lang w:val="en-GB"/>
        </w:rPr>
        <w:t xml:space="preserve">European </w:t>
      </w:r>
      <w:r w:rsidRPr="0002056A">
        <w:rPr>
          <w:rFonts w:ascii="Georgia" w:hAnsi="Georgia" w:cs="Times New Roman"/>
          <w:lang w:val="en-GB"/>
        </w:rPr>
        <w:t xml:space="preserve">macro regions in the different </w:t>
      </w:r>
      <w:r w:rsidR="002B775D" w:rsidRPr="0002056A">
        <w:rPr>
          <w:rFonts w:ascii="Georgia" w:hAnsi="Georgia" w:cs="Times New Roman"/>
          <w:lang w:val="en-GB"/>
        </w:rPr>
        <w:t xml:space="preserve">literature items or </w:t>
      </w:r>
      <w:r w:rsidR="00981E17" w:rsidRPr="0002056A">
        <w:rPr>
          <w:rFonts w:ascii="Georgia" w:hAnsi="Georgia" w:cs="Times New Roman"/>
          <w:lang w:val="en-GB"/>
        </w:rPr>
        <w:t>policy documents</w:t>
      </w:r>
      <w:r w:rsidRPr="0002056A">
        <w:rPr>
          <w:rFonts w:ascii="Georgia" w:hAnsi="Georgia" w:cs="Times New Roman"/>
          <w:lang w:val="en-GB"/>
        </w:rPr>
        <w:t xml:space="preserve"> are basically the </w:t>
      </w:r>
      <w:r w:rsidR="00E73751" w:rsidRPr="0002056A">
        <w:rPr>
          <w:rFonts w:ascii="Georgia" w:hAnsi="Georgia" w:cs="Times New Roman"/>
          <w:lang w:val="en-GB"/>
        </w:rPr>
        <w:t>result</w:t>
      </w:r>
      <w:r w:rsidR="00713138" w:rsidRPr="0002056A">
        <w:rPr>
          <w:rFonts w:ascii="Georgia" w:hAnsi="Georgia" w:cs="Times New Roman"/>
          <w:lang w:val="en-GB"/>
        </w:rPr>
        <w:t>s</w:t>
      </w:r>
      <w:r w:rsidR="00E73751" w:rsidRPr="0002056A">
        <w:rPr>
          <w:rFonts w:ascii="Georgia" w:hAnsi="Georgia" w:cs="Times New Roman"/>
          <w:lang w:val="en-GB"/>
        </w:rPr>
        <w:t xml:space="preserve"> of the </w:t>
      </w:r>
      <w:r w:rsidRPr="0002056A">
        <w:rPr>
          <w:rFonts w:ascii="Georgia" w:hAnsi="Georgia" w:cs="Times New Roman"/>
          <w:lang w:val="en-GB"/>
        </w:rPr>
        <w:t>traditional North</w:t>
      </w:r>
      <w:r w:rsidR="009B42CB" w:rsidRPr="0002056A">
        <w:rPr>
          <w:rFonts w:ascii="Georgia" w:hAnsi="Georgia" w:cs="Times New Roman"/>
          <w:lang w:val="en-GB"/>
        </w:rPr>
        <w:t>ern</w:t>
      </w:r>
      <w:r w:rsidRPr="0002056A">
        <w:rPr>
          <w:rFonts w:ascii="Georgia" w:hAnsi="Georgia" w:cs="Times New Roman"/>
          <w:lang w:val="en-GB"/>
        </w:rPr>
        <w:t>/West</w:t>
      </w:r>
      <w:r w:rsidR="009B42CB" w:rsidRPr="0002056A">
        <w:rPr>
          <w:rFonts w:ascii="Georgia" w:hAnsi="Georgia" w:cs="Times New Roman"/>
          <w:lang w:val="en-GB"/>
        </w:rPr>
        <w:t>ern</w:t>
      </w:r>
      <w:r w:rsidRPr="0002056A">
        <w:rPr>
          <w:rFonts w:ascii="Georgia" w:hAnsi="Georgia" w:cs="Times New Roman"/>
          <w:lang w:val="en-GB"/>
        </w:rPr>
        <w:t>/South</w:t>
      </w:r>
      <w:r w:rsidR="009B42CB" w:rsidRPr="0002056A">
        <w:rPr>
          <w:rFonts w:ascii="Georgia" w:hAnsi="Georgia" w:cs="Times New Roman"/>
          <w:lang w:val="en-GB"/>
        </w:rPr>
        <w:t>ern</w:t>
      </w:r>
      <w:r w:rsidR="00B63601" w:rsidRPr="0002056A">
        <w:rPr>
          <w:rFonts w:ascii="Georgia" w:hAnsi="Georgia" w:cs="Times New Roman"/>
          <w:lang w:val="en-GB"/>
        </w:rPr>
        <w:t xml:space="preserve"> </w:t>
      </w:r>
      <w:r w:rsidRPr="0002056A">
        <w:rPr>
          <w:rFonts w:ascii="Georgia" w:hAnsi="Georgia" w:cs="Times New Roman"/>
          <w:lang w:val="en-GB"/>
        </w:rPr>
        <w:t xml:space="preserve">Europe division, completed with Eastern Europe. The first three </w:t>
      </w:r>
      <w:r w:rsidR="00981E17" w:rsidRPr="0002056A">
        <w:rPr>
          <w:rFonts w:ascii="Georgia" w:hAnsi="Georgia" w:cs="Times New Roman"/>
          <w:lang w:val="en-GB"/>
        </w:rPr>
        <w:t xml:space="preserve">macro </w:t>
      </w:r>
      <w:r w:rsidRPr="0002056A">
        <w:rPr>
          <w:rFonts w:ascii="Georgia" w:hAnsi="Georgia" w:cs="Times New Roman"/>
          <w:lang w:val="en-GB"/>
        </w:rPr>
        <w:t>regions’ delimitation is more or less clear</w:t>
      </w:r>
      <w:r w:rsidR="00713138" w:rsidRPr="0002056A">
        <w:rPr>
          <w:rFonts w:ascii="Georgia" w:hAnsi="Georgia" w:cs="Times New Roman"/>
          <w:lang w:val="en-GB"/>
        </w:rPr>
        <w:t xml:space="preserve">. </w:t>
      </w:r>
      <w:r w:rsidR="00220FC2">
        <w:rPr>
          <w:rFonts w:ascii="Georgia" w:hAnsi="Georgia" w:cs="Times New Roman"/>
          <w:lang w:val="en-GB"/>
        </w:rPr>
        <w:t xml:space="preserve">A similar group of countries are classified into these regions in </w:t>
      </w:r>
      <w:r w:rsidRPr="0002056A">
        <w:rPr>
          <w:rFonts w:ascii="Georgia" w:hAnsi="Georgia" w:cs="Times New Roman"/>
          <w:lang w:val="en-GB"/>
        </w:rPr>
        <w:t>different works</w:t>
      </w:r>
      <w:r w:rsidR="00713138" w:rsidRPr="0002056A">
        <w:rPr>
          <w:rFonts w:ascii="Georgia" w:hAnsi="Georgia" w:cs="Times New Roman"/>
          <w:lang w:val="en-GB"/>
        </w:rPr>
        <w:t>.</w:t>
      </w:r>
      <w:r w:rsidRPr="0002056A">
        <w:rPr>
          <w:rFonts w:ascii="Georgia" w:hAnsi="Georgia" w:cs="Times New Roman"/>
          <w:lang w:val="en-GB"/>
        </w:rPr>
        <w:t xml:space="preserve"> </w:t>
      </w:r>
      <w:r w:rsidR="00713138" w:rsidRPr="0002056A">
        <w:rPr>
          <w:rFonts w:ascii="Georgia" w:hAnsi="Georgia" w:cs="Times New Roman"/>
          <w:lang w:val="en-GB"/>
        </w:rPr>
        <w:t>M</w:t>
      </w:r>
      <w:r w:rsidRPr="0002056A">
        <w:rPr>
          <w:rFonts w:ascii="Georgia" w:hAnsi="Georgia" w:cs="Times New Roman"/>
          <w:lang w:val="en-GB"/>
        </w:rPr>
        <w:t>eanwhile</w:t>
      </w:r>
      <w:r w:rsidR="00AD091C" w:rsidRPr="0002056A">
        <w:rPr>
          <w:rFonts w:ascii="Georgia" w:hAnsi="Georgia" w:cs="Times New Roman"/>
          <w:lang w:val="en-GB"/>
        </w:rPr>
        <w:t>, Eastern-Europe</w:t>
      </w:r>
      <w:r w:rsidRPr="0002056A">
        <w:rPr>
          <w:rFonts w:ascii="Georgia" w:hAnsi="Georgia" w:cs="Times New Roman"/>
          <w:lang w:val="en-GB"/>
        </w:rPr>
        <w:t xml:space="preserve"> is a bit tricky. Probáld</w:t>
      </w:r>
      <w:r w:rsidR="00E73751" w:rsidRPr="0002056A">
        <w:rPr>
          <w:rFonts w:ascii="Georgia" w:hAnsi="Georgia" w:cs="Times New Roman"/>
          <w:lang w:val="en-GB"/>
        </w:rPr>
        <w:t>,</w:t>
      </w:r>
      <w:r w:rsidRPr="0002056A">
        <w:rPr>
          <w:rFonts w:ascii="Georgia" w:hAnsi="Georgia" w:cs="Times New Roman"/>
          <w:lang w:val="en-GB"/>
        </w:rPr>
        <w:t xml:space="preserve"> after having </w:t>
      </w:r>
      <w:r w:rsidR="00220FC2">
        <w:rPr>
          <w:rFonts w:ascii="Georgia" w:hAnsi="Georgia" w:cs="Times New Roman"/>
          <w:lang w:val="en-GB"/>
        </w:rPr>
        <w:t>reviewed</w:t>
      </w:r>
      <w:r w:rsidR="00220FC2" w:rsidRPr="0002056A">
        <w:rPr>
          <w:rFonts w:ascii="Georgia" w:hAnsi="Georgia" w:cs="Times New Roman"/>
          <w:lang w:val="en-GB"/>
        </w:rPr>
        <w:t xml:space="preserve"> </w:t>
      </w:r>
      <w:r w:rsidRPr="0002056A">
        <w:rPr>
          <w:rFonts w:ascii="Georgia" w:hAnsi="Georgia" w:cs="Times New Roman"/>
          <w:lang w:val="en-GB"/>
        </w:rPr>
        <w:t>the several nomenclatures</w:t>
      </w:r>
      <w:r w:rsidR="00AD091C" w:rsidRPr="0002056A">
        <w:rPr>
          <w:rFonts w:ascii="Georgia" w:hAnsi="Georgia" w:cs="Times New Roman"/>
          <w:lang w:val="en-GB"/>
        </w:rPr>
        <w:t>,</w:t>
      </w:r>
      <w:r w:rsidRPr="0002056A">
        <w:rPr>
          <w:rFonts w:ascii="Georgia" w:hAnsi="Georgia" w:cs="Times New Roman"/>
          <w:lang w:val="en-GB"/>
        </w:rPr>
        <w:t xml:space="preserve"> delimitations and the social, economic and geographic characteristics of European countries, grouped the states into 5 main</w:t>
      </w:r>
      <w:r w:rsidRPr="0002056A">
        <w:rPr>
          <w:rFonts w:ascii="Times New Roman" w:hAnsi="Times New Roman" w:cs="Times New Roman"/>
          <w:sz w:val="24"/>
          <w:szCs w:val="24"/>
          <w:lang w:val="en-GB"/>
        </w:rPr>
        <w:t xml:space="preserve"> </w:t>
      </w:r>
      <w:r w:rsidRPr="0002056A">
        <w:rPr>
          <w:rFonts w:ascii="Georgia" w:hAnsi="Georgia" w:cs="Times New Roman"/>
          <w:lang w:val="en-GB"/>
        </w:rPr>
        <w:t>regions (Western, Southern, Northern and Eastern Europe</w:t>
      </w:r>
      <w:r w:rsidR="005E2068" w:rsidRPr="0002056A">
        <w:rPr>
          <w:rFonts w:ascii="Georgia" w:hAnsi="Georgia" w:cs="Times New Roman"/>
          <w:lang w:val="en-GB"/>
        </w:rPr>
        <w:t>, plus</w:t>
      </w:r>
      <w:r w:rsidRPr="0002056A">
        <w:rPr>
          <w:rFonts w:ascii="Georgia" w:hAnsi="Georgia" w:cs="Times New Roman"/>
          <w:lang w:val="en-GB"/>
        </w:rPr>
        <w:t xml:space="preserve"> the Baltic states). The fourth group was split into 2 additional sub</w:t>
      </w:r>
      <w:r w:rsidR="00AD091C" w:rsidRPr="0002056A">
        <w:rPr>
          <w:rFonts w:ascii="Georgia" w:hAnsi="Georgia" w:cs="Times New Roman"/>
          <w:lang w:val="en-GB"/>
        </w:rPr>
        <w:t>-</w:t>
      </w:r>
      <w:r w:rsidRPr="0002056A">
        <w:rPr>
          <w:rFonts w:ascii="Georgia" w:hAnsi="Georgia" w:cs="Times New Roman"/>
          <w:lang w:val="en-GB"/>
        </w:rPr>
        <w:t>groups: Western-Central and Eastern-Central Europe. Regarding the latter</w:t>
      </w:r>
      <w:r w:rsidR="00220FC2">
        <w:rPr>
          <w:rFonts w:ascii="Georgia" w:hAnsi="Georgia" w:cs="Times New Roman"/>
          <w:lang w:val="en-GB"/>
        </w:rPr>
        <w:t>, Probáld said it comprises the Eastern parts of Central and Southern Europe</w:t>
      </w:r>
      <w:r w:rsidRPr="0002056A">
        <w:rPr>
          <w:rFonts w:ascii="Georgia" w:hAnsi="Georgia" w:cs="Times New Roman"/>
          <w:lang w:val="en-GB"/>
        </w:rPr>
        <w:t xml:space="preserve"> (the </w:t>
      </w:r>
      <w:r w:rsidR="009B42CB" w:rsidRPr="0002056A">
        <w:rPr>
          <w:rFonts w:ascii="Georgia" w:hAnsi="Georgia" w:cs="Times New Roman"/>
          <w:lang w:val="en-GB"/>
        </w:rPr>
        <w:t xml:space="preserve">latter is the </w:t>
      </w:r>
      <w:r w:rsidRPr="0002056A">
        <w:rPr>
          <w:rFonts w:ascii="Georgia" w:hAnsi="Georgia" w:cs="Times New Roman"/>
          <w:lang w:val="en-GB"/>
        </w:rPr>
        <w:t>Balkan Peninsula without Greece) (</w:t>
      </w:r>
      <w:r w:rsidRPr="0002056A">
        <w:rPr>
          <w:rFonts w:ascii="Georgia" w:hAnsi="Georgia" w:cs="Times New Roman"/>
          <w:smallCaps/>
          <w:lang w:val="en-GB"/>
        </w:rPr>
        <w:t>Probáld et al., 2000</w:t>
      </w:r>
      <w:r w:rsidRPr="0002056A">
        <w:rPr>
          <w:rFonts w:ascii="Georgia" w:hAnsi="Georgia" w:cs="Times New Roman"/>
          <w:lang w:val="en-GB"/>
        </w:rPr>
        <w:t>)</w:t>
      </w:r>
      <w:r w:rsidR="00236073" w:rsidRPr="0002056A">
        <w:rPr>
          <w:rStyle w:val="Lbjegyzet-hivatkozs"/>
          <w:rFonts w:ascii="Georgia" w:hAnsi="Georgia" w:cs="Times New Roman"/>
          <w:lang w:val="en-GB"/>
        </w:rPr>
        <w:footnoteReference w:id="87"/>
      </w:r>
      <w:r w:rsidRPr="0002056A">
        <w:rPr>
          <w:rFonts w:ascii="Georgia" w:hAnsi="Georgia" w:cs="Times New Roman"/>
          <w:lang w:val="en-GB"/>
        </w:rPr>
        <w:t xml:space="preserve">. Similarly, Illés also collected different history-, ethnography-, politics- and economics-oriented Eastern- and Central-European definitions and delimitations, especially emphasising the role of politics. He mentioned that some </w:t>
      </w:r>
      <w:r w:rsidR="00094B13" w:rsidRPr="0002056A">
        <w:rPr>
          <w:rFonts w:ascii="Georgia" w:hAnsi="Georgia" w:cs="Times New Roman"/>
          <w:lang w:val="en-GB"/>
        </w:rPr>
        <w:t>theories</w:t>
      </w:r>
      <w:r w:rsidR="00CB282D" w:rsidRPr="0002056A">
        <w:rPr>
          <w:rFonts w:ascii="Georgia" w:hAnsi="Georgia" w:cs="Times New Roman"/>
          <w:lang w:val="en-GB"/>
        </w:rPr>
        <w:t xml:space="preserve">, such as the Mitteleuropa </w:t>
      </w:r>
      <w:r w:rsidR="00AA3CCF" w:rsidRPr="0002056A">
        <w:rPr>
          <w:rFonts w:ascii="Georgia" w:hAnsi="Georgia" w:cs="Times New Roman"/>
          <w:lang w:val="en-GB"/>
        </w:rPr>
        <w:t>or the Zwischeneuropa concepts,</w:t>
      </w:r>
      <w:r w:rsidRPr="0002056A">
        <w:rPr>
          <w:rFonts w:ascii="Georgia" w:hAnsi="Georgia" w:cs="Times New Roman"/>
          <w:lang w:val="en-GB"/>
        </w:rPr>
        <w:t xml:space="preserve"> even differentiate a third region between East and West, an area with special geopolitical position and unique strategic challenges</w:t>
      </w:r>
      <w:r w:rsidRPr="0002056A">
        <w:rPr>
          <w:rFonts w:ascii="Georgia" w:hAnsi="Georgia" w:cs="Times New Roman"/>
          <w:vertAlign w:val="superscript"/>
          <w:lang w:val="en-GB"/>
        </w:rPr>
        <w:footnoteReference w:id="88"/>
      </w:r>
      <w:r w:rsidRPr="0002056A">
        <w:rPr>
          <w:rFonts w:ascii="Georgia" w:hAnsi="Georgia" w:cs="Times New Roman"/>
          <w:lang w:val="en-GB"/>
        </w:rPr>
        <w:t xml:space="preserve">. After 1990, the ex-satellite states of the Soviet Union </w:t>
      </w:r>
      <w:r w:rsidR="00220FC2">
        <w:rPr>
          <w:rFonts w:ascii="Georgia" w:hAnsi="Georgia" w:cs="Times New Roman"/>
          <w:lang w:val="en-GB"/>
        </w:rPr>
        <w:t>composed this group, whose</w:t>
      </w:r>
      <w:r w:rsidRPr="0002056A">
        <w:rPr>
          <w:rFonts w:ascii="Georgia" w:hAnsi="Georgia" w:cs="Times New Roman"/>
          <w:lang w:val="en-GB"/>
        </w:rPr>
        <w:t xml:space="preserve"> countries often emphasised their differences from Balkan states then (</w:t>
      </w:r>
      <w:r w:rsidRPr="0002056A">
        <w:rPr>
          <w:rFonts w:ascii="Georgia" w:hAnsi="Georgia" w:cs="Times New Roman"/>
          <w:smallCaps/>
          <w:lang w:val="en-GB"/>
        </w:rPr>
        <w:t>Illés, 2002</w:t>
      </w:r>
      <w:r w:rsidRPr="0002056A">
        <w:rPr>
          <w:rFonts w:ascii="Georgia" w:hAnsi="Georgia" w:cs="Times New Roman"/>
          <w:lang w:val="en-GB"/>
        </w:rPr>
        <w:t>).</w:t>
      </w:r>
    </w:p>
    <w:p w14:paraId="5573B974" w14:textId="0B6FE4FE" w:rsidR="002043F7" w:rsidRPr="0002056A" w:rsidRDefault="004639EA" w:rsidP="00CD5BF3">
      <w:pPr>
        <w:pStyle w:val="NormlWeb"/>
        <w:shd w:val="clear" w:color="auto" w:fill="FFFFFF"/>
        <w:spacing w:before="120" w:beforeAutospacing="0" w:after="120" w:afterAutospacing="0" w:line="276" w:lineRule="auto"/>
        <w:jc w:val="both"/>
        <w:rPr>
          <w:rFonts w:ascii="Georgia" w:hAnsi="Georgia"/>
          <w:sz w:val="22"/>
          <w:szCs w:val="22"/>
          <w:lang w:val="en-GB"/>
        </w:rPr>
      </w:pPr>
      <w:r w:rsidRPr="0002056A">
        <w:rPr>
          <w:rFonts w:ascii="Georgia" w:hAnsi="Georgia"/>
          <w:sz w:val="22"/>
          <w:szCs w:val="22"/>
          <w:lang w:val="en-GB"/>
        </w:rPr>
        <w:lastRenderedPageBreak/>
        <w:t xml:space="preserve">Applied research-related approaches also emerge. </w:t>
      </w:r>
      <w:r w:rsidR="00E37DD6" w:rsidRPr="0002056A">
        <w:rPr>
          <w:rFonts w:ascii="Georgia" w:hAnsi="Georgia"/>
          <w:sz w:val="22"/>
          <w:szCs w:val="22"/>
          <w:lang w:val="en-GB"/>
        </w:rPr>
        <w:t>The ESPON Climate project’s interim and final reports presented</w:t>
      </w:r>
      <w:r w:rsidR="000B33D3" w:rsidRPr="0002056A">
        <w:rPr>
          <w:rFonts w:ascii="Georgia" w:hAnsi="Georgia"/>
          <w:sz w:val="22"/>
          <w:szCs w:val="22"/>
          <w:lang w:val="en-GB"/>
        </w:rPr>
        <w:t xml:space="preserve"> in</w:t>
      </w:r>
      <w:r w:rsidR="008A6BB7" w:rsidRPr="0002056A">
        <w:rPr>
          <w:rFonts w:ascii="Georgia" w:hAnsi="Georgia"/>
          <w:sz w:val="22"/>
          <w:szCs w:val="22"/>
          <w:lang w:val="en-GB"/>
        </w:rPr>
        <w:t xml:space="preserve"> 2011 </w:t>
      </w:r>
      <w:r w:rsidR="00E37DD6" w:rsidRPr="0002056A">
        <w:rPr>
          <w:rFonts w:ascii="Georgia" w:hAnsi="Georgia"/>
          <w:sz w:val="22"/>
          <w:szCs w:val="22"/>
          <w:lang w:val="en-GB"/>
        </w:rPr>
        <w:t>the results of a cluster analysis of eight indicators</w:t>
      </w:r>
      <w:r w:rsidR="00220FC2">
        <w:rPr>
          <w:rFonts w:ascii="Georgia" w:hAnsi="Georgia"/>
          <w:sz w:val="22"/>
          <w:szCs w:val="22"/>
          <w:lang w:val="en-GB"/>
        </w:rPr>
        <w:t>,</w:t>
      </w:r>
      <w:r w:rsidR="00E37DD6" w:rsidRPr="0002056A">
        <w:rPr>
          <w:rFonts w:ascii="Georgia" w:hAnsi="Georgia"/>
          <w:sz w:val="22"/>
          <w:szCs w:val="22"/>
          <w:lang w:val="en-GB"/>
        </w:rPr>
        <w:t xml:space="preserve"> which led to a typology of regional climate change in Europe (see Figure </w:t>
      </w:r>
      <w:r w:rsidR="000B33D3" w:rsidRPr="0002056A">
        <w:rPr>
          <w:rFonts w:ascii="Georgia" w:hAnsi="Georgia"/>
          <w:sz w:val="22"/>
          <w:szCs w:val="22"/>
          <w:lang w:val="en-GB"/>
        </w:rPr>
        <w:t>12</w:t>
      </w:r>
      <w:r w:rsidR="00E37DD6" w:rsidRPr="0002056A">
        <w:rPr>
          <w:rFonts w:ascii="Georgia" w:hAnsi="Georgia"/>
          <w:sz w:val="22"/>
          <w:szCs w:val="22"/>
          <w:lang w:val="en-GB"/>
        </w:rPr>
        <w:t>)</w:t>
      </w:r>
      <w:r w:rsidR="00343FA0" w:rsidRPr="0002056A">
        <w:rPr>
          <w:rStyle w:val="Lbjegyzet-hivatkozs"/>
          <w:rFonts w:ascii="Georgia" w:hAnsi="Georgia"/>
          <w:sz w:val="22"/>
          <w:szCs w:val="22"/>
          <w:lang w:val="en-GB"/>
        </w:rPr>
        <w:footnoteReference w:id="89"/>
      </w:r>
      <w:r w:rsidR="00E37DD6" w:rsidRPr="0002056A">
        <w:rPr>
          <w:rFonts w:ascii="Georgia" w:hAnsi="Georgia"/>
          <w:sz w:val="22"/>
          <w:szCs w:val="22"/>
          <w:lang w:val="en-GB"/>
        </w:rPr>
        <w:t xml:space="preserve">. The project </w:t>
      </w:r>
      <w:r w:rsidR="008A6BB7" w:rsidRPr="0002056A">
        <w:rPr>
          <w:rFonts w:ascii="Georgia" w:hAnsi="Georgia"/>
          <w:sz w:val="22"/>
          <w:szCs w:val="22"/>
          <w:lang w:val="en-GB"/>
        </w:rPr>
        <w:t>delimited</w:t>
      </w:r>
      <w:r w:rsidR="00E37DD6" w:rsidRPr="0002056A">
        <w:rPr>
          <w:rFonts w:ascii="Georgia" w:hAnsi="Georgia"/>
          <w:sz w:val="22"/>
          <w:szCs w:val="22"/>
          <w:lang w:val="en-GB"/>
        </w:rPr>
        <w:t xml:space="preserve"> 5 different climatic subregions (South-Central</w:t>
      </w:r>
      <w:r w:rsidR="000B33D3" w:rsidRPr="0002056A">
        <w:rPr>
          <w:rFonts w:ascii="Georgia" w:hAnsi="Georgia"/>
          <w:sz w:val="22"/>
          <w:szCs w:val="22"/>
          <w:lang w:val="en-GB"/>
        </w:rPr>
        <w:t>,</w:t>
      </w:r>
      <w:r w:rsidR="00E37DD6" w:rsidRPr="0002056A">
        <w:rPr>
          <w:rFonts w:ascii="Georgia" w:hAnsi="Georgia"/>
          <w:sz w:val="22"/>
          <w:szCs w:val="22"/>
          <w:lang w:val="en-GB"/>
        </w:rPr>
        <w:t xml:space="preserve"> North-Central</w:t>
      </w:r>
      <w:r w:rsidR="000B33D3" w:rsidRPr="0002056A">
        <w:rPr>
          <w:rFonts w:ascii="Georgia" w:hAnsi="Georgia"/>
          <w:sz w:val="22"/>
          <w:szCs w:val="22"/>
          <w:lang w:val="en-GB"/>
        </w:rPr>
        <w:t>,</w:t>
      </w:r>
      <w:r w:rsidR="00E37DD6" w:rsidRPr="0002056A">
        <w:rPr>
          <w:rFonts w:ascii="Georgia" w:hAnsi="Georgia"/>
          <w:sz w:val="22"/>
          <w:szCs w:val="22"/>
          <w:lang w:val="en-GB"/>
        </w:rPr>
        <w:t xml:space="preserve"> Northern</w:t>
      </w:r>
      <w:r w:rsidR="000B33D3" w:rsidRPr="0002056A">
        <w:rPr>
          <w:rFonts w:ascii="Georgia" w:hAnsi="Georgia"/>
          <w:sz w:val="22"/>
          <w:szCs w:val="22"/>
          <w:lang w:val="en-GB"/>
        </w:rPr>
        <w:t>,</w:t>
      </w:r>
      <w:r w:rsidR="00E37DD6" w:rsidRPr="0002056A">
        <w:rPr>
          <w:rFonts w:ascii="Georgia" w:hAnsi="Georgia"/>
          <w:sz w:val="22"/>
          <w:szCs w:val="22"/>
          <w:lang w:val="en-GB"/>
        </w:rPr>
        <w:t xml:space="preserve"> North-Western and Southern Europe and distinguished even the Alpine mountainous region)</w:t>
      </w:r>
      <w:r w:rsidR="007C1C41" w:rsidRPr="0002056A">
        <w:rPr>
          <w:rFonts w:ascii="Georgia" w:hAnsi="Georgia"/>
          <w:sz w:val="22"/>
          <w:szCs w:val="22"/>
          <w:lang w:val="en-GB"/>
        </w:rPr>
        <w:t xml:space="preserve"> (ESPON, 2011)</w:t>
      </w:r>
      <w:r w:rsidR="00E37DD6" w:rsidRPr="0002056A">
        <w:rPr>
          <w:rFonts w:ascii="Georgia" w:hAnsi="Georgia"/>
          <w:sz w:val="22"/>
          <w:szCs w:val="22"/>
          <w:lang w:val="en-GB"/>
        </w:rPr>
        <w:t xml:space="preserve">. </w:t>
      </w:r>
      <w:r w:rsidR="008A6BB7" w:rsidRPr="0002056A">
        <w:rPr>
          <w:rFonts w:ascii="Georgia" w:hAnsi="Georgia"/>
          <w:sz w:val="22"/>
          <w:szCs w:val="22"/>
          <w:lang w:val="en-GB"/>
        </w:rPr>
        <w:t>In a then-</w:t>
      </w:r>
      <w:r w:rsidR="002043F7" w:rsidRPr="0002056A">
        <w:rPr>
          <w:rFonts w:ascii="Georgia" w:hAnsi="Georgia"/>
          <w:sz w:val="22"/>
          <w:szCs w:val="22"/>
          <w:lang w:val="en-GB"/>
        </w:rPr>
        <w:t xml:space="preserve">recent DG Regio study </w:t>
      </w:r>
      <w:r w:rsidR="008A6BB7" w:rsidRPr="0002056A">
        <w:rPr>
          <w:rFonts w:ascii="Georgia" w:hAnsi="Georgia"/>
          <w:sz w:val="22"/>
          <w:szCs w:val="22"/>
          <w:lang w:val="en-GB"/>
        </w:rPr>
        <w:t>from</w:t>
      </w:r>
      <w:r w:rsidR="002043F7" w:rsidRPr="0002056A">
        <w:rPr>
          <w:rFonts w:ascii="Georgia" w:hAnsi="Georgia"/>
          <w:sz w:val="22"/>
          <w:szCs w:val="22"/>
          <w:lang w:val="en-GB"/>
        </w:rPr>
        <w:t xml:space="preserve"> 2009 concentrating on </w:t>
      </w:r>
      <w:r w:rsidR="008A6BB7" w:rsidRPr="0002056A">
        <w:rPr>
          <w:rFonts w:ascii="Georgia" w:hAnsi="Georgia"/>
          <w:sz w:val="22"/>
          <w:szCs w:val="22"/>
          <w:lang w:val="en-GB"/>
        </w:rPr>
        <w:t>c</w:t>
      </w:r>
      <w:r w:rsidR="002043F7" w:rsidRPr="0002056A">
        <w:rPr>
          <w:rFonts w:ascii="Georgia" w:hAnsi="Georgia" w:cs="Verdana"/>
          <w:sz w:val="22"/>
          <w:szCs w:val="22"/>
          <w:lang w:val="en-GB"/>
          <w14:ligatures w14:val="standardContextual"/>
        </w:rPr>
        <w:t xml:space="preserve">limate </w:t>
      </w:r>
      <w:r w:rsidR="008A6BB7" w:rsidRPr="0002056A">
        <w:rPr>
          <w:rFonts w:ascii="Georgia" w:hAnsi="Georgia" w:cs="Verdana"/>
          <w:sz w:val="22"/>
          <w:szCs w:val="22"/>
          <w:lang w:val="en-GB"/>
          <w14:ligatures w14:val="standardContextual"/>
        </w:rPr>
        <w:t>c</w:t>
      </w:r>
      <w:r w:rsidR="002043F7" w:rsidRPr="0002056A">
        <w:rPr>
          <w:rFonts w:ascii="Georgia" w:hAnsi="Georgia" w:cs="Verdana"/>
          <w:sz w:val="22"/>
          <w:szCs w:val="22"/>
          <w:lang w:val="en-GB"/>
          <w14:ligatures w14:val="standardContextual"/>
        </w:rPr>
        <w:t xml:space="preserve">hallenges of European regions, the foundation of </w:t>
      </w:r>
      <w:r w:rsidR="002043F7" w:rsidRPr="0002056A">
        <w:rPr>
          <w:rFonts w:ascii="Georgia" w:hAnsi="Georgia"/>
          <w:sz w:val="22"/>
          <w:szCs w:val="22"/>
          <w:lang w:val="en-GB"/>
        </w:rPr>
        <w:t xml:space="preserve">the selection of </w:t>
      </w:r>
      <w:r w:rsidR="007C1C41" w:rsidRPr="0002056A">
        <w:rPr>
          <w:rFonts w:ascii="Georgia" w:hAnsi="Georgia"/>
          <w:sz w:val="22"/>
          <w:szCs w:val="22"/>
          <w:lang w:val="en-GB"/>
        </w:rPr>
        <w:t xml:space="preserve">applied </w:t>
      </w:r>
      <w:r w:rsidR="002043F7" w:rsidRPr="0002056A">
        <w:rPr>
          <w:rFonts w:ascii="Georgia" w:hAnsi="Georgia"/>
          <w:sz w:val="22"/>
          <w:szCs w:val="22"/>
          <w:lang w:val="en-GB"/>
        </w:rPr>
        <w:t>country studies was that all five above</w:t>
      </w:r>
      <w:r w:rsidR="00220FC2">
        <w:rPr>
          <w:rFonts w:ascii="Georgia" w:hAnsi="Georgia"/>
          <w:sz w:val="22"/>
          <w:szCs w:val="22"/>
          <w:lang w:val="en-GB"/>
        </w:rPr>
        <w:t>-</w:t>
      </w:r>
      <w:r w:rsidR="002043F7" w:rsidRPr="0002056A">
        <w:rPr>
          <w:rFonts w:ascii="Georgia" w:hAnsi="Georgia"/>
          <w:sz w:val="22"/>
          <w:szCs w:val="22"/>
          <w:lang w:val="en-GB"/>
        </w:rPr>
        <w:t>mentioned regions</w:t>
      </w:r>
      <w:r w:rsidR="007C1C41" w:rsidRPr="0002056A">
        <w:rPr>
          <w:rFonts w:ascii="Georgia" w:hAnsi="Georgia"/>
          <w:sz w:val="22"/>
          <w:szCs w:val="22"/>
          <w:lang w:val="en-GB"/>
        </w:rPr>
        <w:t xml:space="preserve"> identified by ESPON,</w:t>
      </w:r>
      <w:r w:rsidR="002043F7" w:rsidRPr="0002056A">
        <w:rPr>
          <w:rFonts w:ascii="Georgia" w:hAnsi="Georgia"/>
          <w:sz w:val="22"/>
          <w:szCs w:val="22"/>
          <w:lang w:val="en-GB"/>
        </w:rPr>
        <w:t xml:space="preserve"> </w:t>
      </w:r>
      <w:r w:rsidR="00AD7199" w:rsidRPr="0002056A">
        <w:rPr>
          <w:rFonts w:ascii="Georgia" w:hAnsi="Georgia"/>
          <w:sz w:val="22"/>
          <w:szCs w:val="22"/>
          <w:lang w:val="en-GB"/>
        </w:rPr>
        <w:t>must be</w:t>
      </w:r>
      <w:r w:rsidR="002043F7" w:rsidRPr="0002056A">
        <w:rPr>
          <w:rFonts w:ascii="Georgia" w:hAnsi="Georgia"/>
          <w:sz w:val="22"/>
          <w:szCs w:val="22"/>
          <w:lang w:val="en-GB"/>
        </w:rPr>
        <w:t xml:space="preserve"> represented by at least one case study (</w:t>
      </w:r>
      <w:r w:rsidR="002043F7" w:rsidRPr="0002056A">
        <w:rPr>
          <w:rFonts w:ascii="Georgia" w:hAnsi="Georgia"/>
          <w:smallCaps/>
          <w:sz w:val="22"/>
          <w:szCs w:val="22"/>
          <w:lang w:val="en-GB"/>
        </w:rPr>
        <w:t>DG Regio, 2009</w:t>
      </w:r>
      <w:r w:rsidR="002043F7" w:rsidRPr="0002056A">
        <w:rPr>
          <w:rFonts w:ascii="Georgia" w:hAnsi="Georgia"/>
          <w:sz w:val="22"/>
          <w:szCs w:val="22"/>
          <w:lang w:val="en-GB"/>
        </w:rPr>
        <w:t xml:space="preserve">). </w:t>
      </w:r>
    </w:p>
    <w:p w14:paraId="2F7A47DE" w14:textId="77777777" w:rsidR="00E37DD6" w:rsidRPr="0002056A" w:rsidRDefault="00E37DD6" w:rsidP="00E37DD6">
      <w:pPr>
        <w:spacing w:before="120" w:after="120" w:line="240" w:lineRule="auto"/>
        <w:jc w:val="center"/>
        <w:rPr>
          <w:rFonts w:ascii="Georgia" w:hAnsi="Georgia" w:cs="Arial"/>
          <w:shd w:val="clear" w:color="auto" w:fill="FFFFFF"/>
          <w:lang w:val="en-GB"/>
        </w:rPr>
      </w:pPr>
      <w:r w:rsidRPr="0002056A">
        <w:rPr>
          <w:noProof/>
          <w:lang w:val="en-GB" w:eastAsia="hu-HU"/>
          <w14:ligatures w14:val="standardContextual"/>
        </w:rPr>
        <w:drawing>
          <wp:inline distT="0" distB="0" distL="0" distR="0" wp14:anchorId="5A062EFA" wp14:editId="2D91AF29">
            <wp:extent cx="3867325" cy="5194348"/>
            <wp:effectExtent l="0" t="0" r="0" b="6350"/>
            <wp:docPr id="2" name="Kép 2" descr="A képen szöveg, szoftver, képernyőkép, Multimédiás szoftve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descr="A képen szöveg, szoftver, képernyőkép, Multimédiás szoftver látható&#10;&#10;Előfordulhat, hogy az AI által létrehozott tartalom helytelen."/>
                    <pic:cNvPicPr/>
                  </pic:nvPicPr>
                  <pic:blipFill rotWithShape="1">
                    <a:blip r:embed="rId29"/>
                    <a:srcRect l="39793" t="26847" r="37720" b="19459"/>
                    <a:stretch/>
                  </pic:blipFill>
                  <pic:spPr bwMode="auto">
                    <a:xfrm>
                      <a:off x="0" y="0"/>
                      <a:ext cx="3876484" cy="5206650"/>
                    </a:xfrm>
                    <a:prstGeom prst="rect">
                      <a:avLst/>
                    </a:prstGeom>
                    <a:ln>
                      <a:noFill/>
                    </a:ln>
                    <a:extLst>
                      <a:ext uri="{53640926-AAD7-44D8-BBD7-CCE9431645EC}">
                        <a14:shadowObscured xmlns:a14="http://schemas.microsoft.com/office/drawing/2010/main"/>
                      </a:ext>
                    </a:extLst>
                  </pic:spPr>
                </pic:pic>
              </a:graphicData>
            </a:graphic>
          </wp:inline>
        </w:drawing>
      </w:r>
    </w:p>
    <w:p w14:paraId="0123EB4A" w14:textId="5A253F05" w:rsidR="00E37DD6" w:rsidRPr="0002056A" w:rsidRDefault="00E37DD6" w:rsidP="00E37DD6">
      <w:pPr>
        <w:spacing w:before="120" w:after="120" w:line="240" w:lineRule="auto"/>
        <w:jc w:val="center"/>
        <w:rPr>
          <w:rFonts w:ascii="Georgia" w:hAnsi="Georgia" w:cs="Times New Roman"/>
          <w:b/>
          <w:sz w:val="16"/>
          <w:szCs w:val="16"/>
          <w:lang w:val="en-GB"/>
        </w:rPr>
      </w:pPr>
      <w:r w:rsidRPr="0002056A">
        <w:rPr>
          <w:rFonts w:ascii="Georgia" w:hAnsi="Georgia" w:cs="Times New Roman"/>
          <w:b/>
          <w:sz w:val="16"/>
          <w:szCs w:val="16"/>
          <w:lang w:val="en-GB"/>
        </w:rPr>
        <w:t xml:space="preserve">Figure </w:t>
      </w:r>
      <w:r w:rsidR="00985740" w:rsidRPr="0002056A">
        <w:rPr>
          <w:rFonts w:ascii="Georgia" w:hAnsi="Georgia" w:cs="Times New Roman"/>
          <w:b/>
          <w:sz w:val="16"/>
          <w:szCs w:val="16"/>
          <w:lang w:val="en-GB"/>
        </w:rPr>
        <w:t xml:space="preserve">12: </w:t>
      </w:r>
      <w:r w:rsidRPr="0002056A">
        <w:rPr>
          <w:rFonts w:ascii="Georgia" w:hAnsi="Georgia" w:cs="Times New Roman"/>
          <w:b/>
          <w:sz w:val="16"/>
          <w:szCs w:val="16"/>
          <w:lang w:val="en-GB"/>
        </w:rPr>
        <w:t>“Climate Change Regions” of Europe according to the ESPON Climate project.</w:t>
      </w:r>
      <w:r w:rsidRPr="0002056A">
        <w:rPr>
          <w:rFonts w:ascii="Georgia" w:hAnsi="Georgia" w:cs="Times New Roman"/>
          <w:i/>
          <w:sz w:val="16"/>
          <w:szCs w:val="16"/>
          <w:lang w:val="en-GB"/>
        </w:rPr>
        <w:t xml:space="preserve"> Source: ESPON CLIMATE (2011).</w:t>
      </w:r>
    </w:p>
    <w:p w14:paraId="0476E40D" w14:textId="099EDD47" w:rsidR="00040419" w:rsidRPr="0002056A" w:rsidRDefault="00040419" w:rsidP="00CD5BF3">
      <w:pPr>
        <w:spacing w:after="0"/>
        <w:jc w:val="both"/>
        <w:rPr>
          <w:rFonts w:ascii="Georgia" w:hAnsi="Georgia" w:cs="Times New Roman"/>
          <w:highlight w:val="yellow"/>
          <w:lang w:val="en-GB"/>
        </w:rPr>
      </w:pPr>
      <w:r w:rsidRPr="0002056A">
        <w:rPr>
          <w:rFonts w:ascii="Georgia" w:hAnsi="Georgia" w:cs="Times New Roman"/>
          <w:shd w:val="clear" w:color="auto" w:fill="FFFFFF"/>
          <w:lang w:val="en-GB"/>
        </w:rPr>
        <w:t xml:space="preserve">If we are looking for </w:t>
      </w:r>
      <w:r w:rsidR="00C67E62" w:rsidRPr="0002056A">
        <w:rPr>
          <w:rFonts w:ascii="Georgia" w:hAnsi="Georgia" w:cs="Times New Roman"/>
          <w:shd w:val="clear" w:color="auto" w:fill="FFFFFF"/>
          <w:lang w:val="en-GB"/>
        </w:rPr>
        <w:t xml:space="preserve">even more </w:t>
      </w:r>
      <w:r w:rsidRPr="0002056A">
        <w:rPr>
          <w:rFonts w:ascii="Georgia" w:hAnsi="Georgia" w:cs="Times New Roman"/>
          <w:shd w:val="clear" w:color="auto" w:fill="FFFFFF"/>
          <w:lang w:val="en-GB"/>
        </w:rPr>
        <w:t>practice-oriented delimitations, approaches of EU-level strategic documents/regional policy tools can be mentioned. The 2011 Territorial State and Perspectives of the European Union (TSP) document</w:t>
      </w:r>
      <w:r w:rsidRPr="0002056A">
        <w:rPr>
          <w:rStyle w:val="Lbjegyzet-hivatkozs"/>
          <w:rFonts w:ascii="Georgia" w:hAnsi="Georgia" w:cs="Times New Roman"/>
          <w:shd w:val="clear" w:color="auto" w:fill="FFFFFF"/>
          <w:lang w:val="en-GB"/>
        </w:rPr>
        <w:footnoteReference w:id="90"/>
      </w:r>
      <w:r w:rsidRPr="0002056A">
        <w:rPr>
          <w:rFonts w:ascii="Georgia" w:hAnsi="Georgia" w:cs="Times New Roman"/>
          <w:shd w:val="clear" w:color="auto" w:fill="FFFFFF"/>
          <w:lang w:val="en-GB"/>
        </w:rPr>
        <w:t xml:space="preserve">, as the background document of the then actual </w:t>
      </w:r>
      <w:r w:rsidR="00AA3CCF" w:rsidRPr="0002056A">
        <w:rPr>
          <w:rFonts w:ascii="Georgia" w:hAnsi="Georgia" w:cs="Times New Roman"/>
          <w:shd w:val="clear" w:color="auto" w:fill="FFFFFF"/>
          <w:lang w:val="en-GB"/>
        </w:rPr>
        <w:t>T</w:t>
      </w:r>
      <w:r w:rsidRPr="0002056A">
        <w:rPr>
          <w:rFonts w:ascii="Georgia" w:hAnsi="Georgia" w:cs="Times New Roman"/>
          <w:shd w:val="clear" w:color="auto" w:fill="FFFFFF"/>
          <w:lang w:val="en-GB"/>
        </w:rPr>
        <w:t>erritorial Agenda of the EU</w:t>
      </w:r>
      <w:r w:rsidR="00D17729">
        <w:rPr>
          <w:rFonts w:ascii="Georgia" w:hAnsi="Georgia" w:cs="Times New Roman"/>
          <w:shd w:val="clear" w:color="auto" w:fill="FFFFFF"/>
          <w:lang w:val="en-GB"/>
        </w:rPr>
        <w:t>,</w:t>
      </w:r>
      <w:r w:rsidRPr="0002056A">
        <w:rPr>
          <w:rFonts w:ascii="Georgia" w:hAnsi="Georgia" w:cs="Times New Roman"/>
          <w:shd w:val="clear" w:color="auto" w:fill="FFFFFF"/>
          <w:lang w:val="en-GB"/>
        </w:rPr>
        <w:t xml:space="preserve"> </w:t>
      </w:r>
      <w:r w:rsidRPr="0002056A">
        <w:rPr>
          <w:rFonts w:ascii="Georgia" w:eastAsia="Times New Roman" w:hAnsi="Georgia" w:cs="Times New Roman"/>
          <w:lang w:val="en-GB" w:eastAsia="hu-HU"/>
        </w:rPr>
        <w:t xml:space="preserve">dedicated an individual chapter for the spatial </w:t>
      </w:r>
      <w:r w:rsidRPr="0002056A">
        <w:rPr>
          <w:rFonts w:ascii="Georgia" w:eastAsia="Times New Roman" w:hAnsi="Georgia" w:cs="Times New Roman"/>
          <w:lang w:val="en-GB" w:eastAsia="hu-HU"/>
        </w:rPr>
        <w:lastRenderedPageBreak/>
        <w:t>p</w:t>
      </w:r>
      <w:r w:rsidRPr="0002056A">
        <w:rPr>
          <w:rFonts w:ascii="Georgia" w:hAnsi="Georgia" w:cs="Times New Roman"/>
          <w:lang w:val="en-GB"/>
        </w:rPr>
        <w:t xml:space="preserve">otentials and challenges of Europe, presenting four main macro regions facing similar challenges (Figure </w:t>
      </w:r>
      <w:r w:rsidR="00EE796B" w:rsidRPr="0002056A">
        <w:rPr>
          <w:rFonts w:ascii="Georgia" w:hAnsi="Georgia" w:cs="Times New Roman"/>
          <w:lang w:val="en-GB"/>
        </w:rPr>
        <w:t>13</w:t>
      </w:r>
      <w:r w:rsidRPr="0002056A">
        <w:rPr>
          <w:rFonts w:ascii="Georgia" w:hAnsi="Georgia" w:cs="Times New Roman"/>
          <w:lang w:val="en-GB"/>
        </w:rPr>
        <w:t xml:space="preserve">). </w:t>
      </w:r>
      <w:r w:rsidR="00D17729">
        <w:rPr>
          <w:rFonts w:ascii="Georgia" w:hAnsi="Georgia" w:cs="Times New Roman"/>
          <w:lang w:val="en-GB"/>
        </w:rPr>
        <w:t>Besides Western, Southern and Northern Europe, the Eastern part of Central Europe</w:t>
      </w:r>
      <w:r w:rsidRPr="0002056A">
        <w:rPr>
          <w:rFonts w:ascii="Georgia" w:hAnsi="Georgia" w:cs="Times New Roman"/>
          <w:lang w:val="en-GB"/>
        </w:rPr>
        <w:t xml:space="preserve"> („the Central-Eastern”) was also identified</w:t>
      </w:r>
      <w:r w:rsidR="00452D71" w:rsidRPr="0002056A">
        <w:rPr>
          <w:rFonts w:ascii="Georgia" w:hAnsi="Georgia" w:cs="Times New Roman"/>
          <w:lang w:val="en-GB"/>
        </w:rPr>
        <w:t xml:space="preserve"> (Figure 13)</w:t>
      </w:r>
      <w:r w:rsidRPr="0002056A">
        <w:rPr>
          <w:rFonts w:ascii="Georgia" w:hAnsi="Georgia" w:cs="Times New Roman"/>
          <w:lang w:val="en-GB"/>
        </w:rPr>
        <w:t>. It included most of the then</w:t>
      </w:r>
      <w:r w:rsidR="00AD7199" w:rsidRPr="0002056A">
        <w:rPr>
          <w:rFonts w:ascii="Georgia" w:hAnsi="Georgia" w:cs="Times New Roman"/>
          <w:lang w:val="en-GB"/>
        </w:rPr>
        <w:t>-</w:t>
      </w:r>
      <w:r w:rsidRPr="0002056A">
        <w:rPr>
          <w:rFonts w:ascii="Georgia" w:hAnsi="Georgia" w:cs="Times New Roman"/>
          <w:lang w:val="en-GB"/>
        </w:rPr>
        <w:t>new (post-2004) EU Member States</w:t>
      </w:r>
      <w:r w:rsidRPr="0002056A">
        <w:rPr>
          <w:rStyle w:val="Lbjegyzet-hivatkozs"/>
          <w:rFonts w:ascii="Georgia" w:hAnsi="Georgia" w:cs="Times New Roman"/>
          <w:lang w:val="en-GB"/>
        </w:rPr>
        <w:footnoteReference w:id="91"/>
      </w:r>
      <w:r w:rsidRPr="0002056A">
        <w:rPr>
          <w:rFonts w:ascii="Georgia" w:hAnsi="Georgia" w:cs="Times New Roman"/>
          <w:lang w:val="en-GB"/>
        </w:rPr>
        <w:t xml:space="preserve"> (</w:t>
      </w:r>
      <w:r w:rsidR="002E34CB" w:rsidRPr="0002056A">
        <w:rPr>
          <w:rFonts w:ascii="Georgia" w:eastAsia="Times New Roman" w:hAnsi="Georgia" w:cs="Times New Roman"/>
          <w:smallCaps/>
          <w:lang w:val="en-GB" w:eastAsia="hu-HU"/>
        </w:rPr>
        <w:t>Damsgaard et al.</w:t>
      </w:r>
      <w:r w:rsidRPr="0002056A">
        <w:rPr>
          <w:rFonts w:ascii="Georgia" w:eastAsia="Times New Roman" w:hAnsi="Georgia" w:cs="Times New Roman"/>
          <w:smallCaps/>
          <w:lang w:val="en-GB" w:eastAsia="hu-HU"/>
        </w:rPr>
        <w:t>, 2011</w:t>
      </w:r>
      <w:r w:rsidRPr="0002056A">
        <w:rPr>
          <w:rFonts w:ascii="Georgia" w:eastAsia="Times New Roman" w:hAnsi="Georgia" w:cs="Times New Roman"/>
          <w:lang w:val="en-GB" w:eastAsia="hu-HU"/>
        </w:rPr>
        <w:t>)</w:t>
      </w:r>
      <w:r w:rsidRPr="0002056A">
        <w:rPr>
          <w:rFonts w:ascii="Georgia" w:hAnsi="Georgia" w:cs="Times New Roman"/>
          <w:lang w:val="en-GB"/>
        </w:rPr>
        <w:t>.</w:t>
      </w:r>
    </w:p>
    <w:p w14:paraId="0E1D3219" w14:textId="77777777" w:rsidR="00901826" w:rsidRPr="0002056A" w:rsidRDefault="00901826" w:rsidP="00901826">
      <w:pPr>
        <w:spacing w:before="120" w:after="120" w:line="240" w:lineRule="auto"/>
        <w:jc w:val="center"/>
        <w:rPr>
          <w:rFonts w:ascii="Georgia" w:hAnsi="Georgia"/>
          <w:highlight w:val="yellow"/>
          <w:lang w:val="en-GB"/>
        </w:rPr>
      </w:pPr>
      <w:r w:rsidRPr="0002056A">
        <w:rPr>
          <w:rFonts w:ascii="Georgia" w:hAnsi="Georgia"/>
          <w:noProof/>
          <w:lang w:val="en-GB" w:eastAsia="hu-HU"/>
        </w:rPr>
        <w:drawing>
          <wp:inline distT="0" distB="0" distL="0" distR="0" wp14:anchorId="54A9AB6B" wp14:editId="110A04E3">
            <wp:extent cx="2878373" cy="3007258"/>
            <wp:effectExtent l="0" t="0" r="0" b="3175"/>
            <wp:docPr id="20" name="Kép 20" descr="A képen szöveg, képernyőkép, szoftver, Multimédiás szoftve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ép 20" descr="A képen szöveg, képernyőkép, szoftver, Multimédiás szoftver látható&#10;&#10;Előfordulhat, hogy az AI által létrehozott tartalom helytelen."/>
                    <pic:cNvPicPr/>
                  </pic:nvPicPr>
                  <pic:blipFill rotWithShape="1">
                    <a:blip r:embed="rId30"/>
                    <a:srcRect l="46823" t="34728" r="25414" b="10849"/>
                    <a:stretch/>
                  </pic:blipFill>
                  <pic:spPr bwMode="auto">
                    <a:xfrm>
                      <a:off x="0" y="0"/>
                      <a:ext cx="2880362" cy="3009336"/>
                    </a:xfrm>
                    <a:prstGeom prst="rect">
                      <a:avLst/>
                    </a:prstGeom>
                    <a:ln>
                      <a:noFill/>
                    </a:ln>
                    <a:extLst>
                      <a:ext uri="{53640926-AAD7-44D8-BBD7-CCE9431645EC}">
                        <a14:shadowObscured xmlns:a14="http://schemas.microsoft.com/office/drawing/2010/main"/>
                      </a:ext>
                    </a:extLst>
                  </pic:spPr>
                </pic:pic>
              </a:graphicData>
            </a:graphic>
          </wp:inline>
        </w:drawing>
      </w:r>
    </w:p>
    <w:p w14:paraId="1117AF38" w14:textId="68BB4B6D" w:rsidR="00901826" w:rsidRPr="0002056A" w:rsidRDefault="00901826" w:rsidP="00901826">
      <w:pPr>
        <w:spacing w:before="120" w:after="120" w:line="240" w:lineRule="auto"/>
        <w:jc w:val="center"/>
        <w:rPr>
          <w:rFonts w:ascii="Georgia" w:hAnsi="Georgia"/>
          <w:b/>
          <w:sz w:val="16"/>
          <w:szCs w:val="16"/>
          <w:lang w:val="en-GB"/>
        </w:rPr>
      </w:pPr>
      <w:r w:rsidRPr="0002056A">
        <w:rPr>
          <w:rFonts w:ascii="Georgia" w:hAnsi="Georgia"/>
          <w:b/>
          <w:sz w:val="16"/>
          <w:szCs w:val="16"/>
          <w:lang w:val="en-GB"/>
        </w:rPr>
        <w:t xml:space="preserve">Figure </w:t>
      </w:r>
      <w:r w:rsidR="00EC009D" w:rsidRPr="0002056A">
        <w:rPr>
          <w:rFonts w:ascii="Georgia" w:hAnsi="Georgia"/>
          <w:b/>
          <w:sz w:val="16"/>
          <w:szCs w:val="16"/>
          <w:lang w:val="en-GB"/>
        </w:rPr>
        <w:t>13</w:t>
      </w:r>
      <w:r w:rsidRPr="0002056A">
        <w:rPr>
          <w:rFonts w:ascii="Georgia" w:hAnsi="Georgia"/>
          <w:b/>
          <w:sz w:val="16"/>
          <w:szCs w:val="16"/>
          <w:lang w:val="en-GB"/>
        </w:rPr>
        <w:t xml:space="preserve">: Main European </w:t>
      </w:r>
      <w:r w:rsidR="00B16127" w:rsidRPr="0002056A">
        <w:rPr>
          <w:rFonts w:ascii="Georgia" w:hAnsi="Georgia"/>
          <w:b/>
          <w:sz w:val="16"/>
          <w:szCs w:val="16"/>
          <w:lang w:val="en-GB"/>
        </w:rPr>
        <w:t>g</w:t>
      </w:r>
      <w:r w:rsidRPr="0002056A">
        <w:rPr>
          <w:rFonts w:ascii="Georgia" w:hAnsi="Georgia"/>
          <w:b/>
          <w:sz w:val="16"/>
          <w:szCs w:val="16"/>
          <w:lang w:val="en-GB"/>
        </w:rPr>
        <w:t xml:space="preserve">eographical </w:t>
      </w:r>
      <w:r w:rsidR="00B16127" w:rsidRPr="0002056A">
        <w:rPr>
          <w:rFonts w:ascii="Georgia" w:hAnsi="Georgia"/>
          <w:b/>
          <w:sz w:val="16"/>
          <w:szCs w:val="16"/>
          <w:lang w:val="en-GB"/>
        </w:rPr>
        <w:t>r</w:t>
      </w:r>
      <w:r w:rsidRPr="0002056A">
        <w:rPr>
          <w:rFonts w:ascii="Georgia" w:hAnsi="Georgia"/>
          <w:b/>
          <w:sz w:val="16"/>
          <w:szCs w:val="16"/>
          <w:lang w:val="en-GB"/>
        </w:rPr>
        <w:t>egions (</w:t>
      </w:r>
      <w:r w:rsidR="00B16127" w:rsidRPr="0002056A">
        <w:rPr>
          <w:rFonts w:ascii="Georgia" w:hAnsi="Georgia"/>
          <w:b/>
          <w:sz w:val="16"/>
          <w:szCs w:val="16"/>
          <w:lang w:val="en-GB"/>
        </w:rPr>
        <w:t>z</w:t>
      </w:r>
      <w:r w:rsidRPr="0002056A">
        <w:rPr>
          <w:rFonts w:ascii="Georgia" w:hAnsi="Georgia"/>
          <w:b/>
          <w:sz w:val="16"/>
          <w:szCs w:val="16"/>
          <w:lang w:val="en-GB"/>
        </w:rPr>
        <w:t xml:space="preserve">ones). </w:t>
      </w:r>
      <w:r w:rsidRPr="0002056A">
        <w:rPr>
          <w:rFonts w:ascii="Georgia" w:hAnsi="Georgia"/>
          <w:sz w:val="16"/>
          <w:szCs w:val="16"/>
          <w:lang w:val="en-GB"/>
        </w:rPr>
        <w:t xml:space="preserve">Source: </w:t>
      </w:r>
      <w:r w:rsidR="00452D71" w:rsidRPr="0002056A">
        <w:rPr>
          <w:rFonts w:ascii="Georgia" w:hAnsi="Georgia"/>
          <w:sz w:val="16"/>
          <w:szCs w:val="16"/>
          <w:lang w:val="en-GB"/>
        </w:rPr>
        <w:t xml:space="preserve">Damsgaard et al, </w:t>
      </w:r>
      <w:r w:rsidRPr="0002056A">
        <w:rPr>
          <w:rFonts w:ascii="Georgia" w:hAnsi="Georgia"/>
          <w:sz w:val="16"/>
          <w:szCs w:val="16"/>
          <w:lang w:val="en-GB"/>
        </w:rPr>
        <w:t>2011</w:t>
      </w:r>
      <w:r w:rsidRPr="0002056A">
        <w:rPr>
          <w:rFonts w:ascii="Georgia" w:hAnsi="Georgia" w:cstheme="minorHAnsi"/>
          <w:sz w:val="16"/>
          <w:szCs w:val="16"/>
          <w:lang w:val="en-GB"/>
        </w:rPr>
        <w:t>.</w:t>
      </w:r>
    </w:p>
    <w:p w14:paraId="60178B81" w14:textId="66A15085" w:rsidR="00040419" w:rsidRPr="0002056A" w:rsidRDefault="00040419" w:rsidP="00CD5BF3">
      <w:pPr>
        <w:pStyle w:val="NormlWeb"/>
        <w:shd w:val="clear" w:color="auto" w:fill="FFFFFF"/>
        <w:spacing w:before="0" w:beforeAutospacing="0" w:after="0" w:afterAutospacing="0" w:line="276" w:lineRule="auto"/>
        <w:jc w:val="both"/>
        <w:rPr>
          <w:rFonts w:ascii="Georgia" w:hAnsi="Georgia"/>
          <w:sz w:val="22"/>
          <w:szCs w:val="22"/>
          <w:lang w:val="en-GB"/>
        </w:rPr>
      </w:pPr>
      <w:r w:rsidRPr="0002056A">
        <w:rPr>
          <w:rFonts w:ascii="Georgia" w:hAnsi="Georgia"/>
          <w:sz w:val="22"/>
          <w:szCs w:val="22"/>
          <w:lang w:val="en-GB"/>
        </w:rPr>
        <w:t xml:space="preserve">The EU’s regional development policy has </w:t>
      </w:r>
      <w:r w:rsidR="00D17729">
        <w:rPr>
          <w:rFonts w:ascii="Georgia" w:hAnsi="Georgia"/>
          <w:sz w:val="22"/>
          <w:szCs w:val="22"/>
          <w:lang w:val="en-GB"/>
        </w:rPr>
        <w:t xml:space="preserve">addressed European macro regions </w:t>
      </w:r>
      <w:r w:rsidRPr="0002056A">
        <w:rPr>
          <w:rFonts w:ascii="Georgia" w:hAnsi="Georgia"/>
          <w:sz w:val="22"/>
          <w:szCs w:val="22"/>
          <w:lang w:val="en-GB"/>
        </w:rPr>
        <w:t>since the middle of the 2000s (</w:t>
      </w:r>
      <w:r w:rsidRPr="0002056A">
        <w:rPr>
          <w:rFonts w:ascii="Georgia" w:hAnsi="Georgia"/>
          <w:smallCaps/>
          <w:sz w:val="22"/>
          <w:szCs w:val="22"/>
          <w:lang w:val="en-GB"/>
        </w:rPr>
        <w:t xml:space="preserve">Illés, 2002). </w:t>
      </w:r>
      <w:r w:rsidRPr="0002056A">
        <w:rPr>
          <w:rFonts w:ascii="Georgia" w:hAnsi="Georgia"/>
          <w:sz w:val="22"/>
          <w:szCs w:val="22"/>
          <w:lang w:val="en-GB"/>
        </w:rPr>
        <w:t>In the current programming period,</w:t>
      </w:r>
      <w:r w:rsidRPr="0002056A">
        <w:rPr>
          <w:rFonts w:ascii="Georgia" w:hAnsi="Georgia"/>
          <w:smallCaps/>
          <w:sz w:val="22"/>
          <w:szCs w:val="22"/>
          <w:lang w:val="en-GB"/>
        </w:rPr>
        <w:t xml:space="preserve"> </w:t>
      </w:r>
      <w:r w:rsidRPr="0002056A">
        <w:rPr>
          <w:rFonts w:ascii="Georgia" w:hAnsi="Georgia"/>
          <w:sz w:val="22"/>
          <w:szCs w:val="22"/>
          <w:lang w:val="en-GB"/>
        </w:rPr>
        <w:t>transnational cooperation, coordinated by the Interreg B programme, allows for collaboration over larger transnational territories or around sea basins</w:t>
      </w:r>
      <w:r w:rsidR="00D17729">
        <w:rPr>
          <w:rFonts w:ascii="Georgia" w:hAnsi="Georgia"/>
          <w:sz w:val="22"/>
          <w:szCs w:val="22"/>
          <w:lang w:val="en-GB"/>
        </w:rPr>
        <w:t>,</w:t>
      </w:r>
      <w:r w:rsidRPr="0002056A">
        <w:rPr>
          <w:rStyle w:val="Lbjegyzet-hivatkozs"/>
          <w:rFonts w:ascii="Georgia" w:hAnsi="Georgia"/>
          <w:sz w:val="22"/>
          <w:szCs w:val="22"/>
          <w:lang w:val="en-GB"/>
        </w:rPr>
        <w:footnoteReference w:id="92"/>
      </w:r>
      <w:r w:rsidRPr="0002056A">
        <w:rPr>
          <w:rFonts w:ascii="Georgia" w:hAnsi="Georgia"/>
          <w:sz w:val="22"/>
          <w:szCs w:val="22"/>
          <w:lang w:val="en-GB"/>
        </w:rPr>
        <w:t xml:space="preserve"> promoting better cooperation across countries within the designated regions. Out of the current 12 macro regions,</w:t>
      </w:r>
      <w:r w:rsidR="002E1A59" w:rsidRPr="0002056A">
        <w:rPr>
          <w:rFonts w:ascii="Georgia" w:hAnsi="Georgia"/>
          <w:sz w:val="22"/>
          <w:szCs w:val="22"/>
          <w:lang w:val="en-GB"/>
        </w:rPr>
        <w:t xml:space="preserve"> different groupings of them compose the above mentioned 4 macro regions (North</w:t>
      </w:r>
      <w:r w:rsidR="00452D71" w:rsidRPr="0002056A">
        <w:rPr>
          <w:rFonts w:ascii="Georgia" w:hAnsi="Georgia"/>
          <w:sz w:val="22"/>
          <w:szCs w:val="22"/>
          <w:lang w:val="en-GB"/>
        </w:rPr>
        <w:t>ern</w:t>
      </w:r>
      <w:r w:rsidR="002E1A59" w:rsidRPr="0002056A">
        <w:rPr>
          <w:rFonts w:ascii="Georgia" w:hAnsi="Georgia"/>
          <w:sz w:val="22"/>
          <w:szCs w:val="22"/>
          <w:lang w:val="en-GB"/>
        </w:rPr>
        <w:t>, South</w:t>
      </w:r>
      <w:r w:rsidR="00452D71" w:rsidRPr="0002056A">
        <w:rPr>
          <w:rFonts w:ascii="Georgia" w:hAnsi="Georgia"/>
          <w:sz w:val="22"/>
          <w:szCs w:val="22"/>
          <w:lang w:val="en-GB"/>
        </w:rPr>
        <w:t>ern</w:t>
      </w:r>
      <w:r w:rsidR="002E1A59" w:rsidRPr="0002056A">
        <w:rPr>
          <w:rFonts w:ascii="Georgia" w:hAnsi="Georgia"/>
          <w:sz w:val="22"/>
          <w:szCs w:val="22"/>
          <w:lang w:val="en-GB"/>
        </w:rPr>
        <w:t>, West</w:t>
      </w:r>
      <w:r w:rsidR="00452D71" w:rsidRPr="0002056A">
        <w:rPr>
          <w:rFonts w:ascii="Georgia" w:hAnsi="Georgia"/>
          <w:sz w:val="22"/>
          <w:szCs w:val="22"/>
          <w:lang w:val="en-GB"/>
        </w:rPr>
        <w:t>ern</w:t>
      </w:r>
      <w:r w:rsidR="002E1A59" w:rsidRPr="0002056A">
        <w:rPr>
          <w:rFonts w:ascii="Georgia" w:hAnsi="Georgia"/>
          <w:sz w:val="22"/>
          <w:szCs w:val="22"/>
          <w:lang w:val="en-GB"/>
        </w:rPr>
        <w:t xml:space="preserve">, </w:t>
      </w:r>
      <w:r w:rsidR="00B75247" w:rsidRPr="0002056A">
        <w:rPr>
          <w:rFonts w:ascii="Georgia" w:hAnsi="Georgia"/>
          <w:sz w:val="22"/>
          <w:szCs w:val="22"/>
          <w:lang w:val="en-GB"/>
        </w:rPr>
        <w:t>Central-Eastern</w:t>
      </w:r>
      <w:r w:rsidR="002E1A59" w:rsidRPr="0002056A">
        <w:rPr>
          <w:rFonts w:ascii="Georgia" w:hAnsi="Georgia"/>
          <w:sz w:val="22"/>
          <w:szCs w:val="22"/>
          <w:lang w:val="en-GB"/>
        </w:rPr>
        <w:t xml:space="preserve">) e.g. </w:t>
      </w:r>
      <w:r w:rsidRPr="0002056A">
        <w:rPr>
          <w:rFonts w:ascii="Georgia" w:hAnsi="Georgia"/>
          <w:sz w:val="22"/>
          <w:szCs w:val="22"/>
          <w:lang w:val="en-GB"/>
        </w:rPr>
        <w:t>the Central, the South-</w:t>
      </w:r>
      <w:r w:rsidR="00216AD0" w:rsidRPr="0002056A">
        <w:rPr>
          <w:rFonts w:ascii="Georgia" w:hAnsi="Georgia"/>
          <w:sz w:val="22"/>
          <w:szCs w:val="22"/>
          <w:lang w:val="en-GB"/>
        </w:rPr>
        <w:t>Eastern</w:t>
      </w:r>
      <w:r w:rsidRPr="0002056A">
        <w:rPr>
          <w:rFonts w:ascii="Georgia" w:hAnsi="Georgia"/>
          <w:sz w:val="22"/>
          <w:szCs w:val="22"/>
          <w:lang w:val="en-GB"/>
        </w:rPr>
        <w:t xml:space="preserve"> and the Danube regions cover roughly the territory of Eastern-Central-Europe</w:t>
      </w:r>
      <w:r w:rsidR="00C559E0" w:rsidRPr="0002056A">
        <w:rPr>
          <w:rFonts w:ascii="Georgia" w:hAnsi="Georgia"/>
          <w:sz w:val="22"/>
          <w:szCs w:val="22"/>
          <w:lang w:val="en-GB"/>
        </w:rPr>
        <w:t>; South-West</w:t>
      </w:r>
      <w:r w:rsidR="00B75247" w:rsidRPr="0002056A">
        <w:rPr>
          <w:rFonts w:ascii="Georgia" w:hAnsi="Georgia"/>
          <w:sz w:val="22"/>
          <w:szCs w:val="22"/>
          <w:lang w:val="en-GB"/>
        </w:rPr>
        <w:t>ern</w:t>
      </w:r>
      <w:r w:rsidR="00C559E0" w:rsidRPr="0002056A">
        <w:rPr>
          <w:rFonts w:ascii="Georgia" w:hAnsi="Georgia"/>
          <w:sz w:val="22"/>
          <w:szCs w:val="22"/>
          <w:lang w:val="en-GB"/>
        </w:rPr>
        <w:t xml:space="preserve"> Europe, the Mediterranean region and the Adriatic-Ionian region</w:t>
      </w:r>
      <w:r w:rsidR="00D17729">
        <w:rPr>
          <w:rFonts w:ascii="Georgia" w:hAnsi="Georgia"/>
          <w:sz w:val="22"/>
          <w:szCs w:val="22"/>
          <w:lang w:val="en-GB"/>
        </w:rPr>
        <w:t>,</w:t>
      </w:r>
      <w:r w:rsidR="00C559E0" w:rsidRPr="0002056A">
        <w:rPr>
          <w:rFonts w:ascii="Georgia" w:hAnsi="Georgia"/>
          <w:sz w:val="22"/>
          <w:szCs w:val="22"/>
          <w:lang w:val="en-GB"/>
        </w:rPr>
        <w:t xml:space="preserve"> the territory of South</w:t>
      </w:r>
      <w:r w:rsidR="00B75247" w:rsidRPr="0002056A">
        <w:rPr>
          <w:rFonts w:ascii="Georgia" w:hAnsi="Georgia"/>
          <w:sz w:val="22"/>
          <w:szCs w:val="22"/>
          <w:lang w:val="en-GB"/>
        </w:rPr>
        <w:t>ern</w:t>
      </w:r>
      <w:r w:rsidR="00C559E0" w:rsidRPr="0002056A">
        <w:rPr>
          <w:rFonts w:ascii="Georgia" w:hAnsi="Georgia"/>
          <w:sz w:val="22"/>
          <w:szCs w:val="22"/>
          <w:lang w:val="en-GB"/>
        </w:rPr>
        <w:t xml:space="preserve"> Europe, etc.</w:t>
      </w:r>
      <w:r w:rsidR="00643E78" w:rsidRPr="0002056A">
        <w:rPr>
          <w:rStyle w:val="Lbjegyzet-hivatkozs"/>
          <w:rFonts w:ascii="Georgia" w:hAnsi="Georgia"/>
          <w:sz w:val="22"/>
          <w:szCs w:val="22"/>
          <w:lang w:val="en-GB"/>
        </w:rPr>
        <w:footnoteReference w:id="93"/>
      </w:r>
      <w:r w:rsidRPr="0002056A">
        <w:rPr>
          <w:rFonts w:ascii="Georgia" w:hAnsi="Georgia"/>
          <w:sz w:val="22"/>
          <w:szCs w:val="22"/>
          <w:lang w:val="en-GB"/>
        </w:rPr>
        <w:t xml:space="preserve">. </w:t>
      </w:r>
    </w:p>
    <w:p w14:paraId="24795B1F" w14:textId="77777777" w:rsidR="008B02EE" w:rsidRPr="0002056A" w:rsidRDefault="008B02EE" w:rsidP="00CD5BF3">
      <w:pPr>
        <w:pStyle w:val="NormlWeb"/>
        <w:shd w:val="clear" w:color="auto" w:fill="FFFFFF"/>
        <w:spacing w:before="0" w:beforeAutospacing="0" w:after="0" w:afterAutospacing="0" w:line="276" w:lineRule="auto"/>
        <w:jc w:val="both"/>
        <w:rPr>
          <w:rFonts w:ascii="Georgia" w:hAnsi="Georgia"/>
          <w:sz w:val="22"/>
          <w:szCs w:val="22"/>
          <w:lang w:val="en-GB"/>
        </w:rPr>
      </w:pPr>
    </w:p>
    <w:p w14:paraId="147E4CB8" w14:textId="77777777" w:rsidR="008B02EE" w:rsidRPr="0002056A" w:rsidRDefault="008B02EE" w:rsidP="00CD5BF3">
      <w:pPr>
        <w:pStyle w:val="NormlWeb"/>
        <w:shd w:val="clear" w:color="auto" w:fill="FFFFFF"/>
        <w:spacing w:before="0" w:beforeAutospacing="0" w:after="0" w:afterAutospacing="0" w:line="276" w:lineRule="auto"/>
        <w:jc w:val="both"/>
        <w:rPr>
          <w:rFonts w:ascii="Georgia" w:hAnsi="Georgia"/>
          <w:noProof/>
          <w:sz w:val="22"/>
          <w:szCs w:val="22"/>
          <w:lang w:val="en-GB"/>
          <w14:ligatures w14:val="standardContextual"/>
        </w:rPr>
      </w:pPr>
    </w:p>
    <w:p w14:paraId="27E8C233" w14:textId="246A1397" w:rsidR="008B02EE" w:rsidRPr="0002056A" w:rsidRDefault="008B02EE" w:rsidP="00E3218E">
      <w:pPr>
        <w:pStyle w:val="NormlWeb"/>
        <w:shd w:val="clear" w:color="auto" w:fill="FFFFFF"/>
        <w:spacing w:before="0" w:beforeAutospacing="0" w:after="0" w:afterAutospacing="0"/>
        <w:jc w:val="both"/>
        <w:rPr>
          <w:rFonts w:ascii="Georgia" w:hAnsi="Georgia"/>
          <w:sz w:val="22"/>
          <w:szCs w:val="22"/>
          <w:lang w:val="en-GB"/>
        </w:rPr>
      </w:pPr>
      <w:r w:rsidRPr="0002056A">
        <w:rPr>
          <w:rFonts w:ascii="Georgia" w:hAnsi="Georgia"/>
          <w:noProof/>
          <w:sz w:val="22"/>
          <w:szCs w:val="22"/>
          <w:lang w:val="en-GB"/>
          <w14:ligatures w14:val="standardContextual"/>
        </w:rPr>
        <w:lastRenderedPageBreak/>
        <w:drawing>
          <wp:inline distT="0" distB="0" distL="0" distR="0" wp14:anchorId="28C4A6C8" wp14:editId="75CF151E">
            <wp:extent cx="5760720" cy="6302326"/>
            <wp:effectExtent l="0" t="0" r="0" b="3810"/>
            <wp:docPr id="1196293930" name="Kép 1" descr="A képen szöveg, térkép,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93930" name="Kép 1" descr="A képen szöveg, térkép, atlasz látható&#10;&#10;Előfordulhat, hogy az AI által létrehozott tartalom helytelen."/>
                    <pic:cNvPicPr/>
                  </pic:nvPicPr>
                  <pic:blipFill rotWithShape="1">
                    <a:blip r:embed="rId31">
                      <a:extLst>
                        <a:ext uri="{28A0092B-C50C-407E-A947-70E740481C1C}">
                          <a14:useLocalDpi xmlns:a14="http://schemas.microsoft.com/office/drawing/2010/main" val="0"/>
                        </a:ext>
                      </a:extLst>
                    </a:blip>
                    <a:srcRect t="6062" b="11642"/>
                    <a:stretch>
                      <a:fillRect/>
                    </a:stretch>
                  </pic:blipFill>
                  <pic:spPr bwMode="auto">
                    <a:xfrm>
                      <a:off x="0" y="0"/>
                      <a:ext cx="5760720" cy="6302326"/>
                    </a:xfrm>
                    <a:prstGeom prst="rect">
                      <a:avLst/>
                    </a:prstGeom>
                    <a:ln>
                      <a:noFill/>
                    </a:ln>
                    <a:extLst>
                      <a:ext uri="{53640926-AAD7-44D8-BBD7-CCE9431645EC}">
                        <a14:shadowObscured xmlns:a14="http://schemas.microsoft.com/office/drawing/2010/main"/>
                      </a:ext>
                    </a:extLst>
                  </pic:spPr>
                </pic:pic>
              </a:graphicData>
            </a:graphic>
          </wp:inline>
        </w:drawing>
      </w:r>
    </w:p>
    <w:p w14:paraId="02B829AE" w14:textId="7E33DBF5" w:rsidR="00E37DD6" w:rsidRPr="0002056A" w:rsidRDefault="00E37DD6" w:rsidP="00E37DD6">
      <w:pPr>
        <w:spacing w:before="120" w:after="120" w:line="240" w:lineRule="auto"/>
        <w:jc w:val="center"/>
        <w:rPr>
          <w:rFonts w:ascii="Georgia" w:hAnsi="Georgia"/>
          <w:b/>
          <w:sz w:val="16"/>
          <w:szCs w:val="16"/>
          <w:lang w:val="en-GB"/>
        </w:rPr>
      </w:pPr>
      <w:r w:rsidRPr="0002056A">
        <w:rPr>
          <w:rFonts w:ascii="Georgia" w:hAnsi="Georgia"/>
          <w:lang w:val="en-GB"/>
        </w:rPr>
        <w:t xml:space="preserve"> </w:t>
      </w:r>
      <w:r w:rsidRPr="0002056A">
        <w:rPr>
          <w:rFonts w:ascii="Georgia" w:hAnsi="Georgia"/>
          <w:b/>
          <w:sz w:val="16"/>
          <w:szCs w:val="16"/>
          <w:lang w:val="en-GB"/>
        </w:rPr>
        <w:t xml:space="preserve">Figure </w:t>
      </w:r>
      <w:r w:rsidR="00EC009D" w:rsidRPr="0002056A">
        <w:rPr>
          <w:rFonts w:ascii="Georgia" w:hAnsi="Georgia"/>
          <w:b/>
          <w:sz w:val="16"/>
          <w:szCs w:val="16"/>
          <w:lang w:val="en-GB"/>
        </w:rPr>
        <w:t>14</w:t>
      </w:r>
      <w:r w:rsidRPr="0002056A">
        <w:rPr>
          <w:rFonts w:ascii="Georgia" w:hAnsi="Georgia"/>
          <w:b/>
          <w:sz w:val="16"/>
          <w:szCs w:val="16"/>
          <w:lang w:val="en-GB"/>
        </w:rPr>
        <w:t xml:space="preserve">: The </w:t>
      </w:r>
      <w:r w:rsidR="00417827" w:rsidRPr="0002056A">
        <w:rPr>
          <w:rFonts w:ascii="Georgia" w:hAnsi="Georgia"/>
          <w:b/>
          <w:sz w:val="16"/>
          <w:szCs w:val="16"/>
          <w:lang w:val="en-GB"/>
        </w:rPr>
        <w:t>m</w:t>
      </w:r>
      <w:r w:rsidRPr="0002056A">
        <w:rPr>
          <w:rFonts w:ascii="Georgia" w:hAnsi="Georgia"/>
          <w:b/>
          <w:sz w:val="16"/>
          <w:szCs w:val="16"/>
          <w:lang w:val="en-GB"/>
        </w:rPr>
        <w:t xml:space="preserve">acro </w:t>
      </w:r>
      <w:r w:rsidR="00417827" w:rsidRPr="0002056A">
        <w:rPr>
          <w:rFonts w:ascii="Georgia" w:hAnsi="Georgia"/>
          <w:b/>
          <w:sz w:val="16"/>
          <w:szCs w:val="16"/>
          <w:lang w:val="en-GB"/>
        </w:rPr>
        <w:t>r</w:t>
      </w:r>
      <w:r w:rsidRPr="0002056A">
        <w:rPr>
          <w:rFonts w:ascii="Georgia" w:hAnsi="Georgia"/>
          <w:b/>
          <w:sz w:val="16"/>
          <w:szCs w:val="16"/>
          <w:lang w:val="en-GB"/>
        </w:rPr>
        <w:t xml:space="preserve">egions of the 2021-27 EU Interreg programme. </w:t>
      </w:r>
      <w:r w:rsidRPr="0002056A">
        <w:rPr>
          <w:rFonts w:ascii="Georgia" w:hAnsi="Georgia"/>
          <w:sz w:val="16"/>
          <w:szCs w:val="16"/>
          <w:lang w:val="en-GB"/>
        </w:rPr>
        <w:t xml:space="preserve">Source: Interreg B Programme, </w:t>
      </w:r>
      <w:r w:rsidR="00417827" w:rsidRPr="0002056A">
        <w:rPr>
          <w:rFonts w:ascii="Georgia" w:hAnsi="Georgia"/>
          <w:sz w:val="16"/>
          <w:szCs w:val="16"/>
          <w:lang w:val="en-GB"/>
        </w:rPr>
        <w:t>ec. europe.hu</w:t>
      </w:r>
      <w:r w:rsidRPr="0002056A">
        <w:rPr>
          <w:rFonts w:ascii="Georgia" w:hAnsi="Georgia" w:cstheme="minorHAnsi"/>
          <w:sz w:val="16"/>
          <w:szCs w:val="16"/>
          <w:lang w:val="en-GB"/>
        </w:rPr>
        <w:t>.</w:t>
      </w:r>
    </w:p>
    <w:p w14:paraId="024FCA54" w14:textId="33151526" w:rsidR="00040419" w:rsidRPr="0002056A" w:rsidRDefault="00040419" w:rsidP="00CD5BF3">
      <w:pPr>
        <w:pStyle w:val="NormlWeb"/>
        <w:shd w:val="clear" w:color="auto" w:fill="FFFFFF"/>
        <w:spacing w:before="0" w:beforeAutospacing="0" w:after="0" w:afterAutospacing="0" w:line="276" w:lineRule="auto"/>
        <w:jc w:val="both"/>
        <w:rPr>
          <w:rFonts w:ascii="Georgia" w:hAnsi="Georgia"/>
          <w:bCs/>
          <w:sz w:val="22"/>
          <w:szCs w:val="22"/>
          <w:lang w:val="en-GB"/>
        </w:rPr>
      </w:pPr>
      <w:r w:rsidRPr="0002056A">
        <w:rPr>
          <w:rFonts w:ascii="Georgia" w:hAnsi="Georgia"/>
          <w:sz w:val="22"/>
          <w:szCs w:val="22"/>
          <w:lang w:val="en-GB"/>
        </w:rPr>
        <w:t>The most up-to-date</w:t>
      </w:r>
      <w:r w:rsidR="00931ABB" w:rsidRPr="0002056A">
        <w:rPr>
          <w:rFonts w:ascii="Georgia" w:hAnsi="Georgia"/>
          <w:sz w:val="22"/>
          <w:szCs w:val="22"/>
          <w:lang w:val="en-GB"/>
        </w:rPr>
        <w:t xml:space="preserve"> climate change-related </w:t>
      </w:r>
      <w:r w:rsidR="008E5C5A" w:rsidRPr="0002056A">
        <w:rPr>
          <w:rFonts w:ascii="Georgia" w:hAnsi="Georgia"/>
          <w:sz w:val="22"/>
          <w:szCs w:val="22"/>
          <w:lang w:val="en-GB"/>
        </w:rPr>
        <w:t xml:space="preserve">practice-oriented </w:t>
      </w:r>
      <w:r w:rsidRPr="0002056A">
        <w:rPr>
          <w:rFonts w:ascii="Georgia" w:hAnsi="Georgia"/>
          <w:sz w:val="22"/>
          <w:szCs w:val="22"/>
          <w:lang w:val="en-GB"/>
        </w:rPr>
        <w:t>delimitation is that of the first European Climate Risk Assessment Report (EUCRA)</w:t>
      </w:r>
      <w:r w:rsidR="000441CF" w:rsidRPr="0002056A">
        <w:rPr>
          <w:rFonts w:ascii="Georgia" w:hAnsi="Georgia"/>
          <w:sz w:val="22"/>
          <w:szCs w:val="22"/>
          <w:lang w:val="en-GB"/>
        </w:rPr>
        <w:t xml:space="preserve">. </w:t>
      </w:r>
      <w:r w:rsidR="00931ABB" w:rsidRPr="0002056A">
        <w:rPr>
          <w:rFonts w:ascii="Georgia" w:hAnsi="Georgia"/>
          <w:sz w:val="22"/>
          <w:szCs w:val="22"/>
          <w:lang w:val="en-GB"/>
        </w:rPr>
        <w:t xml:space="preserve">The document </w:t>
      </w:r>
      <w:r w:rsidRPr="0002056A">
        <w:rPr>
          <w:rFonts w:ascii="Georgia" w:hAnsi="Georgia"/>
          <w:sz w:val="22"/>
          <w:szCs w:val="22"/>
          <w:lang w:val="en-GB"/>
        </w:rPr>
        <w:t>supports the identification of adaptation-related policy priorities</w:t>
      </w:r>
      <w:r w:rsidR="00931ABB" w:rsidRPr="0002056A">
        <w:rPr>
          <w:rFonts w:ascii="Georgia" w:hAnsi="Georgia"/>
          <w:sz w:val="22"/>
          <w:szCs w:val="22"/>
          <w:lang w:val="en-GB"/>
        </w:rPr>
        <w:t xml:space="preserve"> at EU level</w:t>
      </w:r>
      <w:r w:rsidR="008E5C5A" w:rsidRPr="0002056A">
        <w:rPr>
          <w:rFonts w:ascii="Georgia" w:hAnsi="Georgia"/>
          <w:sz w:val="22"/>
          <w:szCs w:val="22"/>
          <w:lang w:val="en-GB"/>
        </w:rPr>
        <w:t xml:space="preserve">, </w:t>
      </w:r>
      <w:r w:rsidR="00216AD0" w:rsidRPr="0002056A">
        <w:rPr>
          <w:rFonts w:ascii="Georgia" w:hAnsi="Georgia"/>
          <w:sz w:val="22"/>
          <w:szCs w:val="22"/>
          <w:lang w:val="en-GB"/>
        </w:rPr>
        <w:t>identifying</w:t>
      </w:r>
      <w:r w:rsidR="001D45A8" w:rsidRPr="0002056A">
        <w:rPr>
          <w:rFonts w:ascii="Georgia" w:hAnsi="Georgia"/>
          <w:sz w:val="22"/>
          <w:szCs w:val="22"/>
          <w:lang w:val="en-GB"/>
        </w:rPr>
        <w:t xml:space="preserve"> 36 climate risks </w:t>
      </w:r>
      <w:r w:rsidR="008E5C5A" w:rsidRPr="0002056A">
        <w:rPr>
          <w:rFonts w:ascii="Georgia" w:hAnsi="Georgia"/>
          <w:sz w:val="22"/>
          <w:szCs w:val="22"/>
          <w:lang w:val="en-GB"/>
        </w:rPr>
        <w:t xml:space="preserve">across Europe </w:t>
      </w:r>
      <w:r w:rsidR="001D45A8" w:rsidRPr="0002056A">
        <w:rPr>
          <w:rFonts w:ascii="Georgia" w:hAnsi="Georgia"/>
          <w:sz w:val="22"/>
          <w:szCs w:val="22"/>
          <w:lang w:val="en-GB"/>
        </w:rPr>
        <w:t>with potentially severe consequences</w:t>
      </w:r>
      <w:r w:rsidRPr="0002056A">
        <w:rPr>
          <w:rFonts w:ascii="Georgia" w:hAnsi="Georgia"/>
          <w:sz w:val="22"/>
          <w:szCs w:val="22"/>
          <w:lang w:val="en-GB"/>
        </w:rPr>
        <w:t>.</w:t>
      </w:r>
      <w:r w:rsidR="00A16CCB" w:rsidRPr="0002056A">
        <w:rPr>
          <w:rFonts w:ascii="Georgia" w:hAnsi="Georgia"/>
          <w:sz w:val="22"/>
          <w:szCs w:val="22"/>
          <w:lang w:val="en-GB"/>
        </w:rPr>
        <w:t xml:space="preserve"> </w:t>
      </w:r>
      <w:r w:rsidR="008E5C5A" w:rsidRPr="0002056A">
        <w:rPr>
          <w:rFonts w:ascii="Georgia" w:hAnsi="Georgia"/>
          <w:sz w:val="22"/>
          <w:szCs w:val="22"/>
          <w:lang w:val="en-GB"/>
        </w:rPr>
        <w:t>It assessed r</w:t>
      </w:r>
      <w:r w:rsidR="00A16CCB" w:rsidRPr="0002056A">
        <w:rPr>
          <w:rFonts w:ascii="Georgia" w:hAnsi="Georgia"/>
          <w:sz w:val="22"/>
          <w:szCs w:val="22"/>
          <w:lang w:val="en-GB"/>
        </w:rPr>
        <w:t xml:space="preserve">isk severity for Europe as a whole, </w:t>
      </w:r>
      <w:r w:rsidR="00D67D34" w:rsidRPr="0002056A">
        <w:rPr>
          <w:rFonts w:ascii="Georgia" w:hAnsi="Georgia"/>
          <w:sz w:val="22"/>
          <w:szCs w:val="22"/>
          <w:lang w:val="en-GB"/>
        </w:rPr>
        <w:t>comprising</w:t>
      </w:r>
      <w:r w:rsidR="00A16CCB" w:rsidRPr="0002056A">
        <w:rPr>
          <w:rFonts w:ascii="Georgia" w:hAnsi="Georgia"/>
          <w:sz w:val="22"/>
          <w:szCs w:val="22"/>
          <w:lang w:val="en-GB"/>
        </w:rPr>
        <w:t xml:space="preserve"> the 38 EEA member and 6 </w:t>
      </w:r>
      <w:r w:rsidR="003F13D9" w:rsidRPr="0002056A">
        <w:rPr>
          <w:rFonts w:ascii="Georgia" w:hAnsi="Georgia"/>
          <w:sz w:val="22"/>
          <w:szCs w:val="22"/>
          <w:lang w:val="en-GB"/>
        </w:rPr>
        <w:t xml:space="preserve">cooperating </w:t>
      </w:r>
      <w:r w:rsidR="00A16CCB" w:rsidRPr="0002056A">
        <w:rPr>
          <w:rFonts w:ascii="Georgia" w:hAnsi="Georgia"/>
          <w:sz w:val="22"/>
          <w:szCs w:val="22"/>
          <w:lang w:val="en-GB"/>
        </w:rPr>
        <w:t xml:space="preserve">countries. However, </w:t>
      </w:r>
      <w:r w:rsidR="00D67D34" w:rsidRPr="0002056A">
        <w:rPr>
          <w:rFonts w:ascii="Georgia" w:hAnsi="Georgia"/>
          <w:sz w:val="22"/>
          <w:szCs w:val="22"/>
          <w:lang w:val="en-GB"/>
        </w:rPr>
        <w:t xml:space="preserve">the </w:t>
      </w:r>
      <w:r w:rsidR="00A16CCB" w:rsidRPr="0002056A">
        <w:rPr>
          <w:rFonts w:ascii="Georgia" w:hAnsi="Georgia"/>
          <w:sz w:val="22"/>
          <w:szCs w:val="22"/>
          <w:lang w:val="en-GB"/>
        </w:rPr>
        <w:t xml:space="preserve">EUCRA also considers four </w:t>
      </w:r>
      <w:r w:rsidR="003F13D9" w:rsidRPr="0002056A">
        <w:rPr>
          <w:rFonts w:ascii="Georgia" w:hAnsi="Georgia"/>
          <w:sz w:val="22"/>
          <w:szCs w:val="22"/>
          <w:lang w:val="en-GB"/>
        </w:rPr>
        <w:t xml:space="preserve">subcontinental macro regions within the continent (see Figure </w:t>
      </w:r>
      <w:r w:rsidR="00EC009D" w:rsidRPr="0002056A">
        <w:rPr>
          <w:rFonts w:ascii="Georgia" w:hAnsi="Georgia"/>
          <w:sz w:val="22"/>
          <w:szCs w:val="22"/>
          <w:lang w:val="en-GB"/>
        </w:rPr>
        <w:t>15</w:t>
      </w:r>
      <w:r w:rsidR="003F13D9" w:rsidRPr="0002056A">
        <w:rPr>
          <w:rFonts w:ascii="Georgia" w:hAnsi="Georgia"/>
          <w:sz w:val="22"/>
          <w:szCs w:val="22"/>
          <w:lang w:val="en-GB"/>
        </w:rPr>
        <w:t>)</w:t>
      </w:r>
      <w:r w:rsidR="00A16CCB" w:rsidRPr="0002056A">
        <w:rPr>
          <w:rFonts w:ascii="Georgia" w:hAnsi="Georgia"/>
          <w:sz w:val="22"/>
          <w:szCs w:val="22"/>
          <w:lang w:val="en-GB"/>
        </w:rPr>
        <w:t xml:space="preserve">. </w:t>
      </w:r>
      <w:r w:rsidR="00BA01D2" w:rsidRPr="0002056A">
        <w:rPr>
          <w:rFonts w:ascii="Georgia" w:hAnsi="Georgia"/>
          <w:sz w:val="22"/>
          <w:szCs w:val="22"/>
          <w:lang w:val="en-GB"/>
        </w:rPr>
        <w:t>The logic behind this classification is that i</w:t>
      </w:r>
      <w:r w:rsidR="00A16CCB" w:rsidRPr="0002056A">
        <w:rPr>
          <w:rFonts w:ascii="Georgia" w:hAnsi="Georgia"/>
          <w:sz w:val="22"/>
          <w:szCs w:val="22"/>
          <w:lang w:val="en-GB"/>
        </w:rPr>
        <w:t xml:space="preserve">f the severity </w:t>
      </w:r>
      <w:r w:rsidR="00111518" w:rsidRPr="0002056A">
        <w:rPr>
          <w:rFonts w:ascii="Georgia" w:hAnsi="Georgia"/>
          <w:sz w:val="22"/>
          <w:szCs w:val="22"/>
          <w:lang w:val="en-GB"/>
        </w:rPr>
        <w:t xml:space="preserve">of a given risk </w:t>
      </w:r>
      <w:r w:rsidR="00A16CCB" w:rsidRPr="0002056A">
        <w:rPr>
          <w:rFonts w:ascii="Georgia" w:hAnsi="Georgia"/>
          <w:sz w:val="22"/>
          <w:szCs w:val="22"/>
          <w:lang w:val="en-GB"/>
        </w:rPr>
        <w:t>in one of the sub-continental regions is substantially higher</w:t>
      </w:r>
      <w:r w:rsidR="00A16CCB" w:rsidRPr="0002056A">
        <w:rPr>
          <w:lang w:val="en-GB"/>
        </w:rPr>
        <w:t xml:space="preserve"> </w:t>
      </w:r>
      <w:r w:rsidR="00A16CCB" w:rsidRPr="0002056A">
        <w:rPr>
          <w:rFonts w:ascii="Georgia" w:hAnsi="Georgia"/>
          <w:sz w:val="22"/>
          <w:szCs w:val="22"/>
          <w:lang w:val="en-GB"/>
        </w:rPr>
        <w:t xml:space="preserve">than the European average, </w:t>
      </w:r>
      <w:r w:rsidR="00111518" w:rsidRPr="0002056A">
        <w:rPr>
          <w:rFonts w:ascii="Georgia" w:hAnsi="Georgia"/>
          <w:sz w:val="22"/>
          <w:szCs w:val="22"/>
          <w:lang w:val="en-GB"/>
        </w:rPr>
        <w:t xml:space="preserve">then </w:t>
      </w:r>
      <w:r w:rsidR="00A16CCB" w:rsidRPr="0002056A">
        <w:rPr>
          <w:rFonts w:ascii="Georgia" w:hAnsi="Georgia"/>
          <w:sz w:val="22"/>
          <w:szCs w:val="22"/>
          <w:lang w:val="en-GB"/>
        </w:rPr>
        <w:t xml:space="preserve">it is assessed </w:t>
      </w:r>
      <w:r w:rsidR="00111518" w:rsidRPr="0002056A">
        <w:rPr>
          <w:rFonts w:ascii="Georgia" w:hAnsi="Georgia"/>
          <w:sz w:val="22"/>
          <w:szCs w:val="22"/>
          <w:lang w:val="en-GB"/>
        </w:rPr>
        <w:t>particularly</w:t>
      </w:r>
      <w:r w:rsidR="00A16CCB" w:rsidRPr="0002056A">
        <w:rPr>
          <w:rFonts w:ascii="Georgia" w:hAnsi="Georgia"/>
          <w:sz w:val="22"/>
          <w:szCs w:val="22"/>
          <w:lang w:val="en-GB"/>
        </w:rPr>
        <w:t xml:space="preserve"> for th</w:t>
      </w:r>
      <w:r w:rsidR="00BA01D2" w:rsidRPr="0002056A">
        <w:rPr>
          <w:rFonts w:ascii="Georgia" w:hAnsi="Georgia"/>
          <w:sz w:val="22"/>
          <w:szCs w:val="22"/>
          <w:lang w:val="en-GB"/>
        </w:rPr>
        <w:t>e given region</w:t>
      </w:r>
      <w:r w:rsidR="00A16CCB" w:rsidRPr="0002056A">
        <w:rPr>
          <w:rFonts w:ascii="Georgia" w:hAnsi="Georgia"/>
          <w:sz w:val="22"/>
          <w:szCs w:val="22"/>
          <w:lang w:val="en-GB"/>
        </w:rPr>
        <w:t xml:space="preserve">. </w:t>
      </w:r>
      <w:r w:rsidR="00BA01D2" w:rsidRPr="0002056A">
        <w:rPr>
          <w:rFonts w:ascii="Georgia" w:hAnsi="Georgia"/>
          <w:sz w:val="22"/>
          <w:szCs w:val="22"/>
          <w:lang w:val="en-GB"/>
        </w:rPr>
        <w:t xml:space="preserve">The 4 macro regions basically </w:t>
      </w:r>
      <w:r w:rsidR="006F1A98" w:rsidRPr="0002056A">
        <w:rPr>
          <w:rFonts w:ascii="Georgia" w:hAnsi="Georgia"/>
          <w:sz w:val="22"/>
          <w:szCs w:val="22"/>
          <w:lang w:val="en-GB"/>
        </w:rPr>
        <w:t>correspond with</w:t>
      </w:r>
      <w:r w:rsidR="00BA01D2" w:rsidRPr="0002056A">
        <w:rPr>
          <w:rFonts w:ascii="Georgia" w:hAnsi="Georgia"/>
          <w:sz w:val="22"/>
          <w:szCs w:val="22"/>
          <w:lang w:val="en-GB"/>
        </w:rPr>
        <w:t xml:space="preserve"> the </w:t>
      </w:r>
      <w:r w:rsidR="00D17729">
        <w:rPr>
          <w:rFonts w:ascii="Georgia" w:hAnsi="Georgia"/>
          <w:sz w:val="22"/>
          <w:szCs w:val="22"/>
          <w:lang w:val="en-GB"/>
        </w:rPr>
        <w:t>above-introduced</w:t>
      </w:r>
      <w:r w:rsidR="00BA01D2" w:rsidRPr="0002056A">
        <w:rPr>
          <w:rFonts w:ascii="Georgia" w:hAnsi="Georgia"/>
          <w:sz w:val="22"/>
          <w:szCs w:val="22"/>
          <w:lang w:val="en-GB"/>
        </w:rPr>
        <w:t xml:space="preserve"> 4 main </w:t>
      </w:r>
      <w:r w:rsidR="006F1A98" w:rsidRPr="0002056A">
        <w:rPr>
          <w:rFonts w:ascii="Georgia" w:hAnsi="Georgia"/>
          <w:sz w:val="22"/>
          <w:szCs w:val="22"/>
          <w:lang w:val="en-GB"/>
        </w:rPr>
        <w:t xml:space="preserve">ones – small differences can be detected, however. </w:t>
      </w:r>
      <w:r w:rsidRPr="0002056A">
        <w:rPr>
          <w:rFonts w:ascii="Georgia" w:hAnsi="Georgia"/>
          <w:sz w:val="22"/>
          <w:szCs w:val="22"/>
          <w:lang w:val="en-GB"/>
        </w:rPr>
        <w:t>The Baltic states</w:t>
      </w:r>
      <w:r w:rsidR="00AD7199" w:rsidRPr="0002056A">
        <w:rPr>
          <w:rFonts w:ascii="Georgia" w:hAnsi="Georgia"/>
          <w:sz w:val="22"/>
          <w:szCs w:val="22"/>
          <w:lang w:val="en-GB"/>
        </w:rPr>
        <w:t xml:space="preserve"> and Ireland</w:t>
      </w:r>
      <w:r w:rsidRPr="0002056A">
        <w:rPr>
          <w:rFonts w:ascii="Georgia" w:hAnsi="Georgia"/>
          <w:sz w:val="22"/>
          <w:szCs w:val="22"/>
          <w:lang w:val="en-GB"/>
        </w:rPr>
        <w:t xml:space="preserve"> in this delimitation belong to Northern Europe and the West</w:t>
      </w:r>
      <w:r w:rsidR="000441CF" w:rsidRPr="0002056A">
        <w:rPr>
          <w:rFonts w:ascii="Georgia" w:hAnsi="Georgia"/>
          <w:sz w:val="22"/>
          <w:szCs w:val="22"/>
          <w:lang w:val="en-GB"/>
        </w:rPr>
        <w:t xml:space="preserve">ern </w:t>
      </w:r>
      <w:r w:rsidRPr="0002056A">
        <w:rPr>
          <w:rFonts w:ascii="Georgia" w:hAnsi="Georgia"/>
          <w:sz w:val="22"/>
          <w:szCs w:val="22"/>
          <w:lang w:val="en-GB"/>
        </w:rPr>
        <w:t>Balkan</w:t>
      </w:r>
      <w:r w:rsidR="000441CF" w:rsidRPr="0002056A">
        <w:rPr>
          <w:rFonts w:ascii="Georgia" w:hAnsi="Georgia"/>
          <w:sz w:val="22"/>
          <w:szCs w:val="22"/>
          <w:lang w:val="en-GB"/>
        </w:rPr>
        <w:t>s</w:t>
      </w:r>
      <w:r w:rsidRPr="0002056A">
        <w:rPr>
          <w:rFonts w:ascii="Georgia" w:hAnsi="Georgia"/>
          <w:sz w:val="22"/>
          <w:szCs w:val="22"/>
          <w:lang w:val="en-GB"/>
        </w:rPr>
        <w:t xml:space="preserve"> to Southern Europe</w:t>
      </w:r>
      <w:r w:rsidR="00D17729">
        <w:rPr>
          <w:rFonts w:ascii="Georgia" w:hAnsi="Georgia"/>
          <w:sz w:val="22"/>
          <w:szCs w:val="22"/>
          <w:lang w:val="en-GB"/>
        </w:rPr>
        <w:t>; otherwise, the logic follows those of the above-introduced</w:t>
      </w:r>
      <w:r w:rsidRPr="0002056A">
        <w:rPr>
          <w:rFonts w:ascii="Georgia" w:hAnsi="Georgia"/>
          <w:sz w:val="22"/>
          <w:szCs w:val="22"/>
          <w:lang w:val="en-GB"/>
        </w:rPr>
        <w:t xml:space="preserve"> ones (EEA, 2024).</w:t>
      </w:r>
      <w:r w:rsidRPr="0002056A">
        <w:rPr>
          <w:rFonts w:ascii="Georgia" w:hAnsi="Georgia"/>
          <w:bCs/>
          <w:sz w:val="22"/>
          <w:szCs w:val="22"/>
          <w:lang w:val="en-GB"/>
        </w:rPr>
        <w:t xml:space="preserve"> </w:t>
      </w:r>
    </w:p>
    <w:p w14:paraId="4ACCD3A8" w14:textId="77777777" w:rsidR="0025771E" w:rsidRPr="0002056A" w:rsidRDefault="0025771E" w:rsidP="00DE4A50">
      <w:pPr>
        <w:pStyle w:val="NormlWeb"/>
        <w:shd w:val="clear" w:color="auto" w:fill="FFFFFF"/>
        <w:spacing w:before="120" w:beforeAutospacing="0" w:after="120" w:afterAutospacing="0" w:line="360" w:lineRule="auto"/>
        <w:jc w:val="center"/>
        <w:rPr>
          <w:color w:val="EE0000"/>
          <w:lang w:val="en-GB"/>
        </w:rPr>
      </w:pPr>
      <w:r w:rsidRPr="0002056A">
        <w:rPr>
          <w:noProof/>
          <w:color w:val="EE0000"/>
          <w:lang w:val="en-GB"/>
        </w:rPr>
        <w:lastRenderedPageBreak/>
        <w:drawing>
          <wp:inline distT="0" distB="0" distL="0" distR="0" wp14:anchorId="5FDAC4D9" wp14:editId="66BE9597">
            <wp:extent cx="4861249" cy="5067955"/>
            <wp:effectExtent l="0" t="0" r="0" b="0"/>
            <wp:docPr id="1321487769" name="Kép 1321487769" descr="A képen szöveg, képernyőkép, térkép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87769" name="Kép 1321487769" descr="A képen szöveg, képernyőkép, térkép látható&#10;&#10;Előfordulhat, hogy az AI által létrehozott tartalom helytelen."/>
                    <pic:cNvPicPr/>
                  </pic:nvPicPr>
                  <pic:blipFill rotWithShape="1">
                    <a:blip r:embed="rId32">
                      <a:extLst>
                        <a:ext uri="{28A0092B-C50C-407E-A947-70E740481C1C}">
                          <a14:useLocalDpi xmlns:a14="http://schemas.microsoft.com/office/drawing/2010/main" val="0"/>
                        </a:ext>
                      </a:extLst>
                    </a:blip>
                    <a:srcRect l="7275" t="10028" r="3550"/>
                    <a:stretch/>
                  </pic:blipFill>
                  <pic:spPr bwMode="auto">
                    <a:xfrm>
                      <a:off x="0" y="0"/>
                      <a:ext cx="4912104" cy="5120973"/>
                    </a:xfrm>
                    <a:prstGeom prst="rect">
                      <a:avLst/>
                    </a:prstGeom>
                    <a:ln>
                      <a:noFill/>
                    </a:ln>
                    <a:extLst>
                      <a:ext uri="{53640926-AAD7-44D8-BBD7-CCE9431645EC}">
                        <a14:shadowObscured xmlns:a14="http://schemas.microsoft.com/office/drawing/2010/main"/>
                      </a:ext>
                    </a:extLst>
                  </pic:spPr>
                </pic:pic>
              </a:graphicData>
            </a:graphic>
          </wp:inline>
        </w:drawing>
      </w:r>
    </w:p>
    <w:p w14:paraId="0EFDA0DA" w14:textId="6FE5E050" w:rsidR="0025771E" w:rsidRPr="0002056A" w:rsidRDefault="0025771E" w:rsidP="0025771E">
      <w:pPr>
        <w:spacing w:before="120" w:after="120" w:line="240" w:lineRule="auto"/>
        <w:jc w:val="center"/>
        <w:rPr>
          <w:rFonts w:ascii="Georgia" w:hAnsi="Georgia" w:cs="Times New Roman"/>
          <w:b/>
          <w:sz w:val="18"/>
          <w:szCs w:val="18"/>
          <w:lang w:val="en-GB"/>
        </w:rPr>
      </w:pPr>
      <w:bookmarkStart w:id="28" w:name="_Ref172204185"/>
      <w:r w:rsidRPr="0002056A">
        <w:rPr>
          <w:rFonts w:ascii="Georgia" w:hAnsi="Georgia" w:cs="Times New Roman"/>
          <w:b/>
          <w:sz w:val="18"/>
          <w:szCs w:val="18"/>
          <w:lang w:val="en-GB"/>
        </w:rPr>
        <w:t xml:space="preserve">Figure </w:t>
      </w:r>
      <w:r w:rsidR="00AE55F2" w:rsidRPr="0002056A">
        <w:rPr>
          <w:rFonts w:ascii="Georgia" w:hAnsi="Georgia" w:cs="Times New Roman"/>
          <w:b/>
          <w:sz w:val="18"/>
          <w:szCs w:val="18"/>
          <w:lang w:val="en-GB"/>
        </w:rPr>
        <w:t>15</w:t>
      </w:r>
      <w:bookmarkStart w:id="29" w:name="_Toc172288692"/>
      <w:bookmarkEnd w:id="28"/>
      <w:r w:rsidRPr="0002056A">
        <w:rPr>
          <w:rFonts w:ascii="Georgia" w:hAnsi="Georgia" w:cs="Times New Roman"/>
          <w:b/>
          <w:sz w:val="18"/>
          <w:szCs w:val="18"/>
          <w:lang w:val="en-GB"/>
        </w:rPr>
        <w:t>: Observed and expected major climate risk factors in different European macro regions</w:t>
      </w:r>
      <w:bookmarkStart w:id="30" w:name="_Toc171677531"/>
      <w:r w:rsidRPr="0002056A">
        <w:rPr>
          <w:rFonts w:ascii="Georgia" w:hAnsi="Georgia" w:cs="Times New Roman"/>
          <w:b/>
          <w:sz w:val="18"/>
          <w:szCs w:val="18"/>
          <w:lang w:val="en-GB"/>
        </w:rPr>
        <w:t xml:space="preserve"> interpreted by the EUCRA.</w:t>
      </w:r>
      <w:r w:rsidRPr="0002056A">
        <w:rPr>
          <w:rFonts w:ascii="Georgia" w:hAnsi="Georgia" w:cs="Times New Roman"/>
          <w:i/>
          <w:sz w:val="18"/>
          <w:szCs w:val="18"/>
          <w:lang w:val="en-GB"/>
        </w:rPr>
        <w:t xml:space="preserve"> Source: EUCRA, based on Copernicus climate change service (C3S)</w:t>
      </w:r>
      <w:bookmarkEnd w:id="30"/>
      <w:r w:rsidRPr="0002056A">
        <w:rPr>
          <w:rFonts w:ascii="Georgia" w:hAnsi="Georgia" w:cs="Times New Roman"/>
          <w:i/>
          <w:sz w:val="18"/>
          <w:szCs w:val="18"/>
          <w:lang w:val="en-GB"/>
        </w:rPr>
        <w:t>.</w:t>
      </w:r>
      <w:bookmarkEnd w:id="29"/>
    </w:p>
    <w:p w14:paraId="6BE0033D" w14:textId="25EF1348" w:rsidR="008065E3" w:rsidRPr="0002056A" w:rsidRDefault="00040419" w:rsidP="008065E3">
      <w:pPr>
        <w:spacing w:before="360" w:after="120"/>
        <w:jc w:val="both"/>
        <w:rPr>
          <w:rFonts w:ascii="Georgia" w:hAnsi="Georgia" w:cs="Times New Roman"/>
          <w:b/>
          <w:sz w:val="18"/>
          <w:szCs w:val="18"/>
          <w:lang w:val="en-GB"/>
        </w:rPr>
      </w:pPr>
      <w:r w:rsidRPr="0002056A">
        <w:rPr>
          <w:rFonts w:ascii="Georgia" w:hAnsi="Georgia"/>
          <w:b/>
          <w:bCs/>
          <w:lang w:val="en-GB"/>
        </w:rPr>
        <w:t xml:space="preserve">In my </w:t>
      </w:r>
      <w:r w:rsidR="00D11378" w:rsidRPr="0002056A">
        <w:rPr>
          <w:rFonts w:ascii="Georgia" w:hAnsi="Georgia"/>
          <w:b/>
          <w:bCs/>
          <w:lang w:val="en-GB"/>
        </w:rPr>
        <w:t xml:space="preserve">historical and geographical </w:t>
      </w:r>
      <w:r w:rsidR="00617C12" w:rsidRPr="0002056A">
        <w:rPr>
          <w:rFonts w:ascii="Georgia" w:hAnsi="Georgia"/>
          <w:b/>
          <w:bCs/>
          <w:lang w:val="en-GB"/>
        </w:rPr>
        <w:t>delimitation,</w:t>
      </w:r>
      <w:r w:rsidRPr="0002056A">
        <w:rPr>
          <w:rFonts w:ascii="Georgia" w:hAnsi="Georgia"/>
          <w:b/>
          <w:bCs/>
          <w:lang w:val="en-GB"/>
        </w:rPr>
        <w:t xml:space="preserve"> </w:t>
      </w:r>
      <w:r w:rsidR="00422BA1" w:rsidRPr="0002056A">
        <w:rPr>
          <w:rFonts w:ascii="Georgia" w:hAnsi="Georgia"/>
          <w:b/>
          <w:bCs/>
          <w:lang w:val="en-GB"/>
        </w:rPr>
        <w:t>I basically follow the mixture of the EUCRA and TSP-classifications</w:t>
      </w:r>
      <w:r w:rsidR="000B4549" w:rsidRPr="0002056A">
        <w:rPr>
          <w:rFonts w:ascii="Georgia" w:hAnsi="Georgia"/>
          <w:b/>
          <w:bCs/>
          <w:lang w:val="en-GB"/>
        </w:rPr>
        <w:t>, with some adjustments</w:t>
      </w:r>
      <w:r w:rsidR="0059662C" w:rsidRPr="0002056A">
        <w:rPr>
          <w:rFonts w:ascii="Georgia" w:hAnsi="Georgia"/>
          <w:b/>
          <w:bCs/>
          <w:lang w:val="en-GB"/>
        </w:rPr>
        <w:t xml:space="preserve"> </w:t>
      </w:r>
      <w:r w:rsidR="0059662C" w:rsidRPr="0002056A">
        <w:rPr>
          <w:rFonts w:ascii="Georgia" w:hAnsi="Georgia"/>
          <w:lang w:val="en-GB"/>
        </w:rPr>
        <w:t>(Table 1)</w:t>
      </w:r>
      <w:r w:rsidR="00422BA1" w:rsidRPr="0002056A">
        <w:rPr>
          <w:rFonts w:ascii="Georgia" w:hAnsi="Georgia"/>
          <w:lang w:val="en-GB"/>
        </w:rPr>
        <w:t xml:space="preserve">. </w:t>
      </w:r>
      <w:r w:rsidR="00D11378" w:rsidRPr="0002056A">
        <w:rPr>
          <w:rFonts w:ascii="Georgia" w:hAnsi="Georgia"/>
          <w:lang w:val="en-GB"/>
        </w:rPr>
        <w:t xml:space="preserve">The Northern, </w:t>
      </w:r>
      <w:r w:rsidR="00977D42" w:rsidRPr="0002056A">
        <w:rPr>
          <w:rFonts w:ascii="Georgia" w:hAnsi="Georgia"/>
          <w:lang w:val="en-GB"/>
        </w:rPr>
        <w:t>W</w:t>
      </w:r>
      <w:r w:rsidR="00D11378" w:rsidRPr="0002056A">
        <w:rPr>
          <w:rFonts w:ascii="Georgia" w:hAnsi="Georgia"/>
          <w:lang w:val="en-GB"/>
        </w:rPr>
        <w:t>ester</w:t>
      </w:r>
      <w:r w:rsidR="00977D42" w:rsidRPr="0002056A">
        <w:rPr>
          <w:rFonts w:ascii="Georgia" w:hAnsi="Georgia"/>
          <w:lang w:val="en-GB"/>
        </w:rPr>
        <w:t>n</w:t>
      </w:r>
      <w:r w:rsidR="00D11378" w:rsidRPr="0002056A">
        <w:rPr>
          <w:rFonts w:ascii="Georgia" w:hAnsi="Georgia"/>
          <w:lang w:val="en-GB"/>
        </w:rPr>
        <w:t xml:space="preserve"> and Southern regions are more or less the same as the EUCRA ones. However, in m</w:t>
      </w:r>
      <w:r w:rsidR="00422BA1" w:rsidRPr="0002056A">
        <w:rPr>
          <w:rFonts w:ascii="Georgia" w:hAnsi="Georgia"/>
          <w:lang w:val="en-GB"/>
        </w:rPr>
        <w:t xml:space="preserve">y </w:t>
      </w:r>
      <w:r w:rsidR="00D11378" w:rsidRPr="0002056A">
        <w:rPr>
          <w:rFonts w:ascii="Georgia" w:hAnsi="Georgia"/>
          <w:lang w:val="en-GB"/>
        </w:rPr>
        <w:t>research</w:t>
      </w:r>
      <w:r w:rsidR="00D17729">
        <w:rPr>
          <w:rFonts w:ascii="Georgia" w:hAnsi="Georgia"/>
          <w:lang w:val="en-GB"/>
        </w:rPr>
        <w:t>,</w:t>
      </w:r>
      <w:r w:rsidR="00D11378" w:rsidRPr="0002056A">
        <w:rPr>
          <w:rFonts w:ascii="Georgia" w:hAnsi="Georgia"/>
          <w:lang w:val="en-GB"/>
        </w:rPr>
        <w:t xml:space="preserve"> the </w:t>
      </w:r>
      <w:r w:rsidR="00422BA1" w:rsidRPr="0002056A">
        <w:rPr>
          <w:rFonts w:ascii="Georgia" w:hAnsi="Georgia"/>
          <w:lang w:val="en-GB"/>
        </w:rPr>
        <w:t>Eastern</w:t>
      </w:r>
      <w:r w:rsidRPr="0002056A">
        <w:rPr>
          <w:rFonts w:ascii="Georgia" w:hAnsi="Georgia"/>
          <w:lang w:val="en-GB"/>
        </w:rPr>
        <w:t xml:space="preserve"> region</w:t>
      </w:r>
      <w:r w:rsidR="00422BA1" w:rsidRPr="0002056A">
        <w:rPr>
          <w:rFonts w:ascii="Georgia" w:hAnsi="Georgia"/>
          <w:lang w:val="en-GB"/>
        </w:rPr>
        <w:t xml:space="preserve">’s </w:t>
      </w:r>
      <w:r w:rsidR="006E4161" w:rsidRPr="0002056A">
        <w:rPr>
          <w:rFonts w:ascii="Georgia" w:hAnsi="Georgia"/>
          <w:lang w:val="en-GB"/>
        </w:rPr>
        <w:t>delimitation</w:t>
      </w:r>
      <w:r w:rsidR="0025771E" w:rsidRPr="0002056A">
        <w:rPr>
          <w:rFonts w:ascii="Georgia" w:hAnsi="Georgia"/>
          <w:lang w:val="en-GB"/>
        </w:rPr>
        <w:t xml:space="preserve"> is based on</w:t>
      </w:r>
      <w:r w:rsidRPr="0002056A">
        <w:rPr>
          <w:rFonts w:ascii="Georgia" w:hAnsi="Georgia"/>
          <w:lang w:val="en-GB"/>
        </w:rPr>
        <w:t xml:space="preserve"> the above-mentioned Eastern-Central European </w:t>
      </w:r>
      <w:r w:rsidR="00D11378" w:rsidRPr="0002056A">
        <w:rPr>
          <w:rFonts w:ascii="Georgia" w:hAnsi="Georgia"/>
          <w:lang w:val="en-GB"/>
        </w:rPr>
        <w:t>(</w:t>
      </w:r>
      <w:r w:rsidR="00216AD0" w:rsidRPr="0002056A">
        <w:rPr>
          <w:rFonts w:ascii="Georgia" w:hAnsi="Georgia"/>
          <w:lang w:val="en-GB"/>
        </w:rPr>
        <w:t>Mitteleuropa</w:t>
      </w:r>
      <w:r w:rsidR="00D11378" w:rsidRPr="0002056A">
        <w:rPr>
          <w:rFonts w:ascii="Georgia" w:hAnsi="Georgia"/>
          <w:lang w:val="en-GB"/>
        </w:rPr>
        <w:t xml:space="preserve">, </w:t>
      </w:r>
      <w:r w:rsidR="006E4161" w:rsidRPr="0002056A">
        <w:rPr>
          <w:rFonts w:ascii="Georgia" w:hAnsi="Georgia"/>
          <w:lang w:val="en-GB"/>
        </w:rPr>
        <w:t>Z</w:t>
      </w:r>
      <w:r w:rsidR="00D11378" w:rsidRPr="0002056A">
        <w:rPr>
          <w:rFonts w:ascii="Georgia" w:hAnsi="Georgia"/>
          <w:lang w:val="en-GB"/>
        </w:rPr>
        <w:t>wischeneuropa, TSP</w:t>
      </w:r>
      <w:r w:rsidR="006D3357" w:rsidRPr="0002056A">
        <w:rPr>
          <w:rFonts w:ascii="Georgia" w:hAnsi="Georgia"/>
          <w:lang w:val="en-GB"/>
        </w:rPr>
        <w:t>’s Central-Eastern region</w:t>
      </w:r>
      <w:r w:rsidR="00D11378" w:rsidRPr="0002056A">
        <w:rPr>
          <w:rFonts w:ascii="Georgia" w:hAnsi="Georgia"/>
          <w:lang w:val="en-GB"/>
        </w:rPr>
        <w:t xml:space="preserve">) </w:t>
      </w:r>
      <w:r w:rsidR="00AD7199" w:rsidRPr="0002056A">
        <w:rPr>
          <w:rFonts w:ascii="Georgia" w:hAnsi="Georgia"/>
          <w:lang w:val="en-GB"/>
        </w:rPr>
        <w:t>concept</w:t>
      </w:r>
      <w:r w:rsidRPr="0002056A">
        <w:rPr>
          <w:rFonts w:ascii="Georgia" w:hAnsi="Georgia"/>
          <w:lang w:val="en-GB"/>
        </w:rPr>
        <w:t xml:space="preserve">s </w:t>
      </w:r>
      <w:r w:rsidR="00D11378" w:rsidRPr="0002056A">
        <w:rPr>
          <w:rFonts w:ascii="Georgia" w:hAnsi="Georgia"/>
          <w:lang w:val="en-GB"/>
        </w:rPr>
        <w:t>with greater emphasis on historic</w:t>
      </w:r>
      <w:r w:rsidRPr="0002056A">
        <w:rPr>
          <w:rFonts w:ascii="Georgia" w:hAnsi="Georgia"/>
          <w:lang w:val="en-GB"/>
        </w:rPr>
        <w:t>a</w:t>
      </w:r>
      <w:r w:rsidR="00D11378" w:rsidRPr="0002056A">
        <w:rPr>
          <w:rFonts w:ascii="Georgia" w:hAnsi="Georgia"/>
          <w:lang w:val="en-GB"/>
        </w:rPr>
        <w:t>l and cultural roots</w:t>
      </w:r>
      <w:r w:rsidR="007E3324" w:rsidRPr="0002056A">
        <w:rPr>
          <w:rFonts w:ascii="Georgia" w:hAnsi="Georgia"/>
          <w:lang w:val="en-GB"/>
        </w:rPr>
        <w:t>,</w:t>
      </w:r>
      <w:r w:rsidR="00D11378" w:rsidRPr="0002056A">
        <w:rPr>
          <w:rFonts w:ascii="Georgia" w:hAnsi="Georgia"/>
          <w:lang w:val="en-GB"/>
        </w:rPr>
        <w:t xml:space="preserve"> connections</w:t>
      </w:r>
      <w:r w:rsidR="006E4161" w:rsidRPr="0002056A">
        <w:rPr>
          <w:rFonts w:ascii="Georgia" w:hAnsi="Georgia"/>
          <w:lang w:val="en-GB"/>
        </w:rPr>
        <w:t xml:space="preserve"> and development pathways</w:t>
      </w:r>
      <w:r w:rsidR="007E3324" w:rsidRPr="0002056A">
        <w:rPr>
          <w:rFonts w:ascii="Georgia" w:hAnsi="Georgia"/>
          <w:lang w:val="en-GB"/>
        </w:rPr>
        <w:t xml:space="preserve"> than on natural environmental issues. </w:t>
      </w:r>
      <w:r w:rsidR="00D11378" w:rsidRPr="0002056A">
        <w:rPr>
          <w:rFonts w:ascii="Georgia" w:hAnsi="Georgia"/>
          <w:lang w:val="en-GB"/>
        </w:rPr>
        <w:t xml:space="preserve">I </w:t>
      </w:r>
      <w:r w:rsidRPr="0002056A">
        <w:rPr>
          <w:rFonts w:ascii="Georgia" w:hAnsi="Georgia"/>
          <w:lang w:val="en-GB"/>
        </w:rPr>
        <w:t>practically complet</w:t>
      </w:r>
      <w:r w:rsidR="00D11378" w:rsidRPr="0002056A">
        <w:rPr>
          <w:rFonts w:ascii="Georgia" w:hAnsi="Georgia"/>
          <w:lang w:val="en-GB"/>
        </w:rPr>
        <w:t>ed</w:t>
      </w:r>
      <w:r w:rsidRPr="0002056A">
        <w:rPr>
          <w:rFonts w:ascii="Georgia" w:hAnsi="Georgia"/>
          <w:lang w:val="en-GB"/>
        </w:rPr>
        <w:t xml:space="preserve"> the </w:t>
      </w:r>
      <w:r w:rsidR="00D11378" w:rsidRPr="0002056A">
        <w:rPr>
          <w:rFonts w:ascii="Georgia" w:hAnsi="Georgia"/>
          <w:lang w:val="en-GB"/>
        </w:rPr>
        <w:t>EUCRA’s Eastern region</w:t>
      </w:r>
      <w:r w:rsidR="00D17729">
        <w:rPr>
          <w:rFonts w:ascii="Georgia" w:hAnsi="Georgia"/>
          <w:lang w:val="en-GB"/>
        </w:rPr>
        <w:t>, including the Baltic states and the three southern Slavic countries of the Carpathian Basin (Slovenia, Croatia, and Serbia),</w:t>
      </w:r>
      <w:r w:rsidR="00CC1FFF" w:rsidRPr="0002056A">
        <w:rPr>
          <w:rFonts w:ascii="Georgia" w:hAnsi="Georgia"/>
          <w:lang w:val="en-GB"/>
        </w:rPr>
        <w:t xml:space="preserve"> plus Bulgaria</w:t>
      </w:r>
      <w:r w:rsidRPr="0002056A">
        <w:rPr>
          <w:rFonts w:ascii="Georgia" w:hAnsi="Georgia"/>
          <w:lang w:val="en-GB"/>
        </w:rPr>
        <w:t xml:space="preserve">. </w:t>
      </w:r>
      <w:r w:rsidR="00DE3619" w:rsidRPr="0002056A">
        <w:rPr>
          <w:rFonts w:ascii="Georgia" w:hAnsi="Georgia"/>
          <w:lang w:val="en-GB"/>
        </w:rPr>
        <w:t xml:space="preserve">I considered </w:t>
      </w:r>
      <w:r w:rsidR="007E3324" w:rsidRPr="0002056A">
        <w:rPr>
          <w:rFonts w:ascii="Georgia" w:hAnsi="Georgia"/>
          <w:lang w:val="en-GB"/>
        </w:rPr>
        <w:t>other B</w:t>
      </w:r>
      <w:r w:rsidR="00DE3619" w:rsidRPr="0002056A">
        <w:rPr>
          <w:rFonts w:ascii="Georgia" w:hAnsi="Georgia"/>
          <w:lang w:val="en-GB"/>
        </w:rPr>
        <w:t xml:space="preserve">alkan countries as part </w:t>
      </w:r>
      <w:r w:rsidR="007E3324" w:rsidRPr="0002056A">
        <w:rPr>
          <w:rFonts w:ascii="Georgia" w:hAnsi="Georgia"/>
          <w:lang w:val="en-GB"/>
        </w:rPr>
        <w:t>o</w:t>
      </w:r>
      <w:r w:rsidR="00DE3619" w:rsidRPr="0002056A">
        <w:rPr>
          <w:rFonts w:ascii="Georgia" w:hAnsi="Georgia"/>
          <w:lang w:val="en-GB"/>
        </w:rPr>
        <w:t xml:space="preserve">f Southern Europe. </w:t>
      </w:r>
      <w:r w:rsidR="00D11378" w:rsidRPr="0002056A">
        <w:rPr>
          <w:rFonts w:ascii="Georgia" w:hAnsi="Georgia"/>
          <w:lang w:val="en-GB"/>
        </w:rPr>
        <w:t>Another difference is that m</w:t>
      </w:r>
      <w:r w:rsidR="00212998" w:rsidRPr="0002056A">
        <w:rPr>
          <w:rFonts w:ascii="Georgia" w:hAnsi="Georgia"/>
          <w:lang w:val="en-GB"/>
        </w:rPr>
        <w:t>y Western Europe category comprises even Ireland and the parts of the UK</w:t>
      </w:r>
      <w:r w:rsidR="0028127A" w:rsidRPr="0002056A">
        <w:rPr>
          <w:rFonts w:ascii="Georgia" w:hAnsi="Georgia"/>
          <w:lang w:val="en-GB"/>
        </w:rPr>
        <w:t xml:space="preserve"> as opposed to the pure climate impact-based </w:t>
      </w:r>
      <w:r w:rsidR="00212998" w:rsidRPr="0002056A">
        <w:rPr>
          <w:rFonts w:ascii="Georgia" w:hAnsi="Georgia"/>
          <w:lang w:val="en-GB"/>
        </w:rPr>
        <w:t>EUCRA classification</w:t>
      </w:r>
      <w:r w:rsidR="00DE3619" w:rsidRPr="0002056A">
        <w:rPr>
          <w:rFonts w:ascii="Georgia" w:hAnsi="Georgia"/>
          <w:lang w:val="en-GB"/>
        </w:rPr>
        <w:t>.</w:t>
      </w:r>
      <w:r w:rsidR="001662C2" w:rsidRPr="0002056A">
        <w:rPr>
          <w:rFonts w:ascii="Georgia" w:hAnsi="Georgia" w:cs="Times New Roman"/>
          <w:b/>
          <w:sz w:val="18"/>
          <w:szCs w:val="18"/>
          <w:lang w:val="en-GB"/>
        </w:rPr>
        <w:t xml:space="preserve"> </w:t>
      </w:r>
    </w:p>
    <w:p w14:paraId="413A08DB" w14:textId="77777777" w:rsidR="008065E3" w:rsidRPr="0002056A" w:rsidRDefault="008065E3">
      <w:pPr>
        <w:spacing w:after="160" w:line="259" w:lineRule="auto"/>
        <w:rPr>
          <w:rFonts w:ascii="Georgia" w:hAnsi="Georgia" w:cs="Times New Roman"/>
          <w:b/>
          <w:sz w:val="18"/>
          <w:szCs w:val="18"/>
          <w:lang w:val="en-GB"/>
        </w:rPr>
      </w:pPr>
      <w:r w:rsidRPr="0002056A">
        <w:rPr>
          <w:rFonts w:ascii="Georgia" w:hAnsi="Georgia" w:cs="Times New Roman"/>
          <w:b/>
          <w:sz w:val="18"/>
          <w:szCs w:val="18"/>
          <w:lang w:val="en-GB"/>
        </w:rPr>
        <w:br w:type="page"/>
      </w:r>
    </w:p>
    <w:p w14:paraId="005D2BBF" w14:textId="77777777" w:rsidR="001662C2" w:rsidRPr="0002056A" w:rsidRDefault="001662C2" w:rsidP="008065E3">
      <w:pPr>
        <w:spacing w:before="360" w:after="120"/>
        <w:jc w:val="both"/>
        <w:rPr>
          <w:rFonts w:ascii="Georgia" w:hAnsi="Georgia" w:cs="Times New Roman"/>
          <w:b/>
          <w:sz w:val="18"/>
          <w:szCs w:val="18"/>
          <w:lang w:val="en-GB"/>
        </w:rPr>
      </w:pPr>
    </w:p>
    <w:p w14:paraId="7F56365F" w14:textId="143CCC99" w:rsidR="001662C2" w:rsidRPr="0002056A" w:rsidRDefault="001662C2" w:rsidP="001662C2">
      <w:pPr>
        <w:spacing w:before="120" w:after="120" w:line="240" w:lineRule="auto"/>
        <w:jc w:val="center"/>
        <w:rPr>
          <w:rFonts w:ascii="Georgia" w:hAnsi="Georgia" w:cs="Times New Roman"/>
          <w:b/>
          <w:sz w:val="18"/>
          <w:szCs w:val="18"/>
          <w:lang w:val="en-GB"/>
        </w:rPr>
      </w:pPr>
      <w:r w:rsidRPr="0002056A">
        <w:rPr>
          <w:rFonts w:ascii="Georgia" w:hAnsi="Georgia" w:cs="Times New Roman"/>
          <w:b/>
          <w:sz w:val="18"/>
          <w:szCs w:val="18"/>
          <w:lang w:val="en-GB"/>
        </w:rPr>
        <w:t xml:space="preserve">Table 1: Classification of the analysed countries into </w:t>
      </w:r>
      <w:r w:rsidR="00216AD0" w:rsidRPr="0002056A">
        <w:rPr>
          <w:rFonts w:ascii="Georgia" w:hAnsi="Georgia" w:cs="Times New Roman"/>
          <w:b/>
          <w:sz w:val="18"/>
          <w:szCs w:val="18"/>
          <w:lang w:val="en-GB"/>
        </w:rPr>
        <w:t>macro regions</w:t>
      </w:r>
      <w:r w:rsidRPr="0002056A">
        <w:rPr>
          <w:rFonts w:ascii="Georgia" w:hAnsi="Georgia" w:cs="Times New Roman"/>
          <w:b/>
          <w:sz w:val="18"/>
          <w:szCs w:val="18"/>
          <w:lang w:val="en-GB"/>
        </w:rPr>
        <w:t>.</w:t>
      </w:r>
      <w:r w:rsidRPr="0002056A">
        <w:rPr>
          <w:rFonts w:ascii="Georgia" w:hAnsi="Georgia" w:cs="Times New Roman"/>
          <w:i/>
          <w:sz w:val="18"/>
          <w:szCs w:val="18"/>
          <w:lang w:val="en-GB"/>
        </w:rPr>
        <w:t xml:space="preserve"> Source: EUCRA, based on Copernicus climate change service (C3S).</w:t>
      </w:r>
    </w:p>
    <w:tbl>
      <w:tblPr>
        <w:tblStyle w:val="Rcsostblzat"/>
        <w:tblW w:w="0" w:type="auto"/>
        <w:tblLook w:val="04A0" w:firstRow="1" w:lastRow="0" w:firstColumn="1" w:lastColumn="0" w:noHBand="0" w:noVBand="1"/>
      </w:tblPr>
      <w:tblGrid>
        <w:gridCol w:w="1936"/>
        <w:gridCol w:w="1778"/>
        <w:gridCol w:w="1785"/>
        <w:gridCol w:w="1787"/>
        <w:gridCol w:w="1776"/>
      </w:tblGrid>
      <w:tr w:rsidR="006574F5" w:rsidRPr="0002056A" w14:paraId="0EACFA90" w14:textId="77777777" w:rsidTr="001662C2">
        <w:tc>
          <w:tcPr>
            <w:tcW w:w="1936" w:type="dxa"/>
            <w:shd w:val="clear" w:color="auto" w:fill="C5E0B3" w:themeFill="accent6" w:themeFillTint="66"/>
          </w:tcPr>
          <w:p w14:paraId="4901FCB7" w14:textId="7B81CE37" w:rsidR="006574F5" w:rsidRPr="0002056A" w:rsidRDefault="00DE3619" w:rsidP="004357E5">
            <w:pPr>
              <w:spacing w:after="0" w:line="240" w:lineRule="auto"/>
              <w:jc w:val="center"/>
              <w:rPr>
                <w:rFonts w:ascii="Georgia" w:eastAsia="Times New Roman" w:hAnsi="Georgia" w:cs="Calibri"/>
                <w:b/>
                <w:bCs/>
                <w:color w:val="000000"/>
                <w:sz w:val="24"/>
                <w:szCs w:val="24"/>
                <w:lang w:val="en-GB" w:eastAsia="hu-HU"/>
              </w:rPr>
            </w:pPr>
            <w:r w:rsidRPr="0002056A">
              <w:rPr>
                <w:rFonts w:ascii="Georgia" w:eastAsia="Times New Roman" w:hAnsi="Georgia" w:cs="Calibri"/>
                <w:b/>
                <w:bCs/>
                <w:color w:val="000000"/>
                <w:sz w:val="24"/>
                <w:szCs w:val="24"/>
                <w:lang w:val="en-GB" w:eastAsia="hu-HU"/>
              </w:rPr>
              <w:t>Macro</w:t>
            </w:r>
            <w:r w:rsidR="00216AD0">
              <w:rPr>
                <w:rFonts w:ascii="Georgia" w:eastAsia="Times New Roman" w:hAnsi="Georgia" w:cs="Calibri"/>
                <w:b/>
                <w:bCs/>
                <w:color w:val="000000"/>
                <w:sz w:val="24"/>
                <w:szCs w:val="24"/>
                <w:lang w:val="en-GB" w:eastAsia="hu-HU"/>
              </w:rPr>
              <w:t xml:space="preserve"> </w:t>
            </w:r>
            <w:r w:rsidRPr="0002056A">
              <w:rPr>
                <w:rFonts w:ascii="Georgia" w:eastAsia="Times New Roman" w:hAnsi="Georgia" w:cs="Calibri"/>
                <w:b/>
                <w:bCs/>
                <w:color w:val="000000"/>
                <w:sz w:val="24"/>
                <w:szCs w:val="24"/>
                <w:lang w:val="en-GB" w:eastAsia="hu-HU"/>
              </w:rPr>
              <w:t>regions</w:t>
            </w:r>
          </w:p>
        </w:tc>
        <w:tc>
          <w:tcPr>
            <w:tcW w:w="1778" w:type="dxa"/>
            <w:shd w:val="clear" w:color="auto" w:fill="C5E0B3" w:themeFill="accent6" w:themeFillTint="66"/>
          </w:tcPr>
          <w:p w14:paraId="6C48DD1B" w14:textId="14903DC0" w:rsidR="006574F5" w:rsidRPr="0002056A" w:rsidRDefault="006574F5" w:rsidP="004357E5">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North</w:t>
            </w:r>
            <w:r w:rsidR="00D60F6A" w:rsidRPr="0002056A">
              <w:rPr>
                <w:rFonts w:ascii="Georgia" w:eastAsia="Times New Roman" w:hAnsi="Georgia" w:cs="Calibri"/>
                <w:b/>
                <w:bCs/>
                <w:color w:val="000000"/>
                <w:sz w:val="18"/>
                <w:szCs w:val="18"/>
                <w:lang w:val="en-GB" w:eastAsia="hu-HU"/>
              </w:rPr>
              <w:t>ern Europe</w:t>
            </w:r>
          </w:p>
        </w:tc>
        <w:tc>
          <w:tcPr>
            <w:tcW w:w="1785" w:type="dxa"/>
            <w:shd w:val="clear" w:color="auto" w:fill="C5E0B3" w:themeFill="accent6" w:themeFillTint="66"/>
          </w:tcPr>
          <w:p w14:paraId="6FAB7C13" w14:textId="77777777" w:rsidR="004357E5" w:rsidRPr="0002056A" w:rsidRDefault="00D60F6A" w:rsidP="004357E5">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 xml:space="preserve">Western </w:t>
            </w:r>
          </w:p>
          <w:p w14:paraId="425752D7" w14:textId="49DE4936" w:rsidR="006574F5" w:rsidRPr="0002056A" w:rsidRDefault="00D60F6A" w:rsidP="004357E5">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Europe</w:t>
            </w:r>
          </w:p>
        </w:tc>
        <w:tc>
          <w:tcPr>
            <w:tcW w:w="1787" w:type="dxa"/>
            <w:shd w:val="clear" w:color="auto" w:fill="C5E0B3" w:themeFill="accent6" w:themeFillTint="66"/>
          </w:tcPr>
          <w:p w14:paraId="2B11C9AA" w14:textId="03BB662C" w:rsidR="006574F5" w:rsidRPr="0002056A" w:rsidRDefault="00D60F6A" w:rsidP="004357E5">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Southern Europe</w:t>
            </w:r>
          </w:p>
        </w:tc>
        <w:tc>
          <w:tcPr>
            <w:tcW w:w="1776" w:type="dxa"/>
            <w:shd w:val="clear" w:color="auto" w:fill="C5E0B3" w:themeFill="accent6" w:themeFillTint="66"/>
          </w:tcPr>
          <w:p w14:paraId="64724424" w14:textId="1D0FE903" w:rsidR="006574F5" w:rsidRPr="0002056A" w:rsidRDefault="00D60F6A" w:rsidP="004357E5">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Eastern-Central Europe</w:t>
            </w:r>
          </w:p>
        </w:tc>
      </w:tr>
      <w:tr w:rsidR="006574F5" w:rsidRPr="0002056A" w14:paraId="227140F4" w14:textId="77777777" w:rsidTr="001662C2">
        <w:tc>
          <w:tcPr>
            <w:tcW w:w="1936" w:type="dxa"/>
            <w:shd w:val="clear" w:color="auto" w:fill="C5E0B3" w:themeFill="accent6" w:themeFillTint="66"/>
          </w:tcPr>
          <w:p w14:paraId="1D1525DB" w14:textId="205785A7" w:rsidR="006574F5" w:rsidRPr="0002056A" w:rsidRDefault="00DE3619" w:rsidP="00DE3619">
            <w:pPr>
              <w:spacing w:before="120" w:after="120" w:line="240" w:lineRule="auto"/>
              <w:jc w:val="center"/>
              <w:rPr>
                <w:rFonts w:ascii="Georgia" w:eastAsia="Times New Roman" w:hAnsi="Georgia" w:cs="Calibri"/>
                <w:b/>
                <w:bCs/>
                <w:color w:val="000000"/>
                <w:sz w:val="24"/>
                <w:szCs w:val="24"/>
                <w:lang w:val="en-GB" w:eastAsia="hu-HU"/>
              </w:rPr>
            </w:pPr>
            <w:r w:rsidRPr="0002056A">
              <w:rPr>
                <w:rFonts w:ascii="Georgia" w:eastAsia="Times New Roman" w:hAnsi="Georgia" w:cs="Calibri"/>
                <w:b/>
                <w:bCs/>
                <w:color w:val="000000"/>
                <w:sz w:val="24"/>
                <w:szCs w:val="24"/>
                <w:lang w:val="en-GB" w:eastAsia="hu-HU"/>
              </w:rPr>
              <w:t>States</w:t>
            </w:r>
          </w:p>
        </w:tc>
        <w:tc>
          <w:tcPr>
            <w:tcW w:w="1778" w:type="dxa"/>
          </w:tcPr>
          <w:p w14:paraId="4F59F73C" w14:textId="7725A1F3" w:rsidR="006574F5" w:rsidRPr="0002056A" w:rsidRDefault="00D60F6A" w:rsidP="008B2131">
            <w:pPr>
              <w:spacing w:after="0" w:line="240" w:lineRule="auto"/>
              <w:jc w:val="both"/>
              <w:rPr>
                <w:rFonts w:ascii="Georgia" w:hAnsi="Georgia"/>
                <w:sz w:val="18"/>
                <w:szCs w:val="18"/>
                <w:lang w:val="en-GB"/>
              </w:rPr>
            </w:pPr>
            <w:r w:rsidRPr="0002056A">
              <w:rPr>
                <w:rFonts w:ascii="Georgia" w:hAnsi="Georgia"/>
                <w:sz w:val="18"/>
                <w:szCs w:val="18"/>
                <w:lang w:val="en-GB"/>
              </w:rPr>
              <w:t>Finland, Denmark, Iceland, Norway</w:t>
            </w:r>
            <w:r w:rsidR="00D17729">
              <w:rPr>
                <w:rFonts w:ascii="Georgia" w:hAnsi="Georgia"/>
                <w:sz w:val="18"/>
                <w:szCs w:val="18"/>
                <w:lang w:val="en-GB"/>
              </w:rPr>
              <w:t>,</w:t>
            </w:r>
            <w:r w:rsidRPr="0002056A">
              <w:rPr>
                <w:rFonts w:ascii="Georgia" w:hAnsi="Georgia"/>
                <w:sz w:val="18"/>
                <w:szCs w:val="18"/>
                <w:lang w:val="en-GB"/>
              </w:rPr>
              <w:t xml:space="preserve"> Sweden</w:t>
            </w:r>
          </w:p>
        </w:tc>
        <w:tc>
          <w:tcPr>
            <w:tcW w:w="1785" w:type="dxa"/>
          </w:tcPr>
          <w:p w14:paraId="496E86DF" w14:textId="07B16845" w:rsidR="006574F5" w:rsidRPr="0002056A" w:rsidRDefault="00D60F6A" w:rsidP="008B2131">
            <w:pPr>
              <w:spacing w:after="0" w:line="240" w:lineRule="auto"/>
              <w:jc w:val="both"/>
              <w:rPr>
                <w:rFonts w:ascii="Georgia" w:hAnsi="Georgia"/>
                <w:sz w:val="18"/>
                <w:szCs w:val="18"/>
                <w:lang w:val="en-GB"/>
              </w:rPr>
            </w:pPr>
            <w:r w:rsidRPr="0002056A">
              <w:rPr>
                <w:rFonts w:ascii="Georgia" w:hAnsi="Georgia"/>
                <w:sz w:val="18"/>
                <w:szCs w:val="18"/>
                <w:lang w:val="en-GB"/>
              </w:rPr>
              <w:t xml:space="preserve">UK (England, Scotland, Northern-Ireland, Wales), </w:t>
            </w:r>
            <w:r w:rsidR="00052DCB" w:rsidRPr="0002056A">
              <w:rPr>
                <w:rFonts w:ascii="Georgia" w:hAnsi="Georgia"/>
                <w:sz w:val="18"/>
                <w:szCs w:val="18"/>
                <w:lang w:val="en-GB"/>
              </w:rPr>
              <w:t xml:space="preserve">Ireland, </w:t>
            </w:r>
            <w:r w:rsidRPr="0002056A">
              <w:rPr>
                <w:rFonts w:ascii="Georgia" w:hAnsi="Georgia"/>
                <w:sz w:val="18"/>
                <w:szCs w:val="18"/>
                <w:lang w:val="en-GB"/>
              </w:rPr>
              <w:t>France, Belgium, The Netherlands, Luxemb</w:t>
            </w:r>
            <w:r w:rsidR="00C266B5">
              <w:rPr>
                <w:rFonts w:ascii="Georgia" w:hAnsi="Georgia"/>
                <w:sz w:val="18"/>
                <w:szCs w:val="18"/>
                <w:lang w:val="en-GB"/>
              </w:rPr>
              <w:t>o</w:t>
            </w:r>
            <w:r w:rsidRPr="0002056A">
              <w:rPr>
                <w:rFonts w:ascii="Georgia" w:hAnsi="Georgia"/>
                <w:sz w:val="18"/>
                <w:szCs w:val="18"/>
                <w:lang w:val="en-GB"/>
              </w:rPr>
              <w:t xml:space="preserve">urg, Germany, Switzerland, Austria </w:t>
            </w:r>
          </w:p>
        </w:tc>
        <w:tc>
          <w:tcPr>
            <w:tcW w:w="1787" w:type="dxa"/>
          </w:tcPr>
          <w:p w14:paraId="3038FD31" w14:textId="3CFC4CD8" w:rsidR="006574F5" w:rsidRPr="0002056A" w:rsidRDefault="006528F2" w:rsidP="008B2131">
            <w:pPr>
              <w:spacing w:after="0" w:line="240" w:lineRule="auto"/>
              <w:jc w:val="both"/>
              <w:rPr>
                <w:rFonts w:ascii="Georgia" w:hAnsi="Georgia"/>
                <w:sz w:val="18"/>
                <w:szCs w:val="18"/>
                <w:lang w:val="en-GB"/>
              </w:rPr>
            </w:pPr>
            <w:r w:rsidRPr="0002056A">
              <w:rPr>
                <w:rFonts w:ascii="Georgia" w:hAnsi="Georgia"/>
                <w:sz w:val="18"/>
                <w:szCs w:val="18"/>
                <w:lang w:val="en-GB"/>
              </w:rPr>
              <w:t xml:space="preserve">Spain, Portugal, Italy, Greece, Malta, Cyprus, </w:t>
            </w:r>
            <w:r w:rsidR="00A21DC2" w:rsidRPr="0002056A">
              <w:rPr>
                <w:rFonts w:ascii="Georgia" w:hAnsi="Georgia"/>
                <w:sz w:val="18"/>
                <w:szCs w:val="18"/>
                <w:lang w:val="en-GB"/>
              </w:rPr>
              <w:t>Türkiye</w:t>
            </w:r>
            <w:r w:rsidRPr="0002056A">
              <w:rPr>
                <w:rFonts w:ascii="Georgia" w:hAnsi="Georgia"/>
                <w:sz w:val="18"/>
                <w:szCs w:val="18"/>
                <w:lang w:val="en-GB"/>
              </w:rPr>
              <w:t>, Northern-Macedonia, Kosovo, Albania, Bosnia and Herzegovina</w:t>
            </w:r>
            <w:r w:rsidR="00821FFB" w:rsidRPr="0002056A">
              <w:rPr>
                <w:rFonts w:ascii="Georgia" w:hAnsi="Georgia"/>
                <w:sz w:val="18"/>
                <w:szCs w:val="18"/>
                <w:lang w:val="en-GB"/>
              </w:rPr>
              <w:t>, Montenegro</w:t>
            </w:r>
          </w:p>
        </w:tc>
        <w:tc>
          <w:tcPr>
            <w:tcW w:w="1776" w:type="dxa"/>
          </w:tcPr>
          <w:p w14:paraId="15561506" w14:textId="309BBC7E" w:rsidR="006574F5" w:rsidRPr="0002056A" w:rsidRDefault="00821FFB" w:rsidP="008B2131">
            <w:pPr>
              <w:spacing w:after="0" w:line="240" w:lineRule="auto"/>
              <w:jc w:val="both"/>
              <w:rPr>
                <w:rFonts w:ascii="Georgia" w:hAnsi="Georgia"/>
                <w:sz w:val="18"/>
                <w:szCs w:val="18"/>
                <w:lang w:val="en-GB"/>
              </w:rPr>
            </w:pPr>
            <w:r w:rsidRPr="0002056A">
              <w:rPr>
                <w:rFonts w:ascii="Georgia" w:hAnsi="Georgia"/>
                <w:sz w:val="18"/>
                <w:szCs w:val="18"/>
                <w:lang w:val="en-GB"/>
              </w:rPr>
              <w:t>Hungary, Czech Republic, Slovakia, Slovenia, Romania, Bulgaria, Poland, Estonia, Lithuania, Latvia</w:t>
            </w:r>
            <w:r w:rsidR="00052DCB" w:rsidRPr="0002056A">
              <w:rPr>
                <w:rFonts w:ascii="Georgia" w:hAnsi="Georgia"/>
                <w:sz w:val="18"/>
                <w:szCs w:val="18"/>
                <w:lang w:val="en-GB"/>
              </w:rPr>
              <w:t>, Serbia, Croatia</w:t>
            </w:r>
          </w:p>
        </w:tc>
      </w:tr>
    </w:tbl>
    <w:p w14:paraId="4813DA68" w14:textId="231092E5" w:rsidR="001B50F9" w:rsidRPr="0002056A" w:rsidRDefault="001B50F9" w:rsidP="00214BD9">
      <w:pPr>
        <w:pStyle w:val="Cmsor2"/>
        <w:numPr>
          <w:ilvl w:val="1"/>
          <w:numId w:val="4"/>
        </w:numPr>
        <w:rPr>
          <w:rFonts w:asciiTheme="minorHAnsi" w:hAnsiTheme="minorHAnsi" w:cstheme="minorHAnsi"/>
          <w:b w:val="0"/>
          <w:bCs w:val="0"/>
          <w:i/>
          <w:iCs/>
          <w:lang w:val="en-GB"/>
        </w:rPr>
      </w:pPr>
      <w:bookmarkStart w:id="31" w:name="_Toc225578850"/>
      <w:r w:rsidRPr="0002056A">
        <w:rPr>
          <w:rFonts w:asciiTheme="minorHAnsi" w:hAnsiTheme="minorHAnsi" w:cstheme="minorHAnsi"/>
          <w:b w:val="0"/>
          <w:bCs w:val="0"/>
          <w:i/>
          <w:iCs/>
          <w:lang w:val="en-GB"/>
        </w:rPr>
        <w:t>Measuring spatial sensitivity</w:t>
      </w:r>
      <w:bookmarkEnd w:id="31"/>
    </w:p>
    <w:p w14:paraId="69F949F5" w14:textId="12D4A835" w:rsidR="000353B4" w:rsidRPr="0002056A" w:rsidRDefault="00771708" w:rsidP="00CD5BF3">
      <w:pPr>
        <w:spacing w:before="120" w:after="120"/>
        <w:jc w:val="both"/>
        <w:rPr>
          <w:rFonts w:ascii="Georgia" w:hAnsi="Georgia"/>
          <w:lang w:val="en-GB"/>
        </w:rPr>
      </w:pPr>
      <w:r w:rsidRPr="0002056A">
        <w:rPr>
          <w:rFonts w:ascii="Georgia" w:hAnsi="Georgia"/>
          <w:lang w:val="en-GB"/>
        </w:rPr>
        <w:t xml:space="preserve">To define </w:t>
      </w:r>
      <w:r w:rsidR="00822E84" w:rsidRPr="0002056A">
        <w:rPr>
          <w:rFonts w:ascii="Georgia" w:hAnsi="Georgia"/>
          <w:lang w:val="en-GB"/>
        </w:rPr>
        <w:t xml:space="preserve">the spatial content, or more exactly, the sensitivity to spatial content of </w:t>
      </w:r>
      <w:r w:rsidRPr="0002056A">
        <w:rPr>
          <w:rFonts w:ascii="Georgia" w:hAnsi="Georgia"/>
          <w:lang w:val="en-GB"/>
        </w:rPr>
        <w:t xml:space="preserve">the </w:t>
      </w:r>
      <w:r w:rsidR="00BB25BA" w:rsidRPr="0002056A">
        <w:rPr>
          <w:rFonts w:ascii="Georgia" w:hAnsi="Georgia"/>
          <w:lang w:val="en-GB"/>
        </w:rPr>
        <w:t>above-mentioned</w:t>
      </w:r>
      <w:r w:rsidRPr="0002056A">
        <w:rPr>
          <w:rFonts w:ascii="Georgia" w:hAnsi="Georgia"/>
          <w:lang w:val="en-GB"/>
        </w:rPr>
        <w:t xml:space="preserve"> policy </w:t>
      </w:r>
      <w:r w:rsidR="005D0440" w:rsidRPr="0002056A">
        <w:rPr>
          <w:rFonts w:ascii="Georgia" w:hAnsi="Georgia"/>
          <w:lang w:val="en-GB"/>
        </w:rPr>
        <w:t xml:space="preserve">planning </w:t>
      </w:r>
      <w:r w:rsidRPr="0002056A">
        <w:rPr>
          <w:rFonts w:ascii="Georgia" w:hAnsi="Georgia"/>
          <w:lang w:val="en-GB"/>
        </w:rPr>
        <w:t>instrument</w:t>
      </w:r>
      <w:r w:rsidR="009A2A44" w:rsidRPr="0002056A">
        <w:rPr>
          <w:rFonts w:ascii="Georgia" w:hAnsi="Georgia"/>
          <w:lang w:val="en-GB"/>
        </w:rPr>
        <w:t>s</w:t>
      </w:r>
      <w:r w:rsidRPr="0002056A">
        <w:rPr>
          <w:rFonts w:ascii="Georgia" w:hAnsi="Georgia"/>
          <w:lang w:val="en-GB"/>
        </w:rPr>
        <w:t xml:space="preserve"> </w:t>
      </w:r>
      <w:r w:rsidR="00CE6EC6" w:rsidRPr="0002056A">
        <w:rPr>
          <w:rFonts w:ascii="Georgia" w:hAnsi="Georgia"/>
          <w:lang w:val="en-GB"/>
        </w:rPr>
        <w:t>(planning and MRE</w:t>
      </w:r>
      <w:r w:rsidR="009A2A44" w:rsidRPr="0002056A">
        <w:rPr>
          <w:rFonts w:ascii="Georgia" w:hAnsi="Georgia"/>
          <w:lang w:val="en-GB"/>
        </w:rPr>
        <w:t xml:space="preserve"> </w:t>
      </w:r>
      <w:r w:rsidR="005D0440" w:rsidRPr="0002056A">
        <w:rPr>
          <w:rFonts w:ascii="Georgia" w:hAnsi="Georgia"/>
          <w:lang w:val="en-GB"/>
        </w:rPr>
        <w:t>documents</w:t>
      </w:r>
      <w:r w:rsidR="00CE6EC6" w:rsidRPr="0002056A">
        <w:rPr>
          <w:rFonts w:ascii="Georgia" w:hAnsi="Georgia"/>
          <w:lang w:val="en-GB"/>
        </w:rPr>
        <w:t>)</w:t>
      </w:r>
      <w:r w:rsidR="005D0440" w:rsidRPr="0002056A">
        <w:rPr>
          <w:rFonts w:ascii="Georgia" w:hAnsi="Georgia"/>
          <w:lang w:val="en-GB"/>
        </w:rPr>
        <w:t>,</w:t>
      </w:r>
      <w:r w:rsidR="00417B1E" w:rsidRPr="0002056A">
        <w:rPr>
          <w:rFonts w:ascii="Georgia" w:hAnsi="Georgia"/>
          <w:lang w:val="en-GB"/>
        </w:rPr>
        <w:t xml:space="preserve"> </w:t>
      </w:r>
      <w:r w:rsidR="005D0440" w:rsidRPr="0002056A">
        <w:rPr>
          <w:rFonts w:ascii="Georgia" w:hAnsi="Georgia"/>
          <w:lang w:val="en-GB"/>
        </w:rPr>
        <w:t xml:space="preserve">or </w:t>
      </w:r>
      <w:r w:rsidR="00417B1E" w:rsidRPr="0002056A">
        <w:rPr>
          <w:rFonts w:ascii="Georgia" w:hAnsi="Georgia"/>
          <w:lang w:val="en-GB"/>
        </w:rPr>
        <w:t>in other words</w:t>
      </w:r>
      <w:r w:rsidR="00D17729">
        <w:rPr>
          <w:rFonts w:ascii="Georgia" w:hAnsi="Georgia"/>
          <w:lang w:val="en-GB"/>
        </w:rPr>
        <w:t>,</w:t>
      </w:r>
      <w:r w:rsidR="00417B1E" w:rsidRPr="0002056A">
        <w:rPr>
          <w:rFonts w:ascii="Georgia" w:hAnsi="Georgia"/>
          <w:lang w:val="en-GB"/>
        </w:rPr>
        <w:t xml:space="preserve"> to measure </w:t>
      </w:r>
      <w:r w:rsidRPr="0002056A">
        <w:rPr>
          <w:rFonts w:ascii="Georgia" w:hAnsi="Georgia"/>
          <w:lang w:val="en-GB"/>
        </w:rPr>
        <w:t xml:space="preserve">the degree of spatial </w:t>
      </w:r>
      <w:r w:rsidR="00417B1E" w:rsidRPr="0002056A">
        <w:rPr>
          <w:rFonts w:ascii="Georgia" w:hAnsi="Georgia"/>
          <w:lang w:val="en-GB"/>
        </w:rPr>
        <w:t>approach</w:t>
      </w:r>
      <w:r w:rsidRPr="0002056A">
        <w:rPr>
          <w:rFonts w:ascii="Georgia" w:hAnsi="Georgia"/>
          <w:lang w:val="en-GB"/>
        </w:rPr>
        <w:t xml:space="preserve"> within them, </w:t>
      </w:r>
      <w:r w:rsidR="000C4808" w:rsidRPr="0002056A">
        <w:rPr>
          <w:rFonts w:ascii="Georgia" w:hAnsi="Georgia"/>
          <w:lang w:val="en-GB"/>
        </w:rPr>
        <w:t>a new notion</w:t>
      </w:r>
      <w:r w:rsidR="00417B1E" w:rsidRPr="0002056A">
        <w:rPr>
          <w:rFonts w:ascii="Georgia" w:hAnsi="Georgia"/>
          <w:lang w:val="en-GB"/>
        </w:rPr>
        <w:t>/concept</w:t>
      </w:r>
      <w:r w:rsidR="000C4808" w:rsidRPr="0002056A">
        <w:rPr>
          <w:rFonts w:ascii="Georgia" w:hAnsi="Georgia"/>
          <w:lang w:val="en-GB"/>
        </w:rPr>
        <w:t xml:space="preserve">, </w:t>
      </w:r>
      <w:r w:rsidR="00417B1E" w:rsidRPr="0002056A">
        <w:rPr>
          <w:rFonts w:ascii="Georgia" w:hAnsi="Georgia"/>
          <w:lang w:val="en-GB"/>
        </w:rPr>
        <w:t>“</w:t>
      </w:r>
      <w:r w:rsidR="000C4808" w:rsidRPr="0002056A">
        <w:rPr>
          <w:rFonts w:ascii="Georgia" w:hAnsi="Georgia"/>
          <w:lang w:val="en-GB"/>
        </w:rPr>
        <w:t xml:space="preserve">spatial </w:t>
      </w:r>
      <w:r w:rsidR="00E3273A" w:rsidRPr="0002056A">
        <w:rPr>
          <w:rFonts w:ascii="Georgia" w:hAnsi="Georgia"/>
          <w:lang w:val="en-GB"/>
        </w:rPr>
        <w:t>sensitivity</w:t>
      </w:r>
      <w:r w:rsidR="00417B1E" w:rsidRPr="0002056A">
        <w:rPr>
          <w:rFonts w:ascii="Georgia" w:hAnsi="Georgia"/>
          <w:lang w:val="en-GB"/>
        </w:rPr>
        <w:t>”</w:t>
      </w:r>
      <w:r w:rsidR="000C4808" w:rsidRPr="0002056A">
        <w:rPr>
          <w:rFonts w:ascii="Georgia" w:hAnsi="Georgia"/>
          <w:lang w:val="en-GB"/>
        </w:rPr>
        <w:t xml:space="preserve"> </w:t>
      </w:r>
      <w:r w:rsidR="00D20A49" w:rsidRPr="0002056A">
        <w:rPr>
          <w:rFonts w:ascii="Georgia" w:hAnsi="Georgia"/>
          <w:lang w:val="en-GB"/>
        </w:rPr>
        <w:t>i</w:t>
      </w:r>
      <w:r w:rsidR="000C4808" w:rsidRPr="0002056A">
        <w:rPr>
          <w:rFonts w:ascii="Georgia" w:hAnsi="Georgia"/>
          <w:lang w:val="en-GB"/>
        </w:rPr>
        <w:t xml:space="preserve">s introduced by the research. This complex </w:t>
      </w:r>
      <w:r w:rsidR="00E3273A" w:rsidRPr="0002056A">
        <w:rPr>
          <w:rFonts w:ascii="Georgia" w:hAnsi="Georgia"/>
          <w:lang w:val="en-GB"/>
        </w:rPr>
        <w:t>model</w:t>
      </w:r>
      <w:r w:rsidR="000C4808" w:rsidRPr="0002056A">
        <w:rPr>
          <w:rFonts w:ascii="Georgia" w:hAnsi="Georgia"/>
          <w:lang w:val="en-GB"/>
        </w:rPr>
        <w:t xml:space="preserve"> tr</w:t>
      </w:r>
      <w:r w:rsidR="00E3273A" w:rsidRPr="0002056A">
        <w:rPr>
          <w:rFonts w:ascii="Georgia" w:hAnsi="Georgia"/>
          <w:lang w:val="en-GB"/>
        </w:rPr>
        <w:t>ies</w:t>
      </w:r>
      <w:r w:rsidR="000C4808" w:rsidRPr="0002056A">
        <w:rPr>
          <w:rFonts w:ascii="Georgia" w:hAnsi="Georgia"/>
          <w:lang w:val="en-GB"/>
        </w:rPr>
        <w:t xml:space="preserve"> to integrate the most </w:t>
      </w:r>
      <w:r w:rsidR="00E3273A" w:rsidRPr="0002056A">
        <w:rPr>
          <w:rFonts w:ascii="Georgia" w:hAnsi="Georgia"/>
          <w:lang w:val="en-GB"/>
        </w:rPr>
        <w:t>important</w:t>
      </w:r>
      <w:r w:rsidR="00AE43BC" w:rsidRPr="0002056A">
        <w:rPr>
          <w:rFonts w:ascii="Georgia" w:hAnsi="Georgia"/>
          <w:lang w:val="en-GB"/>
        </w:rPr>
        <w:t>,</w:t>
      </w:r>
      <w:r w:rsidR="000C4808" w:rsidRPr="0002056A">
        <w:rPr>
          <w:rFonts w:ascii="Georgia" w:hAnsi="Georgia"/>
          <w:lang w:val="en-GB"/>
        </w:rPr>
        <w:t xml:space="preserve"> </w:t>
      </w:r>
      <w:r w:rsidR="00D17729">
        <w:rPr>
          <w:rFonts w:ascii="Georgia" w:hAnsi="Georgia"/>
          <w:lang w:val="en-GB"/>
        </w:rPr>
        <w:t>utilisable</w:t>
      </w:r>
      <w:r w:rsidR="00D17729" w:rsidRPr="0002056A">
        <w:rPr>
          <w:rFonts w:ascii="Georgia" w:hAnsi="Georgia"/>
          <w:lang w:val="en-GB"/>
        </w:rPr>
        <w:t xml:space="preserve"> </w:t>
      </w:r>
      <w:r w:rsidR="000C4808" w:rsidRPr="0002056A">
        <w:rPr>
          <w:rFonts w:ascii="Georgia" w:hAnsi="Georgia"/>
          <w:lang w:val="en-GB"/>
        </w:rPr>
        <w:t xml:space="preserve">elements of </w:t>
      </w:r>
      <w:r w:rsidR="00EE1495" w:rsidRPr="0002056A">
        <w:rPr>
          <w:rFonts w:ascii="Georgia" w:hAnsi="Georgia"/>
          <w:lang w:val="en-GB"/>
        </w:rPr>
        <w:t xml:space="preserve">different </w:t>
      </w:r>
      <w:r w:rsidR="000C4808" w:rsidRPr="0002056A">
        <w:rPr>
          <w:rFonts w:ascii="Georgia" w:hAnsi="Georgia"/>
          <w:lang w:val="en-GB"/>
        </w:rPr>
        <w:t xml:space="preserve">space interpretations and </w:t>
      </w:r>
      <w:r w:rsidR="00176D00" w:rsidRPr="0002056A">
        <w:rPr>
          <w:rFonts w:ascii="Georgia" w:hAnsi="Georgia"/>
          <w:lang w:val="en-GB"/>
        </w:rPr>
        <w:t>approaches</w:t>
      </w:r>
      <w:r w:rsidR="000C4808" w:rsidRPr="0002056A">
        <w:rPr>
          <w:rFonts w:ascii="Georgia" w:hAnsi="Georgia"/>
          <w:lang w:val="en-GB"/>
        </w:rPr>
        <w:t xml:space="preserve"> </w:t>
      </w:r>
      <w:r w:rsidR="00CE6EC6" w:rsidRPr="0002056A">
        <w:rPr>
          <w:rFonts w:ascii="Georgia" w:hAnsi="Georgia"/>
          <w:lang w:val="en-GB"/>
        </w:rPr>
        <w:t>into a</w:t>
      </w:r>
      <w:r w:rsidR="00D625B0" w:rsidRPr="0002056A">
        <w:rPr>
          <w:rFonts w:ascii="Georgia" w:hAnsi="Georgia"/>
          <w:lang w:val="en-GB"/>
        </w:rPr>
        <w:t>n integrative</w:t>
      </w:r>
      <w:r w:rsidR="00CE6EC6" w:rsidRPr="0002056A">
        <w:rPr>
          <w:rFonts w:ascii="Georgia" w:hAnsi="Georgia"/>
          <w:lang w:val="en-GB"/>
        </w:rPr>
        <w:t xml:space="preserve"> concept</w:t>
      </w:r>
      <w:r w:rsidR="000C4808" w:rsidRPr="0002056A">
        <w:rPr>
          <w:rFonts w:ascii="Georgia" w:hAnsi="Georgia"/>
          <w:lang w:val="en-GB"/>
        </w:rPr>
        <w:t xml:space="preserve">. </w:t>
      </w:r>
    </w:p>
    <w:p w14:paraId="0E0978FB" w14:textId="1BE553FA" w:rsidR="00893027" w:rsidRPr="0002056A" w:rsidRDefault="000353B4" w:rsidP="00214BD9">
      <w:pPr>
        <w:pStyle w:val="Cmsor3"/>
        <w:numPr>
          <w:ilvl w:val="2"/>
          <w:numId w:val="4"/>
        </w:numPr>
        <w:rPr>
          <w:rFonts w:ascii="Calibri" w:hAnsi="Calibri" w:cs="Calibri"/>
          <w:color w:val="2F5496" w:themeColor="accent1" w:themeShade="BF"/>
          <w:lang w:val="en-GB"/>
        </w:rPr>
      </w:pPr>
      <w:bookmarkStart w:id="32" w:name="_Toc225578851"/>
      <w:r w:rsidRPr="0002056A">
        <w:rPr>
          <w:rFonts w:ascii="Calibri" w:hAnsi="Calibri" w:cs="Calibri"/>
          <w:color w:val="2F5496" w:themeColor="accent1" w:themeShade="BF"/>
          <w:lang w:val="en-GB"/>
        </w:rPr>
        <w:t>Model of spatial sensitivity</w:t>
      </w:r>
      <w:bookmarkEnd w:id="32"/>
    </w:p>
    <w:p w14:paraId="682A59E3" w14:textId="15A7A65A" w:rsidR="004C6037" w:rsidRPr="0002056A" w:rsidRDefault="004C6037" w:rsidP="00CD5BF3">
      <w:pPr>
        <w:tabs>
          <w:tab w:val="left" w:pos="6237"/>
        </w:tabs>
        <w:spacing w:before="120" w:after="120"/>
        <w:jc w:val="both"/>
        <w:rPr>
          <w:rFonts w:ascii="Georgia" w:hAnsi="Georgia"/>
          <w:bCs/>
          <w:lang w:val="en-GB"/>
        </w:rPr>
      </w:pPr>
      <w:bookmarkStart w:id="33" w:name="_Hlk135985281"/>
      <w:r w:rsidRPr="0002056A">
        <w:rPr>
          <w:rFonts w:ascii="Georgia" w:hAnsi="Georgia"/>
          <w:bCs/>
          <w:lang w:val="en-GB"/>
        </w:rPr>
        <w:t xml:space="preserve">To make </w:t>
      </w:r>
      <w:r w:rsidR="00D17729">
        <w:rPr>
          <w:rFonts w:ascii="Georgia" w:hAnsi="Georgia"/>
          <w:bCs/>
          <w:lang w:val="en-GB"/>
        </w:rPr>
        <w:t xml:space="preserve">a </w:t>
      </w:r>
      <w:r w:rsidRPr="0002056A">
        <w:rPr>
          <w:rFonts w:ascii="Georgia" w:hAnsi="Georgia"/>
          <w:bCs/>
          <w:lang w:val="en-GB"/>
        </w:rPr>
        <w:t xml:space="preserve">proper </w:t>
      </w:r>
      <w:r w:rsidR="00341429" w:rsidRPr="0002056A">
        <w:rPr>
          <w:rFonts w:ascii="Georgia" w:hAnsi="Georgia"/>
          <w:bCs/>
          <w:lang w:val="en-GB"/>
        </w:rPr>
        <w:t xml:space="preserve">theoretical </w:t>
      </w:r>
      <w:r w:rsidRPr="0002056A">
        <w:rPr>
          <w:rFonts w:ascii="Georgia" w:hAnsi="Georgia"/>
          <w:bCs/>
          <w:lang w:val="en-GB"/>
        </w:rPr>
        <w:t>foundation for the empirical analys</w:t>
      </w:r>
      <w:r w:rsidR="001F6364" w:rsidRPr="0002056A">
        <w:rPr>
          <w:rFonts w:ascii="Georgia" w:hAnsi="Georgia"/>
          <w:bCs/>
          <w:lang w:val="en-GB"/>
        </w:rPr>
        <w:t>i</w:t>
      </w:r>
      <w:r w:rsidRPr="0002056A">
        <w:rPr>
          <w:rFonts w:ascii="Georgia" w:hAnsi="Georgia"/>
          <w:bCs/>
          <w:lang w:val="en-GB"/>
        </w:rPr>
        <w:t xml:space="preserve">s of the emergence of </w:t>
      </w:r>
      <w:r w:rsidR="00176D00" w:rsidRPr="0002056A">
        <w:rPr>
          <w:rFonts w:ascii="Georgia" w:hAnsi="Georgia"/>
          <w:bCs/>
          <w:lang w:val="en-GB"/>
        </w:rPr>
        <w:t>spatial/</w:t>
      </w:r>
      <w:r w:rsidR="001F6364" w:rsidRPr="0002056A">
        <w:rPr>
          <w:rFonts w:ascii="Georgia" w:hAnsi="Georgia"/>
          <w:bCs/>
          <w:lang w:val="en-GB"/>
        </w:rPr>
        <w:t xml:space="preserve">geographic </w:t>
      </w:r>
      <w:r w:rsidR="00176D00" w:rsidRPr="0002056A">
        <w:rPr>
          <w:rFonts w:ascii="Georgia" w:hAnsi="Georgia"/>
          <w:bCs/>
          <w:lang w:val="en-GB"/>
        </w:rPr>
        <w:t>aspects</w:t>
      </w:r>
      <w:r w:rsidRPr="0002056A">
        <w:rPr>
          <w:rFonts w:ascii="Georgia" w:hAnsi="Georgia"/>
          <w:bCs/>
          <w:lang w:val="en-GB"/>
        </w:rPr>
        <w:t xml:space="preserve"> in climate adaptation policy </w:t>
      </w:r>
      <w:r w:rsidR="00384B0F" w:rsidRPr="0002056A">
        <w:rPr>
          <w:rFonts w:ascii="Georgia" w:hAnsi="Georgia"/>
          <w:bCs/>
          <w:lang w:val="en-GB"/>
        </w:rPr>
        <w:t xml:space="preserve">planning </w:t>
      </w:r>
      <w:r w:rsidRPr="0002056A">
        <w:rPr>
          <w:rFonts w:ascii="Georgia" w:hAnsi="Georgia"/>
          <w:bCs/>
          <w:lang w:val="en-GB"/>
        </w:rPr>
        <w:t>activities, first</w:t>
      </w:r>
      <w:r w:rsidR="00D17729">
        <w:rPr>
          <w:rFonts w:ascii="Georgia" w:hAnsi="Georgia"/>
          <w:bCs/>
          <w:lang w:val="en-GB"/>
        </w:rPr>
        <w:t>,</w:t>
      </w:r>
      <w:r w:rsidRPr="0002056A">
        <w:rPr>
          <w:rFonts w:ascii="Georgia" w:hAnsi="Georgia"/>
          <w:bCs/>
          <w:lang w:val="en-GB"/>
        </w:rPr>
        <w:t xml:space="preserve"> </w:t>
      </w:r>
      <w:r w:rsidR="00384B0F" w:rsidRPr="0002056A">
        <w:rPr>
          <w:rFonts w:ascii="Georgia" w:hAnsi="Georgia"/>
          <w:bCs/>
          <w:lang w:val="en-GB"/>
        </w:rPr>
        <w:t>the dissertation has</w:t>
      </w:r>
      <w:r w:rsidRPr="0002056A">
        <w:rPr>
          <w:rFonts w:ascii="Georgia" w:hAnsi="Georgia"/>
          <w:bCs/>
          <w:lang w:val="en-GB"/>
        </w:rPr>
        <w:t xml:space="preserve"> collect</w:t>
      </w:r>
      <w:r w:rsidR="00CE6EC6" w:rsidRPr="0002056A">
        <w:rPr>
          <w:rFonts w:ascii="Georgia" w:hAnsi="Georgia"/>
          <w:bCs/>
          <w:lang w:val="en-GB"/>
        </w:rPr>
        <w:t>ed</w:t>
      </w:r>
      <w:r w:rsidRPr="0002056A">
        <w:rPr>
          <w:rFonts w:ascii="Georgia" w:hAnsi="Georgia"/>
          <w:bCs/>
          <w:lang w:val="en-GB"/>
        </w:rPr>
        <w:t xml:space="preserve"> space interpretations and concepts of </w:t>
      </w:r>
      <w:r w:rsidR="00CE6EC6" w:rsidRPr="0002056A">
        <w:rPr>
          <w:rFonts w:ascii="Georgia" w:hAnsi="Georgia"/>
          <w:bCs/>
          <w:lang w:val="en-GB"/>
        </w:rPr>
        <w:t>given space-oriented</w:t>
      </w:r>
      <w:r w:rsidRPr="0002056A">
        <w:rPr>
          <w:rFonts w:ascii="Georgia" w:hAnsi="Georgia"/>
          <w:bCs/>
          <w:lang w:val="en-GB"/>
        </w:rPr>
        <w:t xml:space="preserve"> </w:t>
      </w:r>
      <w:r w:rsidR="00341429" w:rsidRPr="0002056A">
        <w:rPr>
          <w:rFonts w:ascii="Georgia" w:hAnsi="Georgia"/>
          <w:bCs/>
          <w:lang w:val="en-GB"/>
        </w:rPr>
        <w:t xml:space="preserve">scientific disciplines and </w:t>
      </w:r>
      <w:r w:rsidR="00216AD0" w:rsidRPr="0002056A">
        <w:rPr>
          <w:rFonts w:ascii="Georgia" w:hAnsi="Georgia"/>
          <w:bCs/>
          <w:lang w:val="en-GB"/>
        </w:rPr>
        <w:t>practical</w:t>
      </w:r>
      <w:r w:rsidR="00341429" w:rsidRPr="0002056A">
        <w:rPr>
          <w:rFonts w:ascii="Georgia" w:hAnsi="Georgia"/>
          <w:bCs/>
          <w:lang w:val="en-GB"/>
        </w:rPr>
        <w:t xml:space="preserve"> </w:t>
      </w:r>
      <w:r w:rsidRPr="0002056A">
        <w:rPr>
          <w:rFonts w:ascii="Georgia" w:hAnsi="Georgia"/>
          <w:bCs/>
          <w:lang w:val="en-GB"/>
        </w:rPr>
        <w:t>fields</w:t>
      </w:r>
      <w:r w:rsidR="00384B0F" w:rsidRPr="0002056A">
        <w:rPr>
          <w:rFonts w:ascii="Georgia" w:hAnsi="Georgia"/>
          <w:bCs/>
          <w:lang w:val="en-GB"/>
        </w:rPr>
        <w:t xml:space="preserve"> (see </w:t>
      </w:r>
      <w:r w:rsidR="00176D00" w:rsidRPr="0002056A">
        <w:rPr>
          <w:rFonts w:ascii="Georgia" w:hAnsi="Georgia"/>
          <w:bCs/>
          <w:lang w:val="en-GB"/>
        </w:rPr>
        <w:t xml:space="preserve">Annex 2 and </w:t>
      </w:r>
      <w:r w:rsidR="00384B0F" w:rsidRPr="0002056A">
        <w:rPr>
          <w:rFonts w:ascii="Georgia" w:hAnsi="Georgia"/>
          <w:bCs/>
          <w:lang w:val="en-GB"/>
        </w:rPr>
        <w:t>Chapter 3.6)</w:t>
      </w:r>
      <w:r w:rsidRPr="0002056A">
        <w:rPr>
          <w:rFonts w:ascii="Georgia" w:hAnsi="Georgia"/>
          <w:bCs/>
          <w:lang w:val="en-GB"/>
        </w:rPr>
        <w:t xml:space="preserve">. Having done this, </w:t>
      </w:r>
      <w:r w:rsidR="00EE1495" w:rsidRPr="0002056A">
        <w:rPr>
          <w:rFonts w:ascii="Georgia" w:hAnsi="Georgia"/>
          <w:bCs/>
          <w:lang w:val="en-GB"/>
        </w:rPr>
        <w:t xml:space="preserve">as Chapter 3.6. already indicated, </w:t>
      </w:r>
      <w:r w:rsidR="002C7123" w:rsidRPr="0002056A">
        <w:rPr>
          <w:rFonts w:ascii="Georgia" w:hAnsi="Georgia"/>
          <w:bCs/>
          <w:lang w:val="en-GB"/>
        </w:rPr>
        <w:t>a</w:t>
      </w:r>
      <w:r w:rsidRPr="0002056A">
        <w:rPr>
          <w:rFonts w:ascii="Georgia" w:hAnsi="Georgia"/>
          <w:bCs/>
          <w:lang w:val="en-GB"/>
        </w:rPr>
        <w:t xml:space="preserve"> wide variety of space interpretations emerge</w:t>
      </w:r>
      <w:r w:rsidR="00CE6EC6" w:rsidRPr="0002056A">
        <w:rPr>
          <w:rFonts w:ascii="Georgia" w:hAnsi="Georgia"/>
          <w:bCs/>
          <w:lang w:val="en-GB"/>
        </w:rPr>
        <w:t>s</w:t>
      </w:r>
      <w:r w:rsidRPr="0002056A">
        <w:rPr>
          <w:rFonts w:ascii="Georgia" w:hAnsi="Georgia"/>
          <w:bCs/>
          <w:lang w:val="en-GB"/>
        </w:rPr>
        <w:t xml:space="preserve"> before us. The empirical analysis</w:t>
      </w:r>
      <w:r w:rsidR="00636367" w:rsidRPr="0002056A">
        <w:rPr>
          <w:rFonts w:ascii="Georgia" w:hAnsi="Georgia"/>
          <w:bCs/>
          <w:lang w:val="en-GB"/>
        </w:rPr>
        <w:t>,</w:t>
      </w:r>
      <w:r w:rsidRPr="0002056A">
        <w:rPr>
          <w:rFonts w:ascii="Georgia" w:hAnsi="Georgia"/>
          <w:bCs/>
          <w:lang w:val="en-GB"/>
        </w:rPr>
        <w:t xml:space="preserve"> seek</w:t>
      </w:r>
      <w:r w:rsidR="00636367" w:rsidRPr="0002056A">
        <w:rPr>
          <w:rFonts w:ascii="Georgia" w:hAnsi="Georgia"/>
          <w:bCs/>
          <w:lang w:val="en-GB"/>
        </w:rPr>
        <w:t>ing</w:t>
      </w:r>
      <w:r w:rsidRPr="0002056A">
        <w:rPr>
          <w:rFonts w:ascii="Georgia" w:hAnsi="Georgia"/>
          <w:bCs/>
          <w:lang w:val="en-GB"/>
        </w:rPr>
        <w:t xml:space="preserve"> meaning</w:t>
      </w:r>
      <w:r w:rsidR="00577512" w:rsidRPr="0002056A">
        <w:rPr>
          <w:rFonts w:ascii="Georgia" w:hAnsi="Georgia"/>
          <w:bCs/>
          <w:lang w:val="en-GB"/>
        </w:rPr>
        <w:t>s</w:t>
      </w:r>
      <w:r w:rsidRPr="0002056A">
        <w:rPr>
          <w:rFonts w:ascii="Georgia" w:hAnsi="Georgia"/>
          <w:bCs/>
          <w:lang w:val="en-GB"/>
        </w:rPr>
        <w:t xml:space="preserve"> and approaches of spatiality in climate </w:t>
      </w:r>
      <w:r w:rsidR="002F1B47" w:rsidRPr="0002056A">
        <w:rPr>
          <w:rFonts w:ascii="Georgia" w:hAnsi="Georgia"/>
          <w:bCs/>
          <w:lang w:val="en-GB"/>
        </w:rPr>
        <w:t xml:space="preserve">adaptation </w:t>
      </w:r>
      <w:r w:rsidRPr="0002056A">
        <w:rPr>
          <w:rFonts w:ascii="Georgia" w:hAnsi="Georgia"/>
          <w:bCs/>
          <w:lang w:val="en-GB"/>
        </w:rPr>
        <w:t>policy</w:t>
      </w:r>
      <w:r w:rsidR="00636367" w:rsidRPr="0002056A">
        <w:rPr>
          <w:rFonts w:ascii="Georgia" w:hAnsi="Georgia"/>
          <w:bCs/>
          <w:lang w:val="en-GB"/>
        </w:rPr>
        <w:t xml:space="preserve">, </w:t>
      </w:r>
      <w:r w:rsidRPr="0002056A">
        <w:rPr>
          <w:rFonts w:ascii="Georgia" w:hAnsi="Georgia"/>
          <w:bCs/>
          <w:lang w:val="en-GB"/>
        </w:rPr>
        <w:t xml:space="preserve">concentrates mostly on objective space interpretations of natural </w:t>
      </w:r>
      <w:r w:rsidR="00577512" w:rsidRPr="0002056A">
        <w:rPr>
          <w:rFonts w:ascii="Georgia" w:hAnsi="Georgia"/>
          <w:bCs/>
          <w:lang w:val="en-GB"/>
        </w:rPr>
        <w:t xml:space="preserve">sciences and environmental </w:t>
      </w:r>
      <w:r w:rsidR="00636367" w:rsidRPr="0002056A">
        <w:rPr>
          <w:rFonts w:ascii="Georgia" w:hAnsi="Georgia"/>
          <w:bCs/>
          <w:lang w:val="en-GB"/>
        </w:rPr>
        <w:t>geography,</w:t>
      </w:r>
      <w:r w:rsidRPr="0002056A">
        <w:rPr>
          <w:rFonts w:ascii="Georgia" w:hAnsi="Georgia"/>
          <w:bCs/>
          <w:lang w:val="en-GB"/>
        </w:rPr>
        <w:t xml:space="preserve"> </w:t>
      </w:r>
      <w:r w:rsidR="002C7123" w:rsidRPr="0002056A">
        <w:rPr>
          <w:rFonts w:ascii="Georgia" w:hAnsi="Georgia"/>
          <w:bCs/>
          <w:lang w:val="en-GB"/>
        </w:rPr>
        <w:t xml:space="preserve">as well as </w:t>
      </w:r>
      <w:r w:rsidRPr="0002056A">
        <w:rPr>
          <w:rFonts w:ascii="Georgia" w:hAnsi="Georgia"/>
          <w:bCs/>
          <w:lang w:val="en-GB"/>
        </w:rPr>
        <w:t>on the relative approach of social and economic geography, regional geography, geopolitics, and regional studies</w:t>
      </w:r>
      <w:r w:rsidR="00E80A72" w:rsidRPr="0002056A">
        <w:rPr>
          <w:rFonts w:ascii="Georgia" w:hAnsi="Georgia"/>
          <w:bCs/>
          <w:lang w:val="en-GB"/>
        </w:rPr>
        <w:t xml:space="preserve">. The research </w:t>
      </w:r>
      <w:r w:rsidR="00942C2A" w:rsidRPr="0002056A">
        <w:rPr>
          <w:rFonts w:ascii="Georgia" w:hAnsi="Georgia"/>
          <w:bCs/>
          <w:lang w:val="en-GB"/>
        </w:rPr>
        <w:t>partly</w:t>
      </w:r>
      <w:r w:rsidR="00E80A72" w:rsidRPr="0002056A">
        <w:rPr>
          <w:rFonts w:ascii="Georgia" w:hAnsi="Georgia"/>
          <w:bCs/>
          <w:lang w:val="en-GB"/>
        </w:rPr>
        <w:t xml:space="preserve"> considers interpretations of </w:t>
      </w:r>
      <w:r w:rsidRPr="0002056A">
        <w:rPr>
          <w:rFonts w:ascii="Georgia" w:hAnsi="Georgia"/>
          <w:bCs/>
          <w:lang w:val="en-GB"/>
        </w:rPr>
        <w:t xml:space="preserve">those disciplines that focus mostly </w:t>
      </w:r>
      <w:r w:rsidR="00D17729">
        <w:rPr>
          <w:rFonts w:ascii="Georgia" w:hAnsi="Georgia"/>
          <w:bCs/>
          <w:lang w:val="en-GB"/>
        </w:rPr>
        <w:t xml:space="preserve">on </w:t>
      </w:r>
      <w:r w:rsidRPr="0002056A">
        <w:rPr>
          <w:rFonts w:ascii="Georgia" w:hAnsi="Georgia"/>
          <w:bCs/>
          <w:lang w:val="en-GB"/>
        </w:rPr>
        <w:t>internal space concepts (political and administrative studies, and partly even the regional studies)</w:t>
      </w:r>
      <w:r w:rsidR="00942C2A" w:rsidRPr="0002056A">
        <w:rPr>
          <w:rFonts w:ascii="Georgia" w:hAnsi="Georgia"/>
          <w:bCs/>
          <w:lang w:val="en-GB"/>
        </w:rPr>
        <w:t>, too</w:t>
      </w:r>
      <w:r w:rsidRPr="0002056A">
        <w:rPr>
          <w:rFonts w:ascii="Georgia" w:hAnsi="Georgia"/>
          <w:bCs/>
          <w:lang w:val="en-GB"/>
        </w:rPr>
        <w:t>. On top of these</w:t>
      </w:r>
      <w:r w:rsidR="00D17729">
        <w:rPr>
          <w:rFonts w:ascii="Georgia" w:hAnsi="Georgia"/>
          <w:bCs/>
          <w:lang w:val="en-GB"/>
        </w:rPr>
        <w:t xml:space="preserve">, </w:t>
      </w:r>
      <w:r w:rsidR="00EF1468">
        <w:rPr>
          <w:rFonts w:ascii="Georgia" w:hAnsi="Georgia"/>
          <w:bCs/>
          <w:lang w:val="en-GB"/>
        </w:rPr>
        <w:t xml:space="preserve">even </w:t>
      </w:r>
      <w:r w:rsidR="00EF1468" w:rsidRPr="0002056A">
        <w:rPr>
          <w:rFonts w:ascii="Georgia" w:hAnsi="Georgia"/>
          <w:bCs/>
          <w:lang w:val="en-GB"/>
        </w:rPr>
        <w:t>spatial approaches and related concepts</w:t>
      </w:r>
      <w:r w:rsidR="00EF1468">
        <w:rPr>
          <w:rFonts w:ascii="Georgia" w:hAnsi="Georgia"/>
          <w:bCs/>
          <w:lang w:val="en-GB"/>
        </w:rPr>
        <w:t xml:space="preserve"> of </w:t>
      </w:r>
      <w:r w:rsidR="00D17729">
        <w:rPr>
          <w:rFonts w:ascii="Georgia" w:hAnsi="Georgia"/>
          <w:bCs/>
          <w:lang w:val="en-GB"/>
        </w:rPr>
        <w:t>some practical fields (regional development policy, strategic spatial, urban and land use planning)</w:t>
      </w:r>
      <w:r w:rsidRPr="0002056A">
        <w:rPr>
          <w:rFonts w:ascii="Georgia" w:hAnsi="Georgia"/>
          <w:bCs/>
          <w:lang w:val="en-GB"/>
        </w:rPr>
        <w:t xml:space="preserve"> w</w:t>
      </w:r>
      <w:r w:rsidR="00577512" w:rsidRPr="0002056A">
        <w:rPr>
          <w:rFonts w:ascii="Georgia" w:hAnsi="Georgia"/>
          <w:bCs/>
          <w:lang w:val="en-GB"/>
        </w:rPr>
        <w:t>ere</w:t>
      </w:r>
      <w:r w:rsidRPr="0002056A">
        <w:rPr>
          <w:rFonts w:ascii="Georgia" w:hAnsi="Georgia"/>
          <w:bCs/>
          <w:lang w:val="en-GB"/>
        </w:rPr>
        <w:t xml:space="preserve"> also examined.</w:t>
      </w:r>
    </w:p>
    <w:p w14:paraId="3F76CD72" w14:textId="35B67C0D" w:rsidR="004C6037" w:rsidRPr="0002056A" w:rsidRDefault="004C6037" w:rsidP="00CD5BF3">
      <w:pPr>
        <w:tabs>
          <w:tab w:val="left" w:pos="6237"/>
        </w:tabs>
        <w:spacing w:before="120" w:after="120"/>
        <w:jc w:val="both"/>
        <w:rPr>
          <w:rFonts w:ascii="Georgia" w:hAnsi="Georgia" w:cs="Times New Roman"/>
          <w:lang w:val="en-GB"/>
        </w:rPr>
      </w:pPr>
      <w:r w:rsidRPr="0002056A">
        <w:rPr>
          <w:rFonts w:ascii="Georgia" w:hAnsi="Georgia"/>
          <w:bCs/>
          <w:lang w:val="en-GB"/>
        </w:rPr>
        <w:t xml:space="preserve">In the </w:t>
      </w:r>
      <w:r w:rsidR="0071517D" w:rsidRPr="0002056A">
        <w:rPr>
          <w:rFonts w:ascii="Georgia" w:hAnsi="Georgia"/>
          <w:bCs/>
          <w:lang w:val="en-GB"/>
        </w:rPr>
        <w:t>elaborated</w:t>
      </w:r>
      <w:r w:rsidRPr="0002056A">
        <w:rPr>
          <w:rFonts w:ascii="Georgia" w:hAnsi="Georgia"/>
          <w:bCs/>
          <w:lang w:val="en-GB"/>
        </w:rPr>
        <w:t xml:space="preserve"> analytical aspect system</w:t>
      </w:r>
      <w:r w:rsidR="00D20736" w:rsidRPr="0002056A">
        <w:rPr>
          <w:rFonts w:ascii="Georgia" w:hAnsi="Georgia"/>
          <w:bCs/>
          <w:lang w:val="en-GB"/>
        </w:rPr>
        <w:t xml:space="preserve"> (see Chapter 4.2.2.) </w:t>
      </w:r>
      <w:r w:rsidR="00942C2A" w:rsidRPr="0002056A">
        <w:rPr>
          <w:rFonts w:ascii="Georgia" w:hAnsi="Georgia"/>
          <w:bCs/>
          <w:lang w:val="en-GB"/>
        </w:rPr>
        <w:t xml:space="preserve">the dissertation </w:t>
      </w:r>
      <w:r w:rsidRPr="0002056A">
        <w:rPr>
          <w:rFonts w:ascii="Georgia" w:hAnsi="Georgia"/>
          <w:bCs/>
          <w:lang w:val="en-GB"/>
        </w:rPr>
        <w:t>make</w:t>
      </w:r>
      <w:r w:rsidR="00942C2A" w:rsidRPr="0002056A">
        <w:rPr>
          <w:rFonts w:ascii="Georgia" w:hAnsi="Georgia"/>
          <w:bCs/>
          <w:lang w:val="en-GB"/>
        </w:rPr>
        <w:t>s</w:t>
      </w:r>
      <w:r w:rsidRPr="0002056A">
        <w:rPr>
          <w:rFonts w:ascii="Georgia" w:hAnsi="Georgia"/>
          <w:bCs/>
          <w:lang w:val="en-GB"/>
        </w:rPr>
        <w:t xml:space="preserve"> use of </w:t>
      </w:r>
      <w:r w:rsidR="00D17729">
        <w:rPr>
          <w:rFonts w:ascii="Georgia" w:hAnsi="Georgia"/>
          <w:bCs/>
          <w:lang w:val="en-GB"/>
        </w:rPr>
        <w:t xml:space="preserve">both </w:t>
      </w:r>
      <w:r w:rsidRPr="0002056A">
        <w:rPr>
          <w:rFonts w:ascii="Georgia" w:hAnsi="Georgia"/>
          <w:b/>
          <w:lang w:val="en-GB"/>
        </w:rPr>
        <w:t>absolutist</w:t>
      </w:r>
      <w:r w:rsidRPr="0002056A">
        <w:rPr>
          <w:rFonts w:ascii="Georgia" w:hAnsi="Georgia"/>
          <w:bCs/>
          <w:lang w:val="en-GB"/>
        </w:rPr>
        <w:t xml:space="preserve"> and </w:t>
      </w:r>
      <w:r w:rsidRPr="0002056A">
        <w:rPr>
          <w:rFonts w:ascii="Georgia" w:hAnsi="Georgia"/>
          <w:b/>
          <w:lang w:val="en-GB"/>
        </w:rPr>
        <w:t>relativ</w:t>
      </w:r>
      <w:r w:rsidR="002F1B47" w:rsidRPr="0002056A">
        <w:rPr>
          <w:rFonts w:ascii="Georgia" w:hAnsi="Georgia"/>
          <w:b/>
          <w:lang w:val="en-GB"/>
        </w:rPr>
        <w:t>ist</w:t>
      </w:r>
      <w:r w:rsidRPr="0002056A">
        <w:rPr>
          <w:rFonts w:ascii="Georgia" w:hAnsi="Georgia"/>
          <w:b/>
          <w:lang w:val="en-GB"/>
        </w:rPr>
        <w:t xml:space="preserve"> </w:t>
      </w:r>
      <w:r w:rsidR="002F1B47" w:rsidRPr="0002056A">
        <w:rPr>
          <w:rFonts w:ascii="Georgia" w:hAnsi="Georgia"/>
          <w:b/>
          <w:lang w:val="en-GB"/>
        </w:rPr>
        <w:t xml:space="preserve">space </w:t>
      </w:r>
      <w:r w:rsidRPr="0002056A">
        <w:rPr>
          <w:rFonts w:ascii="Georgia" w:hAnsi="Georgia"/>
          <w:b/>
          <w:lang w:val="en-GB"/>
        </w:rPr>
        <w:t>interpretations</w:t>
      </w:r>
      <w:r w:rsidR="00C26D06" w:rsidRPr="0002056A">
        <w:rPr>
          <w:rFonts w:ascii="Georgia" w:hAnsi="Georgia"/>
          <w:bCs/>
          <w:lang w:val="en-GB"/>
        </w:rPr>
        <w:t xml:space="preserve">, concentrating on </w:t>
      </w:r>
      <w:r w:rsidR="00C26D06" w:rsidRPr="0002056A">
        <w:rPr>
          <w:rFonts w:ascii="Georgia" w:hAnsi="Georgia"/>
          <w:b/>
          <w:lang w:val="en-GB"/>
        </w:rPr>
        <w:t>o</w:t>
      </w:r>
      <w:r w:rsidRPr="0002056A">
        <w:rPr>
          <w:rFonts w:ascii="Georgia" w:hAnsi="Georgia"/>
          <w:b/>
          <w:lang w:val="en-GB"/>
        </w:rPr>
        <w:t xml:space="preserve">bjective </w:t>
      </w:r>
      <w:r w:rsidR="004A3DFB" w:rsidRPr="0002056A">
        <w:rPr>
          <w:rFonts w:ascii="Georgia" w:hAnsi="Georgia"/>
          <w:b/>
          <w:lang w:val="en-GB"/>
        </w:rPr>
        <w:t>a</w:t>
      </w:r>
      <w:r w:rsidR="007C5205">
        <w:rPr>
          <w:rFonts w:ascii="Georgia" w:hAnsi="Georgia"/>
          <w:b/>
          <w:lang w:val="en-GB"/>
        </w:rPr>
        <w:t xml:space="preserve">s well as </w:t>
      </w:r>
      <w:r w:rsidR="004A3DFB" w:rsidRPr="0002056A">
        <w:rPr>
          <w:rFonts w:ascii="Georgia" w:hAnsi="Georgia"/>
          <w:b/>
          <w:lang w:val="en-GB"/>
        </w:rPr>
        <w:t xml:space="preserve">relative </w:t>
      </w:r>
      <w:r w:rsidRPr="0002056A">
        <w:rPr>
          <w:rFonts w:ascii="Georgia" w:hAnsi="Georgia"/>
          <w:b/>
          <w:lang w:val="en-GB"/>
        </w:rPr>
        <w:t>spaces</w:t>
      </w:r>
      <w:r w:rsidR="004A3DFB" w:rsidRPr="0002056A">
        <w:rPr>
          <w:rFonts w:ascii="Georgia" w:hAnsi="Georgia"/>
          <w:bCs/>
          <w:i/>
          <w:iCs/>
          <w:lang w:val="en-GB"/>
        </w:rPr>
        <w:t>.</w:t>
      </w:r>
      <w:r w:rsidRPr="0002056A">
        <w:rPr>
          <w:rFonts w:ascii="Georgia" w:hAnsi="Georgia"/>
          <w:bCs/>
          <w:lang w:val="en-GB"/>
        </w:rPr>
        <w:t xml:space="preserve"> </w:t>
      </w:r>
      <w:r w:rsidR="004A3DFB" w:rsidRPr="0002056A">
        <w:rPr>
          <w:rFonts w:ascii="Georgia" w:hAnsi="Georgia"/>
          <w:bCs/>
          <w:lang w:val="en-GB"/>
        </w:rPr>
        <w:t>W</w:t>
      </w:r>
      <w:r w:rsidRPr="0002056A">
        <w:rPr>
          <w:rFonts w:ascii="Georgia" w:hAnsi="Georgia"/>
          <w:bCs/>
          <w:lang w:val="en-GB"/>
        </w:rPr>
        <w:t>ithin th</w:t>
      </w:r>
      <w:r w:rsidR="004A3DFB" w:rsidRPr="0002056A">
        <w:rPr>
          <w:rFonts w:ascii="Georgia" w:hAnsi="Georgia"/>
          <w:bCs/>
          <w:lang w:val="en-GB"/>
        </w:rPr>
        <w:t>e f</w:t>
      </w:r>
      <w:r w:rsidRPr="0002056A">
        <w:rPr>
          <w:rFonts w:ascii="Georgia" w:hAnsi="Georgia"/>
          <w:bCs/>
          <w:lang w:val="en-GB"/>
        </w:rPr>
        <w:t>i</w:t>
      </w:r>
      <w:r w:rsidR="004A3DFB" w:rsidRPr="0002056A">
        <w:rPr>
          <w:rFonts w:ascii="Georgia" w:hAnsi="Georgia"/>
          <w:bCs/>
          <w:lang w:val="en-GB"/>
        </w:rPr>
        <w:t>r</w:t>
      </w:r>
      <w:r w:rsidRPr="0002056A">
        <w:rPr>
          <w:rFonts w:ascii="Georgia" w:hAnsi="Georgia"/>
          <w:bCs/>
          <w:lang w:val="en-GB"/>
        </w:rPr>
        <w:t>s</w:t>
      </w:r>
      <w:r w:rsidR="004A3DFB" w:rsidRPr="0002056A">
        <w:rPr>
          <w:rFonts w:ascii="Georgia" w:hAnsi="Georgia"/>
          <w:bCs/>
          <w:lang w:val="en-GB"/>
        </w:rPr>
        <w:t>t</w:t>
      </w:r>
      <w:r w:rsidRPr="0002056A">
        <w:rPr>
          <w:rFonts w:ascii="Georgia" w:hAnsi="Georgia"/>
          <w:bCs/>
          <w:lang w:val="en-GB"/>
        </w:rPr>
        <w:t xml:space="preserve"> category,</w:t>
      </w:r>
      <w:r w:rsidR="00023556" w:rsidRPr="0002056A">
        <w:rPr>
          <w:rFonts w:ascii="Georgia" w:hAnsi="Georgia"/>
          <w:bCs/>
          <w:lang w:val="en-GB"/>
        </w:rPr>
        <w:t xml:space="preserve"> both</w:t>
      </w:r>
      <w:r w:rsidRPr="0002056A">
        <w:rPr>
          <w:rFonts w:ascii="Georgia" w:hAnsi="Georgia"/>
          <w:bCs/>
          <w:lang w:val="en-GB"/>
        </w:rPr>
        <w:t xml:space="preserve"> external space</w:t>
      </w:r>
      <w:r w:rsidRPr="0002056A">
        <w:rPr>
          <w:rFonts w:ascii="Georgia" w:hAnsi="Georgia"/>
          <w:b/>
          <w:lang w:val="en-GB"/>
        </w:rPr>
        <w:t xml:space="preserve"> </w:t>
      </w:r>
      <w:r w:rsidR="00C26D06" w:rsidRPr="0002056A">
        <w:rPr>
          <w:rFonts w:ascii="Georgia" w:hAnsi="Georgia"/>
          <w:bCs/>
          <w:lang w:val="en-GB"/>
        </w:rPr>
        <w:t>(</w:t>
      </w:r>
      <w:r w:rsidR="00D17729">
        <w:rPr>
          <w:rFonts w:ascii="Georgia" w:hAnsi="Georgia"/>
          <w:bCs/>
          <w:lang w:val="en-GB"/>
        </w:rPr>
        <w:t xml:space="preserve">localised outer space of given spheres with geographic space-attributions) and partly internal spatial structures and concepts of given spheres play an </w:t>
      </w:r>
      <w:r w:rsidR="00023556" w:rsidRPr="0002056A">
        <w:rPr>
          <w:rFonts w:ascii="Georgia" w:hAnsi="Georgia"/>
          <w:bCs/>
          <w:lang w:val="en-GB"/>
        </w:rPr>
        <w:t>important role</w:t>
      </w:r>
      <w:r w:rsidR="00E47888" w:rsidRPr="0002056A">
        <w:rPr>
          <w:rFonts w:ascii="Georgia" w:hAnsi="Georgia"/>
          <w:bCs/>
          <w:lang w:val="en-GB"/>
        </w:rPr>
        <w:t>. N</w:t>
      </w:r>
      <w:r w:rsidR="00B67782" w:rsidRPr="0002056A">
        <w:rPr>
          <w:rFonts w:ascii="Georgia" w:hAnsi="Georgia"/>
          <w:bCs/>
          <w:lang w:val="en-GB"/>
        </w:rPr>
        <w:t xml:space="preserve">evertheless, the </w:t>
      </w:r>
      <w:r w:rsidR="00B67782" w:rsidRPr="0002056A">
        <w:rPr>
          <w:rFonts w:ascii="Georgia" w:hAnsi="Georgia"/>
          <w:b/>
          <w:lang w:val="en-GB"/>
        </w:rPr>
        <w:t xml:space="preserve">main focus of the </w:t>
      </w:r>
      <w:r w:rsidR="00216AD0" w:rsidRPr="0002056A">
        <w:rPr>
          <w:rFonts w:ascii="Georgia" w:hAnsi="Georgia"/>
          <w:b/>
          <w:lang w:val="en-GB"/>
        </w:rPr>
        <w:t>dissertation’s</w:t>
      </w:r>
      <w:r w:rsidR="00B67782" w:rsidRPr="0002056A">
        <w:rPr>
          <w:rFonts w:ascii="Georgia" w:hAnsi="Georgia"/>
          <w:b/>
          <w:lang w:val="en-GB"/>
        </w:rPr>
        <w:t xml:space="preserve"> spatiality concept </w:t>
      </w:r>
      <w:r w:rsidR="00E47888" w:rsidRPr="0002056A">
        <w:rPr>
          <w:rFonts w:ascii="Georgia" w:hAnsi="Georgia"/>
          <w:b/>
          <w:lang w:val="en-GB"/>
        </w:rPr>
        <w:t>is external spaces</w:t>
      </w:r>
      <w:r w:rsidR="00E47888" w:rsidRPr="0002056A">
        <w:rPr>
          <w:rFonts w:ascii="Georgia" w:hAnsi="Georgia"/>
          <w:bCs/>
          <w:lang w:val="en-GB"/>
        </w:rPr>
        <w:t xml:space="preserve">; in </w:t>
      </w:r>
      <w:r w:rsidR="00D17729">
        <w:rPr>
          <w:rFonts w:ascii="Georgia" w:hAnsi="Georgia"/>
          <w:bCs/>
          <w:lang w:val="en-GB"/>
        </w:rPr>
        <w:t xml:space="preserve">the </w:t>
      </w:r>
      <w:r w:rsidR="00E47888" w:rsidRPr="0002056A">
        <w:rPr>
          <w:rFonts w:ascii="Georgia" w:hAnsi="Georgia"/>
          <w:bCs/>
          <w:lang w:val="en-GB"/>
        </w:rPr>
        <w:t>case of internal space</w:t>
      </w:r>
      <w:r w:rsidR="00960B67" w:rsidRPr="0002056A">
        <w:rPr>
          <w:rFonts w:ascii="Georgia" w:hAnsi="Georgia"/>
          <w:bCs/>
          <w:lang w:val="en-GB"/>
        </w:rPr>
        <w:t>,</w:t>
      </w:r>
      <w:r w:rsidR="00E47888" w:rsidRPr="0002056A">
        <w:rPr>
          <w:rFonts w:ascii="Georgia" w:hAnsi="Georgia"/>
          <w:bCs/>
          <w:lang w:val="en-GB"/>
        </w:rPr>
        <w:t xml:space="preserve"> we analyse their external geographical manifestations at best.</w:t>
      </w:r>
      <w:r w:rsidRPr="0002056A">
        <w:rPr>
          <w:rFonts w:ascii="Georgia" w:hAnsi="Georgia"/>
          <w:bCs/>
          <w:lang w:val="en-GB"/>
        </w:rPr>
        <w:t xml:space="preserve"> </w:t>
      </w:r>
      <w:r w:rsidR="00492C8E" w:rsidRPr="0002056A">
        <w:rPr>
          <w:rFonts w:ascii="Georgia" w:hAnsi="Georgia"/>
          <w:bCs/>
          <w:lang w:val="en-GB"/>
        </w:rPr>
        <w:t>Regional studies’</w:t>
      </w:r>
      <w:r w:rsidRPr="0002056A">
        <w:rPr>
          <w:rFonts w:ascii="Georgia" w:hAnsi="Georgia"/>
          <w:bCs/>
          <w:lang w:val="en-GB"/>
        </w:rPr>
        <w:t xml:space="preserve"> regional analysis</w:t>
      </w:r>
      <w:r w:rsidR="00492C8E" w:rsidRPr="0002056A">
        <w:rPr>
          <w:rFonts w:ascii="Georgia" w:hAnsi="Georgia"/>
          <w:bCs/>
          <w:lang w:val="en-GB"/>
        </w:rPr>
        <w:t xml:space="preserve"> </w:t>
      </w:r>
      <w:r w:rsidR="00097135" w:rsidRPr="0002056A">
        <w:rPr>
          <w:rFonts w:ascii="Georgia" w:hAnsi="Georgia"/>
          <w:bCs/>
          <w:lang w:val="en-GB"/>
        </w:rPr>
        <w:t xml:space="preserve">method </w:t>
      </w:r>
      <w:r w:rsidR="00492C8E" w:rsidRPr="0002056A">
        <w:rPr>
          <w:rFonts w:ascii="Georgia" w:hAnsi="Georgia"/>
          <w:bCs/>
          <w:lang w:val="en-GB"/>
        </w:rPr>
        <w:t>and</w:t>
      </w:r>
      <w:r w:rsidR="00174889" w:rsidRPr="0002056A">
        <w:rPr>
          <w:rFonts w:ascii="Georgia" w:hAnsi="Georgia"/>
          <w:bCs/>
          <w:lang w:val="en-GB"/>
        </w:rPr>
        <w:t xml:space="preserve"> multilayered space interpretation </w:t>
      </w:r>
      <w:r w:rsidR="008E0A62" w:rsidRPr="0002056A">
        <w:rPr>
          <w:rFonts w:ascii="Georgia" w:hAnsi="Georgia"/>
          <w:bCs/>
          <w:lang w:val="en-GB"/>
        </w:rPr>
        <w:t xml:space="preserve">are </w:t>
      </w:r>
      <w:r w:rsidR="00216AD0" w:rsidRPr="0002056A">
        <w:rPr>
          <w:rFonts w:ascii="Georgia" w:hAnsi="Georgia"/>
          <w:bCs/>
          <w:lang w:val="en-GB"/>
        </w:rPr>
        <w:t>particularly</w:t>
      </w:r>
      <w:r w:rsidR="008E0A62" w:rsidRPr="0002056A">
        <w:rPr>
          <w:rFonts w:ascii="Georgia" w:hAnsi="Georgia"/>
          <w:bCs/>
          <w:lang w:val="en-GB"/>
        </w:rPr>
        <w:t xml:space="preserve"> useful aspects</w:t>
      </w:r>
      <w:r w:rsidR="00492C8E" w:rsidRPr="0002056A">
        <w:rPr>
          <w:rFonts w:ascii="Georgia" w:hAnsi="Georgia"/>
          <w:bCs/>
          <w:lang w:val="en-GB"/>
        </w:rPr>
        <w:t xml:space="preserve">, </w:t>
      </w:r>
      <w:r w:rsidR="00B3202C" w:rsidRPr="0002056A">
        <w:rPr>
          <w:rFonts w:ascii="Georgia" w:hAnsi="Georgia"/>
          <w:b/>
          <w:lang w:val="en-GB"/>
        </w:rPr>
        <w:t>consider</w:t>
      </w:r>
      <w:r w:rsidR="00492C8E" w:rsidRPr="0002056A">
        <w:rPr>
          <w:rFonts w:ascii="Georgia" w:hAnsi="Georgia"/>
          <w:b/>
          <w:lang w:val="en-GB"/>
        </w:rPr>
        <w:t>ing</w:t>
      </w:r>
      <w:r w:rsidR="00B3202C" w:rsidRPr="0002056A">
        <w:rPr>
          <w:rFonts w:ascii="Georgia" w:hAnsi="Georgia"/>
          <w:b/>
          <w:lang w:val="en-GB"/>
        </w:rPr>
        <w:t xml:space="preserve"> spatial dimensions as the presence of spatial elements</w:t>
      </w:r>
      <w:r w:rsidR="00B3202C" w:rsidRPr="0002056A">
        <w:rPr>
          <w:rFonts w:ascii="Georgia" w:hAnsi="Georgia"/>
          <w:bCs/>
          <w:lang w:val="en-GB"/>
        </w:rPr>
        <w:t xml:space="preserve"> </w:t>
      </w:r>
      <w:r w:rsidR="00492C8E" w:rsidRPr="0002056A">
        <w:rPr>
          <w:rFonts w:ascii="Georgia" w:hAnsi="Georgia"/>
          <w:bCs/>
          <w:lang w:val="en-GB"/>
        </w:rPr>
        <w:t xml:space="preserve">(points, networks, movements, etc.) </w:t>
      </w:r>
      <w:r w:rsidR="00B3202C" w:rsidRPr="0002056A">
        <w:rPr>
          <w:rFonts w:ascii="Georgia" w:hAnsi="Georgia"/>
          <w:bCs/>
          <w:lang w:val="en-GB"/>
        </w:rPr>
        <w:t>within space</w:t>
      </w:r>
      <w:r w:rsidR="00D17729">
        <w:rPr>
          <w:rFonts w:ascii="Georgia" w:hAnsi="Georgia"/>
          <w:bCs/>
          <w:lang w:val="en-GB"/>
        </w:rPr>
        <w:t>,</w:t>
      </w:r>
      <w:r w:rsidR="00B3202C" w:rsidRPr="0002056A">
        <w:rPr>
          <w:rFonts w:ascii="Georgia" w:hAnsi="Georgia"/>
          <w:bCs/>
          <w:lang w:val="en-GB"/>
        </w:rPr>
        <w:t xml:space="preserve"> </w:t>
      </w:r>
      <w:r w:rsidR="00492C8E" w:rsidRPr="0002056A">
        <w:rPr>
          <w:rFonts w:ascii="Georgia" w:hAnsi="Georgia"/>
          <w:bCs/>
          <w:lang w:val="en-GB"/>
        </w:rPr>
        <w:t xml:space="preserve">focusing on </w:t>
      </w:r>
      <w:r w:rsidR="00B3202C" w:rsidRPr="0002056A">
        <w:rPr>
          <w:rFonts w:ascii="Georgia" w:hAnsi="Georgia"/>
          <w:bCs/>
          <w:lang w:val="en-GB"/>
        </w:rPr>
        <w:t xml:space="preserve">their </w:t>
      </w:r>
      <w:r w:rsidR="00B3202C" w:rsidRPr="0002056A">
        <w:rPr>
          <w:rFonts w:ascii="Georgia" w:hAnsi="Georgia"/>
          <w:b/>
          <w:lang w:val="en-GB"/>
        </w:rPr>
        <w:t xml:space="preserve">spatial differences and </w:t>
      </w:r>
      <w:r w:rsidR="00216AD0" w:rsidRPr="0002056A">
        <w:rPr>
          <w:rFonts w:ascii="Georgia" w:hAnsi="Georgia"/>
          <w:b/>
          <w:lang w:val="en-GB"/>
        </w:rPr>
        <w:t>inequalities</w:t>
      </w:r>
      <w:r w:rsidR="00B3202C" w:rsidRPr="0002056A">
        <w:rPr>
          <w:rFonts w:ascii="Georgia" w:hAnsi="Georgia"/>
          <w:b/>
          <w:lang w:val="en-GB"/>
        </w:rPr>
        <w:t xml:space="preserve"> </w:t>
      </w:r>
      <w:r w:rsidR="00B3202C" w:rsidRPr="0002056A">
        <w:rPr>
          <w:rFonts w:ascii="Georgia" w:hAnsi="Georgia"/>
          <w:bCs/>
          <w:lang w:val="en-GB"/>
        </w:rPr>
        <w:t xml:space="preserve">as well as their </w:t>
      </w:r>
      <w:r w:rsidR="00B3202C" w:rsidRPr="0002056A">
        <w:rPr>
          <w:rFonts w:ascii="Georgia" w:hAnsi="Georgia"/>
          <w:b/>
          <w:lang w:val="en-GB"/>
        </w:rPr>
        <w:t>spatial configuration</w:t>
      </w:r>
      <w:r w:rsidR="00B3202C" w:rsidRPr="0002056A">
        <w:rPr>
          <w:rFonts w:ascii="Georgia" w:hAnsi="Georgia"/>
          <w:bCs/>
          <w:lang w:val="en-GB"/>
        </w:rPr>
        <w:t>.</w:t>
      </w:r>
      <w:r w:rsidR="00023556" w:rsidRPr="0002056A">
        <w:rPr>
          <w:rFonts w:ascii="Georgia" w:hAnsi="Georgia"/>
          <w:bCs/>
          <w:lang w:val="en-GB"/>
        </w:rPr>
        <w:t xml:space="preserve"> </w:t>
      </w:r>
      <w:r w:rsidR="008F1FD4" w:rsidRPr="0002056A">
        <w:rPr>
          <w:rFonts w:ascii="Georgia" w:hAnsi="Georgia"/>
          <w:bCs/>
          <w:lang w:val="en-GB"/>
        </w:rPr>
        <w:t>The main geopolitical and regional economic</w:t>
      </w:r>
      <w:r w:rsidR="00BB3BB8" w:rsidRPr="0002056A">
        <w:rPr>
          <w:rFonts w:ascii="Georgia" w:hAnsi="Georgia"/>
          <w:bCs/>
          <w:lang w:val="en-GB"/>
        </w:rPr>
        <w:t>s-related</w:t>
      </w:r>
      <w:r w:rsidR="008F1FD4" w:rsidRPr="0002056A">
        <w:rPr>
          <w:rFonts w:ascii="Georgia" w:hAnsi="Georgia"/>
          <w:bCs/>
          <w:lang w:val="en-GB"/>
        </w:rPr>
        <w:t xml:space="preserve"> spatial approaches also play</w:t>
      </w:r>
      <w:r w:rsidR="00D17729">
        <w:rPr>
          <w:rFonts w:ascii="Georgia" w:hAnsi="Georgia"/>
          <w:bCs/>
          <w:lang w:val="en-GB"/>
        </w:rPr>
        <w:t xml:space="preserve"> an</w:t>
      </w:r>
      <w:r w:rsidR="008F1FD4" w:rsidRPr="0002056A">
        <w:rPr>
          <w:rFonts w:ascii="Georgia" w:hAnsi="Georgia"/>
          <w:bCs/>
          <w:lang w:val="en-GB"/>
        </w:rPr>
        <w:t xml:space="preserve"> important role through the geographical re-orientation of their mother </w:t>
      </w:r>
      <w:r w:rsidR="008F1FD4" w:rsidRPr="0002056A">
        <w:rPr>
          <w:rFonts w:ascii="Georgia" w:hAnsi="Georgia"/>
          <w:bCs/>
          <w:lang w:val="en-GB"/>
        </w:rPr>
        <w:lastRenderedPageBreak/>
        <w:t>disciplines, using basically</w:t>
      </w:r>
      <w:r w:rsidR="008F1FD4" w:rsidRPr="0002056A">
        <w:rPr>
          <w:rFonts w:ascii="Georgia" w:hAnsi="Georgia"/>
          <w:lang w:val="en-GB"/>
        </w:rPr>
        <w:t xml:space="preserve"> the already introduced geographical space with physical environmental elements as locali</w:t>
      </w:r>
      <w:r w:rsidR="00D17729">
        <w:rPr>
          <w:rFonts w:ascii="Georgia" w:hAnsi="Georgia"/>
          <w:lang w:val="en-GB"/>
        </w:rPr>
        <w:t>s</w:t>
      </w:r>
      <w:r w:rsidR="008F1FD4" w:rsidRPr="0002056A">
        <w:rPr>
          <w:rFonts w:ascii="Georgia" w:hAnsi="Georgia"/>
          <w:lang w:val="en-GB"/>
        </w:rPr>
        <w:t xml:space="preserve">ed outer perspectives of politics and economics, with such decision-influencing factors as geographic proximity and places’ locations. </w:t>
      </w:r>
      <w:r w:rsidRPr="0002056A">
        <w:rPr>
          <w:rFonts w:ascii="Georgia" w:hAnsi="Georgia" w:cstheme="minorHAnsi"/>
          <w:b/>
          <w:bCs/>
          <w:lang w:val="en-GB"/>
        </w:rPr>
        <w:t>Relativist, constructivist spatial approaches</w:t>
      </w:r>
      <w:r w:rsidRPr="0002056A">
        <w:rPr>
          <w:rFonts w:ascii="Georgia" w:hAnsi="Georgia" w:cstheme="minorHAnsi"/>
          <w:lang w:val="en-GB"/>
        </w:rPr>
        <w:t xml:space="preserve"> emphasise the relational dimension, </w:t>
      </w:r>
      <w:r w:rsidR="00023556" w:rsidRPr="0002056A">
        <w:rPr>
          <w:rFonts w:ascii="Georgia" w:hAnsi="Georgia" w:cstheme="minorHAnsi"/>
          <w:lang w:val="en-GB"/>
        </w:rPr>
        <w:t>with</w:t>
      </w:r>
      <w:r w:rsidRPr="0002056A">
        <w:rPr>
          <w:rFonts w:ascii="Georgia" w:hAnsi="Georgia" w:cstheme="minorHAnsi"/>
          <w:lang w:val="en-GB"/>
        </w:rPr>
        <w:t xml:space="preserve"> space as a direct product of society made up from societal relations</w:t>
      </w:r>
      <w:r w:rsidR="00D06F9C" w:rsidRPr="0002056A">
        <w:rPr>
          <w:rFonts w:ascii="Georgia" w:hAnsi="Georgia" w:cstheme="minorHAnsi"/>
          <w:lang w:val="en-GB"/>
        </w:rPr>
        <w:t>, where</w:t>
      </w:r>
      <w:r w:rsidRPr="0002056A">
        <w:rPr>
          <w:rFonts w:ascii="Georgia" w:hAnsi="Georgia" w:cstheme="minorHAnsi"/>
          <w:lang w:val="en-GB"/>
        </w:rPr>
        <w:t xml:space="preserve"> </w:t>
      </w:r>
      <w:r w:rsidRPr="0002056A">
        <w:rPr>
          <w:rFonts w:ascii="Georgia" w:hAnsi="Georgia"/>
          <w:lang w:val="en-GB"/>
        </w:rPr>
        <w:t xml:space="preserve">socially constructed internal and social space interpretations can influence society’s practical </w:t>
      </w:r>
      <w:r w:rsidR="00782157">
        <w:rPr>
          <w:rFonts w:ascii="Georgia" w:hAnsi="Georgia"/>
          <w:lang w:val="en-GB"/>
        </w:rPr>
        <w:t>(</w:t>
      </w:r>
      <w:r w:rsidRPr="0002056A">
        <w:rPr>
          <w:rFonts w:ascii="Georgia" w:hAnsi="Georgia"/>
          <w:lang w:val="en-GB"/>
        </w:rPr>
        <w:t>administrati</w:t>
      </w:r>
      <w:r w:rsidR="00D17729">
        <w:rPr>
          <w:rFonts w:ascii="Georgia" w:hAnsi="Georgia"/>
          <w:lang w:val="en-GB"/>
        </w:rPr>
        <w:t>ve</w:t>
      </w:r>
      <w:r w:rsidR="00782157">
        <w:rPr>
          <w:rFonts w:ascii="Georgia" w:hAnsi="Georgia"/>
          <w:lang w:val="en-GB"/>
        </w:rPr>
        <w:t>)</w:t>
      </w:r>
      <w:r w:rsidRPr="0002056A">
        <w:rPr>
          <w:rFonts w:ascii="Georgia" w:hAnsi="Georgia"/>
          <w:lang w:val="en-GB"/>
        </w:rPr>
        <w:t xml:space="preserve"> </w:t>
      </w:r>
      <w:r w:rsidR="00C6056A" w:rsidRPr="0002056A">
        <w:rPr>
          <w:rFonts w:ascii="Georgia" w:hAnsi="Georgia"/>
          <w:lang w:val="en-GB"/>
        </w:rPr>
        <w:t xml:space="preserve">applied </w:t>
      </w:r>
      <w:r w:rsidRPr="0002056A">
        <w:rPr>
          <w:rFonts w:ascii="Georgia" w:hAnsi="Georgia"/>
          <w:lang w:val="en-GB"/>
        </w:rPr>
        <w:t>spatial structure, too.</w:t>
      </w:r>
      <w:r w:rsidR="00D06F9C" w:rsidRPr="0002056A">
        <w:rPr>
          <w:rFonts w:ascii="Georgia" w:hAnsi="Georgia"/>
          <w:lang w:val="en-GB"/>
        </w:rPr>
        <w:t xml:space="preserve"> </w:t>
      </w:r>
      <w:r w:rsidR="005C4FF5" w:rsidRPr="0002056A">
        <w:rPr>
          <w:rFonts w:ascii="Georgia" w:hAnsi="Georgia"/>
          <w:lang w:val="en-GB"/>
        </w:rPr>
        <w:t>E</w:t>
      </w:r>
      <w:r w:rsidRPr="0002056A">
        <w:rPr>
          <w:rFonts w:ascii="Georgia" w:hAnsi="Georgia"/>
          <w:lang w:val="en-GB"/>
        </w:rPr>
        <w:t xml:space="preserve">ven </w:t>
      </w:r>
      <w:r w:rsidRPr="0002056A">
        <w:rPr>
          <w:rFonts w:ascii="Georgia" w:hAnsi="Georgia"/>
          <w:b/>
          <w:bCs/>
          <w:lang w:val="en-GB"/>
        </w:rPr>
        <w:t>applied policy-oriented space interpretations</w:t>
      </w:r>
      <w:r w:rsidRPr="0002056A">
        <w:rPr>
          <w:rFonts w:ascii="Georgia" w:hAnsi="Georgia"/>
          <w:lang w:val="en-GB"/>
        </w:rPr>
        <w:t xml:space="preserve"> </w:t>
      </w:r>
      <w:r w:rsidR="005C4FF5" w:rsidRPr="0002056A">
        <w:rPr>
          <w:rFonts w:ascii="Georgia" w:hAnsi="Georgia"/>
          <w:lang w:val="en-GB"/>
        </w:rPr>
        <w:t xml:space="preserve">were </w:t>
      </w:r>
      <w:r w:rsidRPr="0002056A">
        <w:rPr>
          <w:rFonts w:ascii="Georgia" w:hAnsi="Georgia"/>
          <w:lang w:val="en-GB"/>
        </w:rPr>
        <w:t>used</w:t>
      </w:r>
      <w:r w:rsidR="004C3284" w:rsidRPr="0002056A">
        <w:rPr>
          <w:rFonts w:ascii="Georgia" w:hAnsi="Georgia"/>
          <w:lang w:val="en-GB"/>
        </w:rPr>
        <w:t>, such as</w:t>
      </w:r>
      <w:r w:rsidR="005C4FF5" w:rsidRPr="0002056A">
        <w:rPr>
          <w:rFonts w:ascii="Georgia" w:hAnsi="Georgia"/>
          <w:lang w:val="en-GB"/>
        </w:rPr>
        <w:t xml:space="preserve"> </w:t>
      </w:r>
      <w:r w:rsidRPr="0002056A">
        <w:rPr>
          <w:rFonts w:ascii="Georgia" w:hAnsi="Georgia"/>
          <w:lang w:val="en-GB"/>
        </w:rPr>
        <w:t>regional development policy’s territorial cohesion-oriented conceptual background</w:t>
      </w:r>
      <w:r w:rsidR="005C4FF5" w:rsidRPr="0002056A">
        <w:rPr>
          <w:rFonts w:ascii="Georgia" w:hAnsi="Georgia"/>
          <w:lang w:val="en-GB"/>
        </w:rPr>
        <w:t xml:space="preserve">, strategic and spatial planning approaches and methodologies as well as </w:t>
      </w:r>
      <w:r w:rsidRPr="0002056A">
        <w:rPr>
          <w:rFonts w:ascii="Georgia" w:hAnsi="Georgia" w:cs="Times New Roman"/>
          <w:lang w:val="en-GB"/>
        </w:rPr>
        <w:t>the problem of functional territories versus administrational units.</w:t>
      </w:r>
    </w:p>
    <w:p w14:paraId="4D69F6EE" w14:textId="52987C3E" w:rsidR="00503633" w:rsidRPr="0002056A" w:rsidRDefault="00D17729" w:rsidP="00CD5BF3">
      <w:pPr>
        <w:spacing w:before="120" w:after="120"/>
        <w:jc w:val="both"/>
        <w:rPr>
          <w:rFonts w:ascii="Georgia" w:hAnsi="Georgia"/>
          <w:lang w:val="en-GB"/>
        </w:rPr>
      </w:pPr>
      <w:r>
        <w:rPr>
          <w:rFonts w:ascii="Georgia" w:hAnsi="Georgia"/>
          <w:lang w:val="en-GB"/>
        </w:rPr>
        <w:t>Summarising the usability of these different space approaches and interpretations (introduced by Annex 2 and Chapter 3.6), we can draw the conclusions in the form of an indicative definition for spatial</w:t>
      </w:r>
      <w:r w:rsidR="00ED7E8B">
        <w:rPr>
          <w:rFonts w:ascii="Georgia" w:hAnsi="Georgia"/>
          <w:lang w:val="en-GB"/>
        </w:rPr>
        <w:t xml:space="preserve">ity </w:t>
      </w:r>
      <w:r>
        <w:rPr>
          <w:rFonts w:ascii="Georgia" w:hAnsi="Georgia"/>
          <w:lang w:val="en-GB"/>
        </w:rPr>
        <w:t>in adaptation policy planning (Figure 16 visualises</w:t>
      </w:r>
      <w:r w:rsidR="00F2417B" w:rsidRPr="0002056A">
        <w:rPr>
          <w:rFonts w:ascii="Georgia" w:hAnsi="Georgia"/>
          <w:lang w:val="en-GB"/>
        </w:rPr>
        <w:t xml:space="preserve"> this)</w:t>
      </w:r>
      <w:r w:rsidR="00CB78E4" w:rsidRPr="0002056A">
        <w:rPr>
          <w:rFonts w:ascii="Georgia" w:hAnsi="Georgia"/>
          <w:lang w:val="en-GB"/>
        </w:rPr>
        <w:t xml:space="preserve">. </w:t>
      </w:r>
      <w:r w:rsidR="001C4E8E" w:rsidRPr="0002056A">
        <w:rPr>
          <w:rFonts w:ascii="Georgia" w:hAnsi="Georgia"/>
          <w:lang w:val="en-GB"/>
        </w:rPr>
        <w:t>So</w:t>
      </w:r>
      <w:r>
        <w:rPr>
          <w:rFonts w:ascii="Georgia" w:hAnsi="Georgia"/>
          <w:lang w:val="en-GB"/>
        </w:rPr>
        <w:t xml:space="preserve">, </w:t>
      </w:r>
      <w:r w:rsidR="00177DB6">
        <w:rPr>
          <w:rFonts w:ascii="Georgia" w:hAnsi="Georgia"/>
          <w:lang w:val="en-GB"/>
        </w:rPr>
        <w:t xml:space="preserve">a </w:t>
      </w:r>
      <w:r w:rsidR="00CB78E4" w:rsidRPr="0002056A">
        <w:rPr>
          <w:rFonts w:ascii="Georgia" w:hAnsi="Georgia"/>
          <w:b/>
          <w:bCs/>
          <w:lang w:val="en-GB"/>
        </w:rPr>
        <w:t>spatial</w:t>
      </w:r>
      <w:r w:rsidR="00177DB6">
        <w:rPr>
          <w:rFonts w:ascii="Georgia" w:hAnsi="Georgia"/>
          <w:b/>
          <w:bCs/>
          <w:lang w:val="en-GB"/>
        </w:rPr>
        <w:t>ly focussed approach</w:t>
      </w:r>
      <w:r>
        <w:rPr>
          <w:rFonts w:ascii="Georgia" w:hAnsi="Georgia"/>
          <w:b/>
          <w:bCs/>
          <w:lang w:val="en-GB"/>
        </w:rPr>
        <w:t>,</w:t>
      </w:r>
      <w:r w:rsidR="006218EB" w:rsidRPr="0002056A">
        <w:rPr>
          <w:rFonts w:ascii="Georgia" w:hAnsi="Georgia"/>
          <w:b/>
          <w:bCs/>
          <w:lang w:val="en-GB"/>
        </w:rPr>
        <w:t xml:space="preserve"> </w:t>
      </w:r>
      <w:r w:rsidR="001C4E8E" w:rsidRPr="0002056A">
        <w:rPr>
          <w:rFonts w:ascii="Georgia" w:hAnsi="Georgia"/>
          <w:lang w:val="en-GB"/>
        </w:rPr>
        <w:t xml:space="preserve">in our </w:t>
      </w:r>
      <w:r w:rsidR="009E5F7E" w:rsidRPr="0002056A">
        <w:rPr>
          <w:rFonts w:ascii="Georgia" w:hAnsi="Georgia"/>
          <w:lang w:val="en-GB"/>
        </w:rPr>
        <w:t>point of view</w:t>
      </w:r>
      <w:r>
        <w:rPr>
          <w:rFonts w:ascii="Georgia" w:hAnsi="Georgia"/>
          <w:lang w:val="en-GB"/>
        </w:rPr>
        <w:t>,</w:t>
      </w:r>
      <w:r w:rsidR="001C4E8E" w:rsidRPr="0002056A">
        <w:rPr>
          <w:rFonts w:ascii="Georgia" w:hAnsi="Georgia"/>
          <w:b/>
          <w:bCs/>
          <w:lang w:val="en-GB"/>
        </w:rPr>
        <w:t xml:space="preserve"> </w:t>
      </w:r>
      <w:r w:rsidR="00CB78E4" w:rsidRPr="0002056A">
        <w:rPr>
          <w:rFonts w:ascii="Georgia" w:hAnsi="Georgia"/>
          <w:lang w:val="en-GB"/>
        </w:rPr>
        <w:t>mean</w:t>
      </w:r>
      <w:r w:rsidR="001C4E8E" w:rsidRPr="0002056A">
        <w:rPr>
          <w:rFonts w:ascii="Georgia" w:hAnsi="Georgia"/>
          <w:lang w:val="en-GB"/>
        </w:rPr>
        <w:t>s</w:t>
      </w:r>
      <w:r w:rsidR="00CB78E4" w:rsidRPr="0002056A">
        <w:rPr>
          <w:rFonts w:ascii="Georgia" w:hAnsi="Georgia"/>
          <w:lang w:val="en-GB"/>
        </w:rPr>
        <w:t xml:space="preserve"> the </w:t>
      </w:r>
      <w:r w:rsidR="006C1DEC" w:rsidRPr="0002056A">
        <w:rPr>
          <w:rFonts w:ascii="Georgia" w:hAnsi="Georgia"/>
          <w:lang w:val="en-GB"/>
        </w:rPr>
        <w:t xml:space="preserve">consideration </w:t>
      </w:r>
      <w:r w:rsidR="00CB78E4" w:rsidRPr="0002056A">
        <w:rPr>
          <w:rFonts w:ascii="Georgia" w:hAnsi="Georgia"/>
          <w:lang w:val="en-GB"/>
        </w:rPr>
        <w:t xml:space="preserve">of </w:t>
      </w:r>
      <w:r w:rsidR="00BD2FA5" w:rsidRPr="0002056A">
        <w:rPr>
          <w:rFonts w:ascii="Georgia" w:hAnsi="Georgia"/>
          <w:lang w:val="en-GB"/>
        </w:rPr>
        <w:t xml:space="preserve">the </w:t>
      </w:r>
      <w:r w:rsidR="001C4E8E" w:rsidRPr="0002056A">
        <w:rPr>
          <w:rFonts w:ascii="Georgia" w:hAnsi="Georgia"/>
          <w:lang w:val="en-GB"/>
        </w:rPr>
        <w:t>s</w:t>
      </w:r>
      <w:r w:rsidR="00CB78E4" w:rsidRPr="0002056A">
        <w:rPr>
          <w:rFonts w:ascii="Georgia" w:hAnsi="Georgia"/>
          <w:lang w:val="en-GB"/>
        </w:rPr>
        <w:t>patial/territorial aspects</w:t>
      </w:r>
      <w:r w:rsidR="00BD2FA5" w:rsidRPr="0002056A">
        <w:rPr>
          <w:rFonts w:ascii="Georgia" w:hAnsi="Georgia"/>
          <w:lang w:val="en-GB"/>
        </w:rPr>
        <w:t xml:space="preserve"> and interpret</w:t>
      </w:r>
      <w:r w:rsidR="006C1DEC" w:rsidRPr="0002056A">
        <w:rPr>
          <w:rFonts w:ascii="Georgia" w:hAnsi="Georgia"/>
          <w:lang w:val="en-GB"/>
        </w:rPr>
        <w:t>a</w:t>
      </w:r>
      <w:r w:rsidR="00BD2FA5" w:rsidRPr="0002056A">
        <w:rPr>
          <w:rFonts w:ascii="Georgia" w:hAnsi="Georgia"/>
          <w:lang w:val="en-GB"/>
        </w:rPr>
        <w:t xml:space="preserve">tions </w:t>
      </w:r>
      <w:r w:rsidR="002E0600" w:rsidRPr="0002056A">
        <w:rPr>
          <w:rFonts w:ascii="Georgia" w:hAnsi="Georgia"/>
          <w:lang w:val="en-GB"/>
        </w:rPr>
        <w:t xml:space="preserve">listed by </w:t>
      </w:r>
      <w:r w:rsidR="00067E8F" w:rsidRPr="0002056A">
        <w:rPr>
          <w:rFonts w:ascii="Georgia" w:hAnsi="Georgia"/>
          <w:lang w:val="en-GB"/>
        </w:rPr>
        <w:t xml:space="preserve">Annex 2 and </w:t>
      </w:r>
      <w:r w:rsidR="002E0600" w:rsidRPr="0002056A">
        <w:rPr>
          <w:rFonts w:ascii="Georgia" w:hAnsi="Georgia"/>
          <w:lang w:val="en-GB"/>
        </w:rPr>
        <w:t xml:space="preserve">Chapter 3.6. </w:t>
      </w:r>
      <w:r w:rsidR="00CB78E4" w:rsidRPr="0002056A">
        <w:rPr>
          <w:rFonts w:ascii="Georgia" w:hAnsi="Georgia"/>
          <w:lang w:val="en-GB"/>
        </w:rPr>
        <w:t>in thinking and activities</w:t>
      </w:r>
      <w:r w:rsidR="00BD2FA5" w:rsidRPr="0002056A">
        <w:rPr>
          <w:rFonts w:ascii="Georgia" w:hAnsi="Georgia"/>
          <w:lang w:val="en-GB"/>
        </w:rPr>
        <w:t xml:space="preserve">. </w:t>
      </w:r>
      <w:r w:rsidR="0071590A">
        <w:rPr>
          <w:rFonts w:ascii="Georgia" w:hAnsi="Georgia"/>
          <w:b/>
          <w:bCs/>
          <w:lang w:val="en-GB"/>
        </w:rPr>
        <w:t>S</w:t>
      </w:r>
      <w:r w:rsidR="0071590A" w:rsidRPr="0002056A">
        <w:rPr>
          <w:rFonts w:ascii="Georgia" w:hAnsi="Georgia"/>
          <w:b/>
          <w:bCs/>
          <w:lang w:val="en-GB"/>
        </w:rPr>
        <w:t>patial</w:t>
      </w:r>
      <w:r w:rsidR="0071590A">
        <w:rPr>
          <w:rFonts w:ascii="Georgia" w:hAnsi="Georgia"/>
          <w:b/>
          <w:bCs/>
          <w:lang w:val="en-GB"/>
        </w:rPr>
        <w:t>ity</w:t>
      </w:r>
      <w:r w:rsidR="0071590A" w:rsidRPr="0002056A">
        <w:rPr>
          <w:rFonts w:ascii="Georgia" w:hAnsi="Georgia"/>
          <w:b/>
          <w:bCs/>
          <w:lang w:val="en-GB"/>
        </w:rPr>
        <w:t xml:space="preserve"> in policy making</w:t>
      </w:r>
      <w:r w:rsidR="0071590A" w:rsidRPr="0002056A">
        <w:rPr>
          <w:rFonts w:ascii="Georgia" w:hAnsi="Georgia"/>
          <w:lang w:val="en-GB"/>
        </w:rPr>
        <w:t xml:space="preserve"> means the constant and consequent taking of external and internal spatial elements and their geographic characteristics, spatial/territorial differences and spatial order into consideration within the absolute or relative space in the examined activities, namely planning and MRE. In other words, </w:t>
      </w:r>
      <w:r w:rsidR="0071590A">
        <w:rPr>
          <w:rFonts w:ascii="Georgia" w:hAnsi="Georgia"/>
          <w:lang w:val="en-GB"/>
        </w:rPr>
        <w:t>i</w:t>
      </w:r>
      <w:r w:rsidR="00CB78E4" w:rsidRPr="0002056A">
        <w:rPr>
          <w:rFonts w:ascii="Georgia" w:hAnsi="Georgia"/>
          <w:lang w:val="en-GB"/>
        </w:rPr>
        <w:t xml:space="preserve">f the </w:t>
      </w:r>
      <w:r w:rsidR="00F2417B" w:rsidRPr="0002056A">
        <w:rPr>
          <w:rFonts w:ascii="Georgia" w:hAnsi="Georgia"/>
          <w:lang w:val="en-GB"/>
        </w:rPr>
        <w:t>examined</w:t>
      </w:r>
      <w:r w:rsidR="00CB78E4" w:rsidRPr="0002056A">
        <w:rPr>
          <w:rFonts w:ascii="Georgia" w:hAnsi="Georgia"/>
          <w:lang w:val="en-GB"/>
        </w:rPr>
        <w:t xml:space="preserve"> </w:t>
      </w:r>
      <w:r w:rsidR="00323854" w:rsidRPr="0002056A">
        <w:rPr>
          <w:rFonts w:ascii="Georgia" w:hAnsi="Georgia"/>
          <w:lang w:val="en-GB"/>
        </w:rPr>
        <w:t xml:space="preserve">policy </w:t>
      </w:r>
      <w:r w:rsidR="00BD2FA5" w:rsidRPr="0002056A">
        <w:rPr>
          <w:rFonts w:ascii="Georgia" w:hAnsi="Georgia"/>
          <w:lang w:val="en-GB"/>
        </w:rPr>
        <w:t>documents</w:t>
      </w:r>
      <w:r w:rsidR="00CB78E4" w:rsidRPr="0002056A">
        <w:rPr>
          <w:rFonts w:ascii="Georgia" w:hAnsi="Georgia"/>
          <w:lang w:val="en-GB"/>
        </w:rPr>
        <w:t xml:space="preserve">, </w:t>
      </w:r>
      <w:r w:rsidR="00BD2FA5" w:rsidRPr="0002056A">
        <w:rPr>
          <w:rFonts w:ascii="Georgia" w:hAnsi="Georgia"/>
          <w:lang w:val="en-GB"/>
        </w:rPr>
        <w:t>their con</w:t>
      </w:r>
      <w:r w:rsidR="006C1DEC" w:rsidRPr="0002056A">
        <w:rPr>
          <w:rFonts w:ascii="Georgia" w:hAnsi="Georgia"/>
          <w:lang w:val="en-GB"/>
        </w:rPr>
        <w:t>tent, development directions</w:t>
      </w:r>
      <w:r w:rsidR="00CB78E4" w:rsidRPr="0002056A">
        <w:rPr>
          <w:rFonts w:ascii="Georgia" w:hAnsi="Georgia"/>
          <w:lang w:val="en-GB"/>
        </w:rPr>
        <w:t xml:space="preserve"> and actions are significantly influenced by the geographic characteristics, spatially/territorially different natural/social/economic endowments and spatial structures</w:t>
      </w:r>
      <w:r w:rsidR="00687587" w:rsidRPr="0002056A">
        <w:rPr>
          <w:rFonts w:ascii="Georgia" w:hAnsi="Georgia"/>
          <w:lang w:val="en-GB"/>
        </w:rPr>
        <w:t>;</w:t>
      </w:r>
      <w:r w:rsidR="002F6179" w:rsidRPr="0002056A">
        <w:rPr>
          <w:rFonts w:ascii="Georgia" w:hAnsi="Georgia"/>
          <w:lang w:val="en-GB"/>
        </w:rPr>
        <w:t xml:space="preserve"> </w:t>
      </w:r>
      <w:r w:rsidR="00323854" w:rsidRPr="0002056A">
        <w:rPr>
          <w:rFonts w:ascii="Georgia" w:hAnsi="Georgia"/>
          <w:lang w:val="en-GB"/>
        </w:rPr>
        <w:t>furthermore</w:t>
      </w:r>
      <w:r w:rsidR="00687587" w:rsidRPr="0002056A">
        <w:rPr>
          <w:rFonts w:ascii="Georgia" w:hAnsi="Georgia"/>
          <w:lang w:val="en-GB"/>
        </w:rPr>
        <w:t>,</w:t>
      </w:r>
      <w:r w:rsidR="00323854" w:rsidRPr="0002056A">
        <w:rPr>
          <w:rFonts w:ascii="Georgia" w:hAnsi="Georgia"/>
          <w:lang w:val="en-GB"/>
        </w:rPr>
        <w:t xml:space="preserve"> </w:t>
      </w:r>
      <w:r w:rsidR="002F6179" w:rsidRPr="0002056A">
        <w:rPr>
          <w:rFonts w:ascii="Georgia" w:hAnsi="Georgia"/>
          <w:lang w:val="en-GB"/>
        </w:rPr>
        <w:t xml:space="preserve">they use </w:t>
      </w:r>
      <w:r w:rsidR="00687587" w:rsidRPr="0002056A">
        <w:rPr>
          <w:rFonts w:ascii="Georgia" w:hAnsi="Georgia"/>
          <w:lang w:val="en-GB"/>
        </w:rPr>
        <w:t xml:space="preserve">some or any of </w:t>
      </w:r>
      <w:r w:rsidR="002F6179" w:rsidRPr="0002056A">
        <w:rPr>
          <w:rFonts w:ascii="Georgia" w:hAnsi="Georgia"/>
          <w:lang w:val="en-GB"/>
        </w:rPr>
        <w:t xml:space="preserve">the introduced </w:t>
      </w:r>
      <w:r w:rsidR="00323854" w:rsidRPr="0002056A">
        <w:rPr>
          <w:rFonts w:ascii="Georgia" w:hAnsi="Georgia"/>
          <w:lang w:val="en-GB"/>
        </w:rPr>
        <w:t xml:space="preserve">space </w:t>
      </w:r>
      <w:r w:rsidR="002F6179" w:rsidRPr="0002056A">
        <w:rPr>
          <w:rFonts w:ascii="Georgia" w:hAnsi="Georgia"/>
          <w:lang w:val="en-GB"/>
        </w:rPr>
        <w:t>concepts and interpretations</w:t>
      </w:r>
      <w:r w:rsidR="00067E8F" w:rsidRPr="0002056A">
        <w:rPr>
          <w:rFonts w:ascii="Georgia" w:hAnsi="Georgia"/>
          <w:lang w:val="en-GB"/>
        </w:rPr>
        <w:t>,</w:t>
      </w:r>
      <w:r w:rsidR="0064186C" w:rsidRPr="0002056A">
        <w:rPr>
          <w:rFonts w:ascii="Georgia" w:hAnsi="Georgia"/>
          <w:lang w:val="en-GB"/>
        </w:rPr>
        <w:t xml:space="preserve"> that </w:t>
      </w:r>
      <w:r w:rsidR="00323854" w:rsidRPr="0002056A">
        <w:rPr>
          <w:rFonts w:ascii="Georgia" w:hAnsi="Georgia"/>
          <w:lang w:val="en-GB"/>
        </w:rPr>
        <w:t>is underst</w:t>
      </w:r>
      <w:r w:rsidR="00400E03" w:rsidRPr="0002056A">
        <w:rPr>
          <w:rFonts w:ascii="Georgia" w:hAnsi="Georgia"/>
          <w:lang w:val="en-GB"/>
        </w:rPr>
        <w:t xml:space="preserve">ood as </w:t>
      </w:r>
      <w:r w:rsidR="0064186C" w:rsidRPr="0002056A">
        <w:rPr>
          <w:rFonts w:ascii="Georgia" w:hAnsi="Georgia"/>
          <w:lang w:val="en-GB"/>
        </w:rPr>
        <w:t xml:space="preserve">the presence of spatiality. </w:t>
      </w:r>
      <w:r w:rsidR="00DA7F84" w:rsidRPr="0002056A">
        <w:rPr>
          <w:rFonts w:ascii="Georgia" w:hAnsi="Georgia"/>
          <w:lang w:val="en-GB"/>
        </w:rPr>
        <w:t xml:space="preserve">It means the conscious </w:t>
      </w:r>
      <w:r w:rsidR="00400E03" w:rsidRPr="0002056A">
        <w:rPr>
          <w:rFonts w:ascii="Georgia" w:hAnsi="Georgia"/>
          <w:lang w:val="en-GB"/>
        </w:rPr>
        <w:t>consideration</w:t>
      </w:r>
      <w:r w:rsidR="00CA4B70" w:rsidRPr="0002056A">
        <w:rPr>
          <w:rFonts w:ascii="Georgia" w:hAnsi="Georgia"/>
          <w:lang w:val="en-GB"/>
        </w:rPr>
        <w:t xml:space="preserve"> and analysis</w:t>
      </w:r>
      <w:r w:rsidR="00DA7F84" w:rsidRPr="0002056A">
        <w:rPr>
          <w:rFonts w:ascii="Georgia" w:hAnsi="Georgia"/>
          <w:lang w:val="en-GB"/>
        </w:rPr>
        <w:t xml:space="preserve"> of regional differences, </w:t>
      </w:r>
      <w:r w:rsidR="00022F9C">
        <w:rPr>
          <w:rFonts w:ascii="Georgia" w:hAnsi="Georgia"/>
          <w:lang w:val="en-GB"/>
        </w:rPr>
        <w:t xml:space="preserve">the </w:t>
      </w:r>
      <w:r w:rsidR="00DA7F84" w:rsidRPr="0002056A">
        <w:rPr>
          <w:rFonts w:ascii="Georgia" w:hAnsi="Georgia"/>
          <w:lang w:val="en-GB"/>
        </w:rPr>
        <w:t xml:space="preserve">application of a place-based </w:t>
      </w:r>
      <w:r w:rsidR="00A857A4" w:rsidRPr="0002056A">
        <w:rPr>
          <w:rFonts w:ascii="Georgia" w:hAnsi="Georgia"/>
          <w:lang w:val="en-GB"/>
        </w:rPr>
        <w:t xml:space="preserve">and spatially integrative </w:t>
      </w:r>
      <w:r w:rsidR="00CB4519" w:rsidRPr="0002056A">
        <w:rPr>
          <w:rFonts w:ascii="Georgia" w:hAnsi="Georgia"/>
          <w:lang w:val="en-GB"/>
        </w:rPr>
        <w:t>approach and</w:t>
      </w:r>
      <w:r w:rsidR="00022F9C">
        <w:rPr>
          <w:rFonts w:ascii="Georgia" w:hAnsi="Georgia"/>
          <w:lang w:val="en-GB"/>
        </w:rPr>
        <w:t xml:space="preserve"> the</w:t>
      </w:r>
      <w:r w:rsidR="00DA7F84" w:rsidRPr="0002056A">
        <w:rPr>
          <w:rFonts w:ascii="Georgia" w:hAnsi="Georgia"/>
          <w:lang w:val="en-GB"/>
        </w:rPr>
        <w:t xml:space="preserve"> setting </w:t>
      </w:r>
      <w:r w:rsidR="00022F9C">
        <w:rPr>
          <w:rFonts w:ascii="Georgia" w:hAnsi="Georgia"/>
          <w:lang w:val="en-GB"/>
        </w:rPr>
        <w:t xml:space="preserve">of </w:t>
      </w:r>
      <w:r w:rsidR="00DA7F84" w:rsidRPr="0002056A">
        <w:rPr>
          <w:rFonts w:ascii="Georgia" w:hAnsi="Georgia"/>
          <w:lang w:val="en-GB"/>
        </w:rPr>
        <w:t>spatially tailored objectives</w:t>
      </w:r>
      <w:r>
        <w:rPr>
          <w:rFonts w:ascii="Georgia" w:hAnsi="Georgia"/>
          <w:lang w:val="en-GB"/>
        </w:rPr>
        <w:t xml:space="preserve"> and</w:t>
      </w:r>
      <w:r w:rsidR="00DA7F84" w:rsidRPr="0002056A">
        <w:rPr>
          <w:rFonts w:ascii="Georgia" w:hAnsi="Georgia"/>
          <w:lang w:val="en-GB"/>
        </w:rPr>
        <w:t xml:space="preserve"> actions for spatial unit</w:t>
      </w:r>
      <w:r w:rsidR="00400E03" w:rsidRPr="0002056A">
        <w:rPr>
          <w:rFonts w:ascii="Georgia" w:hAnsi="Georgia"/>
          <w:lang w:val="en-GB"/>
        </w:rPr>
        <w:t>s</w:t>
      </w:r>
      <w:r w:rsidR="00DA7F84" w:rsidRPr="0002056A">
        <w:rPr>
          <w:rFonts w:ascii="Georgia" w:hAnsi="Georgia"/>
          <w:lang w:val="en-GB"/>
        </w:rPr>
        <w:t xml:space="preserve"> / region type</w:t>
      </w:r>
      <w:r w:rsidR="00A857A4" w:rsidRPr="0002056A">
        <w:rPr>
          <w:rFonts w:ascii="Georgia" w:hAnsi="Georgia"/>
          <w:lang w:val="en-GB"/>
        </w:rPr>
        <w:t>s</w:t>
      </w:r>
      <w:r w:rsidR="00DA7F84" w:rsidRPr="0002056A">
        <w:rPr>
          <w:rFonts w:ascii="Georgia" w:hAnsi="Georgia"/>
          <w:lang w:val="en-GB"/>
        </w:rPr>
        <w:t xml:space="preserve">. </w:t>
      </w:r>
    </w:p>
    <w:p w14:paraId="7AA7764F" w14:textId="253971F0" w:rsidR="00CF5C1E" w:rsidRPr="0002056A" w:rsidRDefault="00E350D1" w:rsidP="00CF5C1E">
      <w:pPr>
        <w:spacing w:before="120" w:after="120"/>
        <w:jc w:val="both"/>
        <w:rPr>
          <w:rFonts w:ascii="Georgia" w:hAnsi="Georgia"/>
          <w:lang w:val="en-GB"/>
        </w:rPr>
      </w:pPr>
      <w:r w:rsidRPr="0002056A">
        <w:rPr>
          <w:rFonts w:ascii="Georgia" w:hAnsi="Georgia"/>
          <w:lang w:val="en-GB"/>
        </w:rPr>
        <w:t>Consequently, w</w:t>
      </w:r>
      <w:r w:rsidR="00CB78E4" w:rsidRPr="0002056A">
        <w:rPr>
          <w:rFonts w:ascii="Georgia" w:hAnsi="Georgia"/>
          <w:lang w:val="en-GB"/>
        </w:rPr>
        <w:t>e consider</w:t>
      </w:r>
      <w:r w:rsidR="00CB78E4" w:rsidRPr="0002056A">
        <w:rPr>
          <w:rFonts w:ascii="Georgia" w:hAnsi="Georgia"/>
          <w:b/>
          <w:bCs/>
          <w:lang w:val="en-GB"/>
        </w:rPr>
        <w:t xml:space="preserve"> </w:t>
      </w:r>
      <w:r w:rsidR="008F23FE" w:rsidRPr="0002056A">
        <w:rPr>
          <w:rFonts w:ascii="Georgia" w:hAnsi="Georgia"/>
          <w:b/>
          <w:bCs/>
          <w:lang w:val="en-GB"/>
        </w:rPr>
        <w:t xml:space="preserve">climate </w:t>
      </w:r>
      <w:r w:rsidR="00232C61" w:rsidRPr="0002056A">
        <w:rPr>
          <w:rFonts w:ascii="Georgia" w:hAnsi="Georgia"/>
          <w:b/>
          <w:bCs/>
          <w:lang w:val="en-GB"/>
        </w:rPr>
        <w:t>adaptation</w:t>
      </w:r>
      <w:r w:rsidR="00CB78E4" w:rsidRPr="0002056A">
        <w:rPr>
          <w:rFonts w:ascii="Georgia" w:hAnsi="Georgia"/>
          <w:b/>
          <w:bCs/>
          <w:lang w:val="en-GB"/>
        </w:rPr>
        <w:t xml:space="preserve"> policy activit</w:t>
      </w:r>
      <w:r w:rsidR="00316854" w:rsidRPr="0002056A">
        <w:rPr>
          <w:rFonts w:ascii="Georgia" w:hAnsi="Georgia"/>
          <w:b/>
          <w:bCs/>
          <w:lang w:val="en-GB"/>
        </w:rPr>
        <w:t>ies</w:t>
      </w:r>
      <w:r w:rsidR="00CB78E4" w:rsidRPr="0002056A">
        <w:rPr>
          <w:rFonts w:ascii="Georgia" w:hAnsi="Georgia"/>
          <w:b/>
          <w:bCs/>
          <w:lang w:val="en-GB"/>
        </w:rPr>
        <w:t xml:space="preserve"> spatially </w:t>
      </w:r>
      <w:r w:rsidR="00D06613" w:rsidRPr="0002056A">
        <w:rPr>
          <w:rFonts w:ascii="Georgia" w:hAnsi="Georgia"/>
          <w:b/>
          <w:bCs/>
          <w:lang w:val="en-GB"/>
        </w:rPr>
        <w:t>sensitive</w:t>
      </w:r>
      <w:r w:rsidR="00CB78E4" w:rsidRPr="0002056A">
        <w:rPr>
          <w:rFonts w:ascii="Georgia" w:hAnsi="Georgia"/>
          <w:b/>
          <w:bCs/>
          <w:lang w:val="en-GB"/>
        </w:rPr>
        <w:t xml:space="preserve"> </w:t>
      </w:r>
      <w:r w:rsidR="00CB78E4" w:rsidRPr="0002056A">
        <w:rPr>
          <w:rFonts w:ascii="Georgia" w:hAnsi="Georgia"/>
          <w:lang w:val="en-GB"/>
        </w:rPr>
        <w:t xml:space="preserve">if </w:t>
      </w:r>
      <w:r w:rsidR="00A00706" w:rsidRPr="0002056A">
        <w:rPr>
          <w:rFonts w:ascii="Georgia" w:hAnsi="Georgia"/>
          <w:lang w:val="en-GB"/>
        </w:rPr>
        <w:t>they</w:t>
      </w:r>
      <w:r w:rsidR="00CB78E4" w:rsidRPr="0002056A">
        <w:rPr>
          <w:rFonts w:ascii="Georgia" w:hAnsi="Georgia"/>
          <w:lang w:val="en-GB"/>
        </w:rPr>
        <w:t xml:space="preserve"> put significant weight on spatial dimensions </w:t>
      </w:r>
      <w:r w:rsidR="00E665E2" w:rsidRPr="0002056A">
        <w:rPr>
          <w:rFonts w:ascii="Georgia" w:hAnsi="Georgia"/>
          <w:lang w:val="en-GB"/>
        </w:rPr>
        <w:t xml:space="preserve">and use </w:t>
      </w:r>
      <w:r w:rsidR="00CF3058" w:rsidRPr="0002056A">
        <w:rPr>
          <w:rFonts w:ascii="Georgia" w:hAnsi="Georgia"/>
          <w:lang w:val="en-GB"/>
        </w:rPr>
        <w:t xml:space="preserve">any </w:t>
      </w:r>
      <w:r w:rsidR="00E665E2" w:rsidRPr="0002056A">
        <w:rPr>
          <w:rFonts w:ascii="Georgia" w:hAnsi="Georgia"/>
          <w:lang w:val="en-GB"/>
        </w:rPr>
        <w:t xml:space="preserve">of the introduced space concepts and interpretations </w:t>
      </w:r>
      <w:r w:rsidR="00CB78E4" w:rsidRPr="0002056A">
        <w:rPr>
          <w:rFonts w:ascii="Georgia" w:hAnsi="Georgia"/>
          <w:lang w:val="en-GB"/>
        </w:rPr>
        <w:t>both in t</w:t>
      </w:r>
      <w:r w:rsidR="00A00706" w:rsidRPr="0002056A">
        <w:rPr>
          <w:rFonts w:ascii="Georgia" w:hAnsi="Georgia"/>
          <w:lang w:val="en-GB"/>
        </w:rPr>
        <w:t>heir</w:t>
      </w:r>
      <w:r w:rsidR="00CB78E4" w:rsidRPr="0002056A">
        <w:rPr>
          <w:rFonts w:ascii="Georgia" w:hAnsi="Georgia"/>
          <w:lang w:val="en-GB"/>
        </w:rPr>
        <w:t xml:space="preserve"> evidence seeking phase</w:t>
      </w:r>
      <w:r w:rsidR="00E64582" w:rsidRPr="0002056A">
        <w:rPr>
          <w:rFonts w:ascii="Georgia" w:hAnsi="Georgia"/>
          <w:lang w:val="en-GB"/>
        </w:rPr>
        <w:t>s</w:t>
      </w:r>
      <w:r w:rsidR="00167BEF" w:rsidRPr="0002056A">
        <w:rPr>
          <w:rFonts w:ascii="Georgia" w:hAnsi="Georgia"/>
          <w:lang w:val="en-GB"/>
        </w:rPr>
        <w:t xml:space="preserve"> (</w:t>
      </w:r>
      <w:r w:rsidR="00E64582" w:rsidRPr="0002056A">
        <w:rPr>
          <w:rFonts w:ascii="Georgia" w:hAnsi="Georgia"/>
          <w:lang w:val="en-GB"/>
        </w:rPr>
        <w:t xml:space="preserve">during </w:t>
      </w:r>
      <w:r w:rsidR="00167BEF" w:rsidRPr="0002056A">
        <w:rPr>
          <w:rFonts w:ascii="Georgia" w:hAnsi="Georgia"/>
          <w:lang w:val="en-GB"/>
        </w:rPr>
        <w:t xml:space="preserve">elaboration </w:t>
      </w:r>
      <w:r w:rsidR="00E64582" w:rsidRPr="0002056A">
        <w:rPr>
          <w:rFonts w:ascii="Georgia" w:hAnsi="Georgia"/>
          <w:lang w:val="en-GB"/>
        </w:rPr>
        <w:t xml:space="preserve">of </w:t>
      </w:r>
      <w:r w:rsidR="00167BEF" w:rsidRPr="0002056A">
        <w:rPr>
          <w:rFonts w:ascii="Georgia" w:hAnsi="Georgia"/>
          <w:lang w:val="en-GB"/>
        </w:rPr>
        <w:t>situation analyses, climate vulnerability or risk assessments)</w:t>
      </w:r>
      <w:r w:rsidR="00CB78E4" w:rsidRPr="0002056A">
        <w:rPr>
          <w:rFonts w:ascii="Georgia" w:hAnsi="Georgia"/>
          <w:lang w:val="en-GB"/>
        </w:rPr>
        <w:t xml:space="preserve">, </w:t>
      </w:r>
      <w:r w:rsidR="00D74E24" w:rsidRPr="0002056A">
        <w:rPr>
          <w:rFonts w:ascii="Georgia" w:hAnsi="Georgia"/>
          <w:lang w:val="en-GB"/>
        </w:rPr>
        <w:t xml:space="preserve">during </w:t>
      </w:r>
      <w:r w:rsidR="00CB78E4" w:rsidRPr="0002056A">
        <w:rPr>
          <w:rFonts w:ascii="Georgia" w:hAnsi="Georgia"/>
          <w:lang w:val="en-GB"/>
        </w:rPr>
        <w:t>reasoning, and decision</w:t>
      </w:r>
      <w:r w:rsidR="00D74E24" w:rsidRPr="0002056A">
        <w:rPr>
          <w:rFonts w:ascii="Georgia" w:hAnsi="Georgia"/>
          <w:lang w:val="en-GB"/>
        </w:rPr>
        <w:t xml:space="preserve"> making</w:t>
      </w:r>
      <w:r w:rsidR="00CB78E4" w:rsidRPr="0002056A">
        <w:rPr>
          <w:rFonts w:ascii="Georgia" w:hAnsi="Georgia"/>
          <w:lang w:val="en-GB"/>
        </w:rPr>
        <w:t xml:space="preserve"> (</w:t>
      </w:r>
      <w:r w:rsidR="00E64582" w:rsidRPr="0002056A">
        <w:rPr>
          <w:rFonts w:ascii="Georgia" w:hAnsi="Georgia"/>
          <w:lang w:val="en-GB"/>
        </w:rPr>
        <w:t xml:space="preserve">climate adaptation </w:t>
      </w:r>
      <w:r w:rsidR="00CB78E4" w:rsidRPr="0002056A">
        <w:rPr>
          <w:rFonts w:ascii="Georgia" w:hAnsi="Georgia"/>
          <w:lang w:val="en-GB"/>
        </w:rPr>
        <w:t xml:space="preserve">vision- and objective </w:t>
      </w:r>
      <w:r w:rsidR="00E64582" w:rsidRPr="0002056A">
        <w:rPr>
          <w:rFonts w:ascii="Georgia" w:hAnsi="Georgia"/>
          <w:lang w:val="en-GB"/>
        </w:rPr>
        <w:t xml:space="preserve">system </w:t>
      </w:r>
      <w:r w:rsidR="00CB78E4" w:rsidRPr="0002056A">
        <w:rPr>
          <w:rFonts w:ascii="Georgia" w:hAnsi="Georgia"/>
          <w:lang w:val="en-GB"/>
        </w:rPr>
        <w:t xml:space="preserve">design and elaboration of </w:t>
      </w:r>
      <w:r w:rsidR="00E64582" w:rsidRPr="0002056A">
        <w:rPr>
          <w:rFonts w:ascii="Georgia" w:hAnsi="Georgia"/>
          <w:lang w:val="en-GB"/>
        </w:rPr>
        <w:t xml:space="preserve">adaptation </w:t>
      </w:r>
      <w:r w:rsidR="00CB78E4" w:rsidRPr="0002056A">
        <w:rPr>
          <w:rFonts w:ascii="Georgia" w:hAnsi="Georgia"/>
          <w:lang w:val="en-GB"/>
        </w:rPr>
        <w:t xml:space="preserve">measures), during setting up </w:t>
      </w:r>
      <w:r w:rsidR="00E64582" w:rsidRPr="0002056A">
        <w:rPr>
          <w:rFonts w:ascii="Georgia" w:hAnsi="Georgia"/>
          <w:lang w:val="en-GB"/>
        </w:rPr>
        <w:t xml:space="preserve">climate adaptation </w:t>
      </w:r>
      <w:r w:rsidR="00CB78E4" w:rsidRPr="0002056A">
        <w:rPr>
          <w:rFonts w:ascii="Georgia" w:hAnsi="Georgia"/>
          <w:lang w:val="en-GB"/>
        </w:rPr>
        <w:t xml:space="preserve">indicator sets, and conducting evaluations or establishing </w:t>
      </w:r>
      <w:r w:rsidR="00A00706" w:rsidRPr="0002056A">
        <w:rPr>
          <w:rFonts w:ascii="Georgia" w:hAnsi="Georgia"/>
          <w:lang w:val="en-GB"/>
        </w:rPr>
        <w:t>adaptation</w:t>
      </w:r>
      <w:r w:rsidR="00CF3058" w:rsidRPr="0002056A">
        <w:rPr>
          <w:rFonts w:ascii="Georgia" w:hAnsi="Georgia"/>
          <w:lang w:val="en-GB"/>
        </w:rPr>
        <w:t>-oriented</w:t>
      </w:r>
      <w:r w:rsidR="00A00706" w:rsidRPr="0002056A">
        <w:rPr>
          <w:rFonts w:ascii="Georgia" w:hAnsi="Georgia"/>
          <w:lang w:val="en-GB"/>
        </w:rPr>
        <w:t xml:space="preserve"> </w:t>
      </w:r>
      <w:r w:rsidR="00CB78E4" w:rsidRPr="0002056A">
        <w:rPr>
          <w:rFonts w:ascii="Georgia" w:hAnsi="Georgia"/>
          <w:lang w:val="en-GB"/>
        </w:rPr>
        <w:t xml:space="preserve">decision supporting systems. If these aspects are at least equal </w:t>
      </w:r>
      <w:r w:rsidR="00D17729">
        <w:rPr>
          <w:rFonts w:ascii="Georgia" w:hAnsi="Georgia"/>
          <w:lang w:val="en-GB"/>
        </w:rPr>
        <w:t>to</w:t>
      </w:r>
      <w:r w:rsidR="00D17729" w:rsidRPr="0002056A">
        <w:rPr>
          <w:rFonts w:ascii="Georgia" w:hAnsi="Georgia"/>
          <w:lang w:val="en-GB"/>
        </w:rPr>
        <w:t xml:space="preserve"> </w:t>
      </w:r>
      <w:r w:rsidR="00CB78E4" w:rsidRPr="0002056A">
        <w:rPr>
          <w:rFonts w:ascii="Georgia" w:hAnsi="Georgia"/>
          <w:lang w:val="en-GB"/>
        </w:rPr>
        <w:t xml:space="preserve">the weight of the </w:t>
      </w:r>
      <w:r w:rsidR="00D74E24" w:rsidRPr="0002056A">
        <w:rPr>
          <w:rFonts w:ascii="Georgia" w:hAnsi="Georgia"/>
          <w:lang w:val="en-GB"/>
        </w:rPr>
        <w:t xml:space="preserve">traditional </w:t>
      </w:r>
      <w:r w:rsidR="00CB78E4" w:rsidRPr="0002056A">
        <w:rPr>
          <w:rFonts w:ascii="Georgia" w:hAnsi="Georgia"/>
          <w:lang w:val="en-GB"/>
        </w:rPr>
        <w:t>sectoral approach (</w:t>
      </w:r>
      <w:r w:rsidR="00D74E24" w:rsidRPr="0002056A">
        <w:rPr>
          <w:rFonts w:ascii="Georgia" w:hAnsi="Georgia"/>
          <w:lang w:val="en-GB"/>
        </w:rPr>
        <w:t xml:space="preserve">i.e. </w:t>
      </w:r>
      <w:r w:rsidR="00CB78E4" w:rsidRPr="0002056A">
        <w:rPr>
          <w:rFonts w:ascii="Georgia" w:hAnsi="Georgia"/>
          <w:lang w:val="en-GB"/>
        </w:rPr>
        <w:t>separated handling of different thematic fields</w:t>
      </w:r>
      <w:r w:rsidR="00CF3058" w:rsidRPr="0002056A">
        <w:rPr>
          <w:rFonts w:ascii="Georgia" w:hAnsi="Georgia"/>
          <w:lang w:val="en-GB"/>
        </w:rPr>
        <w:t xml:space="preserve"> parallel with each other</w:t>
      </w:r>
      <w:r w:rsidR="00CB78E4" w:rsidRPr="0002056A">
        <w:rPr>
          <w:rFonts w:ascii="Georgia" w:hAnsi="Georgia"/>
          <w:lang w:val="en-GB"/>
        </w:rPr>
        <w:t xml:space="preserve">) or even dominate it, then we can talk about a </w:t>
      </w:r>
      <w:r w:rsidR="00CB78E4" w:rsidRPr="0002056A">
        <w:rPr>
          <w:rFonts w:ascii="Georgia" w:hAnsi="Georgia"/>
          <w:b/>
          <w:bCs/>
          <w:lang w:val="en-GB"/>
        </w:rPr>
        <w:t>spatially oriented approach</w:t>
      </w:r>
      <w:r w:rsidR="00CB78E4" w:rsidRPr="0002056A">
        <w:rPr>
          <w:rFonts w:ascii="Georgia" w:hAnsi="Georgia"/>
          <w:lang w:val="en-GB"/>
        </w:rPr>
        <w:t xml:space="preserve">, or </w:t>
      </w:r>
      <w:r w:rsidR="00D74E24" w:rsidRPr="0002056A">
        <w:rPr>
          <w:rFonts w:ascii="Georgia" w:hAnsi="Georgia"/>
          <w:b/>
          <w:bCs/>
          <w:lang w:val="en-GB"/>
        </w:rPr>
        <w:t xml:space="preserve">spatial </w:t>
      </w:r>
      <w:r w:rsidR="00CB78E4" w:rsidRPr="0002056A">
        <w:rPr>
          <w:rFonts w:ascii="Georgia" w:hAnsi="Georgia"/>
          <w:b/>
          <w:bCs/>
          <w:lang w:val="en-GB"/>
        </w:rPr>
        <w:t>sensitivity</w:t>
      </w:r>
      <w:r w:rsidR="00CB78E4" w:rsidRPr="0002056A">
        <w:rPr>
          <w:rFonts w:ascii="Georgia" w:hAnsi="Georgia"/>
          <w:lang w:val="en-GB"/>
        </w:rPr>
        <w:t xml:space="preserve"> of these activities</w:t>
      </w:r>
      <w:r w:rsidR="00D458CD" w:rsidRPr="0002056A">
        <w:rPr>
          <w:rFonts w:ascii="Georgia" w:hAnsi="Georgia"/>
          <w:lang w:val="en-GB"/>
        </w:rPr>
        <w:t xml:space="preserve"> (</w:t>
      </w:r>
      <w:r w:rsidR="00D458CD" w:rsidRPr="0002056A">
        <w:rPr>
          <w:rFonts w:ascii="Georgia" w:eastAsia="Times New Roman" w:hAnsi="Georgia" w:cs="Times New Roman"/>
          <w:smallCaps/>
          <w:color w:val="000000"/>
          <w:lang w:val="en-GB" w:eastAsia="hu-HU"/>
        </w:rPr>
        <w:t>Sütő, 2025b</w:t>
      </w:r>
      <w:r w:rsidR="00D458CD" w:rsidRPr="0002056A">
        <w:rPr>
          <w:rFonts w:ascii="Georgia" w:hAnsi="Georgia"/>
          <w:lang w:val="en-GB"/>
        </w:rPr>
        <w:t>)</w:t>
      </w:r>
      <w:r w:rsidR="00CB78E4" w:rsidRPr="0002056A">
        <w:rPr>
          <w:rFonts w:ascii="Georgia" w:hAnsi="Georgia"/>
          <w:lang w:val="en-GB"/>
        </w:rPr>
        <w:t>.</w:t>
      </w:r>
      <w:r w:rsidR="00CF5C1E" w:rsidRPr="0002056A">
        <w:rPr>
          <w:rFonts w:ascii="Georgia" w:hAnsi="Georgia"/>
          <w:lang w:val="en-GB"/>
        </w:rPr>
        <w:t xml:space="preserve"> </w:t>
      </w:r>
    </w:p>
    <w:p w14:paraId="64782641" w14:textId="24B93924" w:rsidR="00CF5C1E" w:rsidRPr="0002056A" w:rsidRDefault="00CF5C1E" w:rsidP="00CF5C1E">
      <w:pPr>
        <w:spacing w:before="120" w:after="120"/>
        <w:jc w:val="both"/>
        <w:rPr>
          <w:rFonts w:ascii="Georgia" w:hAnsi="Georgia"/>
          <w:lang w:val="en-GB"/>
        </w:rPr>
      </w:pPr>
      <w:r w:rsidRPr="0002056A">
        <w:rPr>
          <w:rFonts w:ascii="Georgia" w:hAnsi="Georgia"/>
          <w:lang w:val="en-GB"/>
        </w:rPr>
        <w:t xml:space="preserve">This spatial sensitivity has not (or barely) been examined yet scientifically and explicitly in the field of climate adaptation policy planning and MRE, however, the connection between the policy field and the geographical space and spatiality is inevitable as we saw from several points of view in the literature analysis. To make the initial research steps in this area, the dissertation’s empirical </w:t>
      </w:r>
      <w:r w:rsidR="00216AD0" w:rsidRPr="0002056A">
        <w:rPr>
          <w:rFonts w:ascii="Georgia" w:hAnsi="Georgia"/>
          <w:lang w:val="en-GB"/>
        </w:rPr>
        <w:t>work phase</w:t>
      </w:r>
      <w:r w:rsidRPr="0002056A">
        <w:rPr>
          <w:rFonts w:ascii="Georgia" w:hAnsi="Georgia"/>
          <w:lang w:val="en-GB"/>
        </w:rPr>
        <w:t xml:space="preserve"> conducted a comprehensive pilot analysis. </w:t>
      </w:r>
    </w:p>
    <w:p w14:paraId="448199E3" w14:textId="706088D1" w:rsidR="00CB78E4" w:rsidRPr="0002056A" w:rsidRDefault="00CB78E4" w:rsidP="00CD5BF3">
      <w:pPr>
        <w:spacing w:before="120" w:after="120"/>
        <w:jc w:val="both"/>
        <w:rPr>
          <w:rFonts w:ascii="Georgia" w:hAnsi="Georgia"/>
          <w:lang w:val="en-GB"/>
        </w:rPr>
      </w:pPr>
    </w:p>
    <w:p w14:paraId="2994901C" w14:textId="52F2E114" w:rsidR="0036322B" w:rsidRPr="0002056A" w:rsidRDefault="00BA4A0E" w:rsidP="001155D8">
      <w:pPr>
        <w:spacing w:before="120" w:after="120" w:line="240" w:lineRule="auto"/>
        <w:jc w:val="both"/>
        <w:rPr>
          <w:rFonts w:ascii="Georgia" w:hAnsi="Georgia"/>
          <w:lang w:val="en-GB"/>
        </w:rPr>
      </w:pPr>
      <w:r>
        <w:rPr>
          <w:rFonts w:ascii="Georgia" w:hAnsi="Georgia"/>
          <w:noProof/>
          <w:lang w:val="en-GB"/>
          <w14:ligatures w14:val="standardContextual"/>
        </w:rPr>
        <w:lastRenderedPageBreak/>
        <w:drawing>
          <wp:inline distT="0" distB="0" distL="0" distR="0" wp14:anchorId="4AB1AB4F" wp14:editId="5865B686">
            <wp:extent cx="5760720" cy="3268345"/>
            <wp:effectExtent l="0" t="0" r="0" b="8255"/>
            <wp:docPr id="83902496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024967" name="Kép 8390249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68345"/>
                    </a:xfrm>
                    <a:prstGeom prst="rect">
                      <a:avLst/>
                    </a:prstGeom>
                  </pic:spPr>
                </pic:pic>
              </a:graphicData>
            </a:graphic>
          </wp:inline>
        </w:drawing>
      </w:r>
    </w:p>
    <w:p w14:paraId="6D2175EA" w14:textId="26A8CBB8" w:rsidR="0036322B" w:rsidRPr="0002056A" w:rsidRDefault="0036322B" w:rsidP="00ED00E3">
      <w:pPr>
        <w:spacing w:before="120" w:after="120" w:line="240" w:lineRule="auto"/>
        <w:jc w:val="center"/>
        <w:rPr>
          <w:rFonts w:ascii="Georgia" w:hAnsi="Georgia"/>
          <w:sz w:val="16"/>
          <w:szCs w:val="16"/>
          <w:lang w:val="en-GB"/>
        </w:rPr>
      </w:pPr>
      <w:r w:rsidRPr="0002056A">
        <w:rPr>
          <w:rFonts w:ascii="Georgia" w:hAnsi="Georgia"/>
          <w:b/>
          <w:bCs/>
          <w:sz w:val="16"/>
          <w:szCs w:val="16"/>
          <w:lang w:val="en-GB"/>
        </w:rPr>
        <w:t xml:space="preserve">Figure </w:t>
      </w:r>
      <w:r w:rsidR="005655E0" w:rsidRPr="0002056A">
        <w:rPr>
          <w:rFonts w:ascii="Georgia" w:hAnsi="Georgia"/>
          <w:b/>
          <w:bCs/>
          <w:sz w:val="16"/>
          <w:szCs w:val="16"/>
          <w:lang w:val="en-GB"/>
        </w:rPr>
        <w:t>16</w:t>
      </w:r>
      <w:r w:rsidRPr="0002056A">
        <w:rPr>
          <w:rFonts w:ascii="Georgia" w:hAnsi="Georgia"/>
          <w:b/>
          <w:bCs/>
          <w:sz w:val="16"/>
          <w:szCs w:val="16"/>
          <w:lang w:val="en-GB"/>
        </w:rPr>
        <w:t>: The logic of the concept of “spatial sensitivity</w:t>
      </w:r>
      <w:r w:rsidR="00F50E9E" w:rsidRPr="0002056A">
        <w:rPr>
          <w:rFonts w:ascii="Georgia" w:hAnsi="Georgia"/>
          <w:b/>
          <w:bCs/>
          <w:sz w:val="16"/>
          <w:szCs w:val="16"/>
          <w:lang w:val="en-GB"/>
        </w:rPr>
        <w:t>”</w:t>
      </w:r>
      <w:r w:rsidRPr="0002056A">
        <w:rPr>
          <w:rFonts w:ascii="Georgia" w:hAnsi="Georgia"/>
          <w:b/>
          <w:bCs/>
          <w:sz w:val="16"/>
          <w:szCs w:val="16"/>
          <w:lang w:val="en-GB"/>
        </w:rPr>
        <w:t>.</w:t>
      </w:r>
      <w:r w:rsidRPr="0002056A">
        <w:rPr>
          <w:rFonts w:ascii="Georgia" w:hAnsi="Georgia"/>
          <w:sz w:val="16"/>
          <w:szCs w:val="16"/>
          <w:lang w:val="en-GB"/>
        </w:rPr>
        <w:t xml:space="preserve"> </w:t>
      </w:r>
      <w:r w:rsidRPr="0002056A">
        <w:rPr>
          <w:rFonts w:ascii="Georgia" w:hAnsi="Georgia"/>
          <w:i/>
          <w:sz w:val="16"/>
          <w:szCs w:val="16"/>
          <w:lang w:val="en-GB"/>
        </w:rPr>
        <w:t>Source: own editing.</w:t>
      </w:r>
    </w:p>
    <w:p w14:paraId="3A3E2C2D" w14:textId="3F8EE056" w:rsidR="001B50F9" w:rsidRPr="0002056A" w:rsidRDefault="00E067D3" w:rsidP="00214BD9">
      <w:pPr>
        <w:pStyle w:val="Cmsor3"/>
        <w:numPr>
          <w:ilvl w:val="2"/>
          <w:numId w:val="4"/>
        </w:numPr>
        <w:rPr>
          <w:rFonts w:ascii="Calibri" w:hAnsi="Calibri" w:cs="Calibri"/>
          <w:color w:val="2F5496" w:themeColor="accent1" w:themeShade="BF"/>
          <w:lang w:val="en-GB"/>
        </w:rPr>
      </w:pPr>
      <w:bookmarkStart w:id="34" w:name="_Toc225578852"/>
      <w:bookmarkEnd w:id="33"/>
      <w:r w:rsidRPr="0002056A">
        <w:rPr>
          <w:rFonts w:ascii="Calibri" w:hAnsi="Calibri" w:cs="Calibri"/>
          <w:color w:val="2F5496" w:themeColor="accent1" w:themeShade="BF"/>
          <w:lang w:val="en-GB"/>
        </w:rPr>
        <w:t>Analytical aspects o</w:t>
      </w:r>
      <w:r w:rsidR="006202D7" w:rsidRPr="0002056A">
        <w:rPr>
          <w:rFonts w:ascii="Calibri" w:hAnsi="Calibri" w:cs="Calibri"/>
          <w:color w:val="2F5496" w:themeColor="accent1" w:themeShade="BF"/>
          <w:lang w:val="en-GB"/>
        </w:rPr>
        <w:t xml:space="preserve">f </w:t>
      </w:r>
      <w:r w:rsidR="009648CE" w:rsidRPr="0002056A">
        <w:rPr>
          <w:rFonts w:ascii="Calibri" w:hAnsi="Calibri" w:cs="Calibri"/>
          <w:color w:val="2F5496" w:themeColor="accent1" w:themeShade="BF"/>
          <w:lang w:val="en-GB"/>
        </w:rPr>
        <w:t xml:space="preserve">national adaptation policy planning’s </w:t>
      </w:r>
      <w:r w:rsidR="006202D7" w:rsidRPr="0002056A">
        <w:rPr>
          <w:rFonts w:ascii="Calibri" w:hAnsi="Calibri" w:cs="Calibri"/>
          <w:color w:val="2F5496" w:themeColor="accent1" w:themeShade="BF"/>
          <w:lang w:val="en-GB"/>
        </w:rPr>
        <w:t>spatial sensitivity</w:t>
      </w:r>
      <w:bookmarkEnd w:id="34"/>
    </w:p>
    <w:p w14:paraId="31F0B200" w14:textId="3A2C823B" w:rsidR="00940DF1" w:rsidRPr="0002056A" w:rsidRDefault="00862723" w:rsidP="00CD5BF3">
      <w:pPr>
        <w:spacing w:before="120" w:after="120"/>
        <w:jc w:val="both"/>
        <w:rPr>
          <w:rFonts w:ascii="Georgia" w:hAnsi="Georgia" w:cs="Times New Roman"/>
          <w:lang w:val="en-GB"/>
        </w:rPr>
      </w:pPr>
      <w:r w:rsidRPr="0002056A">
        <w:rPr>
          <w:rFonts w:ascii="Georgia" w:hAnsi="Georgia" w:cs="Times New Roman"/>
          <w:lang w:val="en-GB"/>
        </w:rPr>
        <w:t xml:space="preserve">The comparative assessment of </w:t>
      </w:r>
      <w:r w:rsidR="005D3070" w:rsidRPr="0002056A">
        <w:rPr>
          <w:rFonts w:ascii="Georgia" w:hAnsi="Georgia" w:cs="Times New Roman"/>
          <w:lang w:val="en-GB"/>
        </w:rPr>
        <w:t xml:space="preserve">spatial sensitivity of </w:t>
      </w:r>
      <w:r w:rsidRPr="0002056A">
        <w:rPr>
          <w:rFonts w:ascii="Georgia" w:hAnsi="Georgia" w:cs="Times New Roman"/>
          <w:lang w:val="en-GB"/>
        </w:rPr>
        <w:t xml:space="preserve">the </w:t>
      </w:r>
      <w:r w:rsidR="00A00706" w:rsidRPr="0002056A">
        <w:rPr>
          <w:rFonts w:ascii="Georgia" w:hAnsi="Georgia" w:cs="Times New Roman"/>
          <w:lang w:val="en-GB"/>
        </w:rPr>
        <w:t xml:space="preserve">analysed </w:t>
      </w:r>
      <w:r w:rsidRPr="0002056A">
        <w:rPr>
          <w:rFonts w:ascii="Georgia" w:hAnsi="Georgia" w:cs="Times New Roman"/>
          <w:lang w:val="en-GB"/>
        </w:rPr>
        <w:t xml:space="preserve">countries’ </w:t>
      </w:r>
      <w:r w:rsidR="005D3070" w:rsidRPr="0002056A">
        <w:rPr>
          <w:rFonts w:ascii="Georgia" w:hAnsi="Georgia" w:cs="Times New Roman"/>
          <w:lang w:val="en-GB"/>
        </w:rPr>
        <w:t xml:space="preserve">national </w:t>
      </w:r>
      <w:r w:rsidRPr="0002056A">
        <w:rPr>
          <w:rFonts w:ascii="Georgia" w:hAnsi="Georgia" w:cs="Times New Roman"/>
          <w:lang w:val="en-GB"/>
        </w:rPr>
        <w:t>adaptation polic</w:t>
      </w:r>
      <w:r w:rsidR="00A00706" w:rsidRPr="0002056A">
        <w:rPr>
          <w:rFonts w:ascii="Georgia" w:hAnsi="Georgia" w:cs="Times New Roman"/>
          <w:lang w:val="en-GB"/>
        </w:rPr>
        <w:t>y planning</w:t>
      </w:r>
      <w:r w:rsidRPr="0002056A">
        <w:rPr>
          <w:rFonts w:ascii="Georgia" w:hAnsi="Georgia" w:cs="Times New Roman"/>
          <w:lang w:val="en-GB"/>
        </w:rPr>
        <w:t xml:space="preserve"> is based on a predefined analytical aspect system, </w:t>
      </w:r>
      <w:r w:rsidR="00A00706" w:rsidRPr="0002056A">
        <w:rPr>
          <w:rFonts w:ascii="Georgia" w:hAnsi="Georgia" w:cs="Times New Roman"/>
          <w:lang w:val="en-GB"/>
        </w:rPr>
        <w:t xml:space="preserve">applying </w:t>
      </w:r>
      <w:r w:rsidRPr="0002056A">
        <w:rPr>
          <w:rFonts w:ascii="Georgia" w:hAnsi="Georgia" w:cs="Times New Roman"/>
          <w:lang w:val="en-GB"/>
        </w:rPr>
        <w:t xml:space="preserve">7 main factors and for each factor </w:t>
      </w:r>
      <w:r w:rsidR="005D3070" w:rsidRPr="0002056A">
        <w:rPr>
          <w:rFonts w:ascii="Georgia" w:hAnsi="Georgia" w:cs="Times New Roman"/>
          <w:lang w:val="en-GB"/>
        </w:rPr>
        <w:t>3</w:t>
      </w:r>
      <w:r w:rsidRPr="0002056A">
        <w:rPr>
          <w:rFonts w:ascii="Georgia" w:hAnsi="Georgia" w:cs="Times New Roman"/>
          <w:lang w:val="en-GB"/>
        </w:rPr>
        <w:t>-</w:t>
      </w:r>
      <w:r w:rsidR="005D3070" w:rsidRPr="0002056A">
        <w:rPr>
          <w:rFonts w:ascii="Georgia" w:hAnsi="Georgia" w:cs="Times New Roman"/>
          <w:lang w:val="en-GB"/>
        </w:rPr>
        <w:t>8</w:t>
      </w:r>
      <w:r w:rsidRPr="0002056A">
        <w:rPr>
          <w:rFonts w:ascii="Georgia" w:hAnsi="Georgia" w:cs="Times New Roman"/>
          <w:lang w:val="en-GB"/>
        </w:rPr>
        <w:t xml:space="preserve"> sub-factors (</w:t>
      </w:r>
      <w:r w:rsidR="005655E0" w:rsidRPr="0002056A">
        <w:rPr>
          <w:rFonts w:ascii="Georgia" w:hAnsi="Georgia" w:cs="Times New Roman"/>
          <w:lang w:val="en-GB"/>
        </w:rPr>
        <w:t>T</w:t>
      </w:r>
      <w:r w:rsidRPr="0002056A">
        <w:rPr>
          <w:rFonts w:ascii="Georgia" w:hAnsi="Georgia" w:cs="Times New Roman"/>
          <w:lang w:val="en-GB"/>
        </w:rPr>
        <w:t xml:space="preserve">able </w:t>
      </w:r>
      <w:r w:rsidR="005655E0" w:rsidRPr="0002056A">
        <w:rPr>
          <w:rFonts w:ascii="Georgia" w:hAnsi="Georgia" w:cs="Times New Roman"/>
          <w:lang w:val="en-GB"/>
        </w:rPr>
        <w:t>2</w:t>
      </w:r>
      <w:r w:rsidRPr="0002056A">
        <w:rPr>
          <w:rFonts w:ascii="Georgia" w:hAnsi="Georgia" w:cs="Times New Roman"/>
          <w:lang w:val="en-GB"/>
        </w:rPr>
        <w:t>)</w:t>
      </w:r>
      <w:r w:rsidR="005D3070" w:rsidRPr="0002056A">
        <w:rPr>
          <w:rFonts w:ascii="Georgia" w:hAnsi="Georgia" w:cs="Times New Roman"/>
          <w:lang w:val="en-GB"/>
        </w:rPr>
        <w:t xml:space="preserve">. </w:t>
      </w:r>
      <w:r w:rsidR="009131CA" w:rsidRPr="0002056A">
        <w:rPr>
          <w:rFonts w:ascii="Georgia" w:hAnsi="Georgia" w:cs="Times New Roman"/>
          <w:lang w:val="en-GB"/>
        </w:rPr>
        <w:t xml:space="preserve">The exact methodology was constantly refined </w:t>
      </w:r>
      <w:r w:rsidR="00D17729">
        <w:rPr>
          <w:rFonts w:ascii="Georgia" w:hAnsi="Georgia" w:cs="Times New Roman"/>
          <w:lang w:val="en-GB"/>
        </w:rPr>
        <w:t>over</w:t>
      </w:r>
      <w:r w:rsidR="00D17729" w:rsidRPr="0002056A">
        <w:rPr>
          <w:rFonts w:ascii="Georgia" w:hAnsi="Georgia" w:cs="Times New Roman"/>
          <w:lang w:val="en-GB"/>
        </w:rPr>
        <w:t xml:space="preserve"> </w:t>
      </w:r>
      <w:r w:rsidR="009131CA" w:rsidRPr="0002056A">
        <w:rPr>
          <w:rFonts w:ascii="Georgia" w:hAnsi="Georgia" w:cs="Times New Roman"/>
          <w:lang w:val="en-GB"/>
        </w:rPr>
        <w:t>the last 3 years, articles published during the research</w:t>
      </w:r>
      <w:r w:rsidR="00827852" w:rsidRPr="0002056A">
        <w:rPr>
          <w:rFonts w:ascii="Georgia" w:hAnsi="Georgia" w:cs="Times New Roman"/>
          <w:lang w:val="en-GB"/>
        </w:rPr>
        <w:t xml:space="preserve"> show a continuous development (e.g. </w:t>
      </w:r>
      <w:r w:rsidR="00827852" w:rsidRPr="0002056A">
        <w:rPr>
          <w:rFonts w:ascii="Georgia" w:eastAsia="Times New Roman" w:hAnsi="Georgia" w:cs="Times New Roman"/>
          <w:smallCaps/>
          <w:lang w:val="en-GB" w:eastAsia="hu-HU"/>
        </w:rPr>
        <w:t>Sütő, 2025b</w:t>
      </w:r>
      <w:r w:rsidR="00D17729">
        <w:rPr>
          <w:rFonts w:ascii="Georgia" w:eastAsia="Times New Roman" w:hAnsi="Georgia" w:cs="Times New Roman"/>
          <w:smallCaps/>
          <w:lang w:val="en-GB" w:eastAsia="hu-HU"/>
        </w:rPr>
        <w:t>;</w:t>
      </w:r>
      <w:r w:rsidR="00D17729" w:rsidRPr="0002056A">
        <w:rPr>
          <w:rFonts w:ascii="Georgia" w:eastAsia="Times New Roman" w:hAnsi="Georgia" w:cs="Times New Roman"/>
          <w:smallCaps/>
          <w:lang w:val="en-GB" w:eastAsia="hu-HU"/>
        </w:rPr>
        <w:t xml:space="preserve"> </w:t>
      </w:r>
      <w:r w:rsidR="00827852" w:rsidRPr="0002056A">
        <w:rPr>
          <w:rFonts w:ascii="Georgia" w:eastAsia="Times New Roman" w:hAnsi="Georgia" w:cs="Times New Roman"/>
          <w:smallCaps/>
          <w:lang w:val="en-GB" w:eastAsia="hu-HU"/>
        </w:rPr>
        <w:t>Sütő, 202</w:t>
      </w:r>
      <w:r w:rsidR="00166A43" w:rsidRPr="0002056A">
        <w:rPr>
          <w:rFonts w:ascii="Georgia" w:eastAsia="Times New Roman" w:hAnsi="Georgia" w:cs="Times New Roman"/>
          <w:smallCaps/>
          <w:lang w:val="en-GB" w:eastAsia="hu-HU"/>
        </w:rPr>
        <w:t>5c</w:t>
      </w:r>
      <w:r w:rsidR="00827852" w:rsidRPr="0002056A">
        <w:rPr>
          <w:rFonts w:ascii="Georgia" w:hAnsi="Georgia"/>
          <w:lang w:val="en-GB"/>
        </w:rPr>
        <w:t>)</w:t>
      </w:r>
      <w:r w:rsidR="006D0C88" w:rsidRPr="0002056A">
        <w:rPr>
          <w:rFonts w:ascii="Georgia" w:hAnsi="Georgia"/>
          <w:lang w:val="en-GB"/>
        </w:rPr>
        <w:t xml:space="preserve">. </w:t>
      </w:r>
      <w:r w:rsidR="005D3070" w:rsidRPr="0002056A">
        <w:rPr>
          <w:rFonts w:ascii="Georgia" w:hAnsi="Georgia" w:cs="Times New Roman"/>
          <w:lang w:val="en-GB"/>
        </w:rPr>
        <w:t>Through the</w:t>
      </w:r>
      <w:r w:rsidR="003B6F49" w:rsidRPr="0002056A">
        <w:rPr>
          <w:rFonts w:ascii="Georgia" w:hAnsi="Georgia" w:cs="Times New Roman"/>
          <w:lang w:val="en-GB"/>
        </w:rPr>
        <w:t xml:space="preserve"> analytical </w:t>
      </w:r>
      <w:r w:rsidR="005D3070" w:rsidRPr="0002056A">
        <w:rPr>
          <w:rFonts w:ascii="Georgia" w:hAnsi="Georgia" w:cs="Times New Roman"/>
          <w:lang w:val="en-GB"/>
        </w:rPr>
        <w:t>aspects</w:t>
      </w:r>
      <w:r w:rsidR="007B2645" w:rsidRPr="0002056A">
        <w:rPr>
          <w:rFonts w:ascii="Georgia" w:hAnsi="Georgia" w:cs="Times New Roman"/>
          <w:lang w:val="en-GB"/>
        </w:rPr>
        <w:t xml:space="preserve"> (factors)</w:t>
      </w:r>
      <w:r w:rsidR="005D3070" w:rsidRPr="0002056A">
        <w:rPr>
          <w:rFonts w:ascii="Georgia" w:hAnsi="Georgia" w:cs="Times New Roman"/>
          <w:lang w:val="en-GB"/>
        </w:rPr>
        <w:t xml:space="preserve"> and sub-aspects </w:t>
      </w:r>
      <w:r w:rsidR="007B2645" w:rsidRPr="0002056A">
        <w:rPr>
          <w:rFonts w:ascii="Georgia" w:hAnsi="Georgia" w:cs="Times New Roman"/>
          <w:lang w:val="en-GB"/>
        </w:rPr>
        <w:t>(sub-factors) the dissertation</w:t>
      </w:r>
      <w:r w:rsidR="005D3070" w:rsidRPr="0002056A">
        <w:rPr>
          <w:rFonts w:ascii="Georgia" w:hAnsi="Georgia" w:cs="Times New Roman"/>
          <w:lang w:val="en-GB"/>
        </w:rPr>
        <w:t xml:space="preserve"> compared</w:t>
      </w:r>
      <w:r w:rsidR="00F257BA" w:rsidRPr="0002056A">
        <w:rPr>
          <w:rFonts w:ascii="Georgia" w:hAnsi="Georgia" w:cs="Times New Roman"/>
          <w:lang w:val="en-GB"/>
        </w:rPr>
        <w:t xml:space="preserve"> national</w:t>
      </w:r>
      <w:r w:rsidR="007B2645" w:rsidRPr="0002056A">
        <w:rPr>
          <w:rFonts w:ascii="Georgia" w:hAnsi="Georgia" w:cs="Times New Roman"/>
          <w:lang w:val="en-GB"/>
        </w:rPr>
        <w:t>-</w:t>
      </w:r>
      <w:r w:rsidR="00F257BA" w:rsidRPr="0002056A">
        <w:rPr>
          <w:rFonts w:ascii="Georgia" w:hAnsi="Georgia" w:cs="Times New Roman"/>
          <w:lang w:val="en-GB"/>
        </w:rPr>
        <w:t>level adaptation planning and MRE-</w:t>
      </w:r>
      <w:r w:rsidR="00216AD0" w:rsidRPr="0002056A">
        <w:rPr>
          <w:rFonts w:ascii="Georgia" w:hAnsi="Georgia" w:cs="Times New Roman"/>
          <w:lang w:val="en-GB"/>
        </w:rPr>
        <w:t>related</w:t>
      </w:r>
      <w:r w:rsidR="00F257BA" w:rsidRPr="0002056A">
        <w:rPr>
          <w:rFonts w:ascii="Georgia" w:hAnsi="Georgia" w:cs="Times New Roman"/>
          <w:lang w:val="en-GB"/>
        </w:rPr>
        <w:t xml:space="preserve"> documents (NASs, N</w:t>
      </w:r>
      <w:r w:rsidR="005D3070" w:rsidRPr="0002056A">
        <w:rPr>
          <w:rFonts w:ascii="Georgia" w:hAnsi="Georgia" w:cs="Times New Roman"/>
          <w:lang w:val="en-GB"/>
        </w:rPr>
        <w:t>A</w:t>
      </w:r>
      <w:r w:rsidR="00F257BA" w:rsidRPr="0002056A">
        <w:rPr>
          <w:rFonts w:ascii="Georgia" w:hAnsi="Georgia" w:cs="Times New Roman"/>
          <w:lang w:val="en-GB"/>
        </w:rPr>
        <w:t>Ps, monitoring or evaluation methodological background materials, actual monitoring and evaluation reports)</w:t>
      </w:r>
      <w:r w:rsidR="003E4917" w:rsidRPr="0002056A">
        <w:rPr>
          <w:rFonts w:ascii="Georgia" w:hAnsi="Georgia" w:cs="Times New Roman"/>
          <w:lang w:val="en-GB"/>
        </w:rPr>
        <w:t xml:space="preserve"> of European countries</w:t>
      </w:r>
      <w:r w:rsidRPr="0002056A">
        <w:rPr>
          <w:rFonts w:ascii="Georgia" w:hAnsi="Georgia" w:cs="Times New Roman"/>
          <w:lang w:val="en-GB"/>
        </w:rPr>
        <w:t xml:space="preserve">. The </w:t>
      </w:r>
      <w:r w:rsidR="005D3070" w:rsidRPr="0002056A">
        <w:rPr>
          <w:rFonts w:ascii="Georgia" w:hAnsi="Georgia" w:cs="Times New Roman"/>
          <w:lang w:val="en-GB"/>
        </w:rPr>
        <w:t>analysis</w:t>
      </w:r>
      <w:r w:rsidRPr="0002056A">
        <w:rPr>
          <w:rFonts w:ascii="Georgia" w:hAnsi="Georgia" w:cs="Times New Roman"/>
          <w:lang w:val="en-GB"/>
        </w:rPr>
        <w:t xml:space="preserve"> takes a critical lead, </w:t>
      </w:r>
      <w:r w:rsidR="009E5FB9" w:rsidRPr="0002056A">
        <w:rPr>
          <w:rFonts w:ascii="Georgia" w:hAnsi="Georgia" w:cs="Times New Roman"/>
          <w:lang w:val="en-GB"/>
        </w:rPr>
        <w:t xml:space="preserve">offering </w:t>
      </w:r>
      <w:r w:rsidRPr="0002056A">
        <w:rPr>
          <w:rFonts w:ascii="Georgia" w:hAnsi="Georgia" w:cs="Times New Roman"/>
          <w:lang w:val="en-GB"/>
        </w:rPr>
        <w:t xml:space="preserve">not just the description of the national characteristics </w:t>
      </w:r>
      <w:r w:rsidR="0077210C" w:rsidRPr="0002056A">
        <w:rPr>
          <w:rFonts w:ascii="Georgia" w:hAnsi="Georgia" w:cs="Times New Roman"/>
          <w:lang w:val="en-GB"/>
        </w:rPr>
        <w:t xml:space="preserve">parallel with each other but really </w:t>
      </w:r>
      <w:r w:rsidR="00D17729">
        <w:rPr>
          <w:rFonts w:ascii="Georgia" w:hAnsi="Georgia" w:cs="Times New Roman"/>
          <w:lang w:val="en-GB"/>
        </w:rPr>
        <w:t>compares</w:t>
      </w:r>
      <w:r w:rsidR="00D17729" w:rsidRPr="0002056A">
        <w:rPr>
          <w:rFonts w:ascii="Georgia" w:hAnsi="Georgia" w:cs="Times New Roman"/>
          <w:lang w:val="en-GB"/>
        </w:rPr>
        <w:t xml:space="preserve"> </w:t>
      </w:r>
      <w:r w:rsidR="0077210C" w:rsidRPr="0002056A">
        <w:rPr>
          <w:rFonts w:ascii="Georgia" w:hAnsi="Georgia" w:cs="Times New Roman"/>
          <w:lang w:val="en-GB"/>
        </w:rPr>
        <w:t xml:space="preserve">the different countries’ performances </w:t>
      </w:r>
      <w:r w:rsidRPr="0002056A">
        <w:rPr>
          <w:rFonts w:ascii="Georgia" w:hAnsi="Georgia" w:cs="Times New Roman"/>
          <w:lang w:val="en-GB"/>
        </w:rPr>
        <w:t>- the explicit system of analytical aspects serves this</w:t>
      </w:r>
      <w:r w:rsidR="005D3070" w:rsidRPr="0002056A">
        <w:rPr>
          <w:rFonts w:ascii="Georgia" w:hAnsi="Georgia" w:cs="Times New Roman"/>
          <w:lang w:val="en-GB"/>
        </w:rPr>
        <w:t xml:space="preserve"> comparison</w:t>
      </w:r>
      <w:r w:rsidRPr="0002056A">
        <w:rPr>
          <w:rFonts w:ascii="Georgia" w:hAnsi="Georgia" w:cs="Times New Roman"/>
          <w:lang w:val="en-GB"/>
        </w:rPr>
        <w:t>.</w:t>
      </w:r>
      <w:r w:rsidR="00F257BA" w:rsidRPr="0002056A">
        <w:rPr>
          <w:rFonts w:ascii="Georgia" w:hAnsi="Georgia" w:cs="Times New Roman"/>
          <w:lang w:val="en-GB"/>
        </w:rPr>
        <w:t xml:space="preserve"> </w:t>
      </w:r>
    </w:p>
    <w:p w14:paraId="0BEFBDC0" w14:textId="0B8713EF" w:rsidR="00940DF1" w:rsidRPr="0002056A" w:rsidRDefault="00940DF1" w:rsidP="00CD5BF3">
      <w:pPr>
        <w:spacing w:before="120" w:after="120"/>
        <w:jc w:val="both"/>
        <w:rPr>
          <w:rFonts w:ascii="Georgia" w:hAnsi="Georgia" w:cs="Times New Roman"/>
          <w:lang w:val="en-GB"/>
        </w:rPr>
      </w:pPr>
      <w:r w:rsidRPr="0002056A">
        <w:rPr>
          <w:rFonts w:ascii="Georgia" w:hAnsi="Georgia" w:cs="Times New Roman"/>
          <w:lang w:val="en-GB"/>
        </w:rPr>
        <w:t xml:space="preserve">The identification and selection of the final </w:t>
      </w:r>
      <w:r w:rsidR="008813C6" w:rsidRPr="0002056A">
        <w:rPr>
          <w:rFonts w:ascii="Georgia" w:hAnsi="Georgia" w:cs="Times New Roman"/>
          <w:lang w:val="en-GB"/>
        </w:rPr>
        <w:t>pool</w:t>
      </w:r>
      <w:r w:rsidRPr="0002056A">
        <w:rPr>
          <w:rFonts w:ascii="Georgia" w:hAnsi="Georgia" w:cs="Times New Roman"/>
          <w:lang w:val="en-GB"/>
        </w:rPr>
        <w:t xml:space="preserve"> of aspects and sub-aspects followed a logic based on consideration of the available resource materi</w:t>
      </w:r>
      <w:r w:rsidR="004243E9" w:rsidRPr="0002056A">
        <w:rPr>
          <w:rFonts w:ascii="Georgia" w:hAnsi="Georgia" w:cs="Times New Roman"/>
          <w:lang w:val="en-GB"/>
        </w:rPr>
        <w:t>als, the weight of the different phases within the planning cycle and complementary information. Taking into account these parameters</w:t>
      </w:r>
      <w:r w:rsidR="00A74AAA" w:rsidRPr="0002056A">
        <w:rPr>
          <w:rFonts w:ascii="Georgia" w:hAnsi="Georgia" w:cs="Times New Roman"/>
          <w:lang w:val="en-GB"/>
        </w:rPr>
        <w:t xml:space="preserve">, the majority of the analytical aspects concentrates on the </w:t>
      </w:r>
      <w:r w:rsidR="001703B1" w:rsidRPr="0002056A">
        <w:rPr>
          <w:rFonts w:ascii="Georgia" w:hAnsi="Georgia" w:cs="Times New Roman"/>
          <w:lang w:val="en-GB"/>
        </w:rPr>
        <w:t xml:space="preserve">strategic </w:t>
      </w:r>
      <w:r w:rsidR="00A74AAA" w:rsidRPr="0002056A">
        <w:rPr>
          <w:rFonts w:ascii="Georgia" w:hAnsi="Georgia" w:cs="Times New Roman"/>
          <w:lang w:val="en-GB"/>
        </w:rPr>
        <w:t>adaptation policy planning documents (NASs and NAPs)</w:t>
      </w:r>
      <w:r w:rsidR="001703B1" w:rsidRPr="0002056A">
        <w:rPr>
          <w:rFonts w:ascii="Georgia" w:hAnsi="Georgia" w:cs="Times New Roman"/>
          <w:lang w:val="en-GB"/>
        </w:rPr>
        <w:t xml:space="preserve"> and their</w:t>
      </w:r>
      <w:r w:rsidR="00A74AAA" w:rsidRPr="0002056A">
        <w:rPr>
          <w:rFonts w:ascii="Georgia" w:hAnsi="Georgia" w:cs="Times New Roman"/>
          <w:lang w:val="en-GB"/>
        </w:rPr>
        <w:t xml:space="preserve"> characteristics</w:t>
      </w:r>
      <w:r w:rsidR="00D503EB" w:rsidRPr="0002056A">
        <w:rPr>
          <w:rFonts w:ascii="Georgia" w:hAnsi="Georgia" w:cs="Times New Roman"/>
          <w:lang w:val="en-GB"/>
        </w:rPr>
        <w:t xml:space="preserve">, dedicating 1-1 main </w:t>
      </w:r>
      <w:r w:rsidR="001703B1" w:rsidRPr="0002056A">
        <w:rPr>
          <w:rFonts w:ascii="Georgia" w:hAnsi="Georgia" w:cs="Times New Roman"/>
          <w:lang w:val="en-GB"/>
        </w:rPr>
        <w:t xml:space="preserve">analytical </w:t>
      </w:r>
      <w:r w:rsidR="00D503EB" w:rsidRPr="0002056A">
        <w:rPr>
          <w:rFonts w:ascii="Georgia" w:hAnsi="Georgia" w:cs="Times New Roman"/>
          <w:lang w:val="en-GB"/>
        </w:rPr>
        <w:t>aspect for the situation analy</w:t>
      </w:r>
      <w:r w:rsidR="00F6057E" w:rsidRPr="0002056A">
        <w:rPr>
          <w:rFonts w:ascii="Georgia" w:hAnsi="Georgia" w:cs="Times New Roman"/>
          <w:lang w:val="en-GB"/>
        </w:rPr>
        <w:t>ses</w:t>
      </w:r>
      <w:r w:rsidR="00D503EB" w:rsidRPr="0002056A">
        <w:rPr>
          <w:rFonts w:ascii="Georgia" w:hAnsi="Georgia" w:cs="Times New Roman"/>
          <w:lang w:val="en-GB"/>
        </w:rPr>
        <w:t xml:space="preserve"> and </w:t>
      </w:r>
      <w:r w:rsidR="00F6057E" w:rsidRPr="0002056A">
        <w:rPr>
          <w:rFonts w:ascii="Georgia" w:hAnsi="Georgia" w:cs="Times New Roman"/>
          <w:lang w:val="en-GB"/>
        </w:rPr>
        <w:t xml:space="preserve">the </w:t>
      </w:r>
      <w:r w:rsidR="00D503EB" w:rsidRPr="0002056A">
        <w:rPr>
          <w:rFonts w:ascii="Georgia" w:hAnsi="Georgia" w:cs="Times New Roman"/>
          <w:lang w:val="en-GB"/>
        </w:rPr>
        <w:t>objective systems</w:t>
      </w:r>
      <w:r w:rsidR="00A74AAA" w:rsidRPr="0002056A">
        <w:rPr>
          <w:rFonts w:ascii="Georgia" w:hAnsi="Georgia" w:cs="Times New Roman"/>
          <w:lang w:val="en-GB"/>
        </w:rPr>
        <w:t>,</w:t>
      </w:r>
      <w:r w:rsidR="00D503EB" w:rsidRPr="0002056A">
        <w:rPr>
          <w:rFonts w:ascii="Georgia" w:hAnsi="Georgia" w:cs="Times New Roman"/>
          <w:lang w:val="en-GB"/>
        </w:rPr>
        <w:t xml:space="preserve"> 1</w:t>
      </w:r>
      <w:r w:rsidR="00A73AC5" w:rsidRPr="0002056A">
        <w:rPr>
          <w:rFonts w:ascii="Georgia" w:hAnsi="Georgia" w:cs="Times New Roman"/>
          <w:lang w:val="en-GB"/>
        </w:rPr>
        <w:t>-1</w:t>
      </w:r>
      <w:r w:rsidR="00D503EB" w:rsidRPr="0002056A">
        <w:rPr>
          <w:rFonts w:ascii="Georgia" w:hAnsi="Georgia" w:cs="Times New Roman"/>
          <w:lang w:val="en-GB"/>
        </w:rPr>
        <w:t xml:space="preserve"> main aspect for the NASs’ general international spatial and geopolitical emphases and </w:t>
      </w:r>
      <w:r w:rsidR="00FE372E" w:rsidRPr="0002056A">
        <w:rPr>
          <w:rFonts w:ascii="Georgia" w:hAnsi="Georgia" w:cs="Times New Roman"/>
          <w:lang w:val="en-GB"/>
        </w:rPr>
        <w:t xml:space="preserve">for the </w:t>
      </w:r>
      <w:r w:rsidR="00A73AC5" w:rsidRPr="0002056A">
        <w:rPr>
          <w:rFonts w:ascii="Georgia" w:hAnsi="Georgia" w:cs="Times New Roman"/>
          <w:lang w:val="en-GB"/>
        </w:rPr>
        <w:t xml:space="preserve">coherence </w:t>
      </w:r>
      <w:r w:rsidR="00FE372E" w:rsidRPr="0002056A">
        <w:rPr>
          <w:rFonts w:ascii="Georgia" w:hAnsi="Georgia" w:cs="Times New Roman"/>
          <w:lang w:val="en-GB"/>
        </w:rPr>
        <w:t xml:space="preserve">of these documents </w:t>
      </w:r>
      <w:r w:rsidR="00A73AC5" w:rsidRPr="0002056A">
        <w:rPr>
          <w:rFonts w:ascii="Georgia" w:hAnsi="Georgia" w:cs="Times New Roman"/>
          <w:lang w:val="en-GB"/>
        </w:rPr>
        <w:t xml:space="preserve">with spatial policy priorities. </w:t>
      </w:r>
      <w:r w:rsidR="00D17729">
        <w:rPr>
          <w:rFonts w:ascii="Georgia" w:hAnsi="Georgia" w:cs="Times New Roman"/>
          <w:lang w:val="en-GB"/>
        </w:rPr>
        <w:t>A further main aspect concerns the spatiality of NAP actions</w:t>
      </w:r>
      <w:r w:rsidR="00D503EB" w:rsidRPr="0002056A">
        <w:rPr>
          <w:rFonts w:ascii="Georgia" w:hAnsi="Georgia" w:cs="Times New Roman"/>
          <w:lang w:val="en-GB"/>
        </w:rPr>
        <w:t xml:space="preserve">. </w:t>
      </w:r>
      <w:r w:rsidR="00F50861" w:rsidRPr="0002056A">
        <w:rPr>
          <w:rFonts w:ascii="Georgia" w:hAnsi="Georgia" w:cs="Times New Roman"/>
          <w:lang w:val="en-GB"/>
        </w:rPr>
        <w:t>The reason for this is that within the planning cycle the actual planning itself still play</w:t>
      </w:r>
      <w:r w:rsidR="00B05CA9" w:rsidRPr="0002056A">
        <w:rPr>
          <w:rFonts w:ascii="Georgia" w:hAnsi="Georgia" w:cs="Times New Roman"/>
          <w:lang w:val="en-GB"/>
        </w:rPr>
        <w:t>s</w:t>
      </w:r>
      <w:r w:rsidR="00F50861" w:rsidRPr="0002056A">
        <w:rPr>
          <w:rFonts w:ascii="Georgia" w:hAnsi="Georgia" w:cs="Times New Roman"/>
          <w:lang w:val="en-GB"/>
        </w:rPr>
        <w:t xml:space="preserve"> the most crucial role compared to the later phases (implementation, monitoring and evaluation)</w:t>
      </w:r>
      <w:r w:rsidR="00246F0F" w:rsidRPr="0002056A">
        <w:rPr>
          <w:rFonts w:ascii="Georgia" w:hAnsi="Georgia" w:cs="Times New Roman"/>
          <w:lang w:val="en-GB"/>
        </w:rPr>
        <w:t>, serving as a foundation of the later steps</w:t>
      </w:r>
      <w:r w:rsidR="00F50861" w:rsidRPr="0002056A">
        <w:rPr>
          <w:rFonts w:ascii="Georgia" w:hAnsi="Georgia" w:cs="Times New Roman"/>
          <w:lang w:val="en-GB"/>
        </w:rPr>
        <w:t xml:space="preserve">. Moreover, NAS and NAP documents are more widely available </w:t>
      </w:r>
      <w:r w:rsidR="00D17729">
        <w:rPr>
          <w:rFonts w:ascii="Georgia" w:hAnsi="Georgia" w:cs="Times New Roman"/>
          <w:lang w:val="en-GB"/>
        </w:rPr>
        <w:t>than</w:t>
      </w:r>
      <w:r w:rsidR="00D17729" w:rsidRPr="0002056A">
        <w:rPr>
          <w:rFonts w:ascii="Georgia" w:hAnsi="Georgia" w:cs="Times New Roman"/>
          <w:lang w:val="en-GB"/>
        </w:rPr>
        <w:t xml:space="preserve"> </w:t>
      </w:r>
      <w:r w:rsidR="00F50861" w:rsidRPr="0002056A">
        <w:rPr>
          <w:rFonts w:ascii="Georgia" w:hAnsi="Georgia" w:cs="Times New Roman"/>
          <w:lang w:val="en-GB"/>
        </w:rPr>
        <w:t xml:space="preserve">MRE-related materials in the majority of the countries (mainly in Eastern, Northern and Southern Europe). </w:t>
      </w:r>
      <w:r w:rsidR="003976E2" w:rsidRPr="0002056A">
        <w:rPr>
          <w:rFonts w:ascii="Georgia" w:hAnsi="Georgia" w:cs="Times New Roman"/>
          <w:lang w:val="en-GB"/>
        </w:rPr>
        <w:t>Monitoring and evaluation a</w:t>
      </w:r>
      <w:r w:rsidR="00A27530" w:rsidRPr="0002056A">
        <w:rPr>
          <w:rFonts w:ascii="Georgia" w:hAnsi="Georgia" w:cs="Times New Roman"/>
          <w:lang w:val="en-GB"/>
        </w:rPr>
        <w:t>re</w:t>
      </w:r>
      <w:r w:rsidR="003976E2" w:rsidRPr="0002056A">
        <w:rPr>
          <w:rFonts w:ascii="Georgia" w:hAnsi="Georgia" w:cs="Times New Roman"/>
          <w:lang w:val="en-GB"/>
        </w:rPr>
        <w:t xml:space="preserve"> also important parts of the adaptation planning cycle, but </w:t>
      </w:r>
      <w:r w:rsidR="00A27530" w:rsidRPr="0002056A">
        <w:rPr>
          <w:rFonts w:ascii="Georgia" w:hAnsi="Georgia" w:cs="Times New Roman"/>
          <w:lang w:val="en-GB"/>
        </w:rPr>
        <w:t xml:space="preserve">they could be considered </w:t>
      </w:r>
      <w:r w:rsidR="003976E2" w:rsidRPr="0002056A">
        <w:rPr>
          <w:rFonts w:ascii="Georgia" w:hAnsi="Georgia" w:cs="Times New Roman"/>
          <w:lang w:val="en-GB"/>
        </w:rPr>
        <w:t>relatively less developed activities in this field</w:t>
      </w:r>
      <w:r w:rsidR="00A27530" w:rsidRPr="0002056A">
        <w:rPr>
          <w:rFonts w:ascii="Georgia" w:hAnsi="Georgia" w:cs="Times New Roman"/>
          <w:lang w:val="en-GB"/>
        </w:rPr>
        <w:t xml:space="preserve"> so far</w:t>
      </w:r>
      <w:r w:rsidR="003976E2" w:rsidRPr="0002056A">
        <w:rPr>
          <w:rFonts w:ascii="Georgia" w:hAnsi="Georgia" w:cs="Times New Roman"/>
          <w:lang w:val="en-GB"/>
        </w:rPr>
        <w:t xml:space="preserve">, </w:t>
      </w:r>
      <w:r w:rsidR="00646A7D" w:rsidRPr="0002056A">
        <w:rPr>
          <w:rFonts w:ascii="Georgia" w:hAnsi="Georgia" w:cs="Times New Roman"/>
          <w:lang w:val="en-GB"/>
        </w:rPr>
        <w:t xml:space="preserve">thus </w:t>
      </w:r>
      <w:r w:rsidR="003976E2" w:rsidRPr="0002056A">
        <w:rPr>
          <w:rFonts w:ascii="Georgia" w:hAnsi="Georgia" w:cs="Times New Roman"/>
          <w:lang w:val="en-GB"/>
        </w:rPr>
        <w:t xml:space="preserve">get </w:t>
      </w:r>
      <w:r w:rsidR="00646A7D" w:rsidRPr="0002056A">
        <w:rPr>
          <w:rFonts w:ascii="Georgia" w:hAnsi="Georgia" w:cs="Times New Roman"/>
          <w:lang w:val="en-GB"/>
        </w:rPr>
        <w:t>only one</w:t>
      </w:r>
      <w:r w:rsidR="003976E2" w:rsidRPr="0002056A">
        <w:rPr>
          <w:rFonts w:ascii="Georgia" w:hAnsi="Georgia" w:cs="Times New Roman"/>
          <w:lang w:val="en-GB"/>
        </w:rPr>
        <w:t xml:space="preserve"> main aspect</w:t>
      </w:r>
      <w:r w:rsidR="00646A7D" w:rsidRPr="0002056A">
        <w:rPr>
          <w:rFonts w:ascii="Georgia" w:hAnsi="Georgia" w:cs="Times New Roman"/>
          <w:lang w:val="en-GB"/>
        </w:rPr>
        <w:t xml:space="preserve"> in the analysis</w:t>
      </w:r>
      <w:r w:rsidR="003976E2" w:rsidRPr="0002056A">
        <w:rPr>
          <w:rFonts w:ascii="Georgia" w:hAnsi="Georgia" w:cs="Times New Roman"/>
          <w:lang w:val="en-GB"/>
        </w:rPr>
        <w:t xml:space="preserve">. Meanwhile, </w:t>
      </w:r>
      <w:r w:rsidR="00452AEA" w:rsidRPr="0002056A">
        <w:rPr>
          <w:rFonts w:ascii="Georgia" w:hAnsi="Georgia" w:cs="Times New Roman"/>
          <w:lang w:val="en-GB"/>
        </w:rPr>
        <w:t xml:space="preserve">the </w:t>
      </w:r>
      <w:r w:rsidR="00AE7838" w:rsidRPr="0002056A">
        <w:rPr>
          <w:rFonts w:ascii="Georgia" w:hAnsi="Georgia" w:cs="Times New Roman"/>
          <w:lang w:val="en-GB"/>
        </w:rPr>
        <w:t>assessment</w:t>
      </w:r>
      <w:r w:rsidR="00DF5B88" w:rsidRPr="0002056A">
        <w:rPr>
          <w:rFonts w:ascii="Georgia" w:hAnsi="Georgia" w:cs="Times New Roman"/>
          <w:lang w:val="en-GB"/>
        </w:rPr>
        <w:t xml:space="preserve"> of the </w:t>
      </w:r>
      <w:r w:rsidR="00452AEA" w:rsidRPr="0002056A">
        <w:rPr>
          <w:rFonts w:ascii="Georgia" w:hAnsi="Georgia" w:cs="Times New Roman"/>
          <w:lang w:val="en-GB"/>
        </w:rPr>
        <w:t>general spatial issues-related main aspect (</w:t>
      </w:r>
      <w:r w:rsidR="00F50861" w:rsidRPr="0002056A">
        <w:rPr>
          <w:rFonts w:ascii="Georgia" w:hAnsi="Georgia" w:cs="Times New Roman"/>
          <w:lang w:val="en-GB"/>
        </w:rPr>
        <w:t xml:space="preserve">consisting of the </w:t>
      </w:r>
      <w:r w:rsidR="00452AEA" w:rsidRPr="0002056A">
        <w:rPr>
          <w:rFonts w:ascii="Georgia" w:hAnsi="Georgia" w:cs="Times New Roman"/>
          <w:lang w:val="en-GB"/>
        </w:rPr>
        <w:t xml:space="preserve">space </w:t>
      </w:r>
      <w:r w:rsidR="00452AEA" w:rsidRPr="0002056A">
        <w:rPr>
          <w:rFonts w:ascii="Georgia" w:hAnsi="Georgia" w:cs="Times New Roman"/>
          <w:lang w:val="en-GB"/>
        </w:rPr>
        <w:lastRenderedPageBreak/>
        <w:t xml:space="preserve">phraseology of the documents, </w:t>
      </w:r>
      <w:r w:rsidR="00D31A1D" w:rsidRPr="0002056A">
        <w:rPr>
          <w:rFonts w:ascii="Georgia" w:hAnsi="Georgia" w:cs="Times New Roman"/>
          <w:lang w:val="en-GB"/>
        </w:rPr>
        <w:t xml:space="preserve">the </w:t>
      </w:r>
      <w:r w:rsidR="00452AEA" w:rsidRPr="0002056A">
        <w:rPr>
          <w:rFonts w:ascii="Georgia" w:hAnsi="Georgia" w:cs="Times New Roman"/>
          <w:lang w:val="en-GB"/>
        </w:rPr>
        <w:t>emphasis on lower spatial levels’ adaptation actions and planning activities)</w:t>
      </w:r>
      <w:r w:rsidR="00BE6418" w:rsidRPr="0002056A">
        <w:rPr>
          <w:rFonts w:ascii="Georgia" w:hAnsi="Georgia" w:cs="Times New Roman"/>
          <w:lang w:val="en-GB"/>
        </w:rPr>
        <w:t xml:space="preserve"> as well as the monitoring</w:t>
      </w:r>
      <w:r w:rsidR="00E1429C" w:rsidRPr="0002056A">
        <w:rPr>
          <w:rFonts w:ascii="Georgia" w:hAnsi="Georgia" w:cs="Times New Roman"/>
          <w:lang w:val="en-GB"/>
        </w:rPr>
        <w:t>-</w:t>
      </w:r>
      <w:r w:rsidR="00BE6418" w:rsidRPr="0002056A">
        <w:rPr>
          <w:rFonts w:ascii="Georgia" w:hAnsi="Georgia" w:cs="Times New Roman"/>
          <w:lang w:val="en-GB"/>
        </w:rPr>
        <w:t>, evaluation</w:t>
      </w:r>
      <w:r w:rsidR="00E1429C" w:rsidRPr="0002056A">
        <w:rPr>
          <w:rFonts w:ascii="Georgia" w:hAnsi="Georgia" w:cs="Times New Roman"/>
          <w:lang w:val="en-GB"/>
        </w:rPr>
        <w:t>-</w:t>
      </w:r>
      <w:r w:rsidR="00BE6418" w:rsidRPr="0002056A">
        <w:rPr>
          <w:rFonts w:ascii="Georgia" w:hAnsi="Georgia" w:cs="Times New Roman"/>
          <w:lang w:val="en-GB"/>
        </w:rPr>
        <w:t xml:space="preserve"> and inter</w:t>
      </w:r>
      <w:r w:rsidR="00E1429C" w:rsidRPr="0002056A">
        <w:rPr>
          <w:rFonts w:ascii="Georgia" w:hAnsi="Georgia" w:cs="Times New Roman"/>
          <w:lang w:val="en-GB"/>
        </w:rPr>
        <w:t>- and transnational spatial activities-related sub-aspects were</w:t>
      </w:r>
      <w:r w:rsidR="00452AEA" w:rsidRPr="0002056A">
        <w:rPr>
          <w:rFonts w:ascii="Georgia" w:hAnsi="Georgia" w:cs="Times New Roman"/>
          <w:lang w:val="en-GB"/>
        </w:rPr>
        <w:t xml:space="preserve"> based </w:t>
      </w:r>
      <w:r w:rsidR="003E6F1C" w:rsidRPr="0002056A">
        <w:rPr>
          <w:rFonts w:ascii="Georgia" w:hAnsi="Georgia" w:cs="Times New Roman"/>
          <w:lang w:val="en-GB"/>
        </w:rPr>
        <w:t>beyond the document</w:t>
      </w:r>
      <w:r w:rsidR="00AE7838" w:rsidRPr="0002056A">
        <w:rPr>
          <w:rFonts w:ascii="Georgia" w:hAnsi="Georgia" w:cs="Times New Roman"/>
          <w:lang w:val="en-GB"/>
        </w:rPr>
        <w:t xml:space="preserve"> analysis</w:t>
      </w:r>
      <w:r w:rsidR="003E6F1C" w:rsidRPr="0002056A">
        <w:rPr>
          <w:rFonts w:ascii="Georgia" w:hAnsi="Georgia" w:cs="Times New Roman"/>
          <w:lang w:val="en-GB"/>
        </w:rPr>
        <w:t xml:space="preserve"> on information received from questionnaires/interviews. (Nevertheless interview-, or questionnaire-based soft information has </w:t>
      </w:r>
      <w:r w:rsidR="00646A7D" w:rsidRPr="0002056A">
        <w:rPr>
          <w:rFonts w:ascii="Georgia" w:hAnsi="Georgia" w:cs="Times New Roman"/>
          <w:lang w:val="en-GB"/>
        </w:rPr>
        <w:t xml:space="preserve">also </w:t>
      </w:r>
      <w:r w:rsidR="003E6F1C" w:rsidRPr="0002056A">
        <w:rPr>
          <w:rFonts w:ascii="Georgia" w:hAnsi="Georgia" w:cs="Times New Roman"/>
          <w:lang w:val="en-GB"/>
        </w:rPr>
        <w:t xml:space="preserve">been used in the </w:t>
      </w:r>
      <w:r w:rsidR="00B05CA9" w:rsidRPr="0002056A">
        <w:rPr>
          <w:rFonts w:ascii="Georgia" w:hAnsi="Georgia" w:cs="Times New Roman"/>
          <w:lang w:val="en-GB"/>
        </w:rPr>
        <w:t>c</w:t>
      </w:r>
      <w:r w:rsidR="003E6F1C" w:rsidRPr="0002056A">
        <w:rPr>
          <w:rFonts w:ascii="Georgia" w:hAnsi="Georgia" w:cs="Times New Roman"/>
          <w:lang w:val="en-GB"/>
        </w:rPr>
        <w:t>ase of analytical aspects #2,</w:t>
      </w:r>
      <w:r w:rsidR="00B91A7E" w:rsidRPr="0002056A">
        <w:rPr>
          <w:rFonts w:ascii="Georgia" w:hAnsi="Georgia" w:cs="Times New Roman"/>
          <w:lang w:val="en-GB"/>
        </w:rPr>
        <w:t xml:space="preserve"> </w:t>
      </w:r>
      <w:r w:rsidR="000C4805" w:rsidRPr="0002056A">
        <w:rPr>
          <w:rFonts w:ascii="Georgia" w:hAnsi="Georgia" w:cs="Times New Roman"/>
          <w:lang w:val="en-GB"/>
        </w:rPr>
        <w:t xml:space="preserve">and </w:t>
      </w:r>
      <w:r w:rsidR="00B91A7E" w:rsidRPr="0002056A">
        <w:rPr>
          <w:rFonts w:ascii="Georgia" w:hAnsi="Georgia" w:cs="Times New Roman"/>
          <w:lang w:val="en-GB"/>
        </w:rPr>
        <w:t>3 as well)</w:t>
      </w:r>
      <w:r w:rsidR="000619C8" w:rsidRPr="0002056A">
        <w:rPr>
          <w:rFonts w:ascii="Georgia" w:hAnsi="Georgia" w:cs="Times New Roman"/>
          <w:lang w:val="en-GB"/>
        </w:rPr>
        <w:t xml:space="preserve"> (Figure 17)</w:t>
      </w:r>
      <w:r w:rsidR="00B91A7E" w:rsidRPr="0002056A">
        <w:rPr>
          <w:rFonts w:ascii="Georgia" w:hAnsi="Georgia" w:cs="Times New Roman"/>
          <w:lang w:val="en-GB"/>
        </w:rPr>
        <w:t>.</w:t>
      </w:r>
    </w:p>
    <w:p w14:paraId="77725E4D" w14:textId="35CA38E2" w:rsidR="00B91A7E" w:rsidRPr="0002056A" w:rsidRDefault="00230D80" w:rsidP="00E723CD">
      <w:pPr>
        <w:spacing w:before="120" w:afterLines="120" w:after="288" w:line="240" w:lineRule="auto"/>
        <w:jc w:val="both"/>
        <w:rPr>
          <w:rFonts w:ascii="Georgia" w:hAnsi="Georgia" w:cs="Times New Roman"/>
          <w:lang w:val="en-GB"/>
        </w:rPr>
      </w:pPr>
      <w:r w:rsidRPr="0002056A">
        <w:rPr>
          <w:rFonts w:ascii="Georgia" w:hAnsi="Georgia" w:cs="Times New Roman"/>
          <w:noProof/>
          <w:lang w:val="en-GB"/>
          <w14:ligatures w14:val="standardContextual"/>
        </w:rPr>
        <w:drawing>
          <wp:inline distT="0" distB="0" distL="0" distR="0" wp14:anchorId="29F50C58" wp14:editId="7322E9C1">
            <wp:extent cx="5760720" cy="2983865"/>
            <wp:effectExtent l="0" t="0" r="0" b="6985"/>
            <wp:docPr id="1574067275" name="Kép 1" descr="A képen szöveg, diagram, Betűtípus, Tervraj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67275" name="Kép 1" descr="A képen szöveg, diagram, Betűtípus, Tervrajz látható&#10;&#10;Előfordulhat, hogy az AI által létrehozott tartalom helytele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983865"/>
                    </a:xfrm>
                    <a:prstGeom prst="rect">
                      <a:avLst/>
                    </a:prstGeom>
                  </pic:spPr>
                </pic:pic>
              </a:graphicData>
            </a:graphic>
          </wp:inline>
        </w:drawing>
      </w:r>
    </w:p>
    <w:p w14:paraId="5BC26F19" w14:textId="25B732AA" w:rsidR="00FD6848" w:rsidRPr="0002056A" w:rsidRDefault="00FD6848" w:rsidP="00230D80">
      <w:pPr>
        <w:spacing w:before="120" w:afterLines="120" w:after="288" w:line="240" w:lineRule="auto"/>
        <w:jc w:val="center"/>
        <w:rPr>
          <w:rFonts w:ascii="Georgia" w:hAnsi="Georgia" w:cs="Times New Roman"/>
          <w:b/>
          <w:bCs/>
          <w:sz w:val="18"/>
          <w:szCs w:val="18"/>
          <w:lang w:val="en-GB"/>
        </w:rPr>
      </w:pPr>
      <w:r w:rsidRPr="0002056A">
        <w:rPr>
          <w:rFonts w:ascii="Georgia" w:hAnsi="Georgia" w:cs="Times New Roman"/>
          <w:b/>
          <w:bCs/>
          <w:sz w:val="18"/>
          <w:szCs w:val="18"/>
          <w:lang w:val="en-GB"/>
        </w:rPr>
        <w:t xml:space="preserve">Figure </w:t>
      </w:r>
      <w:r w:rsidR="00550F53" w:rsidRPr="0002056A">
        <w:rPr>
          <w:rFonts w:ascii="Georgia" w:hAnsi="Georgia" w:cs="Times New Roman"/>
          <w:b/>
          <w:bCs/>
          <w:sz w:val="18"/>
          <w:szCs w:val="18"/>
          <w:lang w:val="en-GB"/>
        </w:rPr>
        <w:t>17</w:t>
      </w:r>
      <w:r w:rsidRPr="0002056A">
        <w:rPr>
          <w:rFonts w:ascii="Georgia" w:hAnsi="Georgia" w:cs="Times New Roman"/>
          <w:b/>
          <w:bCs/>
          <w:sz w:val="18"/>
          <w:szCs w:val="18"/>
          <w:lang w:val="en-GB"/>
        </w:rPr>
        <w:t xml:space="preserve">: Logic of the empirical </w:t>
      </w:r>
      <w:r w:rsidR="00216AD0" w:rsidRPr="0002056A">
        <w:rPr>
          <w:rFonts w:ascii="Georgia" w:hAnsi="Georgia" w:cs="Times New Roman"/>
          <w:b/>
          <w:bCs/>
          <w:sz w:val="18"/>
          <w:szCs w:val="18"/>
          <w:lang w:val="en-GB"/>
        </w:rPr>
        <w:t>work phase</w:t>
      </w:r>
      <w:r w:rsidRPr="0002056A">
        <w:rPr>
          <w:rFonts w:ascii="Georgia" w:hAnsi="Georgia" w:cs="Times New Roman"/>
          <w:b/>
          <w:bCs/>
          <w:sz w:val="18"/>
          <w:szCs w:val="18"/>
          <w:lang w:val="en-GB"/>
        </w:rPr>
        <w:t xml:space="preserve">: sources and aspects of the comparative analysis. </w:t>
      </w:r>
      <w:r w:rsidRPr="0002056A">
        <w:rPr>
          <w:rFonts w:ascii="Georgia" w:hAnsi="Georgia" w:cs="Times New Roman"/>
          <w:i/>
          <w:iCs/>
          <w:sz w:val="18"/>
          <w:szCs w:val="18"/>
          <w:lang w:val="en-GB"/>
        </w:rPr>
        <w:t>Source: own editing.</w:t>
      </w:r>
    </w:p>
    <w:p w14:paraId="57E5BFBF" w14:textId="4E982D99" w:rsidR="00CF5C1E" w:rsidRPr="0002056A" w:rsidRDefault="00E1221F" w:rsidP="00CD5BF3">
      <w:pPr>
        <w:spacing w:before="120" w:afterLines="120" w:after="288"/>
        <w:jc w:val="both"/>
        <w:rPr>
          <w:rFonts w:ascii="Calibri" w:eastAsia="Times New Roman" w:hAnsi="Calibri" w:cs="Times New Roman"/>
          <w:b/>
          <w:bCs/>
          <w:color w:val="000000"/>
          <w:lang w:val="en-GB" w:eastAsia="hu-HU"/>
        </w:rPr>
      </w:pPr>
      <w:r w:rsidRPr="0002056A">
        <w:rPr>
          <w:rFonts w:ascii="Georgia" w:hAnsi="Georgia" w:cs="Times New Roman"/>
          <w:lang w:val="en-GB"/>
        </w:rPr>
        <w:t>The following table summari</w:t>
      </w:r>
      <w:r w:rsidR="00D17729">
        <w:rPr>
          <w:rFonts w:ascii="Georgia" w:hAnsi="Georgia" w:cs="Times New Roman"/>
          <w:lang w:val="en-GB"/>
        </w:rPr>
        <w:t>s</w:t>
      </w:r>
      <w:r w:rsidRPr="0002056A">
        <w:rPr>
          <w:rFonts w:ascii="Georgia" w:hAnsi="Georgia" w:cs="Times New Roman"/>
          <w:lang w:val="en-GB"/>
        </w:rPr>
        <w:t>es the planned analytical aspects, sub</w:t>
      </w:r>
      <w:r w:rsidR="007010A6" w:rsidRPr="0002056A">
        <w:rPr>
          <w:rFonts w:ascii="Georgia" w:hAnsi="Georgia" w:cs="Times New Roman"/>
          <w:lang w:val="en-GB"/>
        </w:rPr>
        <w:t>-</w:t>
      </w:r>
      <w:r w:rsidRPr="0002056A">
        <w:rPr>
          <w:rFonts w:ascii="Georgia" w:hAnsi="Georgia" w:cs="Times New Roman"/>
          <w:lang w:val="en-GB"/>
        </w:rPr>
        <w:t>aspects and their disciplinary connections and foundations</w:t>
      </w:r>
      <w:r w:rsidR="00530DF9" w:rsidRPr="0002056A">
        <w:rPr>
          <w:rFonts w:ascii="Georgia" w:hAnsi="Georgia" w:cs="Times New Roman"/>
          <w:lang w:val="en-GB"/>
        </w:rPr>
        <w:t xml:space="preserve"> – thus mak</w:t>
      </w:r>
      <w:r w:rsidR="00D17729">
        <w:rPr>
          <w:rFonts w:ascii="Georgia" w:hAnsi="Georgia" w:cs="Times New Roman"/>
          <w:lang w:val="en-GB"/>
        </w:rPr>
        <w:t>ing</w:t>
      </w:r>
      <w:r w:rsidR="00530DF9" w:rsidRPr="0002056A">
        <w:rPr>
          <w:rFonts w:ascii="Georgia" w:hAnsi="Georgia" w:cs="Times New Roman"/>
          <w:lang w:val="en-GB"/>
        </w:rPr>
        <w:t xml:space="preserve"> connections between the actual anal</w:t>
      </w:r>
      <w:r w:rsidR="00790C07" w:rsidRPr="0002056A">
        <w:rPr>
          <w:rFonts w:ascii="Georgia" w:hAnsi="Georgia" w:cs="Times New Roman"/>
          <w:lang w:val="en-GB"/>
        </w:rPr>
        <w:t xml:space="preserve">ysis and its theoretical </w:t>
      </w:r>
      <w:r w:rsidR="00590011" w:rsidRPr="0002056A">
        <w:rPr>
          <w:rFonts w:ascii="Georgia" w:hAnsi="Georgia" w:cs="Times New Roman"/>
          <w:lang w:val="en-GB"/>
        </w:rPr>
        <w:t>base</w:t>
      </w:r>
      <w:r w:rsidR="00790C07" w:rsidRPr="0002056A">
        <w:rPr>
          <w:rFonts w:ascii="Georgia" w:hAnsi="Georgia" w:cs="Times New Roman"/>
          <w:lang w:val="en-GB"/>
        </w:rPr>
        <w:t xml:space="preserve"> described by </w:t>
      </w:r>
      <w:r w:rsidR="00590011" w:rsidRPr="0002056A">
        <w:rPr>
          <w:rFonts w:ascii="Georgia" w:hAnsi="Georgia" w:cs="Times New Roman"/>
          <w:lang w:val="en-GB"/>
        </w:rPr>
        <w:t xml:space="preserve">Annex 2 and </w:t>
      </w:r>
      <w:r w:rsidR="00790C07" w:rsidRPr="0002056A">
        <w:rPr>
          <w:rFonts w:ascii="Georgia" w:hAnsi="Georgia" w:cs="Times New Roman"/>
          <w:lang w:val="en-GB"/>
        </w:rPr>
        <w:t>Chapters 3.</w:t>
      </w:r>
      <w:r w:rsidR="009E5FB9" w:rsidRPr="0002056A">
        <w:rPr>
          <w:rFonts w:ascii="Georgia" w:hAnsi="Georgia" w:cs="Times New Roman"/>
          <w:lang w:val="en-GB"/>
        </w:rPr>
        <w:t>6</w:t>
      </w:r>
      <w:r w:rsidR="00790C07" w:rsidRPr="0002056A">
        <w:rPr>
          <w:rFonts w:ascii="Georgia" w:hAnsi="Georgia" w:cs="Times New Roman"/>
          <w:lang w:val="en-GB"/>
        </w:rPr>
        <w:t>. a</w:t>
      </w:r>
      <w:r w:rsidR="009E5FB9" w:rsidRPr="0002056A">
        <w:rPr>
          <w:rFonts w:ascii="Georgia" w:hAnsi="Georgia" w:cs="Times New Roman"/>
          <w:lang w:val="en-GB"/>
        </w:rPr>
        <w:t>n</w:t>
      </w:r>
      <w:r w:rsidR="00790C07" w:rsidRPr="0002056A">
        <w:rPr>
          <w:rFonts w:ascii="Georgia" w:hAnsi="Georgia" w:cs="Times New Roman"/>
          <w:lang w:val="en-GB"/>
        </w:rPr>
        <w:t>d 4.2.1</w:t>
      </w:r>
      <w:r w:rsidRPr="0002056A">
        <w:rPr>
          <w:rFonts w:ascii="Georgia" w:hAnsi="Georgia" w:cs="Times New Roman"/>
          <w:lang w:val="en-GB"/>
        </w:rPr>
        <w:t>. Through the table</w:t>
      </w:r>
      <w:r w:rsidR="00D17729">
        <w:rPr>
          <w:rFonts w:ascii="Georgia" w:hAnsi="Georgia" w:cs="Times New Roman"/>
          <w:lang w:val="en-GB"/>
        </w:rPr>
        <w:t>,</w:t>
      </w:r>
      <w:r w:rsidRPr="0002056A">
        <w:rPr>
          <w:rFonts w:ascii="Georgia" w:hAnsi="Georgia" w:cs="Times New Roman"/>
          <w:lang w:val="en-GB"/>
        </w:rPr>
        <w:t xml:space="preserve"> the reader can follow the internal logic of the analytical aspect system</w:t>
      </w:r>
      <w:r w:rsidR="00A55134" w:rsidRPr="0002056A">
        <w:rPr>
          <w:rFonts w:ascii="Georgia" w:hAnsi="Georgia" w:cs="Times New Roman"/>
          <w:lang w:val="en-GB"/>
        </w:rPr>
        <w:t xml:space="preserve"> – in case of each sub-aspect the table indicates those disciplines/practical fields</w:t>
      </w:r>
      <w:r w:rsidR="00944188" w:rsidRPr="0002056A">
        <w:rPr>
          <w:rFonts w:ascii="Georgia" w:hAnsi="Georgia" w:cs="Times New Roman"/>
          <w:lang w:val="en-GB"/>
        </w:rPr>
        <w:t xml:space="preserve">, whose main space concepts/interpretations </w:t>
      </w:r>
      <w:r w:rsidR="00AF48D1" w:rsidRPr="0002056A">
        <w:rPr>
          <w:rFonts w:ascii="Georgia" w:hAnsi="Georgia" w:cs="Times New Roman"/>
          <w:lang w:val="en-GB"/>
        </w:rPr>
        <w:t>meant the basis</w:t>
      </w:r>
      <w:r w:rsidR="00F47C54" w:rsidRPr="0002056A">
        <w:rPr>
          <w:rFonts w:ascii="Georgia" w:hAnsi="Georgia" w:cs="Times New Roman"/>
          <w:lang w:val="en-GB"/>
        </w:rPr>
        <w:t xml:space="preserve"> of the given analytical sub-factor</w:t>
      </w:r>
      <w:r w:rsidR="00AF48D1" w:rsidRPr="0002056A">
        <w:rPr>
          <w:rFonts w:ascii="Georgia" w:hAnsi="Georgia" w:cs="Times New Roman"/>
          <w:lang w:val="en-GB"/>
        </w:rPr>
        <w:t>.</w:t>
      </w:r>
      <w:r w:rsidR="00E723CD" w:rsidRPr="0002056A">
        <w:rPr>
          <w:rFonts w:ascii="Calibri" w:eastAsia="Times New Roman" w:hAnsi="Calibri" w:cs="Times New Roman"/>
          <w:b/>
          <w:bCs/>
          <w:color w:val="000000"/>
          <w:lang w:val="en-GB" w:eastAsia="hu-HU"/>
        </w:rPr>
        <w:t xml:space="preserve"> </w:t>
      </w:r>
    </w:p>
    <w:p w14:paraId="03210F55" w14:textId="77777777" w:rsidR="00CF5C1E" w:rsidRPr="0002056A" w:rsidRDefault="00CF5C1E">
      <w:pPr>
        <w:spacing w:after="160" w:line="259" w:lineRule="auto"/>
        <w:rPr>
          <w:rFonts w:ascii="Calibri" w:eastAsia="Times New Roman" w:hAnsi="Calibri" w:cs="Times New Roman"/>
          <w:b/>
          <w:bCs/>
          <w:color w:val="000000"/>
          <w:lang w:val="en-GB" w:eastAsia="hu-HU"/>
        </w:rPr>
      </w:pPr>
      <w:r w:rsidRPr="0002056A">
        <w:rPr>
          <w:rFonts w:ascii="Calibri" w:eastAsia="Times New Roman" w:hAnsi="Calibri" w:cs="Times New Roman"/>
          <w:b/>
          <w:bCs/>
          <w:color w:val="000000"/>
          <w:lang w:val="en-GB" w:eastAsia="hu-HU"/>
        </w:rPr>
        <w:br w:type="page"/>
      </w:r>
    </w:p>
    <w:p w14:paraId="1D170DB8" w14:textId="77777777" w:rsidR="00E723CD" w:rsidRPr="0002056A" w:rsidRDefault="00E723CD" w:rsidP="00CD5BF3">
      <w:pPr>
        <w:spacing w:before="120" w:afterLines="120" w:after="288"/>
        <w:jc w:val="both"/>
        <w:rPr>
          <w:rFonts w:ascii="Calibri" w:eastAsia="Times New Roman" w:hAnsi="Calibri" w:cs="Times New Roman"/>
          <w:b/>
          <w:bCs/>
          <w:color w:val="000000"/>
          <w:lang w:val="en-GB" w:eastAsia="hu-HU"/>
        </w:rPr>
      </w:pPr>
    </w:p>
    <w:p w14:paraId="0474C6C4" w14:textId="464B0D9B" w:rsidR="00550F53" w:rsidRPr="0002056A" w:rsidRDefault="00550F53" w:rsidP="00550F53">
      <w:pPr>
        <w:spacing w:before="120" w:afterLines="120" w:after="288" w:line="240" w:lineRule="auto"/>
        <w:jc w:val="center"/>
        <w:rPr>
          <w:rFonts w:ascii="Georgia" w:hAnsi="Georgia"/>
          <w:sz w:val="16"/>
          <w:szCs w:val="16"/>
          <w:lang w:val="en-GB"/>
        </w:rPr>
      </w:pPr>
      <w:r w:rsidRPr="0002056A">
        <w:rPr>
          <w:rFonts w:ascii="Georgia" w:hAnsi="Georgia"/>
          <w:b/>
          <w:bCs/>
          <w:sz w:val="16"/>
          <w:szCs w:val="16"/>
          <w:lang w:val="en-GB"/>
        </w:rPr>
        <w:t>Table 2:</w:t>
      </w:r>
      <w:r w:rsidRPr="0002056A">
        <w:rPr>
          <w:rFonts w:ascii="Georgia" w:hAnsi="Georgia"/>
          <w:sz w:val="16"/>
          <w:szCs w:val="16"/>
          <w:lang w:val="en-GB"/>
        </w:rPr>
        <w:t xml:space="preserve"> The analytical structure. </w:t>
      </w:r>
      <w:r w:rsidRPr="0002056A">
        <w:rPr>
          <w:rFonts w:ascii="Georgia" w:hAnsi="Georgia"/>
          <w:i/>
          <w:sz w:val="16"/>
          <w:szCs w:val="16"/>
          <w:lang w:val="en-GB"/>
        </w:rPr>
        <w:t xml:space="preserve">Source: own editing. </w:t>
      </w:r>
      <w:r w:rsidRPr="0002056A">
        <w:rPr>
          <w:rFonts w:ascii="Georgia" w:hAnsi="Georgia"/>
          <w:iCs/>
          <w:sz w:val="16"/>
          <w:szCs w:val="16"/>
          <w:lang w:val="en-GB"/>
        </w:rPr>
        <w:t>The first column contains the main aspects (factors) of the analysis; the second column the sub</w:t>
      </w:r>
      <w:r w:rsidR="005D50CF" w:rsidRPr="0002056A">
        <w:rPr>
          <w:rFonts w:ascii="Georgia" w:hAnsi="Georgia"/>
          <w:iCs/>
          <w:sz w:val="16"/>
          <w:szCs w:val="16"/>
          <w:lang w:val="en-GB"/>
        </w:rPr>
        <w:t>-</w:t>
      </w:r>
      <w:r w:rsidRPr="0002056A">
        <w:rPr>
          <w:rFonts w:ascii="Georgia" w:hAnsi="Georgia"/>
          <w:iCs/>
          <w:sz w:val="16"/>
          <w:szCs w:val="16"/>
          <w:lang w:val="en-GB"/>
        </w:rPr>
        <w:t>factors.</w:t>
      </w:r>
      <w:r w:rsidRPr="0002056A">
        <w:rPr>
          <w:rFonts w:ascii="Georgia" w:hAnsi="Georgia"/>
          <w:i/>
          <w:sz w:val="16"/>
          <w:szCs w:val="16"/>
          <w:lang w:val="en-GB"/>
        </w:rPr>
        <w:t xml:space="preserve"> </w:t>
      </w:r>
    </w:p>
    <w:tbl>
      <w:tblPr>
        <w:tblW w:w="10102" w:type="dxa"/>
        <w:jc w:val="center"/>
        <w:tblCellMar>
          <w:left w:w="70" w:type="dxa"/>
          <w:right w:w="70" w:type="dxa"/>
        </w:tblCellMar>
        <w:tblLook w:val="04A0" w:firstRow="1" w:lastRow="0" w:firstColumn="1" w:lastColumn="0" w:noHBand="0" w:noVBand="1"/>
      </w:tblPr>
      <w:tblGrid>
        <w:gridCol w:w="1124"/>
        <w:gridCol w:w="2000"/>
        <w:gridCol w:w="893"/>
        <w:gridCol w:w="893"/>
        <w:gridCol w:w="893"/>
        <w:gridCol w:w="897"/>
        <w:gridCol w:w="851"/>
        <w:gridCol w:w="907"/>
        <w:gridCol w:w="794"/>
        <w:gridCol w:w="850"/>
      </w:tblGrid>
      <w:tr w:rsidR="00DA5AB3" w:rsidRPr="0002056A" w14:paraId="06218F30" w14:textId="77777777" w:rsidTr="00227A0C">
        <w:trPr>
          <w:trHeight w:val="432"/>
          <w:tblHeader/>
          <w:jc w:val="center"/>
        </w:trPr>
        <w:tc>
          <w:tcPr>
            <w:tcW w:w="1124" w:type="dxa"/>
            <w:vMerge w:val="restart"/>
            <w:tcBorders>
              <w:top w:val="single" w:sz="8" w:space="0" w:color="auto"/>
              <w:left w:val="single" w:sz="8" w:space="0" w:color="auto"/>
              <w:bottom w:val="single" w:sz="8" w:space="0" w:color="000000"/>
              <w:right w:val="single" w:sz="4" w:space="0" w:color="auto"/>
            </w:tcBorders>
            <w:vAlign w:val="center"/>
            <w:hideMark/>
          </w:tcPr>
          <w:p w14:paraId="5A50EAA3" w14:textId="77777777" w:rsidR="00AF0466" w:rsidRPr="0002056A" w:rsidRDefault="00AF0466" w:rsidP="00162BDA">
            <w:pPr>
              <w:spacing w:after="0" w:line="240" w:lineRule="auto"/>
              <w:jc w:val="center"/>
              <w:rPr>
                <w:rFonts w:ascii="Georgia" w:eastAsia="Times New Roman" w:hAnsi="Georgia" w:cs="Calibri"/>
                <w:b/>
                <w:bCs/>
                <w:color w:val="000000"/>
                <w:sz w:val="24"/>
                <w:szCs w:val="24"/>
                <w:lang w:val="en-GB" w:eastAsia="hu-HU"/>
              </w:rPr>
            </w:pPr>
            <w:r w:rsidRPr="0002056A">
              <w:rPr>
                <w:rFonts w:ascii="Georgia" w:eastAsia="Times New Roman" w:hAnsi="Georgia" w:cs="Calibri"/>
                <w:b/>
                <w:bCs/>
                <w:color w:val="000000"/>
                <w:sz w:val="24"/>
                <w:szCs w:val="24"/>
                <w:lang w:val="en-GB" w:eastAsia="hu-HU"/>
              </w:rPr>
              <w:t>Main aspects</w:t>
            </w:r>
          </w:p>
        </w:tc>
        <w:tc>
          <w:tcPr>
            <w:tcW w:w="2000" w:type="dxa"/>
            <w:vMerge w:val="restart"/>
            <w:tcBorders>
              <w:top w:val="single" w:sz="8" w:space="0" w:color="auto"/>
              <w:left w:val="single" w:sz="4" w:space="0" w:color="auto"/>
              <w:bottom w:val="single" w:sz="8" w:space="0" w:color="000000"/>
              <w:right w:val="single" w:sz="4" w:space="0" w:color="auto"/>
            </w:tcBorders>
            <w:vAlign w:val="center"/>
            <w:hideMark/>
          </w:tcPr>
          <w:p w14:paraId="6D4657F6" w14:textId="77777777" w:rsidR="00AF0466" w:rsidRPr="0002056A" w:rsidRDefault="00AF0466" w:rsidP="00F72AEF">
            <w:pPr>
              <w:spacing w:after="0" w:line="240" w:lineRule="auto"/>
              <w:jc w:val="center"/>
              <w:rPr>
                <w:rFonts w:ascii="Georgia" w:eastAsia="Times New Roman" w:hAnsi="Georgia" w:cs="Calibri"/>
                <w:b/>
                <w:bCs/>
                <w:color w:val="000000"/>
                <w:sz w:val="24"/>
                <w:szCs w:val="24"/>
                <w:lang w:val="en-GB" w:eastAsia="hu-HU"/>
              </w:rPr>
            </w:pPr>
            <w:r w:rsidRPr="0002056A">
              <w:rPr>
                <w:rFonts w:ascii="Georgia" w:eastAsia="Times New Roman" w:hAnsi="Georgia" w:cs="Calibri"/>
                <w:b/>
                <w:bCs/>
                <w:color w:val="000000"/>
                <w:sz w:val="24"/>
                <w:szCs w:val="24"/>
                <w:lang w:val="en-GB" w:eastAsia="hu-HU"/>
              </w:rPr>
              <w:t>Sub-aspects</w:t>
            </w:r>
          </w:p>
        </w:tc>
        <w:tc>
          <w:tcPr>
            <w:tcW w:w="6978" w:type="dxa"/>
            <w:gridSpan w:val="8"/>
            <w:tcBorders>
              <w:top w:val="single" w:sz="8" w:space="0" w:color="auto"/>
              <w:left w:val="nil"/>
              <w:bottom w:val="single" w:sz="4" w:space="0" w:color="auto"/>
              <w:right w:val="single" w:sz="8" w:space="0" w:color="000000"/>
            </w:tcBorders>
            <w:vAlign w:val="center"/>
            <w:hideMark/>
          </w:tcPr>
          <w:p w14:paraId="3EA97606" w14:textId="77777777" w:rsidR="00AF0466" w:rsidRPr="0002056A" w:rsidRDefault="00AF0466" w:rsidP="00F72AEF">
            <w:pPr>
              <w:spacing w:after="0" w:line="240" w:lineRule="auto"/>
              <w:jc w:val="center"/>
              <w:rPr>
                <w:rFonts w:ascii="Georgia" w:eastAsia="Times New Roman" w:hAnsi="Georgia" w:cs="Calibri"/>
                <w:b/>
                <w:bCs/>
                <w:color w:val="000000"/>
                <w:lang w:val="en-GB" w:eastAsia="hu-HU"/>
              </w:rPr>
            </w:pPr>
            <w:r w:rsidRPr="0002056A">
              <w:rPr>
                <w:rFonts w:ascii="Georgia" w:eastAsia="Times New Roman" w:hAnsi="Georgia" w:cs="Calibri"/>
                <w:b/>
                <w:bCs/>
                <w:color w:val="000000"/>
                <w:lang w:val="en-GB" w:eastAsia="hu-HU"/>
              </w:rPr>
              <w:t>Disciplines /fields</w:t>
            </w:r>
          </w:p>
        </w:tc>
      </w:tr>
      <w:tr w:rsidR="00DA5AB3" w:rsidRPr="0002056A" w14:paraId="462B5E8D" w14:textId="77777777" w:rsidTr="00526BD1">
        <w:trPr>
          <w:trHeight w:val="1631"/>
          <w:tblHeader/>
          <w:jc w:val="center"/>
        </w:trPr>
        <w:tc>
          <w:tcPr>
            <w:tcW w:w="1124" w:type="dxa"/>
            <w:vMerge/>
            <w:tcBorders>
              <w:top w:val="single" w:sz="8" w:space="0" w:color="auto"/>
              <w:left w:val="single" w:sz="8" w:space="0" w:color="auto"/>
              <w:bottom w:val="single" w:sz="8" w:space="0" w:color="000000"/>
              <w:right w:val="single" w:sz="4" w:space="0" w:color="auto"/>
            </w:tcBorders>
            <w:textDirection w:val="btLr"/>
            <w:vAlign w:val="center"/>
            <w:hideMark/>
          </w:tcPr>
          <w:p w14:paraId="507ED118" w14:textId="77777777" w:rsidR="00AF0466" w:rsidRPr="0002056A" w:rsidRDefault="00AF0466" w:rsidP="00162BDA">
            <w:pPr>
              <w:spacing w:after="0" w:line="240" w:lineRule="auto"/>
              <w:ind w:left="113" w:right="113"/>
              <w:rPr>
                <w:rFonts w:ascii="Georgia" w:eastAsia="Times New Roman" w:hAnsi="Georgia" w:cs="Calibri"/>
                <w:b/>
                <w:bCs/>
                <w:color w:val="000000"/>
                <w:sz w:val="24"/>
                <w:szCs w:val="24"/>
                <w:lang w:val="en-GB" w:eastAsia="hu-HU"/>
              </w:rPr>
            </w:pPr>
          </w:p>
        </w:tc>
        <w:tc>
          <w:tcPr>
            <w:tcW w:w="2000" w:type="dxa"/>
            <w:vMerge/>
            <w:tcBorders>
              <w:top w:val="single" w:sz="8" w:space="0" w:color="auto"/>
              <w:left w:val="single" w:sz="4" w:space="0" w:color="auto"/>
              <w:bottom w:val="single" w:sz="8" w:space="0" w:color="000000"/>
              <w:right w:val="single" w:sz="4" w:space="0" w:color="auto"/>
            </w:tcBorders>
            <w:vAlign w:val="center"/>
            <w:hideMark/>
          </w:tcPr>
          <w:p w14:paraId="2C286973" w14:textId="77777777" w:rsidR="00AF0466" w:rsidRPr="0002056A" w:rsidRDefault="00AF0466" w:rsidP="00F72AEF">
            <w:pPr>
              <w:spacing w:after="0" w:line="240" w:lineRule="auto"/>
              <w:rPr>
                <w:rFonts w:ascii="Georgia" w:eastAsia="Times New Roman" w:hAnsi="Georgia" w:cs="Calibri"/>
                <w:b/>
                <w:bCs/>
                <w:color w:val="000000"/>
                <w:sz w:val="24"/>
                <w:szCs w:val="24"/>
                <w:lang w:val="en-GB" w:eastAsia="hu-HU"/>
              </w:rPr>
            </w:pPr>
          </w:p>
        </w:tc>
        <w:tc>
          <w:tcPr>
            <w:tcW w:w="893" w:type="dxa"/>
            <w:tcBorders>
              <w:top w:val="nil"/>
              <w:left w:val="nil"/>
              <w:bottom w:val="single" w:sz="8" w:space="0" w:color="auto"/>
              <w:right w:val="single" w:sz="4" w:space="0" w:color="auto"/>
            </w:tcBorders>
            <w:vAlign w:val="center"/>
            <w:hideMark/>
          </w:tcPr>
          <w:p w14:paraId="2562318D" w14:textId="4C4A5B2E"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Environ-mental geography</w:t>
            </w:r>
          </w:p>
        </w:tc>
        <w:tc>
          <w:tcPr>
            <w:tcW w:w="893" w:type="dxa"/>
            <w:tcBorders>
              <w:top w:val="nil"/>
              <w:left w:val="nil"/>
              <w:bottom w:val="single" w:sz="8" w:space="0" w:color="auto"/>
              <w:right w:val="single" w:sz="4" w:space="0" w:color="auto"/>
            </w:tcBorders>
            <w:vAlign w:val="center"/>
            <w:hideMark/>
          </w:tcPr>
          <w:p w14:paraId="4313C0B8"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Human geography</w:t>
            </w:r>
          </w:p>
        </w:tc>
        <w:tc>
          <w:tcPr>
            <w:tcW w:w="893" w:type="dxa"/>
            <w:tcBorders>
              <w:top w:val="nil"/>
              <w:left w:val="nil"/>
              <w:bottom w:val="single" w:sz="8" w:space="0" w:color="auto"/>
              <w:right w:val="single" w:sz="4" w:space="0" w:color="auto"/>
            </w:tcBorders>
            <w:vAlign w:val="center"/>
            <w:hideMark/>
          </w:tcPr>
          <w:p w14:paraId="67D52C28"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Regional study, regional geography</w:t>
            </w:r>
          </w:p>
        </w:tc>
        <w:tc>
          <w:tcPr>
            <w:tcW w:w="897" w:type="dxa"/>
            <w:tcBorders>
              <w:top w:val="nil"/>
              <w:left w:val="nil"/>
              <w:bottom w:val="single" w:sz="8" w:space="0" w:color="auto"/>
              <w:right w:val="single" w:sz="4" w:space="0" w:color="auto"/>
            </w:tcBorders>
            <w:vAlign w:val="center"/>
            <w:hideMark/>
          </w:tcPr>
          <w:p w14:paraId="780BE826"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Political and admin. studies, IR</w:t>
            </w:r>
          </w:p>
        </w:tc>
        <w:tc>
          <w:tcPr>
            <w:tcW w:w="851" w:type="dxa"/>
            <w:tcBorders>
              <w:top w:val="nil"/>
              <w:left w:val="nil"/>
              <w:bottom w:val="single" w:sz="8" w:space="0" w:color="auto"/>
              <w:right w:val="single" w:sz="4" w:space="0" w:color="auto"/>
            </w:tcBorders>
            <w:vAlign w:val="center"/>
            <w:hideMark/>
          </w:tcPr>
          <w:p w14:paraId="7BD5F00A"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Geo-politics</w:t>
            </w:r>
          </w:p>
        </w:tc>
        <w:tc>
          <w:tcPr>
            <w:tcW w:w="907" w:type="dxa"/>
            <w:tcBorders>
              <w:top w:val="nil"/>
              <w:left w:val="nil"/>
              <w:bottom w:val="single" w:sz="8" w:space="0" w:color="auto"/>
              <w:right w:val="single" w:sz="4" w:space="0" w:color="auto"/>
            </w:tcBorders>
            <w:vAlign w:val="center"/>
            <w:hideMark/>
          </w:tcPr>
          <w:p w14:paraId="5966A1BF" w14:textId="0576B81E"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Reg</w:t>
            </w:r>
            <w:r w:rsidR="005D50CF" w:rsidRPr="0002056A">
              <w:rPr>
                <w:rFonts w:ascii="Georgia" w:eastAsia="Times New Roman" w:hAnsi="Georgia" w:cs="Calibri"/>
                <w:b/>
                <w:bCs/>
                <w:color w:val="000000"/>
                <w:sz w:val="14"/>
                <w:szCs w:val="14"/>
                <w:lang w:val="en-GB" w:eastAsia="hu-HU"/>
              </w:rPr>
              <w:t xml:space="preserve">ional </w:t>
            </w:r>
            <w:r w:rsidRPr="0002056A">
              <w:rPr>
                <w:rFonts w:ascii="Georgia" w:eastAsia="Times New Roman" w:hAnsi="Georgia" w:cs="Calibri"/>
                <w:b/>
                <w:bCs/>
                <w:color w:val="000000"/>
                <w:sz w:val="14"/>
                <w:szCs w:val="14"/>
                <w:lang w:val="en-GB" w:eastAsia="hu-HU"/>
              </w:rPr>
              <w:t>economics</w:t>
            </w:r>
          </w:p>
        </w:tc>
        <w:tc>
          <w:tcPr>
            <w:tcW w:w="794" w:type="dxa"/>
            <w:tcBorders>
              <w:top w:val="nil"/>
              <w:left w:val="nil"/>
              <w:bottom w:val="single" w:sz="8" w:space="0" w:color="auto"/>
              <w:right w:val="single" w:sz="4" w:space="0" w:color="auto"/>
            </w:tcBorders>
            <w:vAlign w:val="center"/>
            <w:hideMark/>
          </w:tcPr>
          <w:p w14:paraId="51580ECD"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Regional develop-ment</w:t>
            </w:r>
          </w:p>
        </w:tc>
        <w:tc>
          <w:tcPr>
            <w:tcW w:w="850" w:type="dxa"/>
            <w:tcBorders>
              <w:top w:val="nil"/>
              <w:left w:val="nil"/>
              <w:bottom w:val="single" w:sz="8" w:space="0" w:color="auto"/>
              <w:right w:val="single" w:sz="8" w:space="0" w:color="auto"/>
            </w:tcBorders>
            <w:vAlign w:val="center"/>
            <w:hideMark/>
          </w:tcPr>
          <w:p w14:paraId="3A3CB653" w14:textId="77777777" w:rsidR="00AF0466" w:rsidRPr="0002056A" w:rsidRDefault="00AF0466" w:rsidP="00F72AEF">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Strategic and spatial planning</w:t>
            </w:r>
          </w:p>
        </w:tc>
      </w:tr>
      <w:tr w:rsidR="00F62000" w:rsidRPr="0002056A" w14:paraId="73874F15" w14:textId="77777777" w:rsidTr="007A60F8">
        <w:trPr>
          <w:trHeight w:val="798"/>
          <w:jc w:val="center"/>
        </w:trPr>
        <w:tc>
          <w:tcPr>
            <w:tcW w:w="1124" w:type="dxa"/>
            <w:vMerge w:val="restart"/>
            <w:tcBorders>
              <w:top w:val="nil"/>
              <w:left w:val="single" w:sz="8" w:space="0" w:color="auto"/>
              <w:right w:val="single" w:sz="4" w:space="0" w:color="auto"/>
            </w:tcBorders>
            <w:textDirection w:val="btLr"/>
            <w:vAlign w:val="center"/>
            <w:hideMark/>
          </w:tcPr>
          <w:p w14:paraId="08D71D3E" w14:textId="212F9107" w:rsidR="00F62000" w:rsidRPr="0002056A" w:rsidRDefault="00F62000" w:rsidP="001170EC">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General spatiality of adaptation policy</w:t>
            </w:r>
          </w:p>
        </w:tc>
        <w:tc>
          <w:tcPr>
            <w:tcW w:w="2000" w:type="dxa"/>
            <w:tcBorders>
              <w:top w:val="nil"/>
              <w:left w:val="nil"/>
              <w:bottom w:val="single" w:sz="4" w:space="0" w:color="auto"/>
              <w:right w:val="single" w:sz="4" w:space="0" w:color="auto"/>
            </w:tcBorders>
            <w:vAlign w:val="center"/>
            <w:hideMark/>
          </w:tcPr>
          <w:p w14:paraId="3F899B15" w14:textId="6E434B58"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Space </w:t>
            </w:r>
            <w:r w:rsidR="003A5995" w:rsidRPr="0002056A">
              <w:rPr>
                <w:rFonts w:ascii="Georgia" w:eastAsia="Times New Roman" w:hAnsi="Georgia" w:cs="Calibri"/>
                <w:b/>
                <w:bCs/>
                <w:i/>
                <w:iCs/>
                <w:color w:val="538135" w:themeColor="accent6" w:themeShade="BF"/>
                <w:sz w:val="16"/>
                <w:szCs w:val="16"/>
                <w:lang w:val="en-GB" w:eastAsia="hu-HU"/>
              </w:rPr>
              <w:t>phraseo</w:t>
            </w:r>
            <w:r w:rsidRPr="0002056A">
              <w:rPr>
                <w:rFonts w:ascii="Georgia" w:eastAsia="Times New Roman" w:hAnsi="Georgia" w:cs="Calibri"/>
                <w:b/>
                <w:bCs/>
                <w:i/>
                <w:iCs/>
                <w:color w:val="538135" w:themeColor="accent6" w:themeShade="BF"/>
                <w:sz w:val="16"/>
                <w:szCs w:val="16"/>
                <w:lang w:val="en-GB" w:eastAsia="hu-HU"/>
              </w:rPr>
              <w:t>logy of the document</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D0F3A04" w14:textId="77777777" w:rsidR="00F62000" w:rsidRPr="0002056A" w:rsidRDefault="00F62000" w:rsidP="00F72AEF">
            <w:pPr>
              <w:spacing w:after="0" w:line="240" w:lineRule="auto"/>
              <w:rPr>
                <w:rFonts w:ascii="Calibri" w:eastAsia="Times New Roman" w:hAnsi="Calibri" w:cs="Calibri"/>
                <w:color w:val="D6DCE4"/>
                <w:lang w:val="en-GB" w:eastAsia="hu-HU"/>
              </w:rPr>
            </w:pPr>
            <w:r w:rsidRPr="0002056A">
              <w:rPr>
                <w:rFonts w:ascii="Calibri" w:eastAsia="Times New Roman" w:hAnsi="Calibri" w:cs="Calibri"/>
                <w:color w:val="D6DCE4"/>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C316692" w14:textId="77777777" w:rsidR="00F62000" w:rsidRPr="0002056A" w:rsidRDefault="00F62000" w:rsidP="00F72AEF">
            <w:pPr>
              <w:spacing w:after="0" w:line="240" w:lineRule="auto"/>
              <w:rPr>
                <w:rFonts w:ascii="Calibri" w:eastAsia="Times New Roman" w:hAnsi="Calibri" w:cs="Calibri"/>
                <w:color w:val="D6DCE4"/>
                <w:lang w:val="en-GB" w:eastAsia="hu-HU"/>
              </w:rPr>
            </w:pPr>
            <w:r w:rsidRPr="0002056A">
              <w:rPr>
                <w:rFonts w:ascii="Calibri" w:eastAsia="Times New Roman" w:hAnsi="Calibri" w:cs="Calibri"/>
                <w:color w:val="D6DCE4"/>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E38D4F1" w14:textId="77777777" w:rsidR="00F62000" w:rsidRPr="0002056A" w:rsidRDefault="00F62000" w:rsidP="00F72AEF">
            <w:pPr>
              <w:spacing w:after="0" w:line="240" w:lineRule="auto"/>
              <w:rPr>
                <w:rFonts w:ascii="Calibri" w:eastAsia="Times New Roman" w:hAnsi="Calibri" w:cs="Calibri"/>
                <w:color w:val="D6DCE4"/>
                <w:lang w:val="en-GB" w:eastAsia="hu-HU"/>
              </w:rPr>
            </w:pPr>
            <w:r w:rsidRPr="0002056A">
              <w:rPr>
                <w:rFonts w:ascii="Calibri" w:eastAsia="Times New Roman" w:hAnsi="Calibri" w:cs="Calibri"/>
                <w:color w:val="D6DCE4"/>
                <w:lang w:val="en-GB" w:eastAsia="hu-HU"/>
              </w:rPr>
              <w:t> </w:t>
            </w:r>
          </w:p>
        </w:tc>
        <w:tc>
          <w:tcPr>
            <w:tcW w:w="897" w:type="dxa"/>
            <w:tcBorders>
              <w:top w:val="nil"/>
              <w:left w:val="nil"/>
              <w:bottom w:val="single" w:sz="4" w:space="0" w:color="auto"/>
              <w:right w:val="single" w:sz="4" w:space="0" w:color="auto"/>
            </w:tcBorders>
            <w:noWrap/>
            <w:vAlign w:val="bottom"/>
            <w:hideMark/>
          </w:tcPr>
          <w:p w14:paraId="254DFC9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BDFFAE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1AAA60A5"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noWrap/>
            <w:vAlign w:val="bottom"/>
            <w:hideMark/>
          </w:tcPr>
          <w:p w14:paraId="154A47CD"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noWrap/>
            <w:vAlign w:val="bottom"/>
            <w:hideMark/>
          </w:tcPr>
          <w:p w14:paraId="5DB13D3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2D2B7961"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28F1D77C" w14:textId="4796036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60E47774" w14:textId="4842079F"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/sectoral character of adaptation policy</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7C77AF4"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AC4A5FF"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521332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45B44166"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2F3DC4E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C5E0B3" w:themeFill="accent6" w:themeFillTint="66"/>
            <w:noWrap/>
            <w:vAlign w:val="bottom"/>
            <w:hideMark/>
          </w:tcPr>
          <w:p w14:paraId="6FB81D32"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0544FF5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4304E0A9"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03CA83F3"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77DC4ABD" w14:textId="3F1440E5"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592C1FF5" w14:textId="0F396F4D"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levels of adaptation planning</w:t>
            </w:r>
          </w:p>
        </w:tc>
        <w:tc>
          <w:tcPr>
            <w:tcW w:w="893" w:type="dxa"/>
            <w:tcBorders>
              <w:top w:val="nil"/>
              <w:left w:val="nil"/>
              <w:bottom w:val="single" w:sz="4" w:space="0" w:color="auto"/>
              <w:right w:val="single" w:sz="4" w:space="0" w:color="auto"/>
            </w:tcBorders>
            <w:noWrap/>
            <w:vAlign w:val="bottom"/>
            <w:hideMark/>
          </w:tcPr>
          <w:p w14:paraId="0CD2D80B"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0FB6CFE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3528358"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3F85AA2D"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05DE46B6"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3B4B56BC"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544B40FD"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660909D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62CB2C51" w14:textId="77777777" w:rsidTr="007A60F8">
        <w:trPr>
          <w:trHeight w:val="889"/>
          <w:jc w:val="center"/>
        </w:trPr>
        <w:tc>
          <w:tcPr>
            <w:tcW w:w="1124" w:type="dxa"/>
            <w:vMerge/>
            <w:tcBorders>
              <w:left w:val="single" w:sz="8" w:space="0" w:color="auto"/>
              <w:bottom w:val="single" w:sz="4" w:space="0" w:color="auto"/>
              <w:right w:val="single" w:sz="4" w:space="0" w:color="auto"/>
            </w:tcBorders>
            <w:textDirection w:val="btLr"/>
            <w:vAlign w:val="center"/>
            <w:hideMark/>
          </w:tcPr>
          <w:p w14:paraId="0B34BFC5"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01ADAEC7" w14:textId="1C0E7C36"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Propagation of adaptation planning at lower spatial levels</w:t>
            </w:r>
          </w:p>
        </w:tc>
        <w:tc>
          <w:tcPr>
            <w:tcW w:w="893" w:type="dxa"/>
            <w:tcBorders>
              <w:top w:val="nil"/>
              <w:left w:val="nil"/>
              <w:bottom w:val="single" w:sz="4" w:space="0" w:color="auto"/>
              <w:right w:val="single" w:sz="4" w:space="0" w:color="auto"/>
            </w:tcBorders>
            <w:noWrap/>
            <w:vAlign w:val="bottom"/>
            <w:hideMark/>
          </w:tcPr>
          <w:p w14:paraId="7F16C355"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2750992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A114982"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643DEB39"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675D23C"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610F0A2F"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906845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2A10D514"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1213D79F" w14:textId="77777777" w:rsidTr="0037234E">
        <w:trPr>
          <w:trHeight w:val="889"/>
          <w:jc w:val="center"/>
        </w:trPr>
        <w:tc>
          <w:tcPr>
            <w:tcW w:w="1124" w:type="dxa"/>
            <w:vMerge w:val="restart"/>
            <w:tcBorders>
              <w:top w:val="nil"/>
              <w:left w:val="single" w:sz="8" w:space="0" w:color="auto"/>
              <w:right w:val="single" w:sz="4" w:space="0" w:color="auto"/>
            </w:tcBorders>
            <w:textDirection w:val="btLr"/>
            <w:vAlign w:val="center"/>
            <w:hideMark/>
          </w:tcPr>
          <w:p w14:paraId="27700747" w14:textId="718B58C5" w:rsidR="00F62000" w:rsidRPr="0002056A" w:rsidRDefault="00F62000" w:rsidP="0099786F">
            <w:pPr>
              <w:spacing w:after="0" w:line="240" w:lineRule="auto"/>
              <w:ind w:left="113" w:right="113"/>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Spatial aspects in adaptation-related evidence base</w:t>
            </w:r>
          </w:p>
        </w:tc>
        <w:tc>
          <w:tcPr>
            <w:tcW w:w="2000" w:type="dxa"/>
            <w:tcBorders>
              <w:top w:val="nil"/>
              <w:left w:val="nil"/>
              <w:bottom w:val="single" w:sz="4" w:space="0" w:color="auto"/>
              <w:right w:val="single" w:sz="4" w:space="0" w:color="auto"/>
            </w:tcBorders>
            <w:vAlign w:val="center"/>
            <w:hideMark/>
          </w:tcPr>
          <w:p w14:paraId="0FD3FF32" w14:textId="77777777"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Basic logic of the situation analyses</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2F1D0D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1E4CFD9"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2067D3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2DFE887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18C5FCC6"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7E7EEC9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6647C462"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6A45C7E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587A6A4F" w14:textId="77777777" w:rsidTr="0037234E">
        <w:trPr>
          <w:trHeight w:val="889"/>
          <w:jc w:val="center"/>
        </w:trPr>
        <w:tc>
          <w:tcPr>
            <w:tcW w:w="1124" w:type="dxa"/>
            <w:vMerge/>
            <w:tcBorders>
              <w:left w:val="single" w:sz="8" w:space="0" w:color="auto"/>
              <w:right w:val="single" w:sz="4" w:space="0" w:color="auto"/>
            </w:tcBorders>
            <w:textDirection w:val="btLr"/>
            <w:vAlign w:val="center"/>
            <w:hideMark/>
          </w:tcPr>
          <w:p w14:paraId="1E43A04B"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23691332" w14:textId="77777777"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visualization of the situation analyses</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112369D"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2C5E986"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D9C6DE7"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753127E9"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79D50343"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7BEB17A6"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04F7345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1A9EC864"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7334237D" w14:textId="77777777" w:rsidTr="0037234E">
        <w:trPr>
          <w:trHeight w:val="889"/>
          <w:jc w:val="center"/>
        </w:trPr>
        <w:tc>
          <w:tcPr>
            <w:tcW w:w="1124" w:type="dxa"/>
            <w:vMerge/>
            <w:tcBorders>
              <w:left w:val="single" w:sz="8" w:space="0" w:color="auto"/>
              <w:right w:val="single" w:sz="4" w:space="0" w:color="auto"/>
            </w:tcBorders>
            <w:textDirection w:val="btLr"/>
            <w:vAlign w:val="center"/>
            <w:hideMark/>
          </w:tcPr>
          <w:p w14:paraId="6B4D4B90"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0F58BE9D" w14:textId="265A2400"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situation analyses</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A9544B5"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B79AC05"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5C9149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3E286184"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2E31CB50"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4751850B"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D69CDB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7F04B8D8"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45936C17" w14:textId="77777777" w:rsidTr="0037234E">
        <w:trPr>
          <w:trHeight w:val="889"/>
          <w:jc w:val="center"/>
        </w:trPr>
        <w:tc>
          <w:tcPr>
            <w:tcW w:w="1124" w:type="dxa"/>
            <w:vMerge/>
            <w:tcBorders>
              <w:left w:val="single" w:sz="8" w:space="0" w:color="auto"/>
              <w:right w:val="single" w:sz="4" w:space="0" w:color="auto"/>
            </w:tcBorders>
            <w:textDirection w:val="btLr"/>
            <w:vAlign w:val="center"/>
          </w:tcPr>
          <w:p w14:paraId="583E84BB"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tcPr>
          <w:p w14:paraId="7176D9D7" w14:textId="442F041F"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Consideration of European positions regarding climatic challenges</w:t>
            </w: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778FFA20"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FFFFFF" w:themeFill="background1"/>
            <w:noWrap/>
            <w:vAlign w:val="bottom"/>
          </w:tcPr>
          <w:p w14:paraId="697B828D" w14:textId="51FE86E7" w:rsidR="00F62000" w:rsidRPr="0002056A" w:rsidRDefault="00F62000"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424C4ED6"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97" w:type="dxa"/>
            <w:tcBorders>
              <w:top w:val="nil"/>
              <w:left w:val="nil"/>
              <w:bottom w:val="single" w:sz="4" w:space="0" w:color="auto"/>
              <w:right w:val="single" w:sz="4" w:space="0" w:color="auto"/>
            </w:tcBorders>
            <w:noWrap/>
            <w:vAlign w:val="bottom"/>
          </w:tcPr>
          <w:p w14:paraId="04794C00"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51" w:type="dxa"/>
            <w:tcBorders>
              <w:top w:val="nil"/>
              <w:left w:val="nil"/>
              <w:bottom w:val="single" w:sz="4" w:space="0" w:color="auto"/>
              <w:right w:val="single" w:sz="4" w:space="0" w:color="auto"/>
            </w:tcBorders>
            <w:shd w:val="clear" w:color="auto" w:fill="C5E0B3" w:themeFill="accent6" w:themeFillTint="66"/>
            <w:noWrap/>
            <w:vAlign w:val="bottom"/>
          </w:tcPr>
          <w:p w14:paraId="3C6550D3"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907" w:type="dxa"/>
            <w:tcBorders>
              <w:top w:val="nil"/>
              <w:left w:val="nil"/>
              <w:bottom w:val="single" w:sz="4" w:space="0" w:color="auto"/>
              <w:right w:val="single" w:sz="4" w:space="0" w:color="auto"/>
            </w:tcBorders>
            <w:noWrap/>
            <w:vAlign w:val="bottom"/>
          </w:tcPr>
          <w:p w14:paraId="15DA8AAB"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794" w:type="dxa"/>
            <w:tcBorders>
              <w:top w:val="nil"/>
              <w:left w:val="nil"/>
              <w:bottom w:val="single" w:sz="4" w:space="0" w:color="auto"/>
              <w:right w:val="single" w:sz="4" w:space="0" w:color="auto"/>
            </w:tcBorders>
            <w:shd w:val="clear" w:color="auto" w:fill="C5E0B3" w:themeFill="accent6" w:themeFillTint="66"/>
            <w:noWrap/>
            <w:vAlign w:val="bottom"/>
          </w:tcPr>
          <w:p w14:paraId="7C0677B1"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50" w:type="dxa"/>
            <w:tcBorders>
              <w:top w:val="nil"/>
              <w:left w:val="nil"/>
              <w:bottom w:val="single" w:sz="4" w:space="0" w:color="auto"/>
              <w:right w:val="single" w:sz="8" w:space="0" w:color="auto"/>
            </w:tcBorders>
            <w:shd w:val="clear" w:color="auto" w:fill="C5E0B3" w:themeFill="accent6" w:themeFillTint="66"/>
            <w:noWrap/>
            <w:vAlign w:val="bottom"/>
          </w:tcPr>
          <w:p w14:paraId="1F2ABCA3" w14:textId="77777777" w:rsidR="00F62000" w:rsidRPr="0002056A" w:rsidRDefault="00F62000" w:rsidP="00F72AEF">
            <w:pPr>
              <w:spacing w:after="0" w:line="240" w:lineRule="auto"/>
              <w:rPr>
                <w:rFonts w:ascii="Calibri" w:eastAsia="Times New Roman" w:hAnsi="Calibri" w:cs="Calibri"/>
                <w:color w:val="000000"/>
                <w:lang w:val="en-GB" w:eastAsia="hu-HU"/>
              </w:rPr>
            </w:pPr>
          </w:p>
        </w:tc>
      </w:tr>
      <w:tr w:rsidR="00F62000" w:rsidRPr="0002056A" w14:paraId="2A06FC5D" w14:textId="77777777" w:rsidTr="0037234E">
        <w:trPr>
          <w:trHeight w:val="889"/>
          <w:jc w:val="center"/>
        </w:trPr>
        <w:tc>
          <w:tcPr>
            <w:tcW w:w="1124" w:type="dxa"/>
            <w:vMerge/>
            <w:tcBorders>
              <w:left w:val="single" w:sz="8" w:space="0" w:color="auto"/>
              <w:right w:val="single" w:sz="4" w:space="0" w:color="auto"/>
            </w:tcBorders>
            <w:textDirection w:val="btLr"/>
            <w:vAlign w:val="center"/>
            <w:hideMark/>
          </w:tcPr>
          <w:p w14:paraId="32425757"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74CC0F14" w14:textId="77777777"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SWOT</w:t>
            </w:r>
          </w:p>
          <w:p w14:paraId="361D71DC" w14:textId="08D5680C" w:rsidR="00526BD1" w:rsidRPr="0002056A" w:rsidRDefault="00526BD1" w:rsidP="00F72AEF">
            <w:pPr>
              <w:spacing w:after="0" w:line="240" w:lineRule="auto"/>
              <w:rPr>
                <w:rFonts w:ascii="Georgia" w:eastAsia="Times New Roman" w:hAnsi="Georgia" w:cs="Calibri"/>
                <w:b/>
                <w:bCs/>
                <w:i/>
                <w:iCs/>
                <w:color w:val="538135" w:themeColor="accent6" w:themeShade="BF"/>
                <w:sz w:val="16"/>
                <w:szCs w:val="16"/>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2A5C2D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4C2F80C0"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56B21C3"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09FB11C8"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7FE5D442"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2F0CE76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D173FC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1FF58BF5"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F62000" w:rsidRPr="0002056A" w14:paraId="22861E9F" w14:textId="77777777" w:rsidTr="0037234E">
        <w:trPr>
          <w:trHeight w:val="889"/>
          <w:jc w:val="center"/>
        </w:trPr>
        <w:tc>
          <w:tcPr>
            <w:tcW w:w="1124" w:type="dxa"/>
            <w:vMerge/>
            <w:tcBorders>
              <w:left w:val="single" w:sz="8" w:space="0" w:color="auto"/>
              <w:right w:val="single" w:sz="4" w:space="0" w:color="auto"/>
            </w:tcBorders>
            <w:textDirection w:val="btLr"/>
            <w:vAlign w:val="center"/>
          </w:tcPr>
          <w:p w14:paraId="08B3B164"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tcPr>
          <w:p w14:paraId="2025822B" w14:textId="77777777" w:rsidR="00526BD1" w:rsidRPr="0002056A" w:rsidRDefault="00526BD1"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38CCE744" w14:textId="77777777"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narrative situation assessments</w:t>
            </w:r>
          </w:p>
          <w:p w14:paraId="70A90D5C" w14:textId="76BF3372" w:rsidR="00526BD1" w:rsidRPr="0002056A" w:rsidRDefault="00526BD1" w:rsidP="00F72AEF">
            <w:pPr>
              <w:spacing w:after="0" w:line="240" w:lineRule="auto"/>
              <w:rPr>
                <w:rFonts w:ascii="Georgia" w:eastAsia="Times New Roman" w:hAnsi="Georgia" w:cs="Calibri"/>
                <w:b/>
                <w:bCs/>
                <w:i/>
                <w:iCs/>
                <w:color w:val="538135" w:themeColor="accent6" w:themeShade="BF"/>
                <w:sz w:val="16"/>
                <w:szCs w:val="16"/>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20727FEE"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63A28A87"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6DA9384E"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97" w:type="dxa"/>
            <w:tcBorders>
              <w:top w:val="nil"/>
              <w:left w:val="nil"/>
              <w:bottom w:val="single" w:sz="4" w:space="0" w:color="auto"/>
              <w:right w:val="single" w:sz="4" w:space="0" w:color="auto"/>
            </w:tcBorders>
            <w:noWrap/>
            <w:vAlign w:val="bottom"/>
          </w:tcPr>
          <w:p w14:paraId="0FE1EB52"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51" w:type="dxa"/>
            <w:tcBorders>
              <w:top w:val="nil"/>
              <w:left w:val="nil"/>
              <w:bottom w:val="single" w:sz="4" w:space="0" w:color="auto"/>
              <w:right w:val="single" w:sz="4" w:space="0" w:color="auto"/>
            </w:tcBorders>
            <w:noWrap/>
            <w:vAlign w:val="bottom"/>
          </w:tcPr>
          <w:p w14:paraId="690D5A51"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907" w:type="dxa"/>
            <w:tcBorders>
              <w:top w:val="nil"/>
              <w:left w:val="nil"/>
              <w:bottom w:val="single" w:sz="4" w:space="0" w:color="auto"/>
              <w:right w:val="single" w:sz="4" w:space="0" w:color="auto"/>
            </w:tcBorders>
            <w:noWrap/>
            <w:vAlign w:val="bottom"/>
          </w:tcPr>
          <w:p w14:paraId="404EB1BD"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794" w:type="dxa"/>
            <w:tcBorders>
              <w:top w:val="nil"/>
              <w:left w:val="nil"/>
              <w:bottom w:val="single" w:sz="4" w:space="0" w:color="auto"/>
              <w:right w:val="single" w:sz="4" w:space="0" w:color="auto"/>
            </w:tcBorders>
            <w:shd w:val="clear" w:color="auto" w:fill="C5E0B3" w:themeFill="accent6" w:themeFillTint="66"/>
            <w:noWrap/>
            <w:vAlign w:val="bottom"/>
          </w:tcPr>
          <w:p w14:paraId="2605711C" w14:textId="77777777" w:rsidR="00F62000" w:rsidRPr="0002056A" w:rsidRDefault="00F62000" w:rsidP="00F72AEF">
            <w:pPr>
              <w:spacing w:after="0" w:line="240" w:lineRule="auto"/>
              <w:rPr>
                <w:rFonts w:ascii="Calibri" w:eastAsia="Times New Roman" w:hAnsi="Calibri" w:cs="Calibri"/>
                <w:color w:val="000000"/>
                <w:lang w:val="en-GB" w:eastAsia="hu-HU"/>
              </w:rPr>
            </w:pPr>
          </w:p>
        </w:tc>
        <w:tc>
          <w:tcPr>
            <w:tcW w:w="850" w:type="dxa"/>
            <w:tcBorders>
              <w:top w:val="nil"/>
              <w:left w:val="nil"/>
              <w:bottom w:val="single" w:sz="4" w:space="0" w:color="auto"/>
              <w:right w:val="single" w:sz="8" w:space="0" w:color="auto"/>
            </w:tcBorders>
            <w:shd w:val="clear" w:color="auto" w:fill="C5E0B3" w:themeFill="accent6" w:themeFillTint="66"/>
            <w:noWrap/>
            <w:vAlign w:val="bottom"/>
          </w:tcPr>
          <w:p w14:paraId="39D103A8" w14:textId="77777777" w:rsidR="00F62000" w:rsidRPr="0002056A" w:rsidRDefault="00F62000" w:rsidP="00F72AEF">
            <w:pPr>
              <w:spacing w:after="0" w:line="240" w:lineRule="auto"/>
              <w:rPr>
                <w:rFonts w:ascii="Calibri" w:eastAsia="Times New Roman" w:hAnsi="Calibri" w:cs="Calibri"/>
                <w:color w:val="000000"/>
                <w:lang w:val="en-GB" w:eastAsia="hu-HU"/>
              </w:rPr>
            </w:pPr>
          </w:p>
        </w:tc>
      </w:tr>
      <w:tr w:rsidR="00F62000" w:rsidRPr="0002056A" w14:paraId="3D7D2B3A" w14:textId="77777777" w:rsidTr="0037234E">
        <w:trPr>
          <w:trHeight w:val="889"/>
          <w:jc w:val="center"/>
        </w:trPr>
        <w:tc>
          <w:tcPr>
            <w:tcW w:w="1124" w:type="dxa"/>
            <w:vMerge/>
            <w:tcBorders>
              <w:left w:val="single" w:sz="8" w:space="0" w:color="auto"/>
              <w:bottom w:val="single" w:sz="4" w:space="0" w:color="auto"/>
              <w:right w:val="single" w:sz="4" w:space="0" w:color="auto"/>
            </w:tcBorders>
            <w:textDirection w:val="btLr"/>
            <w:vAlign w:val="center"/>
            <w:hideMark/>
          </w:tcPr>
          <w:p w14:paraId="690C44C3" w14:textId="77777777" w:rsidR="00F62000" w:rsidRPr="0002056A" w:rsidRDefault="00F62000"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657C4FEC" w14:textId="77777777" w:rsidR="00526BD1" w:rsidRPr="0002056A" w:rsidRDefault="00526BD1"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0B2DCA86" w14:textId="77777777" w:rsidR="00F62000" w:rsidRPr="0002056A" w:rsidRDefault="00F62000"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planning focus of situation analyses</w:t>
            </w:r>
          </w:p>
          <w:p w14:paraId="16B6E9E6" w14:textId="77BB3F67" w:rsidR="00526BD1" w:rsidRPr="0002056A" w:rsidRDefault="00526BD1" w:rsidP="00F72AEF">
            <w:pPr>
              <w:spacing w:after="0" w:line="240" w:lineRule="auto"/>
              <w:rPr>
                <w:rFonts w:ascii="Georgia" w:eastAsia="Times New Roman" w:hAnsi="Georgia" w:cs="Calibri"/>
                <w:b/>
                <w:bCs/>
                <w:i/>
                <w:iCs/>
                <w:color w:val="538135" w:themeColor="accent6" w:themeShade="BF"/>
                <w:sz w:val="16"/>
                <w:szCs w:val="16"/>
                <w:lang w:val="en-GB" w:eastAsia="hu-HU"/>
              </w:rPr>
            </w:pPr>
          </w:p>
        </w:tc>
        <w:tc>
          <w:tcPr>
            <w:tcW w:w="893" w:type="dxa"/>
            <w:tcBorders>
              <w:top w:val="nil"/>
              <w:left w:val="nil"/>
              <w:bottom w:val="single" w:sz="4" w:space="0" w:color="auto"/>
              <w:right w:val="single" w:sz="4" w:space="0" w:color="auto"/>
            </w:tcBorders>
            <w:shd w:val="clear" w:color="auto" w:fill="FFFFFF" w:themeFill="background1"/>
            <w:noWrap/>
            <w:vAlign w:val="bottom"/>
            <w:hideMark/>
          </w:tcPr>
          <w:p w14:paraId="0237D61B"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FFFFFF" w:themeFill="background1"/>
            <w:noWrap/>
            <w:vAlign w:val="bottom"/>
            <w:hideMark/>
          </w:tcPr>
          <w:p w14:paraId="331D6A1B"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A7C4C4E"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FFFFFF" w:themeFill="background1"/>
            <w:noWrap/>
            <w:vAlign w:val="bottom"/>
            <w:hideMark/>
          </w:tcPr>
          <w:p w14:paraId="5D88032F"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shd w:val="clear" w:color="auto" w:fill="FFFFFF" w:themeFill="background1"/>
            <w:noWrap/>
            <w:vAlign w:val="bottom"/>
            <w:hideMark/>
          </w:tcPr>
          <w:p w14:paraId="45EEFA6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7C099443"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689D3CA"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408EB331" w14:textId="77777777" w:rsidR="00F62000" w:rsidRPr="0002056A" w:rsidRDefault="00F62000"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6B7DC057" w14:textId="77777777" w:rsidTr="007A60F8">
        <w:trPr>
          <w:trHeight w:val="889"/>
          <w:jc w:val="center"/>
        </w:trPr>
        <w:tc>
          <w:tcPr>
            <w:tcW w:w="1124" w:type="dxa"/>
            <w:vMerge w:val="restart"/>
            <w:tcBorders>
              <w:top w:val="nil"/>
              <w:left w:val="single" w:sz="8" w:space="0" w:color="auto"/>
              <w:bottom w:val="single" w:sz="4" w:space="0" w:color="auto"/>
              <w:right w:val="single" w:sz="4" w:space="0" w:color="auto"/>
            </w:tcBorders>
            <w:textDirection w:val="btLr"/>
            <w:vAlign w:val="center"/>
            <w:hideMark/>
          </w:tcPr>
          <w:p w14:paraId="05F03467" w14:textId="5756D89F" w:rsidR="00AF0466" w:rsidRPr="0002056A" w:rsidRDefault="0018757A" w:rsidP="0099786F">
            <w:pPr>
              <w:spacing w:after="0" w:line="240" w:lineRule="auto"/>
              <w:ind w:left="113" w:right="113"/>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lastRenderedPageBreak/>
              <w:t>Spatial</w:t>
            </w:r>
            <w:r w:rsidR="00AF0466" w:rsidRPr="0002056A">
              <w:rPr>
                <w:rFonts w:ascii="Georgia" w:eastAsia="Times New Roman" w:hAnsi="Georgia" w:cs="Calibri"/>
                <w:b/>
                <w:bCs/>
                <w:color w:val="000000"/>
                <w:sz w:val="20"/>
                <w:szCs w:val="20"/>
                <w:lang w:val="en-GB" w:eastAsia="hu-HU"/>
              </w:rPr>
              <w:t xml:space="preserve"> aspects in adaptation</w:t>
            </w:r>
            <w:r w:rsidR="00526BD1" w:rsidRPr="0002056A">
              <w:rPr>
                <w:rFonts w:ascii="Georgia" w:eastAsia="Times New Roman" w:hAnsi="Georgia" w:cs="Calibri"/>
                <w:b/>
                <w:bCs/>
                <w:color w:val="000000"/>
                <w:sz w:val="20"/>
                <w:szCs w:val="20"/>
                <w:lang w:val="en-GB" w:eastAsia="hu-HU"/>
              </w:rPr>
              <w:t>-</w:t>
            </w:r>
            <w:r w:rsidR="00AF0466" w:rsidRPr="0002056A">
              <w:rPr>
                <w:rFonts w:ascii="Georgia" w:eastAsia="Times New Roman" w:hAnsi="Georgia" w:cs="Calibri"/>
                <w:b/>
                <w:bCs/>
                <w:color w:val="000000"/>
                <w:sz w:val="20"/>
                <w:szCs w:val="20"/>
                <w:lang w:val="en-GB" w:eastAsia="hu-HU"/>
              </w:rPr>
              <w:t>related objective systems</w:t>
            </w:r>
          </w:p>
        </w:tc>
        <w:tc>
          <w:tcPr>
            <w:tcW w:w="2000" w:type="dxa"/>
            <w:tcBorders>
              <w:top w:val="nil"/>
              <w:left w:val="nil"/>
              <w:bottom w:val="single" w:sz="4" w:space="0" w:color="auto"/>
              <w:right w:val="single" w:sz="4" w:space="0" w:color="auto"/>
            </w:tcBorders>
            <w:vAlign w:val="center"/>
            <w:hideMark/>
          </w:tcPr>
          <w:p w14:paraId="6B170F35" w14:textId="094FD1BD" w:rsidR="00AF0466" w:rsidRPr="0002056A" w:rsidRDefault="00AF0466"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Basic logic of </w:t>
            </w:r>
            <w:r w:rsidR="00804EA7" w:rsidRPr="0002056A">
              <w:rPr>
                <w:rFonts w:ascii="Georgia" w:eastAsia="Times New Roman" w:hAnsi="Georgia" w:cs="Calibri"/>
                <w:b/>
                <w:bCs/>
                <w:i/>
                <w:iCs/>
                <w:color w:val="538135" w:themeColor="accent6" w:themeShade="BF"/>
                <w:sz w:val="16"/>
                <w:szCs w:val="16"/>
                <w:lang w:val="en-GB" w:eastAsia="hu-HU"/>
              </w:rPr>
              <w:t xml:space="preserve">NAS </w:t>
            </w:r>
            <w:r w:rsidRPr="0002056A">
              <w:rPr>
                <w:rFonts w:ascii="Georgia" w:eastAsia="Times New Roman" w:hAnsi="Georgia" w:cs="Calibri"/>
                <w:b/>
                <w:bCs/>
                <w:i/>
                <w:iCs/>
                <w:color w:val="538135" w:themeColor="accent6" w:themeShade="BF"/>
                <w:sz w:val="16"/>
                <w:szCs w:val="16"/>
                <w:lang w:val="en-GB" w:eastAsia="hu-HU"/>
              </w:rPr>
              <w:t>vision</w:t>
            </w:r>
            <w:r w:rsidR="00804EA7" w:rsidRPr="0002056A">
              <w:rPr>
                <w:rFonts w:ascii="Georgia" w:eastAsia="Times New Roman" w:hAnsi="Georgia" w:cs="Calibri"/>
                <w:b/>
                <w:bCs/>
                <w:i/>
                <w:iCs/>
                <w:color w:val="538135" w:themeColor="accent6" w:themeShade="BF"/>
                <w:sz w:val="16"/>
                <w:szCs w:val="16"/>
                <w:lang w:val="en-GB" w:eastAsia="hu-HU"/>
              </w:rPr>
              <w:t>s</w:t>
            </w:r>
            <w:r w:rsidRPr="0002056A">
              <w:rPr>
                <w:rFonts w:ascii="Georgia" w:eastAsia="Times New Roman" w:hAnsi="Georgia" w:cs="Calibri"/>
                <w:b/>
                <w:bCs/>
                <w:i/>
                <w:iCs/>
                <w:color w:val="538135" w:themeColor="accent6" w:themeShade="BF"/>
                <w:sz w:val="16"/>
                <w:szCs w:val="16"/>
                <w:lang w:val="en-GB" w:eastAsia="hu-HU"/>
              </w:rPr>
              <w:t xml:space="preserve">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EAF628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962F19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43DBEC8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70DBE5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154D3FB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4F923D5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38477DE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29B6F91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069E0AF0"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5248A82A"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48683617" w14:textId="102EA5BA" w:rsidR="00AF0466" w:rsidRPr="0002056A" w:rsidRDefault="00AF0466" w:rsidP="00F72AEF">
            <w:pPr>
              <w:spacing w:after="0" w:line="240" w:lineRule="auto"/>
              <w:jc w:val="both"/>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content of </w:t>
            </w:r>
            <w:r w:rsidR="00493286" w:rsidRPr="0002056A">
              <w:rPr>
                <w:rFonts w:ascii="Georgia" w:eastAsia="Times New Roman" w:hAnsi="Georgia" w:cs="Calibri"/>
                <w:b/>
                <w:bCs/>
                <w:i/>
                <w:iCs/>
                <w:color w:val="538135" w:themeColor="accent6" w:themeShade="BF"/>
                <w:sz w:val="16"/>
                <w:szCs w:val="16"/>
                <w:lang w:val="en-GB" w:eastAsia="hu-HU"/>
              </w:rPr>
              <w:t>NAS</w:t>
            </w:r>
            <w:r w:rsidRPr="0002056A">
              <w:rPr>
                <w:rFonts w:ascii="Georgia" w:eastAsia="Times New Roman" w:hAnsi="Georgia" w:cs="Calibri"/>
                <w:b/>
                <w:bCs/>
                <w:i/>
                <w:iCs/>
                <w:color w:val="538135" w:themeColor="accent6" w:themeShade="BF"/>
                <w:sz w:val="16"/>
                <w:szCs w:val="16"/>
                <w:lang w:val="en-GB" w:eastAsia="hu-HU"/>
              </w:rPr>
              <w:t xml:space="preserve"> visions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0EFDA3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C940D6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6D23D6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4A8B236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56D96DE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6E5AD23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2D3FA63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7DD8F0E2"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312954AB"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tcPr>
          <w:p w14:paraId="39F5A8EE" w14:textId="77777777" w:rsidR="004077E4" w:rsidRPr="0002056A" w:rsidRDefault="004077E4"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tcPr>
          <w:p w14:paraId="205E81F6" w14:textId="7B49DF59" w:rsidR="004077E4" w:rsidRPr="0002056A" w:rsidRDefault="004077E4" w:rsidP="00F72AEF">
            <w:pPr>
              <w:spacing w:after="0" w:line="240" w:lineRule="auto"/>
              <w:jc w:val="both"/>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content of the whole </w:t>
            </w:r>
            <w:r w:rsidR="009F2FFE" w:rsidRPr="0002056A">
              <w:rPr>
                <w:rFonts w:ascii="Georgia" w:eastAsia="Times New Roman" w:hAnsi="Georgia" w:cs="Calibri"/>
                <w:b/>
                <w:bCs/>
                <w:i/>
                <w:iCs/>
                <w:color w:val="538135" w:themeColor="accent6" w:themeShade="BF"/>
                <w:sz w:val="16"/>
                <w:szCs w:val="16"/>
                <w:lang w:val="en-GB" w:eastAsia="hu-HU"/>
              </w:rPr>
              <w:t xml:space="preserve">NAS </w:t>
            </w:r>
            <w:r w:rsidRPr="0002056A">
              <w:rPr>
                <w:rFonts w:ascii="Georgia" w:eastAsia="Times New Roman" w:hAnsi="Georgia" w:cs="Calibri"/>
                <w:b/>
                <w:bCs/>
                <w:i/>
                <w:iCs/>
                <w:color w:val="538135" w:themeColor="accent6" w:themeShade="BF"/>
                <w:sz w:val="16"/>
                <w:szCs w:val="16"/>
                <w:lang w:val="en-GB" w:eastAsia="hu-HU"/>
              </w:rPr>
              <w:t>objective system</w:t>
            </w: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64AC897D"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4A23796B"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893" w:type="dxa"/>
            <w:tcBorders>
              <w:top w:val="nil"/>
              <w:left w:val="nil"/>
              <w:bottom w:val="single" w:sz="4" w:space="0" w:color="auto"/>
              <w:right w:val="single" w:sz="4" w:space="0" w:color="auto"/>
            </w:tcBorders>
            <w:shd w:val="clear" w:color="auto" w:fill="C5E0B3" w:themeFill="accent6" w:themeFillTint="66"/>
            <w:noWrap/>
            <w:vAlign w:val="bottom"/>
          </w:tcPr>
          <w:p w14:paraId="4DF5E51F"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897" w:type="dxa"/>
            <w:tcBorders>
              <w:top w:val="nil"/>
              <w:left w:val="nil"/>
              <w:bottom w:val="single" w:sz="4" w:space="0" w:color="auto"/>
              <w:right w:val="single" w:sz="4" w:space="0" w:color="auto"/>
            </w:tcBorders>
            <w:noWrap/>
            <w:vAlign w:val="bottom"/>
          </w:tcPr>
          <w:p w14:paraId="6D63BBA3"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851" w:type="dxa"/>
            <w:tcBorders>
              <w:top w:val="nil"/>
              <w:left w:val="nil"/>
              <w:bottom w:val="single" w:sz="4" w:space="0" w:color="auto"/>
              <w:right w:val="single" w:sz="4" w:space="0" w:color="auto"/>
            </w:tcBorders>
            <w:noWrap/>
            <w:vAlign w:val="bottom"/>
          </w:tcPr>
          <w:p w14:paraId="26225334"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907" w:type="dxa"/>
            <w:tcBorders>
              <w:top w:val="nil"/>
              <w:left w:val="nil"/>
              <w:bottom w:val="single" w:sz="4" w:space="0" w:color="auto"/>
              <w:right w:val="single" w:sz="4" w:space="0" w:color="auto"/>
            </w:tcBorders>
            <w:noWrap/>
            <w:vAlign w:val="bottom"/>
          </w:tcPr>
          <w:p w14:paraId="0DDEB674"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794" w:type="dxa"/>
            <w:tcBorders>
              <w:top w:val="nil"/>
              <w:left w:val="nil"/>
              <w:bottom w:val="single" w:sz="4" w:space="0" w:color="auto"/>
              <w:right w:val="single" w:sz="4" w:space="0" w:color="auto"/>
            </w:tcBorders>
            <w:shd w:val="clear" w:color="auto" w:fill="C5E0B3" w:themeFill="accent6" w:themeFillTint="66"/>
            <w:noWrap/>
            <w:vAlign w:val="bottom"/>
          </w:tcPr>
          <w:p w14:paraId="340A3B56" w14:textId="77777777" w:rsidR="004077E4" w:rsidRPr="0002056A" w:rsidRDefault="004077E4" w:rsidP="00F72AEF">
            <w:pPr>
              <w:spacing w:after="0" w:line="240" w:lineRule="auto"/>
              <w:rPr>
                <w:rFonts w:ascii="Calibri" w:eastAsia="Times New Roman" w:hAnsi="Calibri" w:cs="Calibri"/>
                <w:color w:val="000000"/>
                <w:lang w:val="en-GB" w:eastAsia="hu-HU"/>
              </w:rPr>
            </w:pPr>
          </w:p>
        </w:tc>
        <w:tc>
          <w:tcPr>
            <w:tcW w:w="850" w:type="dxa"/>
            <w:tcBorders>
              <w:top w:val="nil"/>
              <w:left w:val="nil"/>
              <w:bottom w:val="single" w:sz="4" w:space="0" w:color="auto"/>
              <w:right w:val="single" w:sz="8" w:space="0" w:color="auto"/>
            </w:tcBorders>
            <w:shd w:val="clear" w:color="auto" w:fill="C5E0B3" w:themeFill="accent6" w:themeFillTint="66"/>
            <w:noWrap/>
            <w:vAlign w:val="bottom"/>
          </w:tcPr>
          <w:p w14:paraId="079318C1" w14:textId="77777777" w:rsidR="004077E4" w:rsidRPr="0002056A" w:rsidRDefault="004077E4" w:rsidP="00F72AEF">
            <w:pPr>
              <w:spacing w:after="0" w:line="240" w:lineRule="auto"/>
              <w:rPr>
                <w:rFonts w:ascii="Calibri" w:eastAsia="Times New Roman" w:hAnsi="Calibri" w:cs="Calibri"/>
                <w:color w:val="000000"/>
                <w:lang w:val="en-GB" w:eastAsia="hu-HU"/>
              </w:rPr>
            </w:pPr>
          </w:p>
        </w:tc>
      </w:tr>
      <w:tr w:rsidR="00DA5AB3" w:rsidRPr="0002056A" w14:paraId="30044BD9"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55E23CB0"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633F02EE" w14:textId="40DF7CEA" w:rsidR="00AF0466" w:rsidRPr="0002056A" w:rsidRDefault="00AF0466" w:rsidP="00F72AEF">
            <w:pPr>
              <w:spacing w:after="0" w:line="240" w:lineRule="auto"/>
              <w:jc w:val="both"/>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w:t>
            </w:r>
            <w:r w:rsidR="008A38C9" w:rsidRPr="0002056A">
              <w:rPr>
                <w:rFonts w:ascii="Georgia" w:eastAsia="Times New Roman" w:hAnsi="Georgia" w:cs="Calibri"/>
                <w:b/>
                <w:bCs/>
                <w:i/>
                <w:iCs/>
                <w:color w:val="538135" w:themeColor="accent6" w:themeShade="BF"/>
                <w:sz w:val="16"/>
                <w:szCs w:val="16"/>
                <w:lang w:val="en-GB" w:eastAsia="hu-HU"/>
              </w:rPr>
              <w:t>focus</w:t>
            </w:r>
            <w:r w:rsidRPr="0002056A">
              <w:rPr>
                <w:rFonts w:ascii="Georgia" w:eastAsia="Times New Roman" w:hAnsi="Georgia" w:cs="Calibri"/>
                <w:b/>
                <w:bCs/>
                <w:i/>
                <w:iCs/>
                <w:color w:val="538135" w:themeColor="accent6" w:themeShade="BF"/>
                <w:sz w:val="16"/>
                <w:szCs w:val="16"/>
                <w:lang w:val="en-GB" w:eastAsia="hu-HU"/>
              </w:rPr>
              <w:t xml:space="preserve"> of overall / strategic objectives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3604559"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F51157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4B2320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43370E2A"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2273B3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2618BF7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E773C49"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5F508B7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2FE39C2F"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2FDE8CF7"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07D29E00" w14:textId="11E37F00" w:rsidR="00AF0466" w:rsidRPr="0002056A" w:rsidRDefault="008A38C9"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Proportion of lower</w:t>
            </w:r>
            <w:r w:rsidR="009F2FFE" w:rsidRPr="0002056A">
              <w:rPr>
                <w:rFonts w:ascii="Georgia" w:eastAsia="Times New Roman" w:hAnsi="Georgia" w:cs="Calibri"/>
                <w:b/>
                <w:bCs/>
                <w:i/>
                <w:iCs/>
                <w:color w:val="538135" w:themeColor="accent6" w:themeShade="BF"/>
                <w:sz w:val="16"/>
                <w:szCs w:val="16"/>
                <w:lang w:val="en-GB" w:eastAsia="hu-HU"/>
              </w:rPr>
              <w:t>-</w:t>
            </w:r>
            <w:r w:rsidRPr="0002056A">
              <w:rPr>
                <w:rFonts w:ascii="Georgia" w:eastAsia="Times New Roman" w:hAnsi="Georgia" w:cs="Calibri"/>
                <w:b/>
                <w:bCs/>
                <w:i/>
                <w:iCs/>
                <w:color w:val="538135" w:themeColor="accent6" w:themeShade="BF"/>
                <w:sz w:val="16"/>
                <w:szCs w:val="16"/>
                <w:lang w:val="en-GB" w:eastAsia="hu-HU"/>
              </w:rPr>
              <w:t>level objectives with spatial content</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604174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5FED2B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BE7A0D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7011F51A"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7BF4CB9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79338EC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49FAA07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2EEC075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114A88C7"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49EB744A"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68D92414" w14:textId="77777777" w:rsidR="00AF0466" w:rsidRPr="0002056A" w:rsidRDefault="00AF0466"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Spatiality’s presence in horizontal goals</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D4A145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4DFC32B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F3264E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2B56DF1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EBA67E0"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102FDE62"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7731F8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368E6F24"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4D235068"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736E05D1"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5EE226B9" w14:textId="77777777" w:rsidR="00AF0466" w:rsidRPr="0002056A" w:rsidRDefault="00AF0466"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MRE focus of objective system- and vison-planning</w:t>
            </w:r>
          </w:p>
        </w:tc>
        <w:tc>
          <w:tcPr>
            <w:tcW w:w="893" w:type="dxa"/>
            <w:tcBorders>
              <w:top w:val="nil"/>
              <w:left w:val="nil"/>
              <w:bottom w:val="single" w:sz="4" w:space="0" w:color="auto"/>
              <w:right w:val="single" w:sz="4" w:space="0" w:color="auto"/>
            </w:tcBorders>
            <w:noWrap/>
            <w:vAlign w:val="bottom"/>
            <w:hideMark/>
          </w:tcPr>
          <w:p w14:paraId="24F4748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5127396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8D226D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129F58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21BE1970"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C5E0B3" w:themeFill="accent6" w:themeFillTint="66"/>
            <w:noWrap/>
            <w:vAlign w:val="bottom"/>
            <w:hideMark/>
          </w:tcPr>
          <w:p w14:paraId="14E290C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52D96A9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79DA7765"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5402BC31"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7797EA29"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11130F52" w14:textId="77777777" w:rsidR="00651703" w:rsidRPr="0002056A" w:rsidRDefault="00651703"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19FF2EF8" w14:textId="19168C5A" w:rsidR="00AF0466" w:rsidRPr="0002056A" w:rsidRDefault="00AF0466"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visualization of the vision /objective system</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DB98E2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290230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6E9C6C8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01FC5E9A"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49C5DF2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470FF27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49D6327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395A307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72A4FB89" w14:textId="77777777" w:rsidTr="00E7587B">
        <w:trPr>
          <w:trHeight w:val="1038"/>
          <w:jc w:val="center"/>
        </w:trPr>
        <w:tc>
          <w:tcPr>
            <w:tcW w:w="1124" w:type="dxa"/>
            <w:vMerge w:val="restart"/>
            <w:tcBorders>
              <w:top w:val="nil"/>
              <w:left w:val="single" w:sz="8" w:space="0" w:color="auto"/>
              <w:bottom w:val="single" w:sz="4" w:space="0" w:color="auto"/>
              <w:right w:val="single" w:sz="4" w:space="0" w:color="auto"/>
            </w:tcBorders>
            <w:textDirection w:val="btLr"/>
            <w:vAlign w:val="center"/>
            <w:hideMark/>
          </w:tcPr>
          <w:p w14:paraId="07FA9805" w14:textId="09209171" w:rsidR="00652BA1" w:rsidRPr="0002056A" w:rsidRDefault="00652BA1" w:rsidP="0099786F">
            <w:pPr>
              <w:spacing w:after="0" w:line="240" w:lineRule="auto"/>
              <w:ind w:left="113" w:right="113"/>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Spatial aspects in adaptation</w:t>
            </w:r>
            <w:r w:rsidR="00E7587B" w:rsidRPr="0002056A">
              <w:rPr>
                <w:rFonts w:ascii="Georgia" w:eastAsia="Times New Roman" w:hAnsi="Georgia" w:cs="Calibri"/>
                <w:b/>
                <w:bCs/>
                <w:color w:val="000000"/>
                <w:sz w:val="16"/>
                <w:szCs w:val="16"/>
                <w:lang w:val="en-GB" w:eastAsia="hu-HU"/>
              </w:rPr>
              <w:t>-</w:t>
            </w:r>
            <w:r w:rsidRPr="0002056A">
              <w:rPr>
                <w:rFonts w:ascii="Georgia" w:eastAsia="Times New Roman" w:hAnsi="Georgia" w:cs="Calibri"/>
                <w:b/>
                <w:bCs/>
                <w:color w:val="000000"/>
                <w:sz w:val="16"/>
                <w:szCs w:val="16"/>
                <w:lang w:val="en-GB" w:eastAsia="hu-HU"/>
              </w:rPr>
              <w:t xml:space="preserve"> related actions</w:t>
            </w:r>
          </w:p>
        </w:tc>
        <w:tc>
          <w:tcPr>
            <w:tcW w:w="2000" w:type="dxa"/>
            <w:tcBorders>
              <w:top w:val="nil"/>
              <w:left w:val="nil"/>
              <w:bottom w:val="single" w:sz="4" w:space="0" w:color="auto"/>
              <w:right w:val="single" w:sz="4" w:space="0" w:color="auto"/>
            </w:tcBorders>
            <w:hideMark/>
          </w:tcPr>
          <w:p w14:paraId="524E9F62" w14:textId="77777777" w:rsidR="002E4FA9" w:rsidRPr="0002056A" w:rsidRDefault="002E4FA9"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427A64AF" w14:textId="77777777" w:rsidR="00BA73BC" w:rsidRDefault="00BA73BC"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7085AE3C" w14:textId="77777777" w:rsidR="00BA73BC" w:rsidRDefault="00BA73BC"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63FF00C6" w14:textId="6C75713A" w:rsidR="0099786F" w:rsidRPr="0002056A" w:rsidRDefault="00652BA1"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Proportion of measures with spatial content</w:t>
            </w:r>
          </w:p>
          <w:p w14:paraId="33A6A0BA" w14:textId="661C3A8C" w:rsidR="00652BA1" w:rsidRPr="0002056A" w:rsidRDefault="00652BA1"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A70E028"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754172D"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009FF79"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4A9AB4F9"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2C1DA394"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0819268E"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47E8DB7E"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4B395CAB"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2A09063B"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3E52BACB" w14:textId="77777777" w:rsidR="00652BA1" w:rsidRPr="0002056A" w:rsidRDefault="00652BA1" w:rsidP="0099786F">
            <w:pPr>
              <w:spacing w:after="0" w:line="240" w:lineRule="auto"/>
              <w:ind w:left="113" w:right="113"/>
              <w:jc w:val="center"/>
              <w:rPr>
                <w:rFonts w:ascii="Georgia" w:eastAsia="Times New Roman" w:hAnsi="Georgia" w:cs="Calibri"/>
                <w:b/>
                <w:bCs/>
                <w:color w:val="000000"/>
                <w:sz w:val="16"/>
                <w:szCs w:val="16"/>
                <w:lang w:val="en-GB" w:eastAsia="hu-HU"/>
              </w:rPr>
            </w:pPr>
          </w:p>
        </w:tc>
        <w:tc>
          <w:tcPr>
            <w:tcW w:w="2000" w:type="dxa"/>
            <w:tcBorders>
              <w:top w:val="nil"/>
              <w:left w:val="nil"/>
              <w:bottom w:val="single" w:sz="4" w:space="0" w:color="auto"/>
              <w:right w:val="single" w:sz="4" w:space="0" w:color="auto"/>
            </w:tcBorders>
            <w:hideMark/>
          </w:tcPr>
          <w:p w14:paraId="597ADB3A" w14:textId="77777777" w:rsidR="002E4FA9" w:rsidRPr="0002056A" w:rsidRDefault="002E4FA9"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11B0FB2E" w14:textId="77777777" w:rsidR="00BA73BC" w:rsidRDefault="00BA73BC"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2FF180FA" w14:textId="77777777" w:rsidR="00652BA1" w:rsidRDefault="00652BA1"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Proportion of spatial planning-related measures</w:t>
            </w:r>
          </w:p>
          <w:p w14:paraId="1424C418" w14:textId="77777777" w:rsidR="00A3144F" w:rsidRDefault="00A3144F"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0F57F321" w14:textId="77777777" w:rsidR="00A3144F" w:rsidRDefault="00A3144F" w:rsidP="00F72AEF">
            <w:pPr>
              <w:spacing w:after="0" w:line="240" w:lineRule="auto"/>
              <w:rPr>
                <w:rFonts w:ascii="Georgia" w:eastAsia="Times New Roman" w:hAnsi="Georgia" w:cs="Calibri"/>
                <w:b/>
                <w:bCs/>
                <w:i/>
                <w:iCs/>
                <w:color w:val="538135" w:themeColor="accent6" w:themeShade="BF"/>
                <w:sz w:val="16"/>
                <w:szCs w:val="16"/>
                <w:lang w:val="en-GB" w:eastAsia="hu-HU"/>
              </w:rPr>
            </w:pPr>
          </w:p>
          <w:p w14:paraId="06D4D9B0" w14:textId="537A30DA" w:rsidR="00BA73BC" w:rsidRPr="0002056A" w:rsidRDefault="00BA73BC" w:rsidP="00F72AEF">
            <w:pPr>
              <w:spacing w:after="0" w:line="240" w:lineRule="auto"/>
              <w:rPr>
                <w:rFonts w:ascii="Georgia" w:eastAsia="Times New Roman" w:hAnsi="Georgia" w:cs="Calibri"/>
                <w:b/>
                <w:bCs/>
                <w:i/>
                <w:iCs/>
                <w:color w:val="538135" w:themeColor="accent6" w:themeShade="BF"/>
                <w:sz w:val="16"/>
                <w:szCs w:val="16"/>
                <w:lang w:val="en-GB" w:eastAsia="hu-HU"/>
              </w:rPr>
            </w:pPr>
          </w:p>
        </w:tc>
        <w:tc>
          <w:tcPr>
            <w:tcW w:w="893" w:type="dxa"/>
            <w:tcBorders>
              <w:top w:val="nil"/>
              <w:left w:val="nil"/>
              <w:bottom w:val="single" w:sz="4" w:space="0" w:color="auto"/>
              <w:right w:val="single" w:sz="4" w:space="0" w:color="auto"/>
            </w:tcBorders>
            <w:noWrap/>
            <w:vAlign w:val="bottom"/>
            <w:hideMark/>
          </w:tcPr>
          <w:p w14:paraId="2EAFE38B"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CB92496"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5BD6735"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5E2D387D"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07DD0442"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44F8FA38"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EA4108F"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171C0C1A"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50F76DF3"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3740D588" w14:textId="77777777" w:rsidR="00652BA1" w:rsidRPr="0002056A" w:rsidRDefault="00652BA1" w:rsidP="0099786F">
            <w:pPr>
              <w:spacing w:after="0" w:line="240" w:lineRule="auto"/>
              <w:ind w:left="113" w:right="113"/>
              <w:jc w:val="center"/>
              <w:rPr>
                <w:rFonts w:ascii="Georgia" w:eastAsia="Times New Roman" w:hAnsi="Georgia" w:cs="Calibri"/>
                <w:b/>
                <w:bCs/>
                <w:color w:val="000000"/>
                <w:sz w:val="16"/>
                <w:szCs w:val="16"/>
                <w:lang w:val="en-GB" w:eastAsia="hu-HU"/>
              </w:rPr>
            </w:pPr>
          </w:p>
        </w:tc>
        <w:tc>
          <w:tcPr>
            <w:tcW w:w="2000" w:type="dxa"/>
            <w:tcBorders>
              <w:top w:val="nil"/>
              <w:left w:val="nil"/>
              <w:bottom w:val="single" w:sz="4" w:space="0" w:color="auto"/>
              <w:right w:val="single" w:sz="4" w:space="0" w:color="auto"/>
            </w:tcBorders>
            <w:hideMark/>
          </w:tcPr>
          <w:p w14:paraId="5BFF663B" w14:textId="77777777" w:rsidR="00227A0C" w:rsidRPr="0002056A" w:rsidRDefault="00227A0C" w:rsidP="001E7827">
            <w:pPr>
              <w:spacing w:after="0" w:line="240" w:lineRule="auto"/>
              <w:rPr>
                <w:rFonts w:ascii="Georgia" w:eastAsia="Times New Roman" w:hAnsi="Georgia" w:cs="Calibri"/>
                <w:b/>
                <w:bCs/>
                <w:i/>
                <w:iCs/>
                <w:color w:val="538135" w:themeColor="accent6" w:themeShade="BF"/>
                <w:sz w:val="16"/>
                <w:szCs w:val="16"/>
                <w:lang w:val="en-GB" w:eastAsia="hu-HU"/>
              </w:rPr>
            </w:pPr>
          </w:p>
          <w:p w14:paraId="65988D87" w14:textId="77777777" w:rsidR="00A3144F" w:rsidRDefault="00A3144F" w:rsidP="001E7827">
            <w:pPr>
              <w:spacing w:after="0" w:line="240" w:lineRule="auto"/>
              <w:rPr>
                <w:rFonts w:ascii="Georgia" w:eastAsia="Times New Roman" w:hAnsi="Georgia" w:cs="Calibri"/>
                <w:b/>
                <w:bCs/>
                <w:i/>
                <w:iCs/>
                <w:color w:val="538135" w:themeColor="accent6" w:themeShade="BF"/>
                <w:sz w:val="16"/>
                <w:szCs w:val="16"/>
                <w:lang w:val="en-GB" w:eastAsia="hu-HU"/>
              </w:rPr>
            </w:pPr>
          </w:p>
          <w:p w14:paraId="7804BD85" w14:textId="77777777" w:rsidR="00652BA1" w:rsidRDefault="00652BA1" w:rsidP="001E7827">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Proportion of spatial MRE-related measures</w:t>
            </w:r>
          </w:p>
          <w:p w14:paraId="159E92A8" w14:textId="77777777" w:rsidR="00A3144F" w:rsidRDefault="00A3144F" w:rsidP="001E7827">
            <w:pPr>
              <w:spacing w:after="0" w:line="240" w:lineRule="auto"/>
              <w:rPr>
                <w:rFonts w:ascii="Georgia" w:eastAsia="Times New Roman" w:hAnsi="Georgia" w:cs="Calibri"/>
                <w:b/>
                <w:bCs/>
                <w:i/>
                <w:iCs/>
                <w:color w:val="538135" w:themeColor="accent6" w:themeShade="BF"/>
                <w:sz w:val="16"/>
                <w:szCs w:val="16"/>
                <w:lang w:val="en-GB" w:eastAsia="hu-HU"/>
              </w:rPr>
            </w:pPr>
          </w:p>
          <w:p w14:paraId="4D4CA2EA" w14:textId="5B9E5E67" w:rsidR="00A3144F" w:rsidRPr="0002056A" w:rsidRDefault="00A3144F" w:rsidP="001E7827">
            <w:pPr>
              <w:spacing w:after="0" w:line="240" w:lineRule="auto"/>
              <w:rPr>
                <w:rFonts w:ascii="Georgia" w:eastAsia="Times New Roman" w:hAnsi="Georgia" w:cs="Calibri"/>
                <w:b/>
                <w:bCs/>
                <w:i/>
                <w:iCs/>
                <w:color w:val="538135" w:themeColor="accent6" w:themeShade="BF"/>
                <w:sz w:val="16"/>
                <w:szCs w:val="16"/>
                <w:lang w:val="en-GB" w:eastAsia="hu-HU"/>
              </w:rPr>
            </w:pPr>
          </w:p>
        </w:tc>
        <w:tc>
          <w:tcPr>
            <w:tcW w:w="893" w:type="dxa"/>
            <w:tcBorders>
              <w:top w:val="nil"/>
              <w:left w:val="nil"/>
              <w:bottom w:val="single" w:sz="4" w:space="0" w:color="auto"/>
              <w:right w:val="single" w:sz="4" w:space="0" w:color="auto"/>
            </w:tcBorders>
            <w:noWrap/>
            <w:vAlign w:val="bottom"/>
            <w:hideMark/>
          </w:tcPr>
          <w:p w14:paraId="1012C30D"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AD18D9C"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43262E1"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C0816F8"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0D662201"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22334839"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24666D9A"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08877DF2" w14:textId="77777777" w:rsidR="00652BA1" w:rsidRPr="0002056A" w:rsidRDefault="00652BA1"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1F8F8C1A" w14:textId="77777777" w:rsidTr="007A60F8">
        <w:trPr>
          <w:trHeight w:val="889"/>
          <w:jc w:val="center"/>
        </w:trPr>
        <w:tc>
          <w:tcPr>
            <w:tcW w:w="1124" w:type="dxa"/>
            <w:vMerge w:val="restart"/>
            <w:tcBorders>
              <w:top w:val="nil"/>
              <w:left w:val="single" w:sz="8" w:space="0" w:color="auto"/>
              <w:bottom w:val="single" w:sz="4" w:space="0" w:color="auto"/>
              <w:right w:val="single" w:sz="4" w:space="0" w:color="auto"/>
            </w:tcBorders>
            <w:textDirection w:val="btLr"/>
            <w:vAlign w:val="center"/>
            <w:hideMark/>
          </w:tcPr>
          <w:p w14:paraId="3F41F698" w14:textId="0F8EC85F" w:rsidR="00AF0466" w:rsidRPr="0002056A" w:rsidRDefault="0018757A" w:rsidP="0099786F">
            <w:pPr>
              <w:spacing w:after="0" w:line="240" w:lineRule="auto"/>
              <w:ind w:left="113" w:right="113"/>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16"/>
                <w:szCs w:val="16"/>
                <w:lang w:val="en-GB" w:eastAsia="hu-HU"/>
              </w:rPr>
              <w:t xml:space="preserve">Inter- and transnational spatial dimensions </w:t>
            </w:r>
            <w:r w:rsidR="00AF0466" w:rsidRPr="0002056A">
              <w:rPr>
                <w:rFonts w:ascii="Georgia" w:eastAsia="Times New Roman" w:hAnsi="Georgia" w:cs="Calibri"/>
                <w:b/>
                <w:bCs/>
                <w:color w:val="000000"/>
                <w:sz w:val="16"/>
                <w:szCs w:val="16"/>
                <w:lang w:val="en-GB" w:eastAsia="hu-HU"/>
              </w:rPr>
              <w:t>of adaptation</w:t>
            </w:r>
            <w:r w:rsidR="00AF0466" w:rsidRPr="0002056A">
              <w:rPr>
                <w:rFonts w:ascii="Georgia" w:eastAsia="Times New Roman" w:hAnsi="Georgia" w:cs="Calibri"/>
                <w:b/>
                <w:bCs/>
                <w:color w:val="000000"/>
                <w:sz w:val="20"/>
                <w:szCs w:val="20"/>
                <w:lang w:val="en-GB" w:eastAsia="hu-HU"/>
              </w:rPr>
              <w:t xml:space="preserve"> </w:t>
            </w:r>
            <w:r w:rsidR="00AF0466" w:rsidRPr="0002056A">
              <w:rPr>
                <w:rFonts w:ascii="Georgia" w:eastAsia="Times New Roman" w:hAnsi="Georgia" w:cs="Calibri"/>
                <w:b/>
                <w:bCs/>
                <w:color w:val="000000"/>
                <w:sz w:val="16"/>
                <w:szCs w:val="16"/>
                <w:lang w:val="en-GB" w:eastAsia="hu-HU"/>
              </w:rPr>
              <w:t>planning</w:t>
            </w:r>
          </w:p>
        </w:tc>
        <w:tc>
          <w:tcPr>
            <w:tcW w:w="2000" w:type="dxa"/>
            <w:tcBorders>
              <w:top w:val="nil"/>
              <w:left w:val="nil"/>
              <w:bottom w:val="single" w:sz="4" w:space="0" w:color="auto"/>
              <w:right w:val="single" w:sz="4" w:space="0" w:color="auto"/>
            </w:tcBorders>
            <w:vAlign w:val="center"/>
            <w:hideMark/>
          </w:tcPr>
          <w:p w14:paraId="609DED99" w14:textId="0D7C44C7" w:rsidR="00AF0466" w:rsidRPr="0002056A" w:rsidRDefault="001E7827"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02056A">
              <w:rPr>
                <w:rFonts w:ascii="Georgia" w:eastAsia="Times New Roman" w:hAnsi="Georgia" w:cs="Calibri"/>
                <w:b/>
                <w:bCs/>
                <w:i/>
                <w:iCs/>
                <w:color w:val="538135" w:themeColor="accent6" w:themeShade="BF"/>
                <w:sz w:val="14"/>
                <w:szCs w:val="14"/>
                <w:lang w:val="en-GB" w:eastAsia="hu-HU"/>
              </w:rPr>
              <w:t>E</w:t>
            </w:r>
            <w:r w:rsidR="00AF0466" w:rsidRPr="0002056A">
              <w:rPr>
                <w:rFonts w:ascii="Georgia" w:eastAsia="Times New Roman" w:hAnsi="Georgia" w:cs="Calibri"/>
                <w:b/>
                <w:bCs/>
                <w:i/>
                <w:iCs/>
                <w:color w:val="538135" w:themeColor="accent6" w:themeShade="BF"/>
                <w:sz w:val="14"/>
                <w:szCs w:val="14"/>
                <w:lang w:val="en-GB" w:eastAsia="hu-HU"/>
              </w:rPr>
              <w:t xml:space="preserve">mergence of </w:t>
            </w:r>
            <w:r w:rsidR="009E374D" w:rsidRPr="0002056A">
              <w:rPr>
                <w:rFonts w:ascii="Georgia" w:eastAsia="Times New Roman" w:hAnsi="Georgia" w:cs="Calibri"/>
                <w:b/>
                <w:bCs/>
                <w:i/>
                <w:iCs/>
                <w:color w:val="538135" w:themeColor="accent6" w:themeShade="BF"/>
                <w:sz w:val="14"/>
                <w:szCs w:val="14"/>
                <w:lang w:val="en-GB" w:eastAsia="hu-HU"/>
              </w:rPr>
              <w:t xml:space="preserve">climate change -related </w:t>
            </w:r>
            <w:r w:rsidR="00F60E12" w:rsidRPr="0002056A">
              <w:rPr>
                <w:rFonts w:ascii="Georgia" w:eastAsia="Times New Roman" w:hAnsi="Georgia" w:cs="Calibri"/>
                <w:b/>
                <w:bCs/>
                <w:i/>
                <w:iCs/>
                <w:color w:val="538135" w:themeColor="accent6" w:themeShade="BF"/>
                <w:sz w:val="14"/>
                <w:szCs w:val="14"/>
                <w:lang w:val="en-GB" w:eastAsia="hu-HU"/>
              </w:rPr>
              <w:t>global spatial</w:t>
            </w:r>
            <w:r w:rsidR="009E374D" w:rsidRPr="0002056A">
              <w:rPr>
                <w:rFonts w:ascii="Georgia" w:eastAsia="Times New Roman" w:hAnsi="Georgia" w:cs="Calibri"/>
                <w:b/>
                <w:bCs/>
                <w:i/>
                <w:iCs/>
                <w:color w:val="538135" w:themeColor="accent6" w:themeShade="BF"/>
                <w:sz w:val="14"/>
                <w:szCs w:val="14"/>
                <w:lang w:val="en-GB" w:eastAsia="hu-HU"/>
              </w:rPr>
              <w:t xml:space="preserve"> </w:t>
            </w:r>
            <w:r w:rsidR="00463501" w:rsidRPr="0002056A">
              <w:rPr>
                <w:rFonts w:ascii="Georgia" w:eastAsia="Times New Roman" w:hAnsi="Georgia" w:cs="Calibri"/>
                <w:b/>
                <w:bCs/>
                <w:i/>
                <w:iCs/>
                <w:color w:val="538135" w:themeColor="accent6" w:themeShade="BF"/>
                <w:sz w:val="14"/>
                <w:szCs w:val="14"/>
                <w:lang w:val="en-GB" w:eastAsia="hu-HU"/>
              </w:rPr>
              <w:t>challenges</w:t>
            </w:r>
            <w:r w:rsidR="00AF0466" w:rsidRPr="0002056A">
              <w:rPr>
                <w:rFonts w:ascii="Georgia" w:eastAsia="Times New Roman" w:hAnsi="Georgia" w:cs="Calibri"/>
                <w:b/>
                <w:bCs/>
                <w:i/>
                <w:iCs/>
                <w:color w:val="538135" w:themeColor="accent6" w:themeShade="BF"/>
                <w:sz w:val="14"/>
                <w:szCs w:val="14"/>
                <w:lang w:val="en-GB" w:eastAsia="hu-HU"/>
              </w:rPr>
              <w:t xml:space="preserve"> as aspects for national security </w:t>
            </w:r>
          </w:p>
        </w:tc>
        <w:tc>
          <w:tcPr>
            <w:tcW w:w="893" w:type="dxa"/>
            <w:tcBorders>
              <w:top w:val="nil"/>
              <w:left w:val="nil"/>
              <w:bottom w:val="single" w:sz="4" w:space="0" w:color="auto"/>
              <w:right w:val="single" w:sz="4" w:space="0" w:color="auto"/>
            </w:tcBorders>
            <w:noWrap/>
            <w:vAlign w:val="bottom"/>
            <w:hideMark/>
          </w:tcPr>
          <w:p w14:paraId="25B0F242"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104A822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56EEFA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5BEC8DF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shd w:val="clear" w:color="auto" w:fill="C5E0B3" w:themeFill="accent6" w:themeFillTint="66"/>
            <w:noWrap/>
            <w:vAlign w:val="bottom"/>
            <w:hideMark/>
          </w:tcPr>
          <w:p w14:paraId="1D0F34B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6B653CB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noWrap/>
            <w:vAlign w:val="bottom"/>
            <w:hideMark/>
          </w:tcPr>
          <w:p w14:paraId="25D7578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noWrap/>
            <w:vAlign w:val="bottom"/>
            <w:hideMark/>
          </w:tcPr>
          <w:p w14:paraId="5146AE0A"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2B50DE9E"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60FE8C72"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205EEACD" w14:textId="07885C9E" w:rsidR="00AF0466" w:rsidRPr="0002056A" w:rsidRDefault="001E7827"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02056A">
              <w:rPr>
                <w:rFonts w:ascii="Georgia" w:eastAsia="Times New Roman" w:hAnsi="Georgia" w:cs="Calibri"/>
                <w:b/>
                <w:bCs/>
                <w:i/>
                <w:iCs/>
                <w:color w:val="538135" w:themeColor="accent6" w:themeShade="BF"/>
                <w:sz w:val="14"/>
                <w:szCs w:val="14"/>
                <w:lang w:val="en-GB" w:eastAsia="hu-HU"/>
              </w:rPr>
              <w:t>E</w:t>
            </w:r>
            <w:r w:rsidR="00AF0466" w:rsidRPr="0002056A">
              <w:rPr>
                <w:rFonts w:ascii="Georgia" w:eastAsia="Times New Roman" w:hAnsi="Georgia" w:cs="Calibri"/>
                <w:b/>
                <w:bCs/>
                <w:i/>
                <w:iCs/>
                <w:color w:val="538135" w:themeColor="accent6" w:themeShade="BF"/>
                <w:sz w:val="14"/>
                <w:szCs w:val="14"/>
                <w:lang w:val="en-GB" w:eastAsia="hu-HU"/>
              </w:rPr>
              <w:t>mergence of strengthening macro regional / international co-operations</w:t>
            </w:r>
            <w:r w:rsidR="002A7055" w:rsidRPr="0002056A">
              <w:rPr>
                <w:rFonts w:ascii="Georgia" w:eastAsia="Times New Roman" w:hAnsi="Georgia" w:cs="Calibri"/>
                <w:b/>
                <w:bCs/>
                <w:i/>
                <w:iCs/>
                <w:color w:val="538135" w:themeColor="accent6" w:themeShade="BF"/>
                <w:sz w:val="14"/>
                <w:szCs w:val="14"/>
                <w:lang w:val="en-GB" w:eastAsia="hu-HU"/>
              </w:rPr>
              <w:t xml:space="preserve"> in climate adaptation</w:t>
            </w:r>
          </w:p>
        </w:tc>
        <w:tc>
          <w:tcPr>
            <w:tcW w:w="893" w:type="dxa"/>
            <w:tcBorders>
              <w:top w:val="nil"/>
              <w:left w:val="nil"/>
              <w:bottom w:val="single" w:sz="4" w:space="0" w:color="auto"/>
              <w:right w:val="single" w:sz="4" w:space="0" w:color="auto"/>
            </w:tcBorders>
            <w:noWrap/>
            <w:vAlign w:val="bottom"/>
            <w:hideMark/>
          </w:tcPr>
          <w:p w14:paraId="746277D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009C43E2"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05E4E16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38A753D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shd w:val="clear" w:color="auto" w:fill="C5E0B3" w:themeFill="accent6" w:themeFillTint="66"/>
            <w:noWrap/>
            <w:vAlign w:val="bottom"/>
            <w:hideMark/>
          </w:tcPr>
          <w:p w14:paraId="0648C31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30706135"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noWrap/>
            <w:vAlign w:val="bottom"/>
            <w:hideMark/>
          </w:tcPr>
          <w:p w14:paraId="624DF5A9"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noWrap/>
            <w:vAlign w:val="bottom"/>
            <w:hideMark/>
          </w:tcPr>
          <w:p w14:paraId="63D63234"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5C173CA3" w14:textId="77777777" w:rsidTr="007A60F8">
        <w:trPr>
          <w:trHeight w:val="889"/>
          <w:jc w:val="center"/>
        </w:trPr>
        <w:tc>
          <w:tcPr>
            <w:tcW w:w="1124" w:type="dxa"/>
            <w:vMerge/>
            <w:tcBorders>
              <w:top w:val="nil"/>
              <w:left w:val="single" w:sz="8" w:space="0" w:color="auto"/>
              <w:bottom w:val="single" w:sz="4" w:space="0" w:color="auto"/>
              <w:right w:val="single" w:sz="4" w:space="0" w:color="auto"/>
            </w:tcBorders>
            <w:textDirection w:val="btLr"/>
            <w:vAlign w:val="center"/>
            <w:hideMark/>
          </w:tcPr>
          <w:p w14:paraId="58791230" w14:textId="77777777" w:rsidR="00AF0466" w:rsidRPr="0002056A" w:rsidRDefault="00AF0466"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37BB9D85" w14:textId="176521C4" w:rsidR="00AF0466" w:rsidRPr="0002056A" w:rsidRDefault="001E7827"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02056A">
              <w:rPr>
                <w:rFonts w:ascii="Georgia" w:eastAsia="Times New Roman" w:hAnsi="Georgia" w:cs="Calibri"/>
                <w:b/>
                <w:bCs/>
                <w:i/>
                <w:iCs/>
                <w:color w:val="538135" w:themeColor="accent6" w:themeShade="BF"/>
                <w:sz w:val="14"/>
                <w:szCs w:val="14"/>
                <w:lang w:val="en-GB" w:eastAsia="hu-HU"/>
              </w:rPr>
              <w:t>E</w:t>
            </w:r>
            <w:r w:rsidR="00AF0466" w:rsidRPr="0002056A">
              <w:rPr>
                <w:rFonts w:ascii="Georgia" w:eastAsia="Times New Roman" w:hAnsi="Georgia" w:cs="Calibri"/>
                <w:b/>
                <w:bCs/>
                <w:i/>
                <w:iCs/>
                <w:color w:val="538135" w:themeColor="accent6" w:themeShade="BF"/>
                <w:sz w:val="14"/>
                <w:szCs w:val="14"/>
                <w:lang w:val="en-GB" w:eastAsia="hu-HU"/>
              </w:rPr>
              <w:t xml:space="preserve">mergence of strengthening macro regional / international influence </w:t>
            </w:r>
            <w:r w:rsidR="002A7055" w:rsidRPr="0002056A">
              <w:rPr>
                <w:rFonts w:ascii="Georgia" w:eastAsia="Times New Roman" w:hAnsi="Georgia" w:cs="Calibri"/>
                <w:b/>
                <w:bCs/>
                <w:i/>
                <w:iCs/>
                <w:color w:val="538135" w:themeColor="accent6" w:themeShade="BF"/>
                <w:sz w:val="14"/>
                <w:szCs w:val="14"/>
                <w:lang w:val="en-GB" w:eastAsia="hu-HU"/>
              </w:rPr>
              <w:t>in climate adaptation</w:t>
            </w:r>
          </w:p>
        </w:tc>
        <w:tc>
          <w:tcPr>
            <w:tcW w:w="893" w:type="dxa"/>
            <w:tcBorders>
              <w:top w:val="nil"/>
              <w:left w:val="nil"/>
              <w:bottom w:val="single" w:sz="4" w:space="0" w:color="auto"/>
              <w:right w:val="single" w:sz="4" w:space="0" w:color="auto"/>
            </w:tcBorders>
            <w:noWrap/>
            <w:vAlign w:val="bottom"/>
            <w:hideMark/>
          </w:tcPr>
          <w:p w14:paraId="3396C83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3A8CAC9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41C6144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67054940"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shd w:val="clear" w:color="auto" w:fill="C5E0B3" w:themeFill="accent6" w:themeFillTint="66"/>
            <w:noWrap/>
            <w:vAlign w:val="bottom"/>
            <w:hideMark/>
          </w:tcPr>
          <w:p w14:paraId="50D80B7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noWrap/>
            <w:vAlign w:val="bottom"/>
            <w:hideMark/>
          </w:tcPr>
          <w:p w14:paraId="0B3BDD2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noWrap/>
            <w:vAlign w:val="bottom"/>
            <w:hideMark/>
          </w:tcPr>
          <w:p w14:paraId="12A0A2C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noWrap/>
            <w:vAlign w:val="bottom"/>
            <w:hideMark/>
          </w:tcPr>
          <w:p w14:paraId="37914BD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48638A48" w14:textId="77777777" w:rsidTr="007A60F8">
        <w:trPr>
          <w:trHeight w:val="889"/>
          <w:jc w:val="center"/>
        </w:trPr>
        <w:tc>
          <w:tcPr>
            <w:tcW w:w="1124" w:type="dxa"/>
            <w:vMerge w:val="restart"/>
            <w:tcBorders>
              <w:top w:val="nil"/>
              <w:left w:val="single" w:sz="8" w:space="0" w:color="auto"/>
              <w:right w:val="single" w:sz="4" w:space="0" w:color="auto"/>
            </w:tcBorders>
            <w:textDirection w:val="btLr"/>
            <w:vAlign w:val="center"/>
            <w:hideMark/>
          </w:tcPr>
          <w:p w14:paraId="716DB9E7" w14:textId="77777777" w:rsidR="00856AAB" w:rsidRPr="0002056A" w:rsidRDefault="00856AAB" w:rsidP="0099786F">
            <w:pPr>
              <w:spacing w:after="0" w:line="240" w:lineRule="auto"/>
              <w:ind w:left="113" w:right="113"/>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Spatiality in adaptation monitoring and evaluations</w:t>
            </w:r>
          </w:p>
          <w:p w14:paraId="027E28A3" w14:textId="1267316B" w:rsidR="00856AAB" w:rsidRPr="0002056A" w:rsidRDefault="00856AAB" w:rsidP="0099786F">
            <w:pPr>
              <w:spacing w:after="0" w:line="240" w:lineRule="auto"/>
              <w:ind w:left="113" w:right="113"/>
              <w:jc w:val="center"/>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3CE9AC83" w14:textId="44E04728" w:rsidR="00856AAB" w:rsidRPr="0002056A" w:rsidRDefault="00856AAB"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levels of data connection and </w:t>
            </w:r>
            <w:r w:rsidR="002A7055" w:rsidRPr="0002056A">
              <w:rPr>
                <w:rFonts w:ascii="Georgia" w:eastAsia="Times New Roman" w:hAnsi="Georgia" w:cs="Calibri"/>
                <w:b/>
                <w:bCs/>
                <w:i/>
                <w:iCs/>
                <w:color w:val="538135" w:themeColor="accent6" w:themeShade="BF"/>
                <w:sz w:val="16"/>
                <w:szCs w:val="16"/>
                <w:lang w:val="en-GB" w:eastAsia="hu-HU"/>
              </w:rPr>
              <w:t xml:space="preserve">adaptation </w:t>
            </w:r>
            <w:r w:rsidRPr="0002056A">
              <w:rPr>
                <w:rFonts w:ascii="Georgia" w:eastAsia="Times New Roman" w:hAnsi="Georgia" w:cs="Calibri"/>
                <w:b/>
                <w:bCs/>
                <w:i/>
                <w:iCs/>
                <w:color w:val="538135" w:themeColor="accent6" w:themeShade="BF"/>
                <w:sz w:val="16"/>
                <w:szCs w:val="16"/>
                <w:lang w:val="en-GB" w:eastAsia="hu-HU"/>
              </w:rPr>
              <w:t>monitoring activities</w:t>
            </w:r>
          </w:p>
        </w:tc>
        <w:tc>
          <w:tcPr>
            <w:tcW w:w="893" w:type="dxa"/>
            <w:tcBorders>
              <w:top w:val="nil"/>
              <w:left w:val="nil"/>
              <w:bottom w:val="single" w:sz="4" w:space="0" w:color="auto"/>
              <w:right w:val="single" w:sz="4" w:space="0" w:color="auto"/>
            </w:tcBorders>
            <w:noWrap/>
            <w:vAlign w:val="bottom"/>
            <w:hideMark/>
          </w:tcPr>
          <w:p w14:paraId="6B8BF961"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73EADC45"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41141C6"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75150266"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4209E91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C5E0B3" w:themeFill="accent6" w:themeFillTint="66"/>
            <w:noWrap/>
            <w:vAlign w:val="bottom"/>
            <w:hideMark/>
          </w:tcPr>
          <w:p w14:paraId="114099F0"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765E3997"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17D458E8"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0B7032C8"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2DBCC95E" w14:textId="15802DE7" w:rsidR="00856AAB" w:rsidRPr="0002056A" w:rsidRDefault="00856AAB"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3E85F37D" w14:textId="5D7BE2D5" w:rsidR="00856AAB" w:rsidRPr="0002056A" w:rsidRDefault="00856AAB"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content of </w:t>
            </w:r>
            <w:r w:rsidR="002A7055" w:rsidRPr="0002056A">
              <w:rPr>
                <w:rFonts w:ascii="Georgia" w:eastAsia="Times New Roman" w:hAnsi="Georgia" w:cs="Calibri"/>
                <w:b/>
                <w:bCs/>
                <w:i/>
                <w:iCs/>
                <w:color w:val="538135" w:themeColor="accent6" w:themeShade="BF"/>
                <w:sz w:val="16"/>
                <w:szCs w:val="16"/>
                <w:lang w:val="en-GB" w:eastAsia="hu-HU"/>
              </w:rPr>
              <w:t xml:space="preserve">adaptation </w:t>
            </w:r>
            <w:r w:rsidRPr="0002056A">
              <w:rPr>
                <w:rFonts w:ascii="Georgia" w:eastAsia="Times New Roman" w:hAnsi="Georgia" w:cs="Calibri"/>
                <w:b/>
                <w:bCs/>
                <w:i/>
                <w:iCs/>
                <w:color w:val="538135" w:themeColor="accent6" w:themeShade="BF"/>
                <w:sz w:val="16"/>
                <w:szCs w:val="16"/>
                <w:lang w:val="en-GB" w:eastAsia="hu-HU"/>
              </w:rPr>
              <w:t>indicator sets</w:t>
            </w:r>
          </w:p>
        </w:tc>
        <w:tc>
          <w:tcPr>
            <w:tcW w:w="893" w:type="dxa"/>
            <w:tcBorders>
              <w:top w:val="nil"/>
              <w:left w:val="nil"/>
              <w:bottom w:val="single" w:sz="4" w:space="0" w:color="auto"/>
              <w:right w:val="single" w:sz="4" w:space="0" w:color="auto"/>
            </w:tcBorders>
            <w:noWrap/>
            <w:vAlign w:val="bottom"/>
            <w:hideMark/>
          </w:tcPr>
          <w:p w14:paraId="33DAE22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6F236AB4"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CC1687D"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2D248DE"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8425519"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C5E0B3" w:themeFill="accent6" w:themeFillTint="66"/>
            <w:noWrap/>
            <w:vAlign w:val="bottom"/>
            <w:hideMark/>
          </w:tcPr>
          <w:p w14:paraId="63C781DD"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77CDD6B2"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2EB25B95"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66F1DDEF"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6A58D95A" w14:textId="446465EC" w:rsidR="00856AAB" w:rsidRPr="0002056A" w:rsidRDefault="00856AAB"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6D974276" w14:textId="4CE27322" w:rsidR="00856AAB" w:rsidRPr="0002056A" w:rsidRDefault="00856AAB"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Presence of GIS</w:t>
            </w:r>
            <w:r w:rsidR="009F2FFE" w:rsidRPr="0002056A">
              <w:rPr>
                <w:rFonts w:ascii="Georgia" w:eastAsia="Times New Roman" w:hAnsi="Georgia" w:cs="Calibri"/>
                <w:b/>
                <w:bCs/>
                <w:i/>
                <w:iCs/>
                <w:color w:val="538135" w:themeColor="accent6" w:themeShade="BF"/>
                <w:sz w:val="16"/>
                <w:szCs w:val="16"/>
                <w:lang w:val="en-GB" w:eastAsia="hu-HU"/>
              </w:rPr>
              <w:t>-</w:t>
            </w:r>
            <w:r w:rsidRPr="0002056A">
              <w:rPr>
                <w:rFonts w:ascii="Georgia" w:eastAsia="Times New Roman" w:hAnsi="Georgia" w:cs="Calibri"/>
                <w:b/>
                <w:bCs/>
                <w:i/>
                <w:iCs/>
                <w:color w:val="538135" w:themeColor="accent6" w:themeShade="BF"/>
                <w:sz w:val="16"/>
                <w:szCs w:val="16"/>
                <w:lang w:val="en-GB" w:eastAsia="hu-HU"/>
              </w:rPr>
              <w:t xml:space="preserve"> based DS system</w:t>
            </w:r>
            <w:r w:rsidR="006001A9" w:rsidRPr="0002056A">
              <w:rPr>
                <w:rFonts w:ascii="Georgia" w:eastAsia="Times New Roman" w:hAnsi="Georgia" w:cs="Calibri"/>
                <w:b/>
                <w:bCs/>
                <w:i/>
                <w:iCs/>
                <w:color w:val="538135" w:themeColor="accent6" w:themeShade="BF"/>
                <w:sz w:val="16"/>
                <w:szCs w:val="16"/>
                <w:lang w:val="en-GB" w:eastAsia="hu-HU"/>
              </w:rPr>
              <w:t>(s)</w:t>
            </w:r>
            <w:r w:rsidRPr="0002056A">
              <w:rPr>
                <w:rFonts w:ascii="Georgia" w:eastAsia="Times New Roman" w:hAnsi="Georgia" w:cs="Calibri"/>
                <w:b/>
                <w:bCs/>
                <w:i/>
                <w:iCs/>
                <w:color w:val="538135" w:themeColor="accent6" w:themeShade="BF"/>
                <w:sz w:val="16"/>
                <w:szCs w:val="16"/>
                <w:lang w:val="en-GB" w:eastAsia="hu-HU"/>
              </w:rPr>
              <w:t xml:space="preserve"> in </w:t>
            </w:r>
            <w:r w:rsidR="002A7055" w:rsidRPr="0002056A">
              <w:rPr>
                <w:rFonts w:ascii="Georgia" w:eastAsia="Times New Roman" w:hAnsi="Georgia" w:cs="Calibri"/>
                <w:b/>
                <w:bCs/>
                <w:i/>
                <w:iCs/>
                <w:color w:val="538135" w:themeColor="accent6" w:themeShade="BF"/>
                <w:sz w:val="16"/>
                <w:szCs w:val="16"/>
                <w:lang w:val="en-GB" w:eastAsia="hu-HU"/>
              </w:rPr>
              <w:t xml:space="preserve">adaptation </w:t>
            </w:r>
            <w:r w:rsidRPr="0002056A">
              <w:rPr>
                <w:rFonts w:ascii="Georgia" w:eastAsia="Times New Roman" w:hAnsi="Georgia" w:cs="Calibri"/>
                <w:b/>
                <w:bCs/>
                <w:i/>
                <w:iCs/>
                <w:color w:val="538135" w:themeColor="accent6" w:themeShade="BF"/>
                <w:sz w:val="16"/>
                <w:szCs w:val="16"/>
                <w:lang w:val="en-GB" w:eastAsia="hu-HU"/>
              </w:rPr>
              <w:t>planning</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EDD90DE"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750B72F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5346FB52"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524679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40A797F3"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C5E0B3" w:themeFill="accent6" w:themeFillTint="66"/>
            <w:noWrap/>
            <w:vAlign w:val="bottom"/>
            <w:hideMark/>
          </w:tcPr>
          <w:p w14:paraId="787D1BA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729B5984"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4CC61A75"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59E434C1"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67DBF516" w14:textId="1BE86D0F" w:rsidR="00856AAB" w:rsidRPr="0002056A" w:rsidRDefault="00856AAB"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7C562FF8" w14:textId="2667B18D" w:rsidR="00856AAB" w:rsidRPr="0002056A" w:rsidRDefault="00856AAB"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The degree of </w:t>
            </w:r>
            <w:r w:rsidR="002A7055" w:rsidRPr="0002056A">
              <w:rPr>
                <w:rFonts w:ascii="Georgia" w:eastAsia="Times New Roman" w:hAnsi="Georgia" w:cs="Calibri"/>
                <w:b/>
                <w:bCs/>
                <w:i/>
                <w:iCs/>
                <w:color w:val="538135" w:themeColor="accent6" w:themeShade="BF"/>
                <w:sz w:val="16"/>
                <w:szCs w:val="16"/>
                <w:lang w:val="en-GB" w:eastAsia="hu-HU"/>
              </w:rPr>
              <w:t>spatial</w:t>
            </w:r>
            <w:r w:rsidRPr="0002056A">
              <w:rPr>
                <w:rFonts w:ascii="Georgia" w:eastAsia="Times New Roman" w:hAnsi="Georgia" w:cs="Calibri"/>
                <w:b/>
                <w:bCs/>
                <w:i/>
                <w:iCs/>
                <w:color w:val="538135" w:themeColor="accent6" w:themeShade="BF"/>
                <w:sz w:val="16"/>
                <w:szCs w:val="16"/>
                <w:lang w:val="en-GB" w:eastAsia="hu-HU"/>
              </w:rPr>
              <w:t xml:space="preserve"> content in adaptation evaluation</w:t>
            </w:r>
            <w:r w:rsidR="006001A9" w:rsidRPr="0002056A">
              <w:rPr>
                <w:rFonts w:ascii="Georgia" w:eastAsia="Times New Roman" w:hAnsi="Georgia" w:cs="Calibri"/>
                <w:b/>
                <w:bCs/>
                <w:i/>
                <w:iCs/>
                <w:color w:val="538135" w:themeColor="accent6" w:themeShade="BF"/>
                <w:sz w:val="16"/>
                <w:szCs w:val="16"/>
                <w:lang w:val="en-GB" w:eastAsia="hu-HU"/>
              </w:rPr>
              <w:t>s</w:t>
            </w:r>
          </w:p>
        </w:tc>
        <w:tc>
          <w:tcPr>
            <w:tcW w:w="893" w:type="dxa"/>
            <w:tcBorders>
              <w:top w:val="nil"/>
              <w:left w:val="nil"/>
              <w:bottom w:val="single" w:sz="4" w:space="0" w:color="auto"/>
              <w:right w:val="single" w:sz="4" w:space="0" w:color="auto"/>
            </w:tcBorders>
            <w:noWrap/>
            <w:vAlign w:val="bottom"/>
            <w:hideMark/>
          </w:tcPr>
          <w:p w14:paraId="117B3B47"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3F9DC1C6"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21F9E80"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3210589C"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382436C8"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605675E3"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6FF5807F"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384F6BB8"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03331D90" w14:textId="77777777" w:rsidTr="007A60F8">
        <w:trPr>
          <w:trHeight w:val="889"/>
          <w:jc w:val="center"/>
        </w:trPr>
        <w:tc>
          <w:tcPr>
            <w:tcW w:w="1124" w:type="dxa"/>
            <w:vMerge/>
            <w:tcBorders>
              <w:left w:val="single" w:sz="8" w:space="0" w:color="auto"/>
              <w:right w:val="single" w:sz="4" w:space="0" w:color="auto"/>
            </w:tcBorders>
            <w:textDirection w:val="btLr"/>
            <w:vAlign w:val="center"/>
            <w:hideMark/>
          </w:tcPr>
          <w:p w14:paraId="22C8B1D2" w14:textId="77777777" w:rsidR="00856AAB" w:rsidRPr="0002056A" w:rsidRDefault="00856AAB"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085A99BD" w14:textId="73132BA9" w:rsidR="00856AAB" w:rsidRPr="0002056A" w:rsidRDefault="002A7055"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w:t>
            </w:r>
            <w:r w:rsidR="00856AAB" w:rsidRPr="0002056A">
              <w:rPr>
                <w:rFonts w:ascii="Georgia" w:eastAsia="Times New Roman" w:hAnsi="Georgia" w:cs="Calibri"/>
                <w:b/>
                <w:bCs/>
                <w:i/>
                <w:iCs/>
                <w:color w:val="538135" w:themeColor="accent6" w:themeShade="BF"/>
                <w:sz w:val="16"/>
                <w:szCs w:val="16"/>
                <w:lang w:val="en-GB" w:eastAsia="hu-HU"/>
              </w:rPr>
              <w:t xml:space="preserve"> visualization in adaptation evaluation</w:t>
            </w:r>
            <w:r w:rsidR="006001A9" w:rsidRPr="0002056A">
              <w:rPr>
                <w:rFonts w:ascii="Georgia" w:eastAsia="Times New Roman" w:hAnsi="Georgia" w:cs="Calibri"/>
                <w:b/>
                <w:bCs/>
                <w:i/>
                <w:iCs/>
                <w:color w:val="538135" w:themeColor="accent6" w:themeShade="BF"/>
                <w:sz w:val="16"/>
                <w:szCs w:val="16"/>
                <w:lang w:val="en-GB" w:eastAsia="hu-HU"/>
              </w:rPr>
              <w:t>s</w:t>
            </w:r>
          </w:p>
        </w:tc>
        <w:tc>
          <w:tcPr>
            <w:tcW w:w="893" w:type="dxa"/>
            <w:tcBorders>
              <w:top w:val="nil"/>
              <w:left w:val="nil"/>
              <w:bottom w:val="single" w:sz="4" w:space="0" w:color="auto"/>
              <w:right w:val="single" w:sz="4" w:space="0" w:color="auto"/>
            </w:tcBorders>
            <w:noWrap/>
            <w:vAlign w:val="bottom"/>
            <w:hideMark/>
          </w:tcPr>
          <w:p w14:paraId="16C88FF9"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74812A8"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130090A6"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17B9ED13"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52C8B14A"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78465758"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3D91C7A6"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1CA50EBD"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4D6E2BDD" w14:textId="77777777" w:rsidTr="007A60F8">
        <w:trPr>
          <w:trHeight w:val="889"/>
          <w:jc w:val="center"/>
        </w:trPr>
        <w:tc>
          <w:tcPr>
            <w:tcW w:w="1124" w:type="dxa"/>
            <w:vMerge/>
            <w:tcBorders>
              <w:left w:val="single" w:sz="8" w:space="0" w:color="auto"/>
              <w:bottom w:val="single" w:sz="4" w:space="0" w:color="auto"/>
              <w:right w:val="single" w:sz="4" w:space="0" w:color="auto"/>
            </w:tcBorders>
            <w:textDirection w:val="btLr"/>
            <w:vAlign w:val="center"/>
            <w:hideMark/>
          </w:tcPr>
          <w:p w14:paraId="5B01D9EE" w14:textId="77777777" w:rsidR="00856AAB" w:rsidRPr="0002056A" w:rsidRDefault="00856AAB" w:rsidP="00162BDA">
            <w:pPr>
              <w:spacing w:after="0" w:line="240" w:lineRule="auto"/>
              <w:ind w:left="113" w:right="113"/>
              <w:rPr>
                <w:rFonts w:ascii="Georgia" w:eastAsia="Times New Roman" w:hAnsi="Georgia" w:cs="Calibri"/>
                <w:b/>
                <w:bCs/>
                <w:color w:val="000000"/>
                <w:sz w:val="20"/>
                <w:szCs w:val="20"/>
                <w:lang w:val="en-GB" w:eastAsia="hu-HU"/>
              </w:rPr>
            </w:pPr>
          </w:p>
        </w:tc>
        <w:tc>
          <w:tcPr>
            <w:tcW w:w="2000" w:type="dxa"/>
            <w:tcBorders>
              <w:top w:val="nil"/>
              <w:left w:val="nil"/>
              <w:bottom w:val="single" w:sz="4" w:space="0" w:color="auto"/>
              <w:right w:val="single" w:sz="4" w:space="0" w:color="auto"/>
            </w:tcBorders>
            <w:vAlign w:val="center"/>
            <w:hideMark/>
          </w:tcPr>
          <w:p w14:paraId="71125747" w14:textId="417EF080" w:rsidR="00856AAB" w:rsidRPr="0002056A" w:rsidRDefault="002A7055" w:rsidP="00F72AEF">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w:t>
            </w:r>
            <w:r w:rsidR="00856AAB" w:rsidRPr="0002056A">
              <w:rPr>
                <w:rFonts w:ascii="Georgia" w:eastAsia="Times New Roman" w:hAnsi="Georgia" w:cs="Calibri"/>
                <w:b/>
                <w:bCs/>
                <w:i/>
                <w:iCs/>
                <w:color w:val="538135" w:themeColor="accent6" w:themeShade="BF"/>
                <w:sz w:val="16"/>
                <w:szCs w:val="16"/>
                <w:lang w:val="en-GB" w:eastAsia="hu-HU"/>
              </w:rPr>
              <w:t xml:space="preserve"> levels of </w:t>
            </w:r>
            <w:r w:rsidRPr="0002056A">
              <w:rPr>
                <w:rFonts w:ascii="Georgia" w:eastAsia="Times New Roman" w:hAnsi="Georgia" w:cs="Calibri"/>
                <w:b/>
                <w:bCs/>
                <w:i/>
                <w:iCs/>
                <w:color w:val="538135" w:themeColor="accent6" w:themeShade="BF"/>
                <w:sz w:val="16"/>
                <w:szCs w:val="16"/>
                <w:lang w:val="en-GB" w:eastAsia="hu-HU"/>
              </w:rPr>
              <w:t xml:space="preserve">adaptation </w:t>
            </w:r>
            <w:r w:rsidR="00856AAB" w:rsidRPr="0002056A">
              <w:rPr>
                <w:rFonts w:ascii="Georgia" w:eastAsia="Times New Roman" w:hAnsi="Georgia" w:cs="Calibri"/>
                <w:b/>
                <w:bCs/>
                <w:i/>
                <w:iCs/>
                <w:color w:val="538135" w:themeColor="accent6" w:themeShade="BF"/>
                <w:sz w:val="16"/>
                <w:szCs w:val="16"/>
                <w:lang w:val="en-GB" w:eastAsia="hu-HU"/>
              </w:rPr>
              <w:t>evaluation</w:t>
            </w:r>
          </w:p>
        </w:tc>
        <w:tc>
          <w:tcPr>
            <w:tcW w:w="893" w:type="dxa"/>
            <w:tcBorders>
              <w:top w:val="nil"/>
              <w:left w:val="nil"/>
              <w:bottom w:val="single" w:sz="4" w:space="0" w:color="auto"/>
              <w:right w:val="single" w:sz="4" w:space="0" w:color="auto"/>
            </w:tcBorders>
            <w:noWrap/>
            <w:vAlign w:val="bottom"/>
            <w:hideMark/>
          </w:tcPr>
          <w:p w14:paraId="67AB2B23"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2CA2D0B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shd w:val="clear" w:color="auto" w:fill="C5E0B3" w:themeFill="accent6" w:themeFillTint="66"/>
            <w:noWrap/>
            <w:vAlign w:val="bottom"/>
            <w:hideMark/>
          </w:tcPr>
          <w:p w14:paraId="7D2E68CD"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shd w:val="clear" w:color="auto" w:fill="C5E0B3" w:themeFill="accent6" w:themeFillTint="66"/>
            <w:noWrap/>
            <w:vAlign w:val="bottom"/>
            <w:hideMark/>
          </w:tcPr>
          <w:p w14:paraId="78777CA0"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1AF50595"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44E3D78E"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73D145CA"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3E6F431B" w14:textId="77777777" w:rsidR="00856AAB" w:rsidRPr="0002056A" w:rsidRDefault="00856AAB"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76F2E32A" w14:textId="77777777" w:rsidTr="007A60F8">
        <w:trPr>
          <w:trHeight w:val="889"/>
          <w:jc w:val="center"/>
        </w:trPr>
        <w:tc>
          <w:tcPr>
            <w:tcW w:w="1124" w:type="dxa"/>
            <w:vMerge w:val="restart"/>
            <w:tcBorders>
              <w:top w:val="nil"/>
              <w:left w:val="single" w:sz="8" w:space="0" w:color="auto"/>
              <w:bottom w:val="single" w:sz="8" w:space="0" w:color="000000"/>
              <w:right w:val="single" w:sz="4" w:space="0" w:color="auto"/>
            </w:tcBorders>
            <w:textDirection w:val="btLr"/>
            <w:vAlign w:val="center"/>
            <w:hideMark/>
          </w:tcPr>
          <w:p w14:paraId="16959AF3" w14:textId="1BDF9D6E" w:rsidR="00AF0466" w:rsidRPr="0002056A" w:rsidRDefault="00A60F45" w:rsidP="0099786F">
            <w:pPr>
              <w:spacing w:after="0" w:line="240" w:lineRule="auto"/>
              <w:ind w:left="113" w:right="113"/>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 xml:space="preserve">Spatial policy considerations </w:t>
            </w:r>
            <w:r w:rsidR="00AF0466" w:rsidRPr="0002056A">
              <w:rPr>
                <w:rFonts w:ascii="Georgia" w:eastAsia="Times New Roman" w:hAnsi="Georgia" w:cs="Calibri"/>
                <w:b/>
                <w:bCs/>
                <w:color w:val="000000"/>
                <w:sz w:val="18"/>
                <w:szCs w:val="18"/>
                <w:lang w:val="en-GB" w:eastAsia="hu-HU"/>
              </w:rPr>
              <w:t>in adaptation planning</w:t>
            </w:r>
          </w:p>
        </w:tc>
        <w:tc>
          <w:tcPr>
            <w:tcW w:w="2000" w:type="dxa"/>
            <w:tcBorders>
              <w:top w:val="nil"/>
              <w:left w:val="nil"/>
              <w:bottom w:val="single" w:sz="4" w:space="0" w:color="auto"/>
              <w:right w:val="single" w:sz="4" w:space="0" w:color="auto"/>
            </w:tcBorders>
            <w:vAlign w:val="center"/>
            <w:hideMark/>
          </w:tcPr>
          <w:p w14:paraId="046611B5" w14:textId="540471C1" w:rsidR="00AF0466" w:rsidRPr="009236EB" w:rsidRDefault="00AF0466"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9236EB">
              <w:rPr>
                <w:rFonts w:ascii="Georgia" w:eastAsia="Times New Roman" w:hAnsi="Georgia" w:cs="Calibri"/>
                <w:b/>
                <w:bCs/>
                <w:i/>
                <w:iCs/>
                <w:color w:val="538135" w:themeColor="accent6" w:themeShade="BF"/>
                <w:sz w:val="14"/>
                <w:szCs w:val="14"/>
                <w:lang w:val="en-GB" w:eastAsia="hu-HU"/>
              </w:rPr>
              <w:t xml:space="preserve">Consideration of national </w:t>
            </w:r>
            <w:r w:rsidR="00DA5AB3" w:rsidRPr="009236EB">
              <w:rPr>
                <w:rFonts w:ascii="Georgia" w:eastAsia="Times New Roman" w:hAnsi="Georgia" w:cs="Calibri"/>
                <w:b/>
                <w:bCs/>
                <w:i/>
                <w:iCs/>
                <w:color w:val="538135" w:themeColor="accent6" w:themeShade="BF"/>
                <w:sz w:val="14"/>
                <w:szCs w:val="14"/>
                <w:lang w:val="en-GB" w:eastAsia="hu-HU"/>
              </w:rPr>
              <w:t>spatial policy</w:t>
            </w:r>
            <w:r w:rsidRPr="009236EB">
              <w:rPr>
                <w:rFonts w:ascii="Georgia" w:eastAsia="Times New Roman" w:hAnsi="Georgia" w:cs="Calibri"/>
                <w:b/>
                <w:bCs/>
                <w:i/>
                <w:iCs/>
                <w:color w:val="538135" w:themeColor="accent6" w:themeShade="BF"/>
                <w:sz w:val="14"/>
                <w:szCs w:val="14"/>
                <w:lang w:val="en-GB" w:eastAsia="hu-HU"/>
              </w:rPr>
              <w:t xml:space="preserve"> objectives </w:t>
            </w:r>
            <w:r w:rsidR="00DA5AB3" w:rsidRPr="009236EB">
              <w:rPr>
                <w:rFonts w:ascii="Georgia" w:eastAsia="Times New Roman" w:hAnsi="Georgia" w:cs="Calibri"/>
                <w:b/>
                <w:bCs/>
                <w:i/>
                <w:iCs/>
                <w:color w:val="538135" w:themeColor="accent6" w:themeShade="BF"/>
                <w:sz w:val="14"/>
                <w:szCs w:val="14"/>
                <w:lang w:val="en-GB" w:eastAsia="hu-HU"/>
              </w:rPr>
              <w:t>in NAS documents</w:t>
            </w:r>
          </w:p>
        </w:tc>
        <w:tc>
          <w:tcPr>
            <w:tcW w:w="893" w:type="dxa"/>
            <w:tcBorders>
              <w:top w:val="nil"/>
              <w:left w:val="nil"/>
              <w:bottom w:val="single" w:sz="4" w:space="0" w:color="auto"/>
              <w:right w:val="single" w:sz="4" w:space="0" w:color="auto"/>
            </w:tcBorders>
            <w:noWrap/>
            <w:vAlign w:val="bottom"/>
            <w:hideMark/>
          </w:tcPr>
          <w:p w14:paraId="5AC1ED6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5CBE299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064D77A5"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64F3B1D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73FB123F"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01F7E61D"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E43975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2210BB6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0DBA2B6D" w14:textId="77777777" w:rsidTr="007A60F8">
        <w:trPr>
          <w:trHeight w:val="889"/>
          <w:jc w:val="center"/>
        </w:trPr>
        <w:tc>
          <w:tcPr>
            <w:tcW w:w="1124" w:type="dxa"/>
            <w:vMerge/>
            <w:tcBorders>
              <w:top w:val="nil"/>
              <w:left w:val="single" w:sz="8" w:space="0" w:color="auto"/>
              <w:bottom w:val="single" w:sz="8" w:space="0" w:color="000000"/>
              <w:right w:val="single" w:sz="4" w:space="0" w:color="auto"/>
            </w:tcBorders>
            <w:textDirection w:val="btLr"/>
            <w:vAlign w:val="center"/>
            <w:hideMark/>
          </w:tcPr>
          <w:p w14:paraId="5F01C6A8" w14:textId="77777777" w:rsidR="00AF0466" w:rsidRPr="0002056A" w:rsidRDefault="00AF0466" w:rsidP="00162BDA">
            <w:pPr>
              <w:spacing w:after="0" w:line="240" w:lineRule="auto"/>
              <w:ind w:left="113" w:right="113"/>
              <w:rPr>
                <w:rFonts w:ascii="Georgia" w:eastAsia="Times New Roman" w:hAnsi="Georgia" w:cs="Calibri"/>
                <w:b/>
                <w:bCs/>
                <w:color w:val="000000"/>
                <w:sz w:val="18"/>
                <w:szCs w:val="18"/>
                <w:lang w:val="en-GB" w:eastAsia="hu-HU"/>
              </w:rPr>
            </w:pPr>
          </w:p>
        </w:tc>
        <w:tc>
          <w:tcPr>
            <w:tcW w:w="2000" w:type="dxa"/>
            <w:tcBorders>
              <w:top w:val="nil"/>
              <w:left w:val="nil"/>
              <w:bottom w:val="single" w:sz="4" w:space="0" w:color="auto"/>
              <w:right w:val="single" w:sz="4" w:space="0" w:color="auto"/>
            </w:tcBorders>
            <w:vAlign w:val="center"/>
            <w:hideMark/>
          </w:tcPr>
          <w:p w14:paraId="622EF35F" w14:textId="3B4827A8" w:rsidR="00AF0466" w:rsidRPr="009236EB" w:rsidRDefault="00AF0466"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9236EB">
              <w:rPr>
                <w:rFonts w:ascii="Georgia" w:eastAsia="Times New Roman" w:hAnsi="Georgia" w:cs="Calibri"/>
                <w:b/>
                <w:bCs/>
                <w:i/>
                <w:iCs/>
                <w:color w:val="538135" w:themeColor="accent6" w:themeShade="BF"/>
                <w:sz w:val="14"/>
                <w:szCs w:val="14"/>
                <w:lang w:val="en-GB" w:eastAsia="hu-HU"/>
              </w:rPr>
              <w:t xml:space="preserve">Consideration of European </w:t>
            </w:r>
            <w:r w:rsidR="00DA5AB3" w:rsidRPr="009236EB">
              <w:rPr>
                <w:rFonts w:ascii="Georgia" w:eastAsia="Times New Roman" w:hAnsi="Georgia" w:cs="Calibri"/>
                <w:b/>
                <w:bCs/>
                <w:i/>
                <w:iCs/>
                <w:color w:val="538135" w:themeColor="accent6" w:themeShade="BF"/>
                <w:sz w:val="14"/>
                <w:szCs w:val="14"/>
                <w:lang w:val="en-GB" w:eastAsia="hu-HU"/>
              </w:rPr>
              <w:t>regional development policy</w:t>
            </w:r>
            <w:r w:rsidRPr="009236EB">
              <w:rPr>
                <w:rFonts w:ascii="Georgia" w:eastAsia="Times New Roman" w:hAnsi="Georgia" w:cs="Calibri"/>
                <w:b/>
                <w:bCs/>
                <w:i/>
                <w:iCs/>
                <w:color w:val="538135" w:themeColor="accent6" w:themeShade="BF"/>
                <w:sz w:val="14"/>
                <w:szCs w:val="14"/>
                <w:lang w:val="en-GB" w:eastAsia="hu-HU"/>
              </w:rPr>
              <w:t xml:space="preserve"> objectives</w:t>
            </w:r>
            <w:r w:rsidR="00DA5AB3" w:rsidRPr="009236EB">
              <w:rPr>
                <w:rFonts w:ascii="Georgia" w:eastAsia="Times New Roman" w:hAnsi="Georgia" w:cs="Calibri"/>
                <w:b/>
                <w:bCs/>
                <w:i/>
                <w:iCs/>
                <w:color w:val="538135" w:themeColor="accent6" w:themeShade="BF"/>
                <w:sz w:val="14"/>
                <w:szCs w:val="14"/>
                <w:lang w:val="en-GB" w:eastAsia="hu-HU"/>
              </w:rPr>
              <w:t xml:space="preserve"> in NAS documents</w:t>
            </w:r>
          </w:p>
        </w:tc>
        <w:tc>
          <w:tcPr>
            <w:tcW w:w="893" w:type="dxa"/>
            <w:tcBorders>
              <w:top w:val="nil"/>
              <w:left w:val="nil"/>
              <w:bottom w:val="single" w:sz="4" w:space="0" w:color="auto"/>
              <w:right w:val="single" w:sz="4" w:space="0" w:color="auto"/>
            </w:tcBorders>
            <w:noWrap/>
            <w:vAlign w:val="bottom"/>
            <w:hideMark/>
          </w:tcPr>
          <w:p w14:paraId="3E3B6345"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075C2D2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4" w:space="0" w:color="auto"/>
              <w:right w:val="single" w:sz="4" w:space="0" w:color="auto"/>
            </w:tcBorders>
            <w:noWrap/>
            <w:vAlign w:val="bottom"/>
            <w:hideMark/>
          </w:tcPr>
          <w:p w14:paraId="763CF7E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4" w:space="0" w:color="auto"/>
              <w:right w:val="single" w:sz="4" w:space="0" w:color="auto"/>
            </w:tcBorders>
            <w:noWrap/>
            <w:vAlign w:val="bottom"/>
            <w:hideMark/>
          </w:tcPr>
          <w:p w14:paraId="1BFF1E6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4" w:space="0" w:color="auto"/>
              <w:right w:val="single" w:sz="4" w:space="0" w:color="auto"/>
            </w:tcBorders>
            <w:noWrap/>
            <w:vAlign w:val="bottom"/>
            <w:hideMark/>
          </w:tcPr>
          <w:p w14:paraId="253D3167"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4" w:space="0" w:color="auto"/>
              <w:right w:val="single" w:sz="4" w:space="0" w:color="auto"/>
            </w:tcBorders>
            <w:shd w:val="clear" w:color="auto" w:fill="FFFFFF" w:themeFill="background1"/>
            <w:noWrap/>
            <w:vAlign w:val="bottom"/>
            <w:hideMark/>
          </w:tcPr>
          <w:p w14:paraId="379CFECE"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4" w:space="0" w:color="auto"/>
              <w:right w:val="single" w:sz="4" w:space="0" w:color="auto"/>
            </w:tcBorders>
            <w:shd w:val="clear" w:color="auto" w:fill="C5E0B3" w:themeFill="accent6" w:themeFillTint="66"/>
            <w:noWrap/>
            <w:vAlign w:val="bottom"/>
            <w:hideMark/>
          </w:tcPr>
          <w:p w14:paraId="1CE7FC21"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4" w:space="0" w:color="auto"/>
              <w:right w:val="single" w:sz="8" w:space="0" w:color="auto"/>
            </w:tcBorders>
            <w:shd w:val="clear" w:color="auto" w:fill="C5E0B3" w:themeFill="accent6" w:themeFillTint="66"/>
            <w:noWrap/>
            <w:vAlign w:val="bottom"/>
            <w:hideMark/>
          </w:tcPr>
          <w:p w14:paraId="0AC048E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r w:rsidR="00DA5AB3" w:rsidRPr="0002056A" w14:paraId="365C47C7" w14:textId="77777777" w:rsidTr="007A60F8">
        <w:trPr>
          <w:trHeight w:val="889"/>
          <w:jc w:val="center"/>
        </w:trPr>
        <w:tc>
          <w:tcPr>
            <w:tcW w:w="1124" w:type="dxa"/>
            <w:vMerge/>
            <w:tcBorders>
              <w:top w:val="nil"/>
              <w:left w:val="single" w:sz="8" w:space="0" w:color="auto"/>
              <w:bottom w:val="single" w:sz="8" w:space="0" w:color="000000"/>
              <w:right w:val="single" w:sz="4" w:space="0" w:color="auto"/>
            </w:tcBorders>
            <w:textDirection w:val="btLr"/>
            <w:vAlign w:val="center"/>
            <w:hideMark/>
          </w:tcPr>
          <w:p w14:paraId="3A20B616" w14:textId="77777777" w:rsidR="00AF0466" w:rsidRPr="0002056A" w:rsidRDefault="00AF0466" w:rsidP="00162BDA">
            <w:pPr>
              <w:spacing w:after="0" w:line="240" w:lineRule="auto"/>
              <w:ind w:left="113" w:right="113"/>
              <w:rPr>
                <w:rFonts w:ascii="Georgia" w:eastAsia="Times New Roman" w:hAnsi="Georgia" w:cs="Calibri"/>
                <w:b/>
                <w:bCs/>
                <w:color w:val="000000"/>
                <w:sz w:val="18"/>
                <w:szCs w:val="18"/>
                <w:lang w:val="en-GB" w:eastAsia="hu-HU"/>
              </w:rPr>
            </w:pPr>
          </w:p>
        </w:tc>
        <w:tc>
          <w:tcPr>
            <w:tcW w:w="2000" w:type="dxa"/>
            <w:tcBorders>
              <w:top w:val="nil"/>
              <w:left w:val="nil"/>
              <w:bottom w:val="single" w:sz="8" w:space="0" w:color="auto"/>
              <w:right w:val="single" w:sz="4" w:space="0" w:color="auto"/>
            </w:tcBorders>
            <w:vAlign w:val="center"/>
            <w:hideMark/>
          </w:tcPr>
          <w:p w14:paraId="13F63A65" w14:textId="275184C7" w:rsidR="00AF0466" w:rsidRPr="009236EB" w:rsidRDefault="00DA5AB3" w:rsidP="00F72AEF">
            <w:pPr>
              <w:spacing w:after="0" w:line="240" w:lineRule="auto"/>
              <w:rPr>
                <w:rFonts w:ascii="Georgia" w:eastAsia="Times New Roman" w:hAnsi="Georgia" w:cs="Calibri"/>
                <w:b/>
                <w:bCs/>
                <w:i/>
                <w:iCs/>
                <w:color w:val="538135" w:themeColor="accent6" w:themeShade="BF"/>
                <w:sz w:val="14"/>
                <w:szCs w:val="14"/>
                <w:lang w:val="en-GB" w:eastAsia="hu-HU"/>
              </w:rPr>
            </w:pPr>
            <w:r w:rsidRPr="009236EB">
              <w:rPr>
                <w:rFonts w:ascii="Georgia" w:eastAsia="Times New Roman" w:hAnsi="Georgia" w:cs="Calibri"/>
                <w:b/>
                <w:bCs/>
                <w:i/>
                <w:iCs/>
                <w:color w:val="538135" w:themeColor="accent6" w:themeShade="BF"/>
                <w:sz w:val="14"/>
                <w:szCs w:val="14"/>
                <w:lang w:val="en-GB" w:eastAsia="hu-HU"/>
              </w:rPr>
              <w:t>Emergence of territorial cohesion-related concepts in NAS documents</w:t>
            </w:r>
          </w:p>
        </w:tc>
        <w:tc>
          <w:tcPr>
            <w:tcW w:w="893" w:type="dxa"/>
            <w:tcBorders>
              <w:top w:val="nil"/>
              <w:left w:val="nil"/>
              <w:bottom w:val="single" w:sz="8" w:space="0" w:color="auto"/>
              <w:right w:val="single" w:sz="4" w:space="0" w:color="auto"/>
            </w:tcBorders>
            <w:noWrap/>
            <w:vAlign w:val="bottom"/>
            <w:hideMark/>
          </w:tcPr>
          <w:p w14:paraId="682AE458"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8" w:space="0" w:color="auto"/>
              <w:right w:val="single" w:sz="4" w:space="0" w:color="auto"/>
            </w:tcBorders>
            <w:noWrap/>
            <w:vAlign w:val="bottom"/>
            <w:hideMark/>
          </w:tcPr>
          <w:p w14:paraId="5086F1E3"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3" w:type="dxa"/>
            <w:tcBorders>
              <w:top w:val="nil"/>
              <w:left w:val="nil"/>
              <w:bottom w:val="single" w:sz="8" w:space="0" w:color="auto"/>
              <w:right w:val="single" w:sz="4" w:space="0" w:color="auto"/>
            </w:tcBorders>
            <w:noWrap/>
            <w:vAlign w:val="bottom"/>
            <w:hideMark/>
          </w:tcPr>
          <w:p w14:paraId="63FA7D3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97" w:type="dxa"/>
            <w:tcBorders>
              <w:top w:val="nil"/>
              <w:left w:val="nil"/>
              <w:bottom w:val="single" w:sz="8" w:space="0" w:color="auto"/>
              <w:right w:val="single" w:sz="4" w:space="0" w:color="auto"/>
            </w:tcBorders>
            <w:noWrap/>
            <w:vAlign w:val="bottom"/>
            <w:hideMark/>
          </w:tcPr>
          <w:p w14:paraId="1BA2621A"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1" w:type="dxa"/>
            <w:tcBorders>
              <w:top w:val="nil"/>
              <w:left w:val="nil"/>
              <w:bottom w:val="single" w:sz="8" w:space="0" w:color="auto"/>
              <w:right w:val="single" w:sz="4" w:space="0" w:color="auto"/>
            </w:tcBorders>
            <w:noWrap/>
            <w:vAlign w:val="bottom"/>
            <w:hideMark/>
          </w:tcPr>
          <w:p w14:paraId="3F9A3EFC"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907" w:type="dxa"/>
            <w:tcBorders>
              <w:top w:val="nil"/>
              <w:left w:val="nil"/>
              <w:bottom w:val="single" w:sz="8" w:space="0" w:color="auto"/>
              <w:right w:val="single" w:sz="4" w:space="0" w:color="auto"/>
            </w:tcBorders>
            <w:noWrap/>
            <w:vAlign w:val="bottom"/>
            <w:hideMark/>
          </w:tcPr>
          <w:p w14:paraId="1B6F2496"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794" w:type="dxa"/>
            <w:tcBorders>
              <w:top w:val="nil"/>
              <w:left w:val="nil"/>
              <w:bottom w:val="single" w:sz="8" w:space="0" w:color="auto"/>
              <w:right w:val="single" w:sz="4" w:space="0" w:color="auto"/>
            </w:tcBorders>
            <w:shd w:val="clear" w:color="auto" w:fill="C5E0B3" w:themeFill="accent6" w:themeFillTint="66"/>
            <w:noWrap/>
            <w:vAlign w:val="bottom"/>
            <w:hideMark/>
          </w:tcPr>
          <w:p w14:paraId="11DB5C92"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c>
          <w:tcPr>
            <w:tcW w:w="850" w:type="dxa"/>
            <w:tcBorders>
              <w:top w:val="nil"/>
              <w:left w:val="nil"/>
              <w:bottom w:val="single" w:sz="8" w:space="0" w:color="auto"/>
              <w:right w:val="single" w:sz="8" w:space="0" w:color="auto"/>
            </w:tcBorders>
            <w:shd w:val="clear" w:color="auto" w:fill="C5E0B3" w:themeFill="accent6" w:themeFillTint="66"/>
            <w:noWrap/>
            <w:vAlign w:val="bottom"/>
            <w:hideMark/>
          </w:tcPr>
          <w:p w14:paraId="277B0ADB" w14:textId="77777777" w:rsidR="00AF0466" w:rsidRPr="0002056A" w:rsidRDefault="00AF0466" w:rsidP="00F72AEF">
            <w:pPr>
              <w:spacing w:after="0" w:line="240" w:lineRule="auto"/>
              <w:rPr>
                <w:rFonts w:ascii="Calibri" w:eastAsia="Times New Roman" w:hAnsi="Calibri" w:cs="Calibri"/>
                <w:color w:val="000000"/>
                <w:lang w:val="en-GB" w:eastAsia="hu-HU"/>
              </w:rPr>
            </w:pPr>
            <w:r w:rsidRPr="0002056A">
              <w:rPr>
                <w:rFonts w:ascii="Calibri" w:eastAsia="Times New Roman" w:hAnsi="Calibri" w:cs="Calibri"/>
                <w:color w:val="000000"/>
                <w:lang w:val="en-GB" w:eastAsia="hu-HU"/>
              </w:rPr>
              <w:t> </w:t>
            </w:r>
          </w:p>
        </w:tc>
      </w:tr>
    </w:tbl>
    <w:p w14:paraId="57495997" w14:textId="77777777" w:rsidR="00A3144F" w:rsidRDefault="00A3144F" w:rsidP="00CD5BF3">
      <w:pPr>
        <w:spacing w:before="120" w:afterLines="120" w:after="288"/>
        <w:jc w:val="both"/>
        <w:rPr>
          <w:rFonts w:ascii="Georgia" w:hAnsi="Georgia" w:cs="Times New Roman"/>
          <w:lang w:val="en-GB"/>
        </w:rPr>
      </w:pPr>
    </w:p>
    <w:p w14:paraId="52E86086" w14:textId="77777777" w:rsidR="00A3144F" w:rsidRDefault="00A3144F">
      <w:pPr>
        <w:spacing w:after="160" w:line="259" w:lineRule="auto"/>
        <w:rPr>
          <w:rFonts w:ascii="Georgia" w:hAnsi="Georgia" w:cs="Times New Roman"/>
          <w:lang w:val="en-GB"/>
        </w:rPr>
      </w:pPr>
      <w:r>
        <w:rPr>
          <w:rFonts w:ascii="Georgia" w:hAnsi="Georgia" w:cs="Times New Roman"/>
          <w:lang w:val="en-GB"/>
        </w:rPr>
        <w:br w:type="page"/>
      </w:r>
    </w:p>
    <w:p w14:paraId="570B2E71" w14:textId="33FED970" w:rsidR="00603355" w:rsidRPr="0002056A" w:rsidRDefault="00603355" w:rsidP="00CD5BF3">
      <w:pPr>
        <w:spacing w:before="120" w:afterLines="120" w:after="288"/>
        <w:jc w:val="both"/>
        <w:rPr>
          <w:rFonts w:ascii="Georgia" w:hAnsi="Georgia"/>
          <w:lang w:val="en-GB"/>
        </w:rPr>
      </w:pPr>
      <w:r w:rsidRPr="0002056A">
        <w:rPr>
          <w:rFonts w:ascii="Georgia" w:hAnsi="Georgia" w:cs="Times New Roman"/>
          <w:lang w:val="en-GB"/>
        </w:rPr>
        <w:lastRenderedPageBreak/>
        <w:t xml:space="preserve">The applied analytical aspects and sub-aspects </w:t>
      </w:r>
      <w:r w:rsidR="007F3AE0" w:rsidRPr="0002056A">
        <w:rPr>
          <w:rFonts w:ascii="Georgia" w:hAnsi="Georgia" w:cs="Times New Roman"/>
          <w:lang w:val="en-GB"/>
        </w:rPr>
        <w:t>are</w:t>
      </w:r>
      <w:r w:rsidRPr="0002056A">
        <w:rPr>
          <w:rFonts w:ascii="Georgia" w:hAnsi="Georgia" w:cs="Times New Roman"/>
          <w:lang w:val="en-GB"/>
        </w:rPr>
        <w:t xml:space="preserve"> as follows</w:t>
      </w:r>
      <w:r w:rsidR="00564882" w:rsidRPr="0002056A">
        <w:rPr>
          <w:rFonts w:ascii="Georgia" w:hAnsi="Georgia" w:cs="Times New Roman"/>
          <w:lang w:val="en-GB"/>
        </w:rPr>
        <w:t>.</w:t>
      </w:r>
      <w:r w:rsidRPr="0002056A">
        <w:rPr>
          <w:rFonts w:ascii="Georgia" w:hAnsi="Georgia" w:cs="Times New Roman"/>
          <w:lang w:val="en-GB"/>
        </w:rPr>
        <w:t xml:space="preserve"> </w:t>
      </w:r>
    </w:p>
    <w:p w14:paraId="4F19B836" w14:textId="49560F9C" w:rsidR="00603355" w:rsidRPr="0002056A" w:rsidRDefault="00564882"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b/>
          <w:bCs/>
          <w:i/>
          <w:lang w:val="en-GB"/>
        </w:rPr>
        <w:t>General spatiality of climate policies</w:t>
      </w:r>
      <w:r w:rsidRPr="0002056A">
        <w:rPr>
          <w:rFonts w:ascii="Georgia" w:hAnsi="Georgia" w:cs="Times New Roman"/>
          <w:i/>
          <w:lang w:val="en-GB"/>
        </w:rPr>
        <w:t xml:space="preserve">. </w:t>
      </w:r>
      <w:r w:rsidRPr="0002056A">
        <w:rPr>
          <w:rFonts w:ascii="Georgia" w:hAnsi="Georgia" w:cs="Times New Roman"/>
          <w:iCs/>
          <w:lang w:val="en-GB"/>
        </w:rPr>
        <w:t>Here</w:t>
      </w:r>
      <w:r w:rsidR="00D17729">
        <w:rPr>
          <w:rFonts w:ascii="Georgia" w:hAnsi="Georgia" w:cs="Times New Roman"/>
          <w:iCs/>
          <w:lang w:val="en-GB"/>
        </w:rPr>
        <w:t>,</w:t>
      </w:r>
      <w:r w:rsidRPr="0002056A">
        <w:rPr>
          <w:rFonts w:ascii="Georgia" w:hAnsi="Georgia" w:cs="Times New Roman"/>
          <w:iCs/>
          <w:lang w:val="en-GB"/>
        </w:rPr>
        <w:t xml:space="preserve"> the</w:t>
      </w:r>
      <w:r w:rsidRPr="0002056A">
        <w:rPr>
          <w:rFonts w:ascii="Georgia" w:hAnsi="Georgia" w:cs="Times New Roman"/>
          <w:i/>
          <w:lang w:val="en-GB"/>
        </w:rPr>
        <w:t xml:space="preserve"> </w:t>
      </w:r>
      <w:r w:rsidRPr="0002056A">
        <w:rPr>
          <w:rFonts w:ascii="Georgia" w:hAnsi="Georgia" w:cs="Times New Roman"/>
          <w:iCs/>
          <w:lang w:val="en-GB"/>
        </w:rPr>
        <w:t>w</w:t>
      </w:r>
      <w:r w:rsidR="00603355" w:rsidRPr="0002056A">
        <w:rPr>
          <w:rFonts w:ascii="Georgia" w:hAnsi="Georgia" w:cs="Times New Roman"/>
          <w:iCs/>
          <w:lang w:val="en-GB"/>
        </w:rPr>
        <w:t xml:space="preserve">eight and character of spatiality in climate adaptation policy </w:t>
      </w:r>
      <w:r w:rsidR="00D17729">
        <w:rPr>
          <w:rFonts w:ascii="Georgia" w:hAnsi="Georgia" w:cs="Times New Roman"/>
          <w:lang w:val="en-GB"/>
        </w:rPr>
        <w:t>were</w:t>
      </w:r>
      <w:r w:rsidR="00D17729" w:rsidRPr="0002056A">
        <w:rPr>
          <w:rFonts w:ascii="Georgia" w:hAnsi="Georgia" w:cs="Times New Roman"/>
          <w:lang w:val="en-GB"/>
        </w:rPr>
        <w:t xml:space="preserve"> </w:t>
      </w:r>
      <w:r w:rsidR="00603355" w:rsidRPr="0002056A">
        <w:rPr>
          <w:rFonts w:ascii="Georgia" w:hAnsi="Georgia" w:cs="Times New Roman"/>
          <w:lang w:val="en-GB"/>
        </w:rPr>
        <w:t xml:space="preserve">examined </w:t>
      </w:r>
      <w:r w:rsidR="00E56AD7" w:rsidRPr="0002056A">
        <w:rPr>
          <w:rFonts w:ascii="Georgia" w:hAnsi="Georgia" w:cs="Times New Roman"/>
          <w:iCs/>
          <w:lang w:val="en-GB"/>
        </w:rPr>
        <w:t>in general</w:t>
      </w:r>
      <w:r w:rsidR="00E56AD7" w:rsidRPr="0002056A">
        <w:rPr>
          <w:rFonts w:ascii="Georgia" w:hAnsi="Georgia" w:cs="Times New Roman"/>
          <w:lang w:val="en-GB"/>
        </w:rPr>
        <w:t xml:space="preserve"> </w:t>
      </w:r>
      <w:r w:rsidR="00603355" w:rsidRPr="0002056A">
        <w:rPr>
          <w:rFonts w:ascii="Georgia" w:hAnsi="Georgia" w:cs="Times New Roman"/>
          <w:lang w:val="en-GB"/>
        </w:rPr>
        <w:t xml:space="preserve">through the </w:t>
      </w:r>
      <w:r w:rsidR="00603355" w:rsidRPr="0002056A">
        <w:rPr>
          <w:rFonts w:ascii="Georgia" w:hAnsi="Georgia" w:cs="Times New Roman"/>
          <w:i/>
          <w:iCs/>
          <w:lang w:val="en-GB"/>
        </w:rPr>
        <w:t xml:space="preserve">„space phraseology” (emergence of space-related concepts in the </w:t>
      </w:r>
      <w:r w:rsidR="00E56AD7" w:rsidRPr="0002056A">
        <w:rPr>
          <w:rFonts w:ascii="Georgia" w:hAnsi="Georgia" w:cs="Times New Roman"/>
          <w:i/>
          <w:iCs/>
          <w:lang w:val="en-GB"/>
        </w:rPr>
        <w:t xml:space="preserve">NAS/NAP </w:t>
      </w:r>
      <w:r w:rsidR="00603355" w:rsidRPr="0002056A">
        <w:rPr>
          <w:rFonts w:ascii="Georgia" w:hAnsi="Georgia" w:cs="Times New Roman"/>
          <w:i/>
          <w:iCs/>
          <w:lang w:val="en-GB"/>
        </w:rPr>
        <w:t>documents’ text)</w:t>
      </w:r>
      <w:r w:rsidR="00603355" w:rsidRPr="0002056A">
        <w:rPr>
          <w:rFonts w:ascii="Georgia" w:hAnsi="Georgia" w:cs="Times New Roman"/>
          <w:lang w:val="en-GB"/>
        </w:rPr>
        <w:t xml:space="preserve"> and the </w:t>
      </w:r>
      <w:r w:rsidR="00603355" w:rsidRPr="0002056A">
        <w:rPr>
          <w:rFonts w:ascii="Georgia" w:hAnsi="Georgia" w:cs="Times New Roman"/>
          <w:i/>
          <w:iCs/>
          <w:lang w:val="en-GB"/>
        </w:rPr>
        <w:t>basic logic and structure of climate adaptation in a given country</w:t>
      </w:r>
      <w:r w:rsidR="00603355" w:rsidRPr="0002056A">
        <w:rPr>
          <w:rFonts w:ascii="Georgia" w:hAnsi="Georgia" w:cs="Times New Roman"/>
          <w:lang w:val="en-GB"/>
        </w:rPr>
        <w:t xml:space="preserve"> (are adaptation activities organised according to sectors or to territorial units/region types?).</w:t>
      </w:r>
      <w:r w:rsidR="004F607E" w:rsidRPr="0002056A">
        <w:rPr>
          <w:rFonts w:ascii="Georgia" w:hAnsi="Georgia" w:cs="Times New Roman"/>
          <w:lang w:val="en-GB"/>
        </w:rPr>
        <w:t xml:space="preserve"> </w:t>
      </w:r>
      <w:r w:rsidR="00603355" w:rsidRPr="0002056A">
        <w:rPr>
          <w:rFonts w:ascii="Georgia" w:hAnsi="Georgia" w:cs="Times New Roman"/>
          <w:i/>
          <w:lang w:val="en-GB"/>
        </w:rPr>
        <w:t xml:space="preserve">Spatial levels of adaptation </w:t>
      </w:r>
      <w:r w:rsidR="005C72E3" w:rsidRPr="0002056A">
        <w:rPr>
          <w:rFonts w:ascii="Georgia" w:hAnsi="Georgia" w:cs="Times New Roman"/>
          <w:i/>
          <w:lang w:val="en-GB"/>
        </w:rPr>
        <w:t>activities</w:t>
      </w:r>
      <w:r w:rsidR="00603355" w:rsidRPr="0002056A">
        <w:rPr>
          <w:rFonts w:ascii="Georgia" w:hAnsi="Georgia" w:cs="Times New Roman"/>
          <w:lang w:val="en-GB"/>
        </w:rPr>
        <w:t xml:space="preserve"> </w:t>
      </w:r>
      <w:r w:rsidR="004F607E" w:rsidRPr="0002056A">
        <w:rPr>
          <w:rFonts w:ascii="Georgia" w:hAnsi="Georgia" w:cs="Times New Roman"/>
          <w:lang w:val="en-GB"/>
        </w:rPr>
        <w:t xml:space="preserve">have also </w:t>
      </w:r>
      <w:r w:rsidR="006E3F31" w:rsidRPr="0002056A">
        <w:rPr>
          <w:rFonts w:ascii="Georgia" w:hAnsi="Georgia" w:cs="Times New Roman"/>
          <w:lang w:val="en-GB"/>
        </w:rPr>
        <w:t xml:space="preserve">been </w:t>
      </w:r>
      <w:r w:rsidR="00603355" w:rsidRPr="0002056A">
        <w:rPr>
          <w:rFonts w:ascii="Georgia" w:hAnsi="Georgia" w:cs="Times New Roman"/>
          <w:lang w:val="en-GB"/>
        </w:rPr>
        <w:t>assesse</w:t>
      </w:r>
      <w:r w:rsidR="004F607E" w:rsidRPr="0002056A">
        <w:rPr>
          <w:rFonts w:ascii="Georgia" w:hAnsi="Georgia" w:cs="Times New Roman"/>
          <w:lang w:val="en-GB"/>
        </w:rPr>
        <w:t>d</w:t>
      </w:r>
      <w:r w:rsidR="00D17729">
        <w:rPr>
          <w:rFonts w:ascii="Georgia" w:hAnsi="Georgia" w:cs="Times New Roman"/>
          <w:lang w:val="en-GB"/>
        </w:rPr>
        <w:t xml:space="preserve"> to determine whether the NAS/NAP documents identify the main spatial/territorial levels of adaptation planning</w:t>
      </w:r>
      <w:r w:rsidR="00603355" w:rsidRPr="0002056A">
        <w:rPr>
          <w:rFonts w:ascii="Georgia" w:hAnsi="Georgia" w:cs="Times New Roman"/>
          <w:lang w:val="en-GB"/>
        </w:rPr>
        <w:t xml:space="preserve">. </w:t>
      </w:r>
      <w:r w:rsidR="00DA184B" w:rsidRPr="0002056A">
        <w:rPr>
          <w:rFonts w:ascii="Georgia" w:hAnsi="Georgia" w:cs="Times New Roman"/>
          <w:lang w:val="en-GB"/>
        </w:rPr>
        <w:t>A sub-aspect</w:t>
      </w:r>
      <w:r w:rsidR="00603355" w:rsidRPr="0002056A">
        <w:rPr>
          <w:rFonts w:ascii="Georgia" w:hAnsi="Georgia" w:cs="Times New Roman"/>
          <w:lang w:val="en-GB"/>
        </w:rPr>
        <w:t xml:space="preserve"> also searched for </w:t>
      </w:r>
      <w:r w:rsidR="00603355" w:rsidRPr="0002056A">
        <w:rPr>
          <w:rFonts w:ascii="Georgia" w:hAnsi="Georgia" w:cs="Times New Roman"/>
          <w:i/>
          <w:iCs/>
          <w:lang w:val="en-GB"/>
        </w:rPr>
        <w:t>signs of propagation of adaptation planning at lower spatial (regional/local) levels</w:t>
      </w:r>
      <w:r w:rsidR="00603355" w:rsidRPr="0002056A">
        <w:rPr>
          <w:rFonts w:ascii="Georgia" w:hAnsi="Georgia" w:cs="Times New Roman"/>
          <w:lang w:val="en-GB"/>
        </w:rPr>
        <w:t xml:space="preserve"> in the NAS/NAP documents.</w:t>
      </w:r>
    </w:p>
    <w:p w14:paraId="28BCC423" w14:textId="45903493" w:rsidR="00603355" w:rsidRPr="0002056A" w:rsidRDefault="00603355"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b/>
          <w:bCs/>
          <w:i/>
          <w:lang w:val="en-GB"/>
        </w:rPr>
        <w:t xml:space="preserve">Spatial aspects </w:t>
      </w:r>
      <w:r w:rsidR="00560F72" w:rsidRPr="0002056A">
        <w:rPr>
          <w:rFonts w:ascii="Georgia" w:hAnsi="Georgia" w:cs="Times New Roman"/>
          <w:iCs/>
          <w:lang w:val="en-GB"/>
        </w:rPr>
        <w:t>ha</w:t>
      </w:r>
      <w:r w:rsidR="00F32624" w:rsidRPr="0002056A">
        <w:rPr>
          <w:rFonts w:ascii="Georgia" w:hAnsi="Georgia" w:cs="Times New Roman"/>
          <w:iCs/>
          <w:lang w:val="en-GB"/>
        </w:rPr>
        <w:t>ve</w:t>
      </w:r>
      <w:r w:rsidR="00560F72" w:rsidRPr="0002056A">
        <w:rPr>
          <w:rFonts w:ascii="Georgia" w:hAnsi="Georgia" w:cs="Times New Roman"/>
          <w:iCs/>
          <w:lang w:val="en-GB"/>
        </w:rPr>
        <w:t xml:space="preserve"> been</w:t>
      </w:r>
      <w:r w:rsidRPr="0002056A">
        <w:rPr>
          <w:rFonts w:ascii="Georgia" w:hAnsi="Georgia" w:cs="Times New Roman"/>
          <w:iCs/>
          <w:lang w:val="en-GB"/>
        </w:rPr>
        <w:t xml:space="preserve"> examined</w:t>
      </w:r>
      <w:r w:rsidRPr="0002056A">
        <w:rPr>
          <w:rFonts w:ascii="Georgia" w:hAnsi="Georgia" w:cs="Times New Roman"/>
          <w:b/>
          <w:bCs/>
          <w:i/>
          <w:lang w:val="en-GB"/>
        </w:rPr>
        <w:t xml:space="preserve"> in </w:t>
      </w:r>
      <w:r w:rsidR="00D17729">
        <w:rPr>
          <w:rFonts w:ascii="Georgia" w:hAnsi="Georgia" w:cs="Times New Roman"/>
          <w:b/>
          <w:bCs/>
          <w:i/>
          <w:lang w:val="en-GB"/>
        </w:rPr>
        <w:t>evidence-based</w:t>
      </w:r>
      <w:r w:rsidRPr="0002056A">
        <w:rPr>
          <w:rFonts w:ascii="Georgia" w:hAnsi="Georgia" w:cs="Times New Roman"/>
          <w:b/>
          <w:bCs/>
          <w:i/>
          <w:lang w:val="en-GB"/>
        </w:rPr>
        <w:t xml:space="preserve"> work phases</w:t>
      </w:r>
      <w:r w:rsidRPr="0002056A">
        <w:rPr>
          <w:rFonts w:ascii="Georgia" w:hAnsi="Georgia" w:cs="Times New Roman"/>
          <w:lang w:val="en-GB"/>
        </w:rPr>
        <w:t xml:space="preserve">, exactly in the situation analyses and </w:t>
      </w:r>
      <w:r w:rsidR="00DA184B" w:rsidRPr="0002056A">
        <w:rPr>
          <w:rFonts w:ascii="Georgia" w:hAnsi="Georgia" w:cs="Times New Roman"/>
          <w:lang w:val="en-GB"/>
        </w:rPr>
        <w:t xml:space="preserve">situation </w:t>
      </w:r>
      <w:r w:rsidRPr="0002056A">
        <w:rPr>
          <w:rFonts w:ascii="Georgia" w:hAnsi="Georgia" w:cs="Times New Roman"/>
          <w:lang w:val="en-GB"/>
        </w:rPr>
        <w:t xml:space="preserve">assessment </w:t>
      </w:r>
      <w:r w:rsidR="00F32624" w:rsidRPr="0002056A">
        <w:rPr>
          <w:rFonts w:ascii="Georgia" w:hAnsi="Georgia" w:cs="Times New Roman"/>
          <w:lang w:val="en-GB"/>
        </w:rPr>
        <w:t xml:space="preserve">parts </w:t>
      </w:r>
      <w:r w:rsidRPr="0002056A">
        <w:rPr>
          <w:rFonts w:ascii="Georgia" w:hAnsi="Georgia" w:cs="Times New Roman"/>
          <w:lang w:val="en-GB"/>
        </w:rPr>
        <w:t>(including SWOT analyses) of NAS/NAP documents. Here</w:t>
      </w:r>
      <w:r w:rsidR="00D17729">
        <w:rPr>
          <w:rFonts w:ascii="Georgia" w:hAnsi="Georgia" w:cs="Times New Roman"/>
          <w:lang w:val="en-GB"/>
        </w:rPr>
        <w:t>,</w:t>
      </w:r>
      <w:r w:rsidRPr="0002056A">
        <w:rPr>
          <w:rFonts w:ascii="Georgia" w:hAnsi="Georgia" w:cs="Times New Roman"/>
          <w:lang w:val="en-GB"/>
        </w:rPr>
        <w:t xml:space="preserve"> the </w:t>
      </w:r>
      <w:r w:rsidRPr="0002056A">
        <w:rPr>
          <w:rFonts w:ascii="Georgia" w:hAnsi="Georgia" w:cs="Times New Roman"/>
          <w:i/>
          <w:iCs/>
          <w:lang w:val="en-GB"/>
        </w:rPr>
        <w:t>basic logic</w:t>
      </w:r>
      <w:r w:rsidRPr="0002056A">
        <w:rPr>
          <w:rFonts w:ascii="Georgia" w:hAnsi="Georgia" w:cs="Times New Roman"/>
          <w:lang w:val="en-GB"/>
        </w:rPr>
        <w:t xml:space="preserve"> (sectoral or spatial) </w:t>
      </w:r>
      <w:r w:rsidRPr="0002056A">
        <w:rPr>
          <w:rFonts w:ascii="Georgia" w:hAnsi="Georgia" w:cs="Times New Roman"/>
          <w:i/>
          <w:iCs/>
          <w:lang w:val="en-GB"/>
        </w:rPr>
        <w:t>of the situation analyses</w:t>
      </w:r>
      <w:r w:rsidR="00D17729">
        <w:rPr>
          <w:rFonts w:ascii="Georgia" w:hAnsi="Georgia" w:cs="Times New Roman"/>
          <w:lang w:val="en-GB"/>
        </w:rPr>
        <w:t xml:space="preserve">, as well as the </w:t>
      </w:r>
      <w:r w:rsidR="00D17729" w:rsidRPr="00A01453">
        <w:rPr>
          <w:rFonts w:ascii="Georgia" w:hAnsi="Georgia" w:cs="Times New Roman"/>
          <w:i/>
          <w:iCs/>
          <w:lang w:val="en-GB"/>
        </w:rPr>
        <w:t>degree of their spatial visualisation</w:t>
      </w:r>
      <w:r w:rsidR="00D17729">
        <w:rPr>
          <w:rFonts w:ascii="Georgia" w:hAnsi="Georgia" w:cs="Times New Roman"/>
          <w:lang w:val="en-GB"/>
        </w:rPr>
        <w:t xml:space="preserve"> (use of maps and regional figures/diagrams),</w:t>
      </w:r>
      <w:r w:rsidRPr="0002056A">
        <w:rPr>
          <w:rFonts w:ascii="Georgia" w:hAnsi="Georgia" w:cs="Times New Roman"/>
          <w:lang w:val="en-GB"/>
        </w:rPr>
        <w:t xml:space="preserve"> </w:t>
      </w:r>
      <w:r w:rsidR="000C7CFA" w:rsidRPr="0002056A">
        <w:rPr>
          <w:rFonts w:ascii="Georgia" w:hAnsi="Georgia" w:cs="Times New Roman"/>
          <w:lang w:val="en-GB"/>
        </w:rPr>
        <w:t>were</w:t>
      </w:r>
      <w:r w:rsidRPr="0002056A">
        <w:rPr>
          <w:rFonts w:ascii="Georgia" w:hAnsi="Georgia" w:cs="Times New Roman"/>
          <w:lang w:val="en-GB"/>
        </w:rPr>
        <w:t xml:space="preserve"> analysed. </w:t>
      </w:r>
      <w:r w:rsidR="00D17729">
        <w:rPr>
          <w:rFonts w:ascii="Georgia" w:hAnsi="Georgia" w:cs="Times New Roman"/>
          <w:i/>
          <w:iCs/>
          <w:lang w:val="en-GB"/>
        </w:rPr>
        <w:t xml:space="preserve">The spatial content of situation analyses </w:t>
      </w:r>
      <w:r w:rsidR="00D17729" w:rsidRPr="00A01453">
        <w:rPr>
          <w:rFonts w:ascii="Georgia" w:hAnsi="Georgia" w:cs="Times New Roman"/>
          <w:lang w:val="en-GB"/>
        </w:rPr>
        <w:t>has been examined through the appearance of region types, spatial units, spatial difference-searching logic, and settlement-network-related</w:t>
      </w:r>
      <w:r w:rsidRPr="0002056A">
        <w:rPr>
          <w:rFonts w:ascii="Georgia" w:hAnsi="Georgia" w:cs="Times New Roman"/>
          <w:lang w:val="en-GB"/>
        </w:rPr>
        <w:t xml:space="preserve"> </w:t>
      </w:r>
      <w:r w:rsidR="0030693D" w:rsidRPr="0002056A">
        <w:rPr>
          <w:rFonts w:ascii="Georgia" w:hAnsi="Georgia" w:cs="Times New Roman"/>
          <w:lang w:val="en-GB"/>
        </w:rPr>
        <w:t xml:space="preserve">subjects </w:t>
      </w:r>
      <w:r w:rsidRPr="0002056A">
        <w:rPr>
          <w:rFonts w:ascii="Georgia" w:hAnsi="Georgia" w:cs="Times New Roman"/>
          <w:lang w:val="en-GB"/>
        </w:rPr>
        <w:t xml:space="preserve">in the respective chapters’ texts. </w:t>
      </w:r>
      <w:r w:rsidRPr="0002056A">
        <w:rPr>
          <w:rFonts w:ascii="Georgia" w:hAnsi="Georgia" w:cs="Times New Roman"/>
          <w:i/>
          <w:iCs/>
          <w:lang w:val="en-GB"/>
        </w:rPr>
        <w:t>The spatial planning focus</w:t>
      </w:r>
      <w:r w:rsidRPr="0002056A">
        <w:rPr>
          <w:rFonts w:ascii="Georgia" w:hAnsi="Georgia" w:cs="Times New Roman"/>
          <w:lang w:val="en-GB"/>
        </w:rPr>
        <w:t xml:space="preserve"> </w:t>
      </w:r>
      <w:r w:rsidR="0049650A" w:rsidRPr="0002056A">
        <w:rPr>
          <w:rFonts w:ascii="Georgia" w:hAnsi="Georgia" w:cs="Times New Roman"/>
          <w:i/>
          <w:iCs/>
          <w:lang w:val="en-GB"/>
        </w:rPr>
        <w:t xml:space="preserve">in situation analyses </w:t>
      </w:r>
      <w:r w:rsidRPr="0002056A">
        <w:rPr>
          <w:rFonts w:ascii="Georgia" w:hAnsi="Georgia" w:cs="Times New Roman"/>
          <w:lang w:val="en-GB"/>
        </w:rPr>
        <w:t xml:space="preserve">is also interesting: to what extent do situation analyses/assessments deal with the connection between adaptation planning and spatial planning? The consideration of the </w:t>
      </w:r>
      <w:r w:rsidRPr="0002056A">
        <w:rPr>
          <w:rFonts w:ascii="Georgia" w:hAnsi="Georgia" w:cs="Times New Roman"/>
          <w:i/>
          <w:iCs/>
          <w:lang w:val="en-GB"/>
        </w:rPr>
        <w:t xml:space="preserve">given countries’ position within Europe </w:t>
      </w:r>
      <w:r w:rsidR="00013D7D" w:rsidRPr="0002056A">
        <w:rPr>
          <w:rFonts w:ascii="Georgia" w:hAnsi="Georgia" w:cs="Times New Roman"/>
          <w:i/>
          <w:iCs/>
          <w:lang w:val="en-GB"/>
        </w:rPr>
        <w:t xml:space="preserve">or their respective macro region </w:t>
      </w:r>
      <w:r w:rsidRPr="0002056A">
        <w:rPr>
          <w:rFonts w:ascii="Georgia" w:hAnsi="Georgia" w:cs="Times New Roman"/>
          <w:i/>
          <w:iCs/>
          <w:lang w:val="en-GB"/>
        </w:rPr>
        <w:t xml:space="preserve">from </w:t>
      </w:r>
      <w:r w:rsidR="00287449">
        <w:rPr>
          <w:rFonts w:ascii="Georgia" w:hAnsi="Georgia" w:cs="Times New Roman"/>
          <w:i/>
          <w:iCs/>
          <w:lang w:val="en-GB"/>
        </w:rPr>
        <w:t>climate</w:t>
      </w:r>
      <w:r w:rsidR="00D17729">
        <w:rPr>
          <w:rFonts w:ascii="Georgia" w:hAnsi="Georgia" w:cs="Times New Roman"/>
          <w:i/>
          <w:iCs/>
          <w:lang w:val="en-GB"/>
        </w:rPr>
        <w:t xml:space="preserve"> adaptation point of view </w:t>
      </w:r>
      <w:r w:rsidR="00D17729" w:rsidRPr="00287449">
        <w:rPr>
          <w:rFonts w:ascii="Georgia" w:hAnsi="Georgia" w:cs="Times New Roman"/>
          <w:lang w:val="en-GB"/>
        </w:rPr>
        <w:t>in the respective chapters was</w:t>
      </w:r>
      <w:r w:rsidRPr="0002056A">
        <w:rPr>
          <w:rFonts w:ascii="Georgia" w:hAnsi="Georgia" w:cs="Times New Roman"/>
          <w:lang w:val="en-GB"/>
        </w:rPr>
        <w:t xml:space="preserve"> also examined.</w:t>
      </w:r>
      <w:r w:rsidR="0049650A" w:rsidRPr="0002056A">
        <w:rPr>
          <w:rFonts w:ascii="Georgia" w:hAnsi="Georgia" w:cs="Times New Roman"/>
          <w:lang w:val="en-GB"/>
        </w:rPr>
        <w:t xml:space="preserve"> </w:t>
      </w:r>
      <w:r w:rsidR="0049650A" w:rsidRPr="0002056A">
        <w:rPr>
          <w:rFonts w:ascii="Georgia" w:hAnsi="Georgia" w:cs="Times New Roman"/>
          <w:i/>
          <w:iCs/>
          <w:lang w:val="en-GB"/>
        </w:rPr>
        <w:t>SWOT analyses</w:t>
      </w:r>
      <w:r w:rsidR="00AB24AE" w:rsidRPr="0002056A">
        <w:rPr>
          <w:rFonts w:ascii="Georgia" w:hAnsi="Georgia" w:cs="Times New Roman"/>
          <w:i/>
          <w:iCs/>
          <w:lang w:val="en-GB"/>
        </w:rPr>
        <w:t>’</w:t>
      </w:r>
      <w:r w:rsidR="0049650A" w:rsidRPr="0002056A">
        <w:rPr>
          <w:rFonts w:ascii="Georgia" w:hAnsi="Georgia" w:cs="Times New Roman"/>
          <w:i/>
          <w:iCs/>
          <w:lang w:val="en-GB"/>
        </w:rPr>
        <w:t xml:space="preserve"> </w:t>
      </w:r>
      <w:r w:rsidR="0049650A" w:rsidRPr="0002056A">
        <w:rPr>
          <w:rFonts w:ascii="Georgia" w:hAnsi="Georgia" w:cs="Times New Roman"/>
          <w:lang w:val="en-GB"/>
        </w:rPr>
        <w:t>and</w:t>
      </w:r>
      <w:r w:rsidR="00596262" w:rsidRPr="0002056A">
        <w:rPr>
          <w:rFonts w:ascii="Georgia" w:hAnsi="Georgia" w:cs="Times New Roman"/>
          <w:lang w:val="en-GB"/>
        </w:rPr>
        <w:t xml:space="preserve"> </w:t>
      </w:r>
      <w:r w:rsidR="00596262" w:rsidRPr="0002056A">
        <w:rPr>
          <w:rFonts w:ascii="Georgia" w:hAnsi="Georgia" w:cs="Times New Roman"/>
          <w:i/>
          <w:iCs/>
          <w:lang w:val="en-GB"/>
        </w:rPr>
        <w:t>narrative</w:t>
      </w:r>
      <w:r w:rsidR="0049650A" w:rsidRPr="0002056A">
        <w:rPr>
          <w:rFonts w:ascii="Georgia" w:hAnsi="Georgia" w:cs="Times New Roman"/>
          <w:i/>
          <w:iCs/>
          <w:lang w:val="en-GB"/>
        </w:rPr>
        <w:t xml:space="preserve"> situation assessment chapters’ spatial content</w:t>
      </w:r>
      <w:r w:rsidR="0049650A" w:rsidRPr="0002056A">
        <w:rPr>
          <w:rFonts w:ascii="Georgia" w:hAnsi="Georgia" w:cs="Times New Roman"/>
          <w:lang w:val="en-GB"/>
        </w:rPr>
        <w:t xml:space="preserve"> ha</w:t>
      </w:r>
      <w:r w:rsidR="0030693D" w:rsidRPr="0002056A">
        <w:rPr>
          <w:rFonts w:ascii="Georgia" w:hAnsi="Georgia" w:cs="Times New Roman"/>
          <w:lang w:val="en-GB"/>
        </w:rPr>
        <w:t xml:space="preserve">ve </w:t>
      </w:r>
      <w:r w:rsidR="0049650A" w:rsidRPr="0002056A">
        <w:rPr>
          <w:rFonts w:ascii="Georgia" w:hAnsi="Georgia" w:cs="Times New Roman"/>
          <w:lang w:val="en-GB"/>
        </w:rPr>
        <w:t xml:space="preserve">also been </w:t>
      </w:r>
      <w:r w:rsidR="007F3AE0" w:rsidRPr="0002056A">
        <w:rPr>
          <w:rFonts w:ascii="Georgia" w:hAnsi="Georgia" w:cs="Times New Roman"/>
          <w:lang w:val="en-GB"/>
        </w:rPr>
        <w:t>checke</w:t>
      </w:r>
      <w:r w:rsidR="0049650A" w:rsidRPr="0002056A">
        <w:rPr>
          <w:rFonts w:ascii="Georgia" w:hAnsi="Georgia" w:cs="Times New Roman"/>
          <w:lang w:val="en-GB"/>
        </w:rPr>
        <w:t>d</w:t>
      </w:r>
      <w:r w:rsidR="00AB24AE" w:rsidRPr="0002056A">
        <w:rPr>
          <w:rFonts w:ascii="Georgia" w:hAnsi="Georgia" w:cs="Times New Roman"/>
          <w:lang w:val="en-GB"/>
        </w:rPr>
        <w:t>.</w:t>
      </w:r>
    </w:p>
    <w:p w14:paraId="6CBD485B" w14:textId="6DC5D873" w:rsidR="00603355" w:rsidRPr="0002056A" w:rsidRDefault="00603355"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b/>
          <w:bCs/>
          <w:i/>
          <w:lang w:val="en-GB"/>
        </w:rPr>
        <w:t xml:space="preserve">Spatial aspects in </w:t>
      </w:r>
      <w:r w:rsidR="00AB24AE" w:rsidRPr="0002056A">
        <w:rPr>
          <w:rFonts w:ascii="Georgia" w:hAnsi="Georgia" w:cs="Times New Roman"/>
          <w:b/>
          <w:bCs/>
          <w:i/>
          <w:lang w:val="en-GB"/>
        </w:rPr>
        <w:t xml:space="preserve">NAS </w:t>
      </w:r>
      <w:r w:rsidRPr="0002056A">
        <w:rPr>
          <w:rFonts w:ascii="Georgia" w:hAnsi="Georgia" w:cs="Times New Roman"/>
          <w:b/>
          <w:bCs/>
          <w:i/>
          <w:lang w:val="en-GB"/>
        </w:rPr>
        <w:t>objective systems</w:t>
      </w:r>
      <w:r w:rsidRPr="0002056A">
        <w:rPr>
          <w:rFonts w:ascii="Georgia" w:hAnsi="Georgia" w:cs="Times New Roman"/>
          <w:lang w:val="en-GB"/>
        </w:rPr>
        <w:t xml:space="preserve"> </w:t>
      </w:r>
      <w:r w:rsidR="00AD1CFC" w:rsidRPr="0002056A">
        <w:rPr>
          <w:rFonts w:ascii="Georgia" w:hAnsi="Georgia" w:cs="Times New Roman"/>
          <w:lang w:val="en-GB"/>
        </w:rPr>
        <w:t>we</w:t>
      </w:r>
      <w:r w:rsidRPr="0002056A">
        <w:rPr>
          <w:rFonts w:ascii="Georgia" w:hAnsi="Georgia" w:cs="Times New Roman"/>
          <w:lang w:val="en-GB"/>
        </w:rPr>
        <w:t xml:space="preserve">re similarly in the focus of the empirical research. The </w:t>
      </w:r>
      <w:r w:rsidRPr="0002056A">
        <w:rPr>
          <w:rFonts w:ascii="Georgia" w:hAnsi="Georgia" w:cs="Times New Roman"/>
          <w:i/>
          <w:iCs/>
          <w:lang w:val="en-GB"/>
        </w:rPr>
        <w:t>basic logic</w:t>
      </w:r>
      <w:r w:rsidRPr="0002056A">
        <w:rPr>
          <w:rFonts w:ascii="Georgia" w:hAnsi="Georgia" w:cs="Times New Roman"/>
          <w:lang w:val="en-GB"/>
        </w:rPr>
        <w:t xml:space="preserve"> (sectoral or spatial)</w:t>
      </w:r>
      <w:r w:rsidR="00AD1CFC" w:rsidRPr="0002056A">
        <w:rPr>
          <w:rFonts w:ascii="Georgia" w:hAnsi="Georgia" w:cs="Times New Roman"/>
          <w:lang w:val="en-GB"/>
        </w:rPr>
        <w:t xml:space="preserve"> and</w:t>
      </w:r>
      <w:r w:rsidRPr="0002056A">
        <w:rPr>
          <w:rFonts w:ascii="Georgia" w:hAnsi="Georgia" w:cs="Times New Roman"/>
          <w:lang w:val="en-GB"/>
        </w:rPr>
        <w:t xml:space="preserve"> the </w:t>
      </w:r>
      <w:r w:rsidRPr="0002056A">
        <w:rPr>
          <w:rFonts w:ascii="Georgia" w:hAnsi="Georgia" w:cs="Times New Roman"/>
          <w:i/>
          <w:iCs/>
          <w:lang w:val="en-GB"/>
        </w:rPr>
        <w:t>general spatial content</w:t>
      </w:r>
      <w:r w:rsidRPr="0002056A">
        <w:rPr>
          <w:rFonts w:ascii="Georgia" w:hAnsi="Georgia" w:cs="Times New Roman"/>
          <w:lang w:val="en-GB"/>
        </w:rPr>
        <w:t xml:space="preserve"> and </w:t>
      </w:r>
      <w:r w:rsidRPr="0002056A">
        <w:rPr>
          <w:rFonts w:ascii="Georgia" w:hAnsi="Georgia" w:cs="Times New Roman"/>
          <w:i/>
          <w:iCs/>
          <w:lang w:val="en-GB"/>
        </w:rPr>
        <w:t>spatial visualisation of the adaptation visions and objective systems</w:t>
      </w:r>
      <w:r w:rsidRPr="0002056A">
        <w:rPr>
          <w:rFonts w:ascii="Georgia" w:hAnsi="Georgia" w:cs="Times New Roman"/>
          <w:lang w:val="en-GB"/>
        </w:rPr>
        <w:t xml:space="preserve"> </w:t>
      </w:r>
      <w:r w:rsidR="009B280D" w:rsidRPr="0002056A">
        <w:rPr>
          <w:rFonts w:ascii="Georgia" w:hAnsi="Georgia" w:cs="Times New Roman"/>
          <w:lang w:val="en-GB"/>
        </w:rPr>
        <w:t>hav</w:t>
      </w:r>
      <w:r w:rsidRPr="0002056A">
        <w:rPr>
          <w:rFonts w:ascii="Georgia" w:hAnsi="Georgia" w:cs="Times New Roman"/>
          <w:lang w:val="en-GB"/>
        </w:rPr>
        <w:t xml:space="preserve">e </w:t>
      </w:r>
      <w:r w:rsidR="009B280D" w:rsidRPr="0002056A">
        <w:rPr>
          <w:rFonts w:ascii="Georgia" w:hAnsi="Georgia" w:cs="Times New Roman"/>
          <w:lang w:val="en-GB"/>
        </w:rPr>
        <w:t xml:space="preserve">been </w:t>
      </w:r>
      <w:r w:rsidRPr="0002056A">
        <w:rPr>
          <w:rFonts w:ascii="Georgia" w:hAnsi="Georgia" w:cs="Times New Roman"/>
          <w:lang w:val="en-GB"/>
        </w:rPr>
        <w:t>analysed</w:t>
      </w:r>
      <w:r w:rsidR="00E34781" w:rsidRPr="0002056A">
        <w:rPr>
          <w:rFonts w:ascii="Georgia" w:hAnsi="Georgia" w:cs="Times New Roman"/>
          <w:lang w:val="en-GB"/>
        </w:rPr>
        <w:t xml:space="preserve"> through the degree of appearance of region types, spatial units, spatial difference-searching logic and settlement-network related issues</w:t>
      </w:r>
      <w:r w:rsidRPr="0002056A">
        <w:rPr>
          <w:rFonts w:ascii="Georgia" w:hAnsi="Georgia" w:cs="Times New Roman"/>
          <w:lang w:val="en-GB"/>
        </w:rPr>
        <w:t xml:space="preserve">. </w:t>
      </w:r>
      <w:r w:rsidRPr="0002056A">
        <w:rPr>
          <w:rFonts w:ascii="Georgia" w:hAnsi="Georgia" w:cs="Times New Roman"/>
          <w:i/>
          <w:iCs/>
          <w:lang w:val="en-GB"/>
        </w:rPr>
        <w:t xml:space="preserve">Spatial </w:t>
      </w:r>
      <w:r w:rsidR="009B280D" w:rsidRPr="0002056A">
        <w:rPr>
          <w:rFonts w:ascii="Georgia" w:hAnsi="Georgia" w:cs="Times New Roman"/>
          <w:i/>
          <w:iCs/>
          <w:lang w:val="en-GB"/>
        </w:rPr>
        <w:t>focus of general/specific</w:t>
      </w:r>
      <w:r w:rsidR="007F3AE0" w:rsidRPr="0002056A">
        <w:rPr>
          <w:rFonts w:ascii="Georgia" w:hAnsi="Georgia" w:cs="Times New Roman"/>
          <w:i/>
          <w:iCs/>
          <w:lang w:val="en-GB"/>
        </w:rPr>
        <w:t>/horizontal</w:t>
      </w:r>
      <w:r w:rsidR="009B280D" w:rsidRPr="0002056A">
        <w:rPr>
          <w:rFonts w:ascii="Georgia" w:hAnsi="Georgia" w:cs="Times New Roman"/>
          <w:i/>
          <w:iCs/>
          <w:lang w:val="en-GB"/>
        </w:rPr>
        <w:t xml:space="preserve"> objectives</w:t>
      </w:r>
      <w:r w:rsidR="009B280D" w:rsidRPr="0002056A">
        <w:rPr>
          <w:rFonts w:ascii="Georgia" w:hAnsi="Georgia" w:cs="Times New Roman"/>
          <w:lang w:val="en-GB"/>
        </w:rPr>
        <w:t xml:space="preserve"> and the </w:t>
      </w:r>
      <w:r w:rsidR="009B280D" w:rsidRPr="0002056A">
        <w:rPr>
          <w:rFonts w:ascii="Georgia" w:hAnsi="Georgia" w:cs="Times New Roman"/>
          <w:i/>
          <w:iCs/>
          <w:lang w:val="en-GB"/>
        </w:rPr>
        <w:t>proport</w:t>
      </w:r>
      <w:r w:rsidR="00456464" w:rsidRPr="0002056A">
        <w:rPr>
          <w:rFonts w:ascii="Georgia" w:hAnsi="Georgia" w:cs="Times New Roman"/>
          <w:i/>
          <w:iCs/>
          <w:lang w:val="en-GB"/>
        </w:rPr>
        <w:t>i</w:t>
      </w:r>
      <w:r w:rsidR="009B280D" w:rsidRPr="0002056A">
        <w:rPr>
          <w:rFonts w:ascii="Georgia" w:hAnsi="Georgia" w:cs="Times New Roman"/>
          <w:i/>
          <w:iCs/>
          <w:lang w:val="en-GB"/>
        </w:rPr>
        <w:t>on of</w:t>
      </w:r>
      <w:r w:rsidRPr="0002056A">
        <w:rPr>
          <w:rFonts w:ascii="Georgia" w:hAnsi="Georgia" w:cs="Times New Roman"/>
          <w:i/>
          <w:iCs/>
          <w:lang w:val="en-GB"/>
        </w:rPr>
        <w:t xml:space="preserve"> lower-level objectives </w:t>
      </w:r>
      <w:r w:rsidRPr="0002056A">
        <w:rPr>
          <w:rFonts w:ascii="Georgia" w:hAnsi="Georgia" w:cs="Times New Roman"/>
          <w:lang w:val="en-GB"/>
        </w:rPr>
        <w:t xml:space="preserve">(fields of intervention) </w:t>
      </w:r>
      <w:r w:rsidR="009B280D" w:rsidRPr="0002056A">
        <w:rPr>
          <w:rFonts w:ascii="Georgia" w:hAnsi="Georgia" w:cs="Times New Roman"/>
          <w:i/>
          <w:iCs/>
          <w:lang w:val="en-GB"/>
        </w:rPr>
        <w:t>with spatial content</w:t>
      </w:r>
      <w:r w:rsidR="009B280D" w:rsidRPr="0002056A">
        <w:rPr>
          <w:rFonts w:ascii="Georgia" w:hAnsi="Georgia" w:cs="Times New Roman"/>
          <w:lang w:val="en-GB"/>
        </w:rPr>
        <w:t xml:space="preserve"> </w:t>
      </w:r>
      <w:r w:rsidR="00456464" w:rsidRPr="0002056A">
        <w:rPr>
          <w:rFonts w:ascii="Georgia" w:hAnsi="Georgia" w:cs="Times New Roman"/>
          <w:lang w:val="en-GB"/>
        </w:rPr>
        <w:t xml:space="preserve">have been </w:t>
      </w:r>
      <w:r w:rsidRPr="0002056A">
        <w:rPr>
          <w:rFonts w:ascii="Georgia" w:hAnsi="Georgia" w:cs="Times New Roman"/>
          <w:lang w:val="en-GB"/>
        </w:rPr>
        <w:t xml:space="preserve">analysed. </w:t>
      </w:r>
      <w:r w:rsidRPr="0002056A">
        <w:rPr>
          <w:rFonts w:ascii="Georgia" w:hAnsi="Georgia" w:cs="Times New Roman"/>
          <w:i/>
          <w:iCs/>
          <w:lang w:val="en-GB"/>
        </w:rPr>
        <w:t xml:space="preserve">Emphasis on spatially oriented MRE activities </w:t>
      </w:r>
      <w:r w:rsidRPr="0002056A">
        <w:rPr>
          <w:rFonts w:ascii="Georgia" w:hAnsi="Georgia" w:cs="Times New Roman"/>
          <w:lang w:val="en-GB"/>
        </w:rPr>
        <w:t xml:space="preserve">within the objective system </w:t>
      </w:r>
      <w:r w:rsidR="00E34781" w:rsidRPr="0002056A">
        <w:rPr>
          <w:rFonts w:ascii="Georgia" w:hAnsi="Georgia" w:cs="Times New Roman"/>
          <w:lang w:val="en-GB"/>
        </w:rPr>
        <w:t>was</w:t>
      </w:r>
      <w:r w:rsidRPr="0002056A">
        <w:rPr>
          <w:rFonts w:ascii="Georgia" w:hAnsi="Georgia" w:cs="Times New Roman"/>
          <w:lang w:val="en-GB"/>
        </w:rPr>
        <w:t xml:space="preserve"> evaluated as well. </w:t>
      </w:r>
    </w:p>
    <w:p w14:paraId="348DBC80" w14:textId="483DD547" w:rsidR="00603355" w:rsidRPr="0002056A" w:rsidRDefault="00A6042F"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iCs/>
          <w:lang w:val="en-GB"/>
        </w:rPr>
        <w:t xml:space="preserve">Continuing the analysis with the operational planning level, </w:t>
      </w:r>
      <w:r w:rsidRPr="0002056A">
        <w:rPr>
          <w:rFonts w:ascii="Georgia" w:hAnsi="Georgia" w:cs="Times New Roman"/>
          <w:b/>
          <w:bCs/>
          <w:i/>
          <w:lang w:val="en-GB"/>
        </w:rPr>
        <w:t>s</w:t>
      </w:r>
      <w:r w:rsidR="00603355" w:rsidRPr="0002056A">
        <w:rPr>
          <w:rFonts w:ascii="Georgia" w:hAnsi="Georgia" w:cs="Times New Roman"/>
          <w:b/>
          <w:bCs/>
          <w:i/>
          <w:lang w:val="en-GB"/>
        </w:rPr>
        <w:t xml:space="preserve">patial aspects and content in </w:t>
      </w:r>
      <w:r w:rsidR="00D17729">
        <w:rPr>
          <w:rFonts w:ascii="Georgia" w:hAnsi="Georgia" w:cs="Times New Roman"/>
          <w:b/>
          <w:bCs/>
          <w:i/>
          <w:lang w:val="en-GB"/>
        </w:rPr>
        <w:t>adaptation-related</w:t>
      </w:r>
      <w:r w:rsidR="00603355" w:rsidRPr="0002056A">
        <w:rPr>
          <w:rFonts w:ascii="Georgia" w:hAnsi="Georgia" w:cs="Times New Roman"/>
          <w:b/>
          <w:bCs/>
          <w:i/>
          <w:lang w:val="en-GB"/>
        </w:rPr>
        <w:t xml:space="preserve"> actions</w:t>
      </w:r>
      <w:r w:rsidR="00603355" w:rsidRPr="0002056A">
        <w:rPr>
          <w:rFonts w:ascii="Georgia" w:hAnsi="Georgia" w:cs="Times New Roman"/>
          <w:lang w:val="en-GB"/>
        </w:rPr>
        <w:t xml:space="preserve"> </w:t>
      </w:r>
      <w:r w:rsidR="00872FEC" w:rsidRPr="0002056A">
        <w:rPr>
          <w:rFonts w:ascii="Georgia" w:hAnsi="Georgia" w:cs="Times New Roman"/>
          <w:lang w:val="en-GB"/>
        </w:rPr>
        <w:t>were</w:t>
      </w:r>
      <w:r w:rsidR="00603355" w:rsidRPr="0002056A">
        <w:rPr>
          <w:rFonts w:ascii="Georgia" w:hAnsi="Georgia" w:cs="Times New Roman"/>
          <w:lang w:val="en-GB"/>
        </w:rPr>
        <w:t xml:space="preserve"> examined. </w:t>
      </w:r>
      <w:r w:rsidR="002D0641" w:rsidRPr="0002056A">
        <w:rPr>
          <w:rFonts w:ascii="Georgia" w:hAnsi="Georgia" w:cs="Times New Roman"/>
          <w:lang w:val="en-GB"/>
        </w:rPr>
        <w:t xml:space="preserve">Here we applied as quantitative indices as possible, measuring the </w:t>
      </w:r>
      <w:r w:rsidR="002D0641" w:rsidRPr="0002056A">
        <w:rPr>
          <w:rFonts w:ascii="Georgia" w:hAnsi="Georgia" w:cs="Times New Roman"/>
          <w:i/>
          <w:iCs/>
          <w:lang w:val="en-GB"/>
        </w:rPr>
        <w:t>proportion of NAP actions with general spatial focus</w:t>
      </w:r>
      <w:r w:rsidR="002D3177" w:rsidRPr="0002056A">
        <w:rPr>
          <w:rFonts w:ascii="Georgia" w:hAnsi="Georgia" w:cs="Times New Roman"/>
          <w:i/>
          <w:iCs/>
          <w:lang w:val="en-GB"/>
        </w:rPr>
        <w:t xml:space="preserve">, </w:t>
      </w:r>
      <w:r w:rsidR="002D0641" w:rsidRPr="0002056A">
        <w:rPr>
          <w:rFonts w:ascii="Georgia" w:hAnsi="Georgia" w:cs="Times New Roman"/>
          <w:i/>
          <w:iCs/>
          <w:lang w:val="en-GB"/>
        </w:rPr>
        <w:t>region typ</w:t>
      </w:r>
      <w:r w:rsidR="0021325D" w:rsidRPr="0002056A">
        <w:rPr>
          <w:rFonts w:ascii="Georgia" w:hAnsi="Georgia" w:cs="Times New Roman"/>
          <w:i/>
          <w:iCs/>
          <w:lang w:val="en-GB"/>
        </w:rPr>
        <w:t>e</w:t>
      </w:r>
      <w:r w:rsidR="00872FEC" w:rsidRPr="0002056A">
        <w:rPr>
          <w:rFonts w:ascii="Georgia" w:hAnsi="Georgia" w:cs="Times New Roman"/>
          <w:i/>
          <w:iCs/>
          <w:lang w:val="en-GB"/>
        </w:rPr>
        <w:t>-</w:t>
      </w:r>
      <w:r w:rsidR="0021325D" w:rsidRPr="0002056A">
        <w:rPr>
          <w:rFonts w:ascii="Georgia" w:hAnsi="Georgia" w:cs="Times New Roman"/>
          <w:i/>
          <w:iCs/>
          <w:lang w:val="en-GB"/>
        </w:rPr>
        <w:t xml:space="preserve"> or concrete place-related contents</w:t>
      </w:r>
      <w:r w:rsidR="0021325D" w:rsidRPr="0002056A">
        <w:rPr>
          <w:rFonts w:ascii="Georgia" w:hAnsi="Georgia" w:cs="Times New Roman"/>
          <w:lang w:val="en-GB"/>
        </w:rPr>
        <w:t xml:space="preserve">; </w:t>
      </w:r>
      <w:r w:rsidR="002813A0" w:rsidRPr="0002056A">
        <w:rPr>
          <w:rFonts w:ascii="Georgia" w:hAnsi="Georgia" w:cs="Times New Roman"/>
          <w:lang w:val="en-GB"/>
        </w:rPr>
        <w:t xml:space="preserve">the </w:t>
      </w:r>
      <w:r w:rsidR="00E315DF" w:rsidRPr="0002056A">
        <w:rPr>
          <w:rFonts w:ascii="Georgia" w:hAnsi="Georgia" w:cs="Times New Roman"/>
          <w:i/>
          <w:iCs/>
          <w:lang w:val="en-GB"/>
        </w:rPr>
        <w:t>proportion of</w:t>
      </w:r>
      <w:r w:rsidR="00E315DF" w:rsidRPr="0002056A">
        <w:rPr>
          <w:rFonts w:ascii="Georgia" w:hAnsi="Georgia" w:cs="Times New Roman"/>
          <w:lang w:val="en-GB"/>
        </w:rPr>
        <w:t xml:space="preserve"> </w:t>
      </w:r>
      <w:r w:rsidR="0021325D" w:rsidRPr="0002056A">
        <w:rPr>
          <w:rFonts w:ascii="Georgia" w:hAnsi="Georgia" w:cs="Times New Roman"/>
          <w:i/>
          <w:iCs/>
          <w:lang w:val="en-GB"/>
        </w:rPr>
        <w:t>NAP actions with spatial planning</w:t>
      </w:r>
      <w:r w:rsidR="0021325D" w:rsidRPr="0002056A">
        <w:rPr>
          <w:rFonts w:ascii="Georgia" w:hAnsi="Georgia" w:cs="Times New Roman"/>
          <w:lang w:val="en-GB"/>
        </w:rPr>
        <w:t xml:space="preserve">-related and </w:t>
      </w:r>
      <w:r w:rsidR="0021325D" w:rsidRPr="0002056A">
        <w:rPr>
          <w:rFonts w:ascii="Georgia" w:hAnsi="Georgia" w:cs="Times New Roman"/>
          <w:i/>
          <w:iCs/>
          <w:lang w:val="en-GB"/>
        </w:rPr>
        <w:t>with spatial MRE</w:t>
      </w:r>
      <w:r w:rsidR="0021325D" w:rsidRPr="0002056A">
        <w:rPr>
          <w:rFonts w:ascii="Georgia" w:hAnsi="Georgia" w:cs="Times New Roman"/>
          <w:lang w:val="en-GB"/>
        </w:rPr>
        <w:t>-related contents.</w:t>
      </w:r>
    </w:p>
    <w:p w14:paraId="3C8554A4" w14:textId="072BD186" w:rsidR="00603355" w:rsidRPr="0002056A" w:rsidRDefault="00E315DF"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b/>
          <w:bCs/>
          <w:i/>
          <w:lang w:val="en-GB"/>
        </w:rPr>
        <w:t>Inter- and transnational spatial dimensions of adaptation planning</w:t>
      </w:r>
      <w:r w:rsidRPr="0002056A">
        <w:rPr>
          <w:rFonts w:ascii="Georgia" w:hAnsi="Georgia" w:cs="Times New Roman"/>
          <w:i/>
          <w:lang w:val="en-GB"/>
        </w:rPr>
        <w:t xml:space="preserve"> </w:t>
      </w:r>
      <w:r w:rsidR="00603355" w:rsidRPr="0002056A">
        <w:rPr>
          <w:rFonts w:ascii="Georgia" w:hAnsi="Georgia" w:cs="Times New Roman"/>
          <w:lang w:val="en-GB"/>
        </w:rPr>
        <w:t>aspect examine</w:t>
      </w:r>
      <w:r w:rsidR="002813A0" w:rsidRPr="0002056A">
        <w:rPr>
          <w:rFonts w:ascii="Georgia" w:hAnsi="Georgia" w:cs="Times New Roman"/>
          <w:lang w:val="en-GB"/>
        </w:rPr>
        <w:t>d</w:t>
      </w:r>
      <w:r w:rsidR="00603355" w:rsidRPr="0002056A">
        <w:rPr>
          <w:rFonts w:ascii="Georgia" w:hAnsi="Georgia" w:cs="Times New Roman"/>
          <w:lang w:val="en-GB"/>
        </w:rPr>
        <w:t xml:space="preserve"> the emergence of </w:t>
      </w:r>
      <w:r w:rsidR="00603355" w:rsidRPr="0002056A">
        <w:rPr>
          <w:rFonts w:ascii="Georgia" w:hAnsi="Georgia" w:cs="Times New Roman"/>
          <w:i/>
          <w:iCs/>
          <w:lang w:val="en-GB"/>
        </w:rPr>
        <w:t>climate</w:t>
      </w:r>
      <w:r w:rsidR="002D3177" w:rsidRPr="0002056A">
        <w:rPr>
          <w:rFonts w:ascii="Georgia" w:hAnsi="Georgia" w:cs="Times New Roman"/>
          <w:i/>
          <w:iCs/>
          <w:lang w:val="en-GB"/>
        </w:rPr>
        <w:t xml:space="preserve"> change</w:t>
      </w:r>
      <w:r w:rsidR="00603355" w:rsidRPr="0002056A">
        <w:rPr>
          <w:rFonts w:ascii="Georgia" w:hAnsi="Georgia" w:cs="Times New Roman"/>
          <w:i/>
          <w:iCs/>
          <w:lang w:val="en-GB"/>
        </w:rPr>
        <w:t xml:space="preserve">-related </w:t>
      </w:r>
      <w:r w:rsidR="00E51D2F" w:rsidRPr="0002056A">
        <w:rPr>
          <w:rFonts w:ascii="Georgia" w:hAnsi="Georgia" w:cs="Times New Roman"/>
          <w:i/>
          <w:iCs/>
          <w:lang w:val="en-GB"/>
        </w:rPr>
        <w:t xml:space="preserve">global or geopolitical </w:t>
      </w:r>
      <w:r w:rsidR="00603355" w:rsidRPr="0002056A">
        <w:rPr>
          <w:rFonts w:ascii="Georgia" w:hAnsi="Georgia" w:cs="Times New Roman"/>
          <w:i/>
          <w:iCs/>
          <w:lang w:val="en-GB"/>
        </w:rPr>
        <w:t>risks</w:t>
      </w:r>
      <w:r w:rsidR="00603355" w:rsidRPr="0002056A">
        <w:rPr>
          <w:rFonts w:ascii="Georgia" w:hAnsi="Georgia" w:cs="Times New Roman"/>
          <w:lang w:val="en-GB"/>
        </w:rPr>
        <w:t xml:space="preserve"> (migration, potential competition for resources, </w:t>
      </w:r>
      <w:r w:rsidR="00A3468F" w:rsidRPr="0002056A">
        <w:rPr>
          <w:rFonts w:ascii="Georgia" w:hAnsi="Georgia" w:cs="Times New Roman"/>
          <w:lang w:val="en-GB"/>
        </w:rPr>
        <w:t>problem of supply chains, etc.</w:t>
      </w:r>
      <w:r w:rsidR="00603355" w:rsidRPr="0002056A">
        <w:rPr>
          <w:rFonts w:ascii="Georgia" w:hAnsi="Georgia" w:cs="Times New Roman"/>
          <w:lang w:val="en-GB"/>
        </w:rPr>
        <w:t xml:space="preserve">) </w:t>
      </w:r>
      <w:r w:rsidR="00603355" w:rsidRPr="0002056A">
        <w:rPr>
          <w:rFonts w:ascii="Georgia" w:hAnsi="Georgia" w:cs="Times New Roman"/>
          <w:i/>
          <w:iCs/>
          <w:lang w:val="en-GB"/>
        </w:rPr>
        <w:t>as aspects for national security</w:t>
      </w:r>
      <w:r w:rsidR="00603355" w:rsidRPr="0002056A">
        <w:rPr>
          <w:rFonts w:ascii="Georgia" w:hAnsi="Georgia" w:cs="Times New Roman"/>
          <w:lang w:val="en-GB"/>
        </w:rPr>
        <w:t xml:space="preserve"> within the introduced challenges of NAS/NAP documents. The </w:t>
      </w:r>
      <w:r w:rsidR="00603355" w:rsidRPr="0002056A">
        <w:rPr>
          <w:rFonts w:ascii="Georgia" w:hAnsi="Georgia" w:cs="Times New Roman"/>
          <w:i/>
          <w:iCs/>
          <w:lang w:val="en-GB"/>
        </w:rPr>
        <w:t>presence of strengthening macro</w:t>
      </w:r>
      <w:r w:rsidR="003667AC">
        <w:rPr>
          <w:rFonts w:ascii="Georgia" w:hAnsi="Georgia" w:cs="Times New Roman"/>
          <w:i/>
          <w:iCs/>
          <w:lang w:val="en-GB"/>
        </w:rPr>
        <w:t>-</w:t>
      </w:r>
      <w:r w:rsidR="00603355" w:rsidRPr="0002056A">
        <w:rPr>
          <w:rFonts w:ascii="Georgia" w:hAnsi="Georgia" w:cs="Times New Roman"/>
          <w:i/>
          <w:iCs/>
          <w:lang w:val="en-GB"/>
        </w:rPr>
        <w:t xml:space="preserve">regional / international co-operations between countries </w:t>
      </w:r>
      <w:r w:rsidR="00D551C6" w:rsidRPr="0002056A">
        <w:rPr>
          <w:rFonts w:ascii="Georgia" w:hAnsi="Georgia" w:cs="Times New Roman"/>
          <w:i/>
          <w:iCs/>
          <w:lang w:val="en-GB"/>
        </w:rPr>
        <w:t>in the field of adaptation policy</w:t>
      </w:r>
      <w:r w:rsidR="00D551C6" w:rsidRPr="0002056A">
        <w:rPr>
          <w:rFonts w:ascii="Georgia" w:hAnsi="Georgia" w:cs="Times New Roman"/>
          <w:lang w:val="en-GB"/>
        </w:rPr>
        <w:t xml:space="preserve"> </w:t>
      </w:r>
      <w:r w:rsidR="00A3468F" w:rsidRPr="0002056A">
        <w:rPr>
          <w:rFonts w:ascii="Georgia" w:hAnsi="Georgia" w:cs="Times New Roman"/>
          <w:lang w:val="en-GB"/>
        </w:rPr>
        <w:t>wa</w:t>
      </w:r>
      <w:r w:rsidR="00603355" w:rsidRPr="0002056A">
        <w:rPr>
          <w:rFonts w:ascii="Georgia" w:hAnsi="Georgia" w:cs="Times New Roman"/>
          <w:lang w:val="en-GB"/>
        </w:rPr>
        <w:t xml:space="preserve">s also identified in some documents, meanwhile the </w:t>
      </w:r>
      <w:r w:rsidR="00603355" w:rsidRPr="0002056A">
        <w:rPr>
          <w:rFonts w:ascii="Georgia" w:hAnsi="Georgia" w:cs="Times New Roman"/>
          <w:i/>
          <w:iCs/>
          <w:lang w:val="en-GB"/>
        </w:rPr>
        <w:t xml:space="preserve">appearance of the intention </w:t>
      </w:r>
      <w:r w:rsidR="00780BB8" w:rsidRPr="0002056A">
        <w:rPr>
          <w:rFonts w:ascii="Georgia" w:hAnsi="Georgia" w:cs="Times New Roman"/>
          <w:i/>
          <w:iCs/>
          <w:lang w:val="en-GB"/>
        </w:rPr>
        <w:t>to</w:t>
      </w:r>
      <w:r w:rsidR="00603355" w:rsidRPr="0002056A">
        <w:rPr>
          <w:rFonts w:ascii="Georgia" w:hAnsi="Georgia" w:cs="Times New Roman"/>
          <w:i/>
          <w:iCs/>
          <w:lang w:val="en-GB"/>
        </w:rPr>
        <w:t xml:space="preserve"> exert influence on other countries in the form of adaptation knowledge export or financial supports</w:t>
      </w:r>
      <w:r w:rsidR="00603355" w:rsidRPr="0002056A">
        <w:rPr>
          <w:rFonts w:ascii="Georgia" w:hAnsi="Georgia" w:cs="Times New Roman"/>
          <w:lang w:val="en-GB"/>
        </w:rPr>
        <w:t xml:space="preserve"> were also identified in some cases.</w:t>
      </w:r>
    </w:p>
    <w:p w14:paraId="22CAA7BF" w14:textId="16525148" w:rsidR="00603355" w:rsidRPr="0002056A" w:rsidRDefault="00A40DA3"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eastAsia="Times New Roman" w:hAnsi="Georgia" w:cs="Calibri"/>
          <w:b/>
          <w:bCs/>
          <w:i/>
          <w:iCs/>
          <w:color w:val="000000"/>
          <w:lang w:val="en-GB" w:eastAsia="hu-HU"/>
        </w:rPr>
        <w:t>Spatiality in adaptation monitoring and evaluations</w:t>
      </w:r>
      <w:r w:rsidRPr="0002056A">
        <w:rPr>
          <w:rFonts w:ascii="Georgia" w:eastAsia="Times New Roman" w:hAnsi="Georgia" w:cs="Calibri"/>
          <w:b/>
          <w:bCs/>
          <w:color w:val="000000"/>
          <w:lang w:val="en-GB" w:eastAsia="hu-HU"/>
        </w:rPr>
        <w:t xml:space="preserve"> </w:t>
      </w:r>
      <w:r w:rsidRPr="0002056A">
        <w:rPr>
          <w:rFonts w:ascii="Georgia" w:eastAsia="Times New Roman" w:hAnsi="Georgia" w:cs="Calibri"/>
          <w:color w:val="000000"/>
          <w:lang w:val="en-GB" w:eastAsia="hu-HU"/>
        </w:rPr>
        <w:t>aspect s</w:t>
      </w:r>
      <w:r w:rsidR="00A3468F" w:rsidRPr="0002056A">
        <w:rPr>
          <w:rFonts w:ascii="Georgia" w:eastAsia="Times New Roman" w:hAnsi="Georgia" w:cs="Calibri"/>
          <w:color w:val="000000"/>
          <w:lang w:val="en-GB" w:eastAsia="hu-HU"/>
        </w:rPr>
        <w:t>ought</w:t>
      </w:r>
      <w:r w:rsidRPr="0002056A">
        <w:rPr>
          <w:rFonts w:ascii="Georgia" w:eastAsia="Times New Roman" w:hAnsi="Georgia" w:cs="Calibri"/>
          <w:color w:val="000000"/>
          <w:lang w:val="en-GB" w:eastAsia="hu-HU"/>
        </w:rPr>
        <w:t xml:space="preserve"> t</w:t>
      </w:r>
      <w:r w:rsidR="00603355" w:rsidRPr="0002056A">
        <w:rPr>
          <w:rFonts w:ascii="Georgia" w:hAnsi="Georgia" w:cs="Times New Roman"/>
          <w:lang w:val="en-GB"/>
        </w:rPr>
        <w:t xml:space="preserve">races of </w:t>
      </w:r>
      <w:r w:rsidR="00603355" w:rsidRPr="0002056A">
        <w:rPr>
          <w:rFonts w:ascii="Georgia" w:hAnsi="Georgia" w:cs="Times New Roman"/>
          <w:iCs/>
          <w:lang w:val="en-GB"/>
        </w:rPr>
        <w:t>spatiality in adaptation-related monitoring activities</w:t>
      </w:r>
      <w:r w:rsidRPr="0002056A">
        <w:rPr>
          <w:rFonts w:ascii="Georgia" w:hAnsi="Georgia" w:cs="Times New Roman"/>
          <w:iCs/>
          <w:lang w:val="en-GB"/>
        </w:rPr>
        <w:t xml:space="preserve">. These </w:t>
      </w:r>
      <w:r w:rsidR="00393496" w:rsidRPr="0002056A">
        <w:rPr>
          <w:rFonts w:ascii="Georgia" w:hAnsi="Georgia" w:cs="Times New Roman"/>
          <w:iCs/>
          <w:lang w:val="en-GB"/>
        </w:rPr>
        <w:t>have been</w:t>
      </w:r>
      <w:r w:rsidR="00603355" w:rsidRPr="0002056A">
        <w:rPr>
          <w:rFonts w:ascii="Georgia" w:hAnsi="Georgia" w:cs="Times New Roman"/>
          <w:iCs/>
          <w:lang w:val="en-GB"/>
        </w:rPr>
        <w:t xml:space="preserve"> analysed</w:t>
      </w:r>
      <w:r w:rsidR="00603355" w:rsidRPr="0002056A">
        <w:rPr>
          <w:rFonts w:ascii="Georgia" w:hAnsi="Georgia" w:cs="Times New Roman"/>
          <w:lang w:val="en-GB"/>
        </w:rPr>
        <w:t xml:space="preserve"> through the </w:t>
      </w:r>
      <w:r w:rsidR="00603355" w:rsidRPr="0002056A">
        <w:rPr>
          <w:rFonts w:ascii="Georgia" w:hAnsi="Georgia" w:cs="Times New Roman"/>
          <w:i/>
          <w:iCs/>
          <w:lang w:val="en-GB"/>
        </w:rPr>
        <w:lastRenderedPageBreak/>
        <w:t xml:space="preserve">identification of spatial levels of data connection and monitoring activities </w:t>
      </w:r>
      <w:r w:rsidR="00780BB8" w:rsidRPr="0002056A">
        <w:rPr>
          <w:rFonts w:ascii="Georgia" w:hAnsi="Georgia" w:cs="Times New Roman"/>
          <w:lang w:val="en-GB"/>
        </w:rPr>
        <w:t>within</w:t>
      </w:r>
      <w:r w:rsidR="00603355" w:rsidRPr="0002056A">
        <w:rPr>
          <w:rFonts w:ascii="Georgia" w:hAnsi="Georgia" w:cs="Times New Roman"/>
          <w:lang w:val="en-GB"/>
        </w:rPr>
        <w:t xml:space="preserve"> the description of MRE activities in NAS/NAP documents or </w:t>
      </w:r>
      <w:r w:rsidR="002865E7" w:rsidRPr="0002056A">
        <w:rPr>
          <w:rFonts w:ascii="Georgia" w:hAnsi="Georgia" w:cs="Times New Roman"/>
          <w:lang w:val="en-GB"/>
        </w:rPr>
        <w:t xml:space="preserve">in </w:t>
      </w:r>
      <w:r w:rsidR="00603355" w:rsidRPr="0002056A">
        <w:rPr>
          <w:rFonts w:ascii="Georgia" w:hAnsi="Georgia" w:cs="Times New Roman"/>
          <w:lang w:val="en-GB"/>
        </w:rPr>
        <w:t xml:space="preserve">monitoring background materials. Where they exist, we try to identify </w:t>
      </w:r>
      <w:r w:rsidR="00603355" w:rsidRPr="0002056A">
        <w:rPr>
          <w:rFonts w:ascii="Georgia" w:hAnsi="Georgia" w:cs="Times New Roman"/>
          <w:i/>
          <w:iCs/>
          <w:lang w:val="en-GB"/>
        </w:rPr>
        <w:t xml:space="preserve">spatial content </w:t>
      </w:r>
      <w:r w:rsidR="007077C8" w:rsidRPr="0002056A">
        <w:rPr>
          <w:rFonts w:ascii="Georgia" w:hAnsi="Georgia" w:cs="Times New Roman"/>
          <w:i/>
          <w:iCs/>
          <w:lang w:val="en-GB"/>
        </w:rPr>
        <w:t>in</w:t>
      </w:r>
      <w:r w:rsidR="00603355" w:rsidRPr="0002056A">
        <w:rPr>
          <w:rFonts w:ascii="Georgia" w:hAnsi="Georgia" w:cs="Times New Roman"/>
          <w:i/>
          <w:iCs/>
          <w:lang w:val="en-GB"/>
        </w:rPr>
        <w:t xml:space="preserve"> adaptation indicator sets</w:t>
      </w:r>
      <w:r w:rsidR="00603355" w:rsidRPr="0002056A">
        <w:rPr>
          <w:rFonts w:ascii="Georgia" w:hAnsi="Georgia" w:cs="Times New Roman"/>
          <w:lang w:val="en-GB"/>
        </w:rPr>
        <w:t xml:space="preserve">. The </w:t>
      </w:r>
      <w:r w:rsidR="00603355" w:rsidRPr="0002056A">
        <w:rPr>
          <w:rFonts w:ascii="Georgia" w:hAnsi="Georgia" w:cs="Times New Roman"/>
          <w:i/>
          <w:iCs/>
          <w:lang w:val="en-GB"/>
        </w:rPr>
        <w:t>presence of geo-information-based decision support system</w:t>
      </w:r>
      <w:r w:rsidR="002865E7" w:rsidRPr="0002056A">
        <w:rPr>
          <w:rFonts w:ascii="Georgia" w:hAnsi="Georgia" w:cs="Times New Roman"/>
          <w:i/>
          <w:iCs/>
          <w:lang w:val="en-GB"/>
        </w:rPr>
        <w:t>(s)</w:t>
      </w:r>
      <w:r w:rsidR="00603355" w:rsidRPr="0002056A">
        <w:rPr>
          <w:rFonts w:ascii="Georgia" w:hAnsi="Georgia" w:cs="Times New Roman"/>
          <w:i/>
          <w:iCs/>
          <w:lang w:val="en-GB"/>
        </w:rPr>
        <w:t xml:space="preserve"> in adaptation activities, or the idea to develop such a system </w:t>
      </w:r>
      <w:r w:rsidR="00812D76" w:rsidRPr="0002056A">
        <w:rPr>
          <w:rFonts w:ascii="Georgia" w:hAnsi="Georgia" w:cs="Times New Roman"/>
          <w:lang w:val="en-GB"/>
        </w:rPr>
        <w:t>ha</w:t>
      </w:r>
      <w:r w:rsidR="003667AC">
        <w:rPr>
          <w:rFonts w:ascii="Georgia" w:hAnsi="Georgia" w:cs="Times New Roman"/>
          <w:lang w:val="en-GB"/>
        </w:rPr>
        <w:t>s</w:t>
      </w:r>
      <w:r w:rsidR="00603355" w:rsidRPr="0002056A">
        <w:rPr>
          <w:rFonts w:ascii="Georgia" w:hAnsi="Georgia" w:cs="Times New Roman"/>
          <w:lang w:val="en-GB"/>
        </w:rPr>
        <w:t xml:space="preserve"> also </w:t>
      </w:r>
      <w:r w:rsidR="00812D76" w:rsidRPr="0002056A">
        <w:rPr>
          <w:rFonts w:ascii="Georgia" w:hAnsi="Georgia" w:cs="Times New Roman"/>
          <w:lang w:val="en-GB"/>
        </w:rPr>
        <w:t xml:space="preserve">been </w:t>
      </w:r>
      <w:r w:rsidR="00603355" w:rsidRPr="0002056A">
        <w:rPr>
          <w:rFonts w:ascii="Georgia" w:hAnsi="Georgia" w:cs="Times New Roman"/>
          <w:lang w:val="en-GB"/>
        </w:rPr>
        <w:t>examined</w:t>
      </w:r>
      <w:r w:rsidR="007077C8" w:rsidRPr="0002056A">
        <w:rPr>
          <w:rFonts w:ascii="Georgia" w:hAnsi="Georgia" w:cs="Times New Roman"/>
          <w:lang w:val="en-GB"/>
        </w:rPr>
        <w:t xml:space="preserve"> in the countries</w:t>
      </w:r>
      <w:r w:rsidR="00603355" w:rsidRPr="0002056A">
        <w:rPr>
          <w:rFonts w:ascii="Georgia" w:hAnsi="Georgia" w:cs="Times New Roman"/>
          <w:lang w:val="en-GB"/>
        </w:rPr>
        <w:t>.</w:t>
      </w:r>
      <w:r w:rsidR="00393496" w:rsidRPr="0002056A">
        <w:rPr>
          <w:rFonts w:ascii="Georgia" w:hAnsi="Georgia" w:cs="Times New Roman"/>
          <w:lang w:val="en-GB"/>
        </w:rPr>
        <w:t xml:space="preserve"> </w:t>
      </w:r>
      <w:r w:rsidR="003667AC">
        <w:rPr>
          <w:rFonts w:ascii="Georgia" w:hAnsi="Georgia" w:cs="Times New Roman"/>
          <w:lang w:val="en-GB"/>
        </w:rPr>
        <w:t>Similar</w:t>
      </w:r>
      <w:r w:rsidR="003667AC" w:rsidRPr="0002056A">
        <w:rPr>
          <w:rFonts w:ascii="Georgia" w:hAnsi="Georgia" w:cs="Times New Roman"/>
          <w:lang w:val="en-GB"/>
        </w:rPr>
        <w:t xml:space="preserve"> </w:t>
      </w:r>
      <w:r w:rsidR="00603355" w:rsidRPr="0002056A">
        <w:rPr>
          <w:rFonts w:ascii="Georgia" w:hAnsi="Georgia" w:cs="Times New Roman"/>
          <w:lang w:val="en-GB"/>
        </w:rPr>
        <w:t xml:space="preserve">to </w:t>
      </w:r>
      <w:r w:rsidR="00393496" w:rsidRPr="0002056A">
        <w:rPr>
          <w:rFonts w:ascii="Georgia" w:hAnsi="Georgia" w:cs="Times New Roman"/>
          <w:lang w:val="en-GB"/>
        </w:rPr>
        <w:t>monitoring activities</w:t>
      </w:r>
      <w:r w:rsidR="00603355" w:rsidRPr="0002056A">
        <w:rPr>
          <w:rFonts w:ascii="Georgia" w:hAnsi="Georgia" w:cs="Times New Roman"/>
          <w:lang w:val="en-GB"/>
        </w:rPr>
        <w:t>, spatial aspects in adaptation</w:t>
      </w:r>
      <w:r w:rsidR="002865E7" w:rsidRPr="0002056A">
        <w:rPr>
          <w:rFonts w:ascii="Georgia" w:hAnsi="Georgia" w:cs="Times New Roman"/>
          <w:lang w:val="en-GB"/>
        </w:rPr>
        <w:t>-</w:t>
      </w:r>
      <w:r w:rsidR="00603355" w:rsidRPr="0002056A">
        <w:rPr>
          <w:rFonts w:ascii="Georgia" w:hAnsi="Georgia" w:cs="Times New Roman"/>
          <w:lang w:val="en-GB"/>
        </w:rPr>
        <w:t xml:space="preserve">related evaluations </w:t>
      </w:r>
      <w:r w:rsidR="00393496" w:rsidRPr="0002056A">
        <w:rPr>
          <w:rFonts w:ascii="Georgia" w:hAnsi="Georgia" w:cs="Times New Roman"/>
          <w:lang w:val="en-GB"/>
        </w:rPr>
        <w:t xml:space="preserve">have also been assessed. We tried to </w:t>
      </w:r>
      <w:r w:rsidR="00603355" w:rsidRPr="0002056A">
        <w:rPr>
          <w:rFonts w:ascii="Georgia" w:hAnsi="Georgia" w:cs="Times New Roman"/>
          <w:lang w:val="en-GB"/>
        </w:rPr>
        <w:t>identif</w:t>
      </w:r>
      <w:r w:rsidR="00393496" w:rsidRPr="0002056A">
        <w:rPr>
          <w:rFonts w:ascii="Georgia" w:hAnsi="Georgia" w:cs="Times New Roman"/>
          <w:lang w:val="en-GB"/>
        </w:rPr>
        <w:t>y</w:t>
      </w:r>
      <w:r w:rsidR="00603355" w:rsidRPr="0002056A">
        <w:rPr>
          <w:rFonts w:ascii="Georgia" w:hAnsi="Georgia" w:cs="Times New Roman"/>
          <w:lang w:val="en-GB"/>
        </w:rPr>
        <w:t xml:space="preserve"> </w:t>
      </w:r>
      <w:r w:rsidR="00603355" w:rsidRPr="0002056A">
        <w:rPr>
          <w:rFonts w:ascii="Georgia" w:hAnsi="Georgia" w:cs="Times New Roman"/>
          <w:i/>
          <w:iCs/>
          <w:lang w:val="en-GB"/>
        </w:rPr>
        <w:t xml:space="preserve">the degree of spatial focus/content </w:t>
      </w:r>
      <w:r w:rsidR="00E51D2F" w:rsidRPr="0002056A">
        <w:rPr>
          <w:rFonts w:ascii="Georgia" w:hAnsi="Georgia" w:cs="Times New Roman"/>
          <w:lang w:val="en-GB"/>
        </w:rPr>
        <w:t xml:space="preserve">as well as </w:t>
      </w:r>
      <w:r w:rsidR="00E51D2F" w:rsidRPr="0002056A">
        <w:rPr>
          <w:rFonts w:ascii="Georgia" w:hAnsi="Georgia" w:cs="Times New Roman"/>
          <w:i/>
          <w:iCs/>
          <w:lang w:val="en-GB"/>
        </w:rPr>
        <w:t xml:space="preserve">of spatial </w:t>
      </w:r>
      <w:r w:rsidR="003667AC">
        <w:rPr>
          <w:rFonts w:ascii="Georgia" w:hAnsi="Georgia" w:cs="Times New Roman"/>
          <w:i/>
          <w:iCs/>
          <w:lang w:val="en-GB"/>
        </w:rPr>
        <w:t>visualisation</w:t>
      </w:r>
      <w:r w:rsidR="003667AC" w:rsidRPr="0002056A">
        <w:rPr>
          <w:rFonts w:ascii="Georgia" w:hAnsi="Georgia" w:cs="Times New Roman"/>
          <w:i/>
          <w:iCs/>
          <w:lang w:val="en-GB"/>
        </w:rPr>
        <w:t xml:space="preserve"> </w:t>
      </w:r>
      <w:r w:rsidR="00603355" w:rsidRPr="0002056A">
        <w:rPr>
          <w:rFonts w:ascii="Georgia" w:hAnsi="Georgia" w:cs="Times New Roman"/>
          <w:i/>
          <w:iCs/>
          <w:lang w:val="en-GB"/>
        </w:rPr>
        <w:t xml:space="preserve">in </w:t>
      </w:r>
      <w:r w:rsidR="00FF2EFE" w:rsidRPr="0002056A">
        <w:rPr>
          <w:rFonts w:ascii="Georgia" w:hAnsi="Georgia" w:cs="Times New Roman"/>
          <w:i/>
          <w:iCs/>
          <w:lang w:val="en-GB"/>
        </w:rPr>
        <w:t xml:space="preserve">existing </w:t>
      </w:r>
      <w:r w:rsidR="00603355" w:rsidRPr="0002056A">
        <w:rPr>
          <w:rFonts w:ascii="Georgia" w:hAnsi="Georgia" w:cs="Times New Roman"/>
          <w:i/>
          <w:iCs/>
          <w:lang w:val="en-GB"/>
        </w:rPr>
        <w:t>adaptation evaluation products</w:t>
      </w:r>
      <w:r w:rsidR="00603355" w:rsidRPr="0002056A">
        <w:rPr>
          <w:rFonts w:ascii="Georgia" w:hAnsi="Georgia" w:cs="Times New Roman"/>
          <w:lang w:val="en-GB"/>
        </w:rPr>
        <w:t xml:space="preserve">. Where </w:t>
      </w:r>
      <w:r w:rsidR="00FF2EFE" w:rsidRPr="0002056A">
        <w:rPr>
          <w:rFonts w:ascii="Georgia" w:hAnsi="Georgia" w:cs="Times New Roman"/>
          <w:i/>
          <w:iCs/>
          <w:lang w:val="en-GB"/>
        </w:rPr>
        <w:t>evaluation activities</w:t>
      </w:r>
      <w:r w:rsidR="00FF2EFE" w:rsidRPr="0002056A">
        <w:rPr>
          <w:rFonts w:ascii="Georgia" w:hAnsi="Georgia" w:cs="Times New Roman"/>
          <w:lang w:val="en-GB"/>
        </w:rPr>
        <w:t xml:space="preserve"> </w:t>
      </w:r>
      <w:r w:rsidR="00603355" w:rsidRPr="0002056A">
        <w:rPr>
          <w:rFonts w:ascii="Georgia" w:hAnsi="Georgia" w:cs="Times New Roman"/>
          <w:lang w:val="en-GB"/>
        </w:rPr>
        <w:t xml:space="preserve">exist, the </w:t>
      </w:r>
      <w:r w:rsidR="00603355" w:rsidRPr="0002056A">
        <w:rPr>
          <w:rFonts w:ascii="Georgia" w:hAnsi="Georgia" w:cs="Times New Roman"/>
          <w:i/>
          <w:iCs/>
          <w:lang w:val="en-GB"/>
        </w:rPr>
        <w:t>spatial levels</w:t>
      </w:r>
      <w:r w:rsidR="00603355" w:rsidRPr="0002056A">
        <w:rPr>
          <w:rFonts w:ascii="Georgia" w:hAnsi="Georgia" w:cs="Times New Roman"/>
          <w:lang w:val="en-GB"/>
        </w:rPr>
        <w:t xml:space="preserve"> </w:t>
      </w:r>
      <w:r w:rsidR="00FF2EFE" w:rsidRPr="0002056A">
        <w:rPr>
          <w:rFonts w:ascii="Georgia" w:hAnsi="Georgia" w:cs="Times New Roman"/>
          <w:lang w:val="en-GB"/>
        </w:rPr>
        <w:t>of them have been</w:t>
      </w:r>
      <w:r w:rsidR="00603355" w:rsidRPr="0002056A">
        <w:rPr>
          <w:rFonts w:ascii="Georgia" w:hAnsi="Georgia" w:cs="Times New Roman"/>
          <w:lang w:val="en-GB"/>
        </w:rPr>
        <w:t xml:space="preserve"> also identified. </w:t>
      </w:r>
    </w:p>
    <w:p w14:paraId="53921A1C" w14:textId="52657346" w:rsidR="00603355" w:rsidRPr="0002056A" w:rsidRDefault="00603355" w:rsidP="009236EB">
      <w:pPr>
        <w:pStyle w:val="Listaszerbekezds"/>
        <w:numPr>
          <w:ilvl w:val="0"/>
          <w:numId w:val="6"/>
        </w:numPr>
        <w:tabs>
          <w:tab w:val="left" w:pos="0"/>
        </w:tabs>
        <w:spacing w:before="120" w:after="120"/>
        <w:ind w:left="0" w:firstLine="0"/>
        <w:contextualSpacing w:val="0"/>
        <w:jc w:val="both"/>
        <w:rPr>
          <w:rFonts w:ascii="Georgia" w:hAnsi="Georgia" w:cs="Times New Roman"/>
          <w:lang w:val="en-GB"/>
        </w:rPr>
      </w:pPr>
      <w:r w:rsidRPr="0002056A">
        <w:rPr>
          <w:rFonts w:ascii="Georgia" w:hAnsi="Georgia" w:cs="Times New Roman"/>
          <w:lang w:val="en-GB"/>
        </w:rPr>
        <w:t xml:space="preserve">The last aspect </w:t>
      </w:r>
      <w:r w:rsidR="00B83018" w:rsidRPr="0002056A">
        <w:rPr>
          <w:rFonts w:ascii="Georgia" w:hAnsi="Georgia" w:cs="Times New Roman"/>
          <w:lang w:val="en-GB"/>
        </w:rPr>
        <w:t>(</w:t>
      </w:r>
      <w:r w:rsidR="00D54424" w:rsidRPr="0002056A">
        <w:rPr>
          <w:rFonts w:ascii="Georgia" w:eastAsia="Times New Roman" w:hAnsi="Georgia" w:cs="Calibri"/>
          <w:b/>
          <w:bCs/>
          <w:i/>
          <w:iCs/>
          <w:color w:val="000000"/>
          <w:lang w:val="en-GB" w:eastAsia="hu-HU"/>
        </w:rPr>
        <w:t>s</w:t>
      </w:r>
      <w:r w:rsidR="00B83018" w:rsidRPr="0002056A">
        <w:rPr>
          <w:rFonts w:ascii="Georgia" w:eastAsia="Times New Roman" w:hAnsi="Georgia" w:cs="Calibri"/>
          <w:b/>
          <w:bCs/>
          <w:i/>
          <w:iCs/>
          <w:color w:val="000000"/>
          <w:lang w:val="en-GB" w:eastAsia="hu-HU"/>
        </w:rPr>
        <w:t>patial policy considerations in adaptation planning</w:t>
      </w:r>
      <w:r w:rsidR="00B83018" w:rsidRPr="0002056A">
        <w:rPr>
          <w:rFonts w:ascii="Georgia" w:hAnsi="Georgia" w:cs="Times New Roman"/>
          <w:lang w:val="en-GB"/>
        </w:rPr>
        <w:t xml:space="preserve">) </w:t>
      </w:r>
      <w:r w:rsidR="00C63783" w:rsidRPr="0002056A">
        <w:rPr>
          <w:rFonts w:ascii="Georgia" w:hAnsi="Georgia" w:cs="Times New Roman"/>
          <w:lang w:val="en-GB"/>
        </w:rPr>
        <w:t>was</w:t>
      </w:r>
      <w:r w:rsidRPr="0002056A">
        <w:rPr>
          <w:rFonts w:ascii="Georgia" w:hAnsi="Georgia" w:cs="Times New Roman"/>
          <w:lang w:val="en-GB"/>
        </w:rPr>
        <w:t xml:space="preserve"> based </w:t>
      </w:r>
      <w:r w:rsidR="00B83018" w:rsidRPr="0002056A">
        <w:rPr>
          <w:rFonts w:ascii="Georgia" w:hAnsi="Georgia" w:cs="Times New Roman"/>
          <w:lang w:val="en-GB"/>
        </w:rPr>
        <w:t xml:space="preserve">partly </w:t>
      </w:r>
      <w:r w:rsidRPr="0002056A">
        <w:rPr>
          <w:rFonts w:ascii="Georgia" w:hAnsi="Georgia" w:cs="Times New Roman"/>
          <w:lang w:val="en-GB"/>
        </w:rPr>
        <w:t>on planning hierarchy and concentrate</w:t>
      </w:r>
      <w:r w:rsidR="00C63783" w:rsidRPr="0002056A">
        <w:rPr>
          <w:rFonts w:ascii="Georgia" w:hAnsi="Georgia" w:cs="Times New Roman"/>
          <w:lang w:val="en-GB"/>
        </w:rPr>
        <w:t>d</w:t>
      </w:r>
      <w:r w:rsidRPr="0002056A">
        <w:rPr>
          <w:rFonts w:ascii="Georgia" w:hAnsi="Georgia" w:cs="Times New Roman"/>
          <w:lang w:val="en-GB"/>
        </w:rPr>
        <w:t xml:space="preserve"> on the emergence of higher</w:t>
      </w:r>
      <w:r w:rsidR="00EA1B2B" w:rsidRPr="0002056A">
        <w:rPr>
          <w:rFonts w:ascii="Georgia" w:hAnsi="Georgia" w:cs="Times New Roman"/>
          <w:lang w:val="en-GB"/>
        </w:rPr>
        <w:t>-</w:t>
      </w:r>
      <w:r w:rsidRPr="0002056A">
        <w:rPr>
          <w:rFonts w:ascii="Georgia" w:hAnsi="Georgia" w:cs="Times New Roman"/>
          <w:lang w:val="en-GB"/>
        </w:rPr>
        <w:t xml:space="preserve">level spatial objectives in national adaptation planning. It </w:t>
      </w:r>
      <w:r w:rsidR="00EA1B2B" w:rsidRPr="0002056A">
        <w:rPr>
          <w:rFonts w:ascii="Georgia" w:hAnsi="Georgia" w:cs="Times New Roman"/>
          <w:lang w:val="en-GB"/>
        </w:rPr>
        <w:t>checked</w:t>
      </w:r>
      <w:r w:rsidRPr="0002056A">
        <w:rPr>
          <w:rFonts w:ascii="Georgia" w:hAnsi="Georgia" w:cs="Times New Roman"/>
          <w:lang w:val="en-GB"/>
        </w:rPr>
        <w:t xml:space="preserve"> </w:t>
      </w:r>
      <w:r w:rsidRPr="0002056A">
        <w:rPr>
          <w:rFonts w:ascii="Georgia" w:hAnsi="Georgia" w:cs="Times New Roman"/>
          <w:i/>
          <w:iCs/>
          <w:lang w:val="en-GB"/>
        </w:rPr>
        <w:t xml:space="preserve">the appearance of European-level spatial directions </w:t>
      </w:r>
      <w:r w:rsidRPr="0002056A">
        <w:rPr>
          <w:rFonts w:ascii="Georgia" w:hAnsi="Georgia" w:cs="Times New Roman"/>
          <w:lang w:val="en-GB"/>
        </w:rPr>
        <w:t>(</w:t>
      </w:r>
      <w:r w:rsidR="00C63783" w:rsidRPr="0002056A">
        <w:rPr>
          <w:rFonts w:ascii="Georgia" w:hAnsi="Georgia" w:cs="Times New Roman"/>
          <w:lang w:val="en-GB"/>
        </w:rPr>
        <w:t xml:space="preserve">in the form of </w:t>
      </w:r>
      <w:r w:rsidRPr="0002056A">
        <w:rPr>
          <w:rFonts w:ascii="Georgia" w:hAnsi="Georgia" w:cs="Times New Roman"/>
          <w:lang w:val="en-GB"/>
        </w:rPr>
        <w:t xml:space="preserve">priorities of the </w:t>
      </w:r>
      <w:r w:rsidR="00767573" w:rsidRPr="0002056A">
        <w:rPr>
          <w:rFonts w:ascii="Georgia" w:hAnsi="Georgia" w:cs="Times New Roman"/>
          <w:lang w:val="en-GB"/>
        </w:rPr>
        <w:t>then-</w:t>
      </w:r>
      <w:r w:rsidRPr="0002056A">
        <w:rPr>
          <w:rFonts w:ascii="Georgia" w:hAnsi="Georgia" w:cs="Times New Roman"/>
          <w:lang w:val="en-GB"/>
        </w:rPr>
        <w:t xml:space="preserve">actual Territorial Agenda of the EU) and </w:t>
      </w:r>
      <w:r w:rsidR="00391CE2" w:rsidRPr="0002056A">
        <w:rPr>
          <w:rFonts w:ascii="Georgia" w:hAnsi="Georgia" w:cs="Times New Roman"/>
          <w:i/>
          <w:iCs/>
          <w:lang w:val="en-GB"/>
        </w:rPr>
        <w:t xml:space="preserve">the emergence </w:t>
      </w:r>
      <w:r w:rsidRPr="0002056A">
        <w:rPr>
          <w:rFonts w:ascii="Georgia" w:hAnsi="Georgia" w:cs="Times New Roman"/>
          <w:i/>
          <w:iCs/>
          <w:lang w:val="en-GB"/>
        </w:rPr>
        <w:t>of national spatial/regional development objectives within the NAS/NAP documents</w:t>
      </w:r>
      <w:r w:rsidR="00767573" w:rsidRPr="0002056A">
        <w:rPr>
          <w:rFonts w:ascii="Georgia" w:hAnsi="Georgia" w:cs="Times New Roman"/>
          <w:i/>
          <w:iCs/>
          <w:lang w:val="en-GB"/>
        </w:rPr>
        <w:t>’</w:t>
      </w:r>
      <w:r w:rsidRPr="0002056A">
        <w:rPr>
          <w:rFonts w:ascii="Georgia" w:hAnsi="Georgia" w:cs="Times New Roman"/>
          <w:lang w:val="en-GB"/>
        </w:rPr>
        <w:t xml:space="preserve"> objective system. </w:t>
      </w:r>
      <w:r w:rsidR="00391CE2" w:rsidRPr="0002056A">
        <w:rPr>
          <w:rFonts w:ascii="Georgia" w:hAnsi="Georgia" w:cs="Times New Roman"/>
          <w:lang w:val="en-GB"/>
        </w:rPr>
        <w:t xml:space="preserve">Last but not least, </w:t>
      </w:r>
      <w:r w:rsidR="003667AC">
        <w:rPr>
          <w:rFonts w:ascii="Georgia" w:hAnsi="Georgia" w:cs="Times New Roman"/>
          <w:lang w:val="en-GB"/>
        </w:rPr>
        <w:t xml:space="preserve">the </w:t>
      </w:r>
      <w:r w:rsidR="009517E4" w:rsidRPr="0002056A">
        <w:rPr>
          <w:rFonts w:ascii="Georgia" w:hAnsi="Georgia" w:cs="Times New Roman"/>
          <w:i/>
          <w:iCs/>
          <w:lang w:val="en-GB"/>
        </w:rPr>
        <w:t xml:space="preserve">presence of </w:t>
      </w:r>
      <w:r w:rsidR="00767573" w:rsidRPr="0002056A">
        <w:rPr>
          <w:rFonts w:ascii="Georgia" w:hAnsi="Georgia" w:cs="Times New Roman"/>
          <w:i/>
          <w:iCs/>
          <w:lang w:val="en-GB"/>
        </w:rPr>
        <w:t xml:space="preserve">territorial cohesion-related </w:t>
      </w:r>
      <w:r w:rsidR="009517E4" w:rsidRPr="0002056A">
        <w:rPr>
          <w:rFonts w:ascii="Georgia" w:hAnsi="Georgia" w:cs="Times New Roman"/>
          <w:i/>
          <w:iCs/>
          <w:lang w:val="en-GB"/>
        </w:rPr>
        <w:t>phraseology of the European spatial policy</w:t>
      </w:r>
      <w:r w:rsidR="009517E4" w:rsidRPr="0002056A">
        <w:rPr>
          <w:rFonts w:ascii="Georgia" w:hAnsi="Georgia" w:cs="Times New Roman"/>
          <w:lang w:val="en-GB"/>
        </w:rPr>
        <w:t xml:space="preserve"> was also examined in NAS documents through </w:t>
      </w:r>
      <w:r w:rsidR="002D0641" w:rsidRPr="0002056A">
        <w:rPr>
          <w:rFonts w:ascii="Georgia" w:hAnsi="Georgia" w:cs="Times New Roman"/>
          <w:lang w:val="en-GB"/>
        </w:rPr>
        <w:t>the emergence of basic territorial cohesion-related concepts in the</w:t>
      </w:r>
      <w:r w:rsidR="009517E4" w:rsidRPr="0002056A">
        <w:rPr>
          <w:rFonts w:ascii="Georgia" w:hAnsi="Georgia" w:cs="Times New Roman"/>
          <w:lang w:val="en-GB"/>
        </w:rPr>
        <w:t xml:space="preserve"> respective NAS</w:t>
      </w:r>
      <w:r w:rsidR="002D0641" w:rsidRPr="0002056A">
        <w:rPr>
          <w:rFonts w:ascii="Georgia" w:hAnsi="Georgia" w:cs="Times New Roman"/>
          <w:lang w:val="en-GB"/>
        </w:rPr>
        <w:t xml:space="preserve"> chapters</w:t>
      </w:r>
      <w:r w:rsidR="009517E4" w:rsidRPr="0002056A">
        <w:rPr>
          <w:rFonts w:ascii="Georgia" w:hAnsi="Georgia" w:cs="Times New Roman"/>
          <w:lang w:val="en-GB"/>
        </w:rPr>
        <w:t>.</w:t>
      </w:r>
    </w:p>
    <w:p w14:paraId="3FDAA56D" w14:textId="54C66DAA" w:rsidR="00D211A2" w:rsidRPr="0002056A" w:rsidRDefault="00D211A2" w:rsidP="00D211A2">
      <w:pPr>
        <w:spacing w:before="120" w:after="120"/>
        <w:jc w:val="both"/>
        <w:rPr>
          <w:rFonts w:ascii="Georgia" w:hAnsi="Georgia" w:cs="Times New Roman"/>
          <w:lang w:val="en-GB"/>
        </w:rPr>
      </w:pPr>
      <w:r w:rsidRPr="0002056A">
        <w:rPr>
          <w:rFonts w:ascii="Georgia" w:hAnsi="Georgia" w:cs="Times New Roman"/>
          <w:lang w:val="en-GB"/>
        </w:rPr>
        <w:t>To complete the document analyses with soft or complementary information</w:t>
      </w:r>
      <w:r w:rsidR="003667AC">
        <w:rPr>
          <w:rFonts w:ascii="Georgia" w:hAnsi="Georgia" w:cs="Times New Roman"/>
          <w:lang w:val="en-GB"/>
        </w:rPr>
        <w:t>,</w:t>
      </w:r>
      <w:r w:rsidRPr="0002056A">
        <w:rPr>
          <w:rFonts w:ascii="Georgia" w:hAnsi="Georgia" w:cs="Times New Roman"/>
          <w:lang w:val="en-GB"/>
        </w:rPr>
        <w:t xml:space="preserve"> I also conducted a questionnaire-based survey in the form of e-mail interviews targeting adaptation policy professionals, decision makers, planners in the examined countries. Unfortunately, from the 41 states/country parts I approached only 13 (Slovakia, Slovenia, Romania, Austria, Germany, the Netherlands, Lithuania, Estonia, Poland, France, Türkiye, Sweden, Finland) responded, but at least in their cases the national analyses could work with more nuanced information base. The transcripts of the interviews are presented by Annex 5. The same part of the Annex also contains</w:t>
      </w:r>
      <w:r w:rsidRPr="0002056A">
        <w:rPr>
          <w:lang w:val="en-GB"/>
        </w:rPr>
        <w:t xml:space="preserve"> </w:t>
      </w:r>
      <w:r w:rsidRPr="0002056A">
        <w:rPr>
          <w:rFonts w:ascii="Georgia" w:hAnsi="Georgia" w:cs="Times New Roman"/>
          <w:lang w:val="en-GB"/>
        </w:rPr>
        <w:t xml:space="preserve">additional interview results from another, related applied research project of mine, from 2020, with useful parts that have been utilised during my phD studies (parts from interviews with adaptation professionals from Wales, the Netherlands, Germany and Switzerland). </w:t>
      </w:r>
    </w:p>
    <w:p w14:paraId="55194B63" w14:textId="4D33B91D" w:rsidR="00D211A2" w:rsidRPr="0002056A" w:rsidRDefault="00D211A2" w:rsidP="0066184F">
      <w:pPr>
        <w:spacing w:before="120" w:after="120"/>
        <w:jc w:val="both"/>
        <w:rPr>
          <w:rFonts w:ascii="Georgia" w:hAnsi="Georgia" w:cs="Times New Roman"/>
          <w:lang w:val="en-GB"/>
        </w:rPr>
      </w:pPr>
      <w:r w:rsidRPr="0002056A">
        <w:rPr>
          <w:rFonts w:ascii="Georgia" w:hAnsi="Georgia" w:cs="Times New Roman"/>
          <w:lang w:val="en-GB"/>
        </w:rPr>
        <w:t xml:space="preserve">As a next step, complex spatial sensitivity indicators have been calculated for each analysed country, based on the above-enlisted aspects. For each sub-factor, a country gets a given value: 5 points if the state were classified in the best, 3 if in the upper-middle, 1 if in the lower-middle and 0 if in the worst category. Attributed to each sub-factor the proper principles/rules of classification were defined in advance to avoid subjectivity as much as possible. </w:t>
      </w:r>
    </w:p>
    <w:p w14:paraId="0BB1228A" w14:textId="54371726" w:rsidR="00D211A2" w:rsidRPr="0002056A" w:rsidRDefault="00D211A2" w:rsidP="00171286">
      <w:pPr>
        <w:pStyle w:val="Listaszerbekezds"/>
        <w:spacing w:before="120" w:after="120"/>
        <w:ind w:left="284"/>
        <w:contextualSpacing w:val="0"/>
        <w:jc w:val="both"/>
        <w:rPr>
          <w:rFonts w:ascii="Georgia" w:eastAsia="Times New Roman" w:hAnsi="Georgia" w:cs="Times New Roman"/>
          <w:lang w:val="en-GB" w:eastAsia="hu-HU"/>
        </w:rPr>
        <w:sectPr w:rsidR="00D211A2" w:rsidRPr="0002056A" w:rsidSect="00775D26">
          <w:pgSz w:w="11906" w:h="16838"/>
          <w:pgMar w:top="1417" w:right="1417" w:bottom="1417" w:left="1417" w:header="708" w:footer="708" w:gutter="0"/>
          <w:cols w:space="708"/>
          <w:docGrid w:linePitch="360"/>
        </w:sectPr>
      </w:pPr>
    </w:p>
    <w:p w14:paraId="4D834C92" w14:textId="355C0DE4" w:rsidR="00603355" w:rsidRPr="0002056A" w:rsidRDefault="00603355" w:rsidP="00AF0466">
      <w:pPr>
        <w:spacing w:before="120" w:afterLines="120" w:after="288" w:line="240" w:lineRule="auto"/>
        <w:jc w:val="both"/>
        <w:rPr>
          <w:rFonts w:ascii="Times New Roman" w:eastAsia="Times New Roman" w:hAnsi="Times New Roman" w:cs="Times New Roman"/>
          <w:sz w:val="24"/>
          <w:szCs w:val="24"/>
          <w:lang w:val="en-GB" w:eastAsia="hu-HU"/>
        </w:rPr>
      </w:pPr>
    </w:p>
    <w:p w14:paraId="0A57BED2" w14:textId="27D30E3C" w:rsidR="009D0BDA" w:rsidRPr="0002056A" w:rsidRDefault="00BD4CF2" w:rsidP="00BD4CF2">
      <w:pPr>
        <w:shd w:val="clear" w:color="auto" w:fill="FFFFFF" w:themeFill="background1"/>
        <w:spacing w:before="120" w:afterLines="120" w:after="288" w:line="240" w:lineRule="auto"/>
        <w:jc w:val="center"/>
        <w:rPr>
          <w:rFonts w:ascii="Georgia" w:eastAsia="Times New Roman" w:hAnsi="Georgia" w:cs="Times New Roman"/>
          <w:b/>
          <w:bCs/>
          <w:color w:val="000000"/>
          <w:sz w:val="18"/>
          <w:szCs w:val="18"/>
          <w:lang w:val="en-GB" w:eastAsia="hu-HU"/>
        </w:rPr>
      </w:pPr>
      <w:r w:rsidRPr="0002056A">
        <w:rPr>
          <w:rFonts w:ascii="Georgia" w:eastAsia="Times New Roman" w:hAnsi="Georgia" w:cs="Times New Roman"/>
          <w:b/>
          <w:bCs/>
          <w:color w:val="000000"/>
          <w:sz w:val="18"/>
          <w:szCs w:val="18"/>
          <w:lang w:val="en-GB" w:eastAsia="hu-HU"/>
        </w:rPr>
        <w:t xml:space="preserve">Table 3: Aspects and sub-aspects of the comparative document analysis. </w:t>
      </w:r>
      <w:r w:rsidRPr="0002056A">
        <w:rPr>
          <w:rFonts w:ascii="Georgia" w:eastAsia="Times New Roman" w:hAnsi="Georgia" w:cs="Times New Roman"/>
          <w:i/>
          <w:iCs/>
          <w:color w:val="000000"/>
          <w:sz w:val="18"/>
          <w:szCs w:val="18"/>
          <w:lang w:val="en-GB" w:eastAsia="hu-HU"/>
        </w:rPr>
        <w:t>Source: own editing.</w:t>
      </w:r>
    </w:p>
    <w:tbl>
      <w:tblPr>
        <w:tblStyle w:val="Rcsostblzat"/>
        <w:tblW w:w="14737" w:type="dxa"/>
        <w:jc w:val="center"/>
        <w:tblLook w:val="04A0" w:firstRow="1" w:lastRow="0" w:firstColumn="1" w:lastColumn="0" w:noHBand="0" w:noVBand="1"/>
      </w:tblPr>
      <w:tblGrid>
        <w:gridCol w:w="993"/>
        <w:gridCol w:w="1696"/>
        <w:gridCol w:w="3827"/>
        <w:gridCol w:w="2977"/>
        <w:gridCol w:w="2835"/>
        <w:gridCol w:w="2409"/>
      </w:tblGrid>
      <w:tr w:rsidR="00236B2E" w:rsidRPr="0002056A" w14:paraId="7347788C" w14:textId="77777777" w:rsidTr="000F6837">
        <w:trPr>
          <w:trHeight w:val="327"/>
          <w:tblHeader/>
          <w:jc w:val="center"/>
        </w:trPr>
        <w:tc>
          <w:tcPr>
            <w:tcW w:w="993" w:type="dxa"/>
            <w:shd w:val="clear" w:color="auto" w:fill="C5E0B3" w:themeFill="accent6" w:themeFillTint="66"/>
          </w:tcPr>
          <w:p w14:paraId="681DAF8D" w14:textId="12C2139D"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Main aspect</w:t>
            </w:r>
          </w:p>
        </w:tc>
        <w:tc>
          <w:tcPr>
            <w:tcW w:w="1696" w:type="dxa"/>
            <w:shd w:val="clear" w:color="auto" w:fill="C5E0B3" w:themeFill="accent6" w:themeFillTint="66"/>
          </w:tcPr>
          <w:p w14:paraId="55E4B3F9" w14:textId="07919588"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Sub-aspects</w:t>
            </w:r>
          </w:p>
        </w:tc>
        <w:tc>
          <w:tcPr>
            <w:tcW w:w="3827" w:type="dxa"/>
            <w:shd w:val="clear" w:color="auto" w:fill="C5E0B3" w:themeFill="accent6" w:themeFillTint="66"/>
          </w:tcPr>
          <w:p w14:paraId="41D94C0C" w14:textId="411A1BCA"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Best category</w:t>
            </w:r>
          </w:p>
        </w:tc>
        <w:tc>
          <w:tcPr>
            <w:tcW w:w="2977" w:type="dxa"/>
            <w:shd w:val="clear" w:color="auto" w:fill="C5E0B3" w:themeFill="accent6" w:themeFillTint="66"/>
          </w:tcPr>
          <w:p w14:paraId="4847341D" w14:textId="14A51956"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Upper-medium category</w:t>
            </w:r>
          </w:p>
        </w:tc>
        <w:tc>
          <w:tcPr>
            <w:tcW w:w="2835" w:type="dxa"/>
            <w:shd w:val="clear" w:color="auto" w:fill="C5E0B3" w:themeFill="accent6" w:themeFillTint="66"/>
          </w:tcPr>
          <w:p w14:paraId="6EA70883" w14:textId="41A1A7C7"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Lower-medium category</w:t>
            </w:r>
          </w:p>
        </w:tc>
        <w:tc>
          <w:tcPr>
            <w:tcW w:w="2409" w:type="dxa"/>
            <w:shd w:val="clear" w:color="auto" w:fill="C5E0B3" w:themeFill="accent6" w:themeFillTint="66"/>
          </w:tcPr>
          <w:p w14:paraId="18FE6A7A" w14:textId="72FB8DB3" w:rsidR="009D0BDA" w:rsidRPr="0002056A" w:rsidRDefault="009D0BDA" w:rsidP="00F10C8F">
            <w:pPr>
              <w:spacing w:after="0" w:line="240" w:lineRule="auto"/>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Lowest category</w:t>
            </w:r>
          </w:p>
        </w:tc>
      </w:tr>
      <w:tr w:rsidR="00706F32" w:rsidRPr="0002056A" w14:paraId="6A562A85" w14:textId="77777777" w:rsidTr="000F6837">
        <w:trPr>
          <w:trHeight w:val="1302"/>
          <w:jc w:val="center"/>
        </w:trPr>
        <w:tc>
          <w:tcPr>
            <w:tcW w:w="993" w:type="dxa"/>
            <w:vMerge w:val="restart"/>
            <w:tcBorders>
              <w:top w:val="nil"/>
              <w:left w:val="single" w:sz="8" w:space="0" w:color="auto"/>
              <w:right w:val="single" w:sz="4" w:space="0" w:color="auto"/>
            </w:tcBorders>
            <w:shd w:val="clear" w:color="auto" w:fill="C5E0B3" w:themeFill="accent6" w:themeFillTint="66"/>
            <w:textDirection w:val="btLr"/>
            <w:vAlign w:val="center"/>
          </w:tcPr>
          <w:p w14:paraId="17E895D6" w14:textId="5D5A3F8E"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20"/>
                <w:szCs w:val="20"/>
                <w:lang w:val="en-GB" w:eastAsia="hu-HU"/>
              </w:rPr>
              <w:t>General spatiality of adaptation policy</w:t>
            </w:r>
          </w:p>
        </w:tc>
        <w:tc>
          <w:tcPr>
            <w:tcW w:w="1696" w:type="dxa"/>
            <w:tcBorders>
              <w:top w:val="nil"/>
              <w:left w:val="nil"/>
              <w:bottom w:val="single" w:sz="4" w:space="0" w:color="auto"/>
              <w:right w:val="single" w:sz="4" w:space="0" w:color="auto"/>
            </w:tcBorders>
            <w:vAlign w:val="center"/>
          </w:tcPr>
          <w:p w14:paraId="50C8F9B3" w14:textId="206A3584"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Space phraseology of the document</w:t>
            </w:r>
          </w:p>
        </w:tc>
        <w:tc>
          <w:tcPr>
            <w:tcW w:w="3827" w:type="dxa"/>
          </w:tcPr>
          <w:p w14:paraId="49202264" w14:textId="5D3F8EA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If the strategy and the action plan together applies space and other related concepts (space, spatiality, place, region, regional</w:t>
            </w:r>
            <w:r w:rsidR="00E02CA0"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territory, territorial,</w:t>
            </w:r>
            <w:r w:rsidR="00E02CA0" w:rsidRPr="0002056A">
              <w:rPr>
                <w:rFonts w:ascii="Georgia" w:eastAsia="Times New Roman" w:hAnsi="Georgia" w:cs="Times New Roman"/>
                <w:i/>
                <w:color w:val="000000"/>
                <w:sz w:val="16"/>
                <w:szCs w:val="16"/>
                <w:lang w:val="en-GB" w:eastAsia="hu-HU"/>
              </w:rPr>
              <w:t xml:space="preserve"> local, location, </w:t>
            </w:r>
            <w:r w:rsidRPr="0002056A">
              <w:rPr>
                <w:rFonts w:ascii="Georgia" w:eastAsia="Times New Roman" w:hAnsi="Georgia" w:cs="Times New Roman"/>
                <w:i/>
                <w:color w:val="000000"/>
                <w:sz w:val="16"/>
                <w:szCs w:val="16"/>
                <w:lang w:val="en-GB" w:eastAsia="hu-HU"/>
              </w:rPr>
              <w:t xml:space="preserve">geography, geographical) relatively frequently (more than 700 mentionings) in their texts, the county goes into the best category; </w:t>
            </w:r>
            <w:bookmarkStart w:id="35" w:name="_Hlk218322456"/>
            <w:r w:rsidRPr="0002056A">
              <w:rPr>
                <w:rFonts w:ascii="Georgia" w:eastAsia="Times New Roman" w:hAnsi="Georgia" w:cs="Times New Roman"/>
                <w:i/>
                <w:color w:val="000000"/>
                <w:sz w:val="16"/>
                <w:szCs w:val="16"/>
                <w:lang w:val="en-GB" w:eastAsia="hu-HU"/>
              </w:rPr>
              <w:t>if there is only a strategy then more than 400 mentionings means the best category.</w:t>
            </w:r>
            <w:bookmarkEnd w:id="35"/>
          </w:p>
        </w:tc>
        <w:tc>
          <w:tcPr>
            <w:tcW w:w="2977" w:type="dxa"/>
          </w:tcPr>
          <w:p w14:paraId="70D4326A" w14:textId="2904DE8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If in the strategy and the action plan together the number of mentionings is between 699-350, or if there is only a strategy and the number of mentionings is between 399-150.</w:t>
            </w:r>
          </w:p>
        </w:tc>
        <w:tc>
          <w:tcPr>
            <w:tcW w:w="2835" w:type="dxa"/>
          </w:tcPr>
          <w:p w14:paraId="179EEF6A" w14:textId="3868D5D4"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If in the strategy and the action plan together the number of mentionings is between 350 and 50 or if there is only a strategy, and the number of mentionings are between 149 and 10.</w:t>
            </w:r>
          </w:p>
        </w:tc>
        <w:tc>
          <w:tcPr>
            <w:tcW w:w="2409" w:type="dxa"/>
          </w:tcPr>
          <w:p w14:paraId="4753865B" w14:textId="1FCA2EDC"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If in the strategy and the action plan together the number of mentionings is under 50, or if there is only a strategy, and the number of mentioning</w:t>
            </w:r>
            <w:r w:rsidR="009675F9" w:rsidRPr="0002056A">
              <w:rPr>
                <w:rFonts w:ascii="Georgia" w:eastAsia="Times New Roman" w:hAnsi="Georgia" w:cs="Times New Roman"/>
                <w:i/>
                <w:color w:val="000000"/>
                <w:sz w:val="16"/>
                <w:szCs w:val="16"/>
                <w:lang w:val="en-GB" w:eastAsia="hu-HU"/>
              </w:rPr>
              <w:t>s</w:t>
            </w:r>
            <w:r w:rsidRPr="0002056A">
              <w:rPr>
                <w:rFonts w:ascii="Georgia" w:eastAsia="Times New Roman" w:hAnsi="Georgia" w:cs="Times New Roman"/>
                <w:i/>
                <w:color w:val="000000"/>
                <w:sz w:val="16"/>
                <w:szCs w:val="16"/>
                <w:lang w:val="en-GB" w:eastAsia="hu-HU"/>
              </w:rPr>
              <w:t xml:space="preserve"> is under 10.</w:t>
            </w:r>
          </w:p>
        </w:tc>
      </w:tr>
      <w:tr w:rsidR="00706F32" w:rsidRPr="0002056A" w14:paraId="7BF04BA7"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06AA2BE1"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961F802" w14:textId="32DE1509"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/sectoral character of adaptation policy</w:t>
            </w:r>
          </w:p>
        </w:tc>
        <w:tc>
          <w:tcPr>
            <w:tcW w:w="3827" w:type="dxa"/>
          </w:tcPr>
          <w:p w14:paraId="2D38B802" w14:textId="4A2E0B6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Beyond </w:t>
            </w:r>
            <w:r w:rsidR="009675F9" w:rsidRPr="0002056A">
              <w:rPr>
                <w:rFonts w:ascii="Georgia" w:eastAsia="Times New Roman" w:hAnsi="Georgia" w:cs="Times New Roman"/>
                <w:i/>
                <w:color w:val="000000"/>
                <w:sz w:val="16"/>
                <w:szCs w:val="16"/>
                <w:lang w:val="en-GB" w:eastAsia="hu-HU"/>
              </w:rPr>
              <w:t>the</w:t>
            </w:r>
            <w:r w:rsidRPr="0002056A">
              <w:rPr>
                <w:rFonts w:ascii="Georgia" w:eastAsia="Times New Roman" w:hAnsi="Georgia" w:cs="Times New Roman"/>
                <w:i/>
                <w:color w:val="000000"/>
                <w:sz w:val="16"/>
                <w:szCs w:val="16"/>
                <w:lang w:val="en-GB" w:eastAsia="hu-HU"/>
              </w:rPr>
              <w:t xml:space="preserve"> national documents there are also formal regional adaptation strategies for special regions/spatial units as a systematic solution, elaborated and updated regularly, based on legislation. </w:t>
            </w:r>
          </w:p>
          <w:p w14:paraId="4E743114" w14:textId="7777777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5A8BA9A0" w14:textId="72FF92E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are scattered or ad-hoc planned regional strategies or large number of municipal strategies beyond the national one but without strict legislative basis.</w:t>
            </w:r>
          </w:p>
        </w:tc>
        <w:tc>
          <w:tcPr>
            <w:tcW w:w="2835" w:type="dxa"/>
          </w:tcPr>
          <w:p w14:paraId="3AF74567" w14:textId="46E5889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sectoral adaptation strategies exist at maximum beyond the national level adaptation document, though the latter has some implicit mentioning of spatial logic.</w:t>
            </w:r>
          </w:p>
        </w:tc>
        <w:tc>
          <w:tcPr>
            <w:tcW w:w="2409" w:type="dxa"/>
          </w:tcPr>
          <w:p w14:paraId="3B2E57EF" w14:textId="5C1D7BE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Only sectoral adaptation strategies </w:t>
            </w:r>
            <w:r w:rsidR="00896804" w:rsidRPr="0002056A">
              <w:rPr>
                <w:rFonts w:ascii="Georgia" w:eastAsia="Times New Roman" w:hAnsi="Georgia" w:cs="Times New Roman"/>
                <w:i/>
                <w:color w:val="000000"/>
                <w:sz w:val="16"/>
                <w:szCs w:val="16"/>
                <w:lang w:val="en-GB" w:eastAsia="hu-HU"/>
              </w:rPr>
              <w:t>exist,</w:t>
            </w:r>
            <w:r w:rsidRPr="0002056A">
              <w:rPr>
                <w:rFonts w:ascii="Georgia" w:eastAsia="Times New Roman" w:hAnsi="Georgia" w:cs="Times New Roman"/>
                <w:i/>
                <w:color w:val="000000"/>
                <w:sz w:val="16"/>
                <w:szCs w:val="16"/>
                <w:lang w:val="en-GB" w:eastAsia="hu-HU"/>
              </w:rPr>
              <w:t xml:space="preserve"> and no spatial issues are detected in national climate policy documents</w:t>
            </w:r>
            <w:r w:rsidR="00957FDF" w:rsidRPr="0002056A">
              <w:rPr>
                <w:rFonts w:ascii="Georgia" w:eastAsia="Times New Roman" w:hAnsi="Georgia" w:cs="Times New Roman"/>
                <w:i/>
                <w:color w:val="000000"/>
                <w:sz w:val="16"/>
                <w:szCs w:val="16"/>
                <w:lang w:val="en-GB" w:eastAsia="hu-HU"/>
              </w:rPr>
              <w:t>.</w:t>
            </w:r>
          </w:p>
        </w:tc>
      </w:tr>
      <w:tr w:rsidR="00706F32" w:rsidRPr="0002056A" w14:paraId="3ED7EA03"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4C935215"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AC0D8C1" w14:textId="194C8322"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levels of adaptation planning</w:t>
            </w:r>
          </w:p>
        </w:tc>
        <w:tc>
          <w:tcPr>
            <w:tcW w:w="3827" w:type="dxa"/>
          </w:tcPr>
          <w:p w14:paraId="634837E2" w14:textId="69F2D22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sz w:val="16"/>
                <w:szCs w:val="16"/>
                <w:lang w:val="en-GB" w:eastAsia="hu-HU"/>
              </w:rPr>
              <w:t xml:space="preserve">A dedicated </w:t>
            </w:r>
            <w:r w:rsidR="00896804" w:rsidRPr="0002056A">
              <w:rPr>
                <w:rFonts w:ascii="Georgia" w:eastAsia="Times New Roman" w:hAnsi="Georgia" w:cs="Times New Roman"/>
                <w:i/>
                <w:sz w:val="16"/>
                <w:szCs w:val="16"/>
                <w:lang w:val="en-GB" w:eastAsia="hu-HU"/>
              </w:rPr>
              <w:t xml:space="preserve">NAS </w:t>
            </w:r>
            <w:r w:rsidRPr="0002056A">
              <w:rPr>
                <w:rFonts w:ascii="Georgia" w:eastAsia="Times New Roman" w:hAnsi="Georgia" w:cs="Times New Roman"/>
                <w:i/>
                <w:sz w:val="16"/>
                <w:szCs w:val="16"/>
                <w:lang w:val="en-GB" w:eastAsia="hu-HU"/>
              </w:rPr>
              <w:t>strategy chapter / part deals with the issue of national, regional and local level adaptation tasks.</w:t>
            </w:r>
          </w:p>
        </w:tc>
        <w:tc>
          <w:tcPr>
            <w:tcW w:w="2977" w:type="dxa"/>
          </w:tcPr>
          <w:p w14:paraId="6494B5C9" w14:textId="6528616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sz w:val="16"/>
                <w:szCs w:val="16"/>
                <w:lang w:val="en-GB" w:eastAsia="hu-HU"/>
              </w:rPr>
              <w:t>Both national and lower (regional, local) levels are mentioned by the strategy/legislation as levels of adaptation actions, activities, but no dedicated chapter exists.</w:t>
            </w:r>
          </w:p>
        </w:tc>
        <w:tc>
          <w:tcPr>
            <w:tcW w:w="2835" w:type="dxa"/>
          </w:tcPr>
          <w:p w14:paraId="380ED44F" w14:textId="70FAAF2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sz w:val="16"/>
                <w:szCs w:val="16"/>
                <w:lang w:val="en-GB" w:eastAsia="hu-HU"/>
              </w:rPr>
              <w:t>Only vague references are there to national and regional OR national and local level</w:t>
            </w:r>
            <w:r w:rsidR="00957FDF" w:rsidRPr="0002056A">
              <w:rPr>
                <w:rFonts w:ascii="Georgia" w:eastAsia="Times New Roman" w:hAnsi="Georgia" w:cs="Times New Roman"/>
                <w:i/>
                <w:sz w:val="16"/>
                <w:szCs w:val="16"/>
                <w:lang w:val="en-GB" w:eastAsia="hu-HU"/>
              </w:rPr>
              <w:t>.</w:t>
            </w:r>
          </w:p>
        </w:tc>
        <w:tc>
          <w:tcPr>
            <w:tcW w:w="2409" w:type="dxa"/>
          </w:tcPr>
          <w:p w14:paraId="2BF3B0F1" w14:textId="590E80E4"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sz w:val="16"/>
                <w:szCs w:val="16"/>
                <w:lang w:val="en-GB" w:eastAsia="hu-HU"/>
              </w:rPr>
              <w:t xml:space="preserve">Only </w:t>
            </w:r>
            <w:r w:rsidR="00957FDF" w:rsidRPr="0002056A">
              <w:rPr>
                <w:rFonts w:ascii="Georgia" w:eastAsia="Times New Roman" w:hAnsi="Georgia" w:cs="Times New Roman"/>
                <w:i/>
                <w:sz w:val="16"/>
                <w:szCs w:val="16"/>
                <w:lang w:val="en-GB" w:eastAsia="hu-HU"/>
              </w:rPr>
              <w:t xml:space="preserve">the </w:t>
            </w:r>
            <w:r w:rsidRPr="0002056A">
              <w:rPr>
                <w:rFonts w:ascii="Georgia" w:eastAsia="Times New Roman" w:hAnsi="Georgia" w:cs="Times New Roman"/>
                <w:i/>
                <w:sz w:val="16"/>
                <w:szCs w:val="16"/>
                <w:lang w:val="en-GB" w:eastAsia="hu-HU"/>
              </w:rPr>
              <w:t>national level is mentioned in the NAS.</w:t>
            </w:r>
          </w:p>
        </w:tc>
      </w:tr>
      <w:tr w:rsidR="00706F32" w:rsidRPr="0002056A" w14:paraId="1B32A8EC" w14:textId="77777777" w:rsidTr="000F6837">
        <w:trPr>
          <w:trHeight w:val="1241"/>
          <w:jc w:val="center"/>
        </w:trPr>
        <w:tc>
          <w:tcPr>
            <w:tcW w:w="993" w:type="dxa"/>
            <w:vMerge/>
            <w:tcBorders>
              <w:left w:val="single" w:sz="8" w:space="0" w:color="auto"/>
              <w:bottom w:val="single" w:sz="4" w:space="0" w:color="auto"/>
              <w:right w:val="single" w:sz="4" w:space="0" w:color="auto"/>
            </w:tcBorders>
            <w:shd w:val="clear" w:color="auto" w:fill="C5E0B3" w:themeFill="accent6" w:themeFillTint="66"/>
            <w:textDirection w:val="btLr"/>
            <w:vAlign w:val="center"/>
          </w:tcPr>
          <w:p w14:paraId="7C395478"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3E6A8890" w14:textId="2F52255D"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Propagation of adaptation planning at lower spatial levels</w:t>
            </w:r>
          </w:p>
        </w:tc>
        <w:tc>
          <w:tcPr>
            <w:tcW w:w="3827" w:type="dxa"/>
          </w:tcPr>
          <w:p w14:paraId="1805D7A7" w14:textId="6687D0C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national level strategy propagates adaptation planning at lower territorial levels explicitly</w:t>
            </w:r>
            <w:r w:rsidR="00957FDF"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as a nominated objective/measure of the strategy/action plan.</w:t>
            </w:r>
          </w:p>
        </w:tc>
        <w:tc>
          <w:tcPr>
            <w:tcW w:w="2977" w:type="dxa"/>
          </w:tcPr>
          <w:p w14:paraId="332EE541" w14:textId="0DCDE93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national level strategy propagates adaptation planning at lower territorial levels strong implicitly, in the </w:t>
            </w:r>
            <w:r w:rsidR="000074AF" w:rsidRPr="0002056A">
              <w:rPr>
                <w:rFonts w:ascii="Georgia" w:eastAsia="Times New Roman" w:hAnsi="Georgia" w:cs="Times New Roman"/>
                <w:i/>
                <w:color w:val="000000"/>
                <w:sz w:val="16"/>
                <w:szCs w:val="16"/>
                <w:lang w:val="en-GB" w:eastAsia="hu-HU"/>
              </w:rPr>
              <w:t>descriptions</w:t>
            </w:r>
            <w:r w:rsidRPr="0002056A">
              <w:rPr>
                <w:rFonts w:ascii="Georgia" w:eastAsia="Times New Roman" w:hAnsi="Georgia" w:cs="Times New Roman"/>
                <w:i/>
                <w:color w:val="000000"/>
                <w:sz w:val="16"/>
                <w:szCs w:val="16"/>
                <w:lang w:val="en-GB" w:eastAsia="hu-HU"/>
              </w:rPr>
              <w:t xml:space="preserve"> of the objectives or other chapters of the strategy.</w:t>
            </w:r>
          </w:p>
        </w:tc>
        <w:tc>
          <w:tcPr>
            <w:tcW w:w="2835" w:type="dxa"/>
          </w:tcPr>
          <w:p w14:paraId="291DC24F" w14:textId="21F2BDA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Only sectoral planning is urged and there are only </w:t>
            </w:r>
            <w:r w:rsidRPr="0002056A">
              <w:rPr>
                <w:rFonts w:ascii="Georgia" w:eastAsia="Times New Roman" w:hAnsi="Georgia" w:cs="Times New Roman"/>
                <w:i/>
                <w:sz w:val="16"/>
                <w:szCs w:val="16"/>
                <w:lang w:val="en-GB" w:eastAsia="hu-HU"/>
              </w:rPr>
              <w:t xml:space="preserve">vague references to planning </w:t>
            </w:r>
            <w:r w:rsidRPr="0002056A">
              <w:rPr>
                <w:rFonts w:ascii="Georgia" w:eastAsia="Times New Roman" w:hAnsi="Georgia" w:cs="Times New Roman"/>
                <w:i/>
                <w:color w:val="000000"/>
                <w:sz w:val="16"/>
                <w:szCs w:val="16"/>
                <w:lang w:val="en-GB" w:eastAsia="hu-HU"/>
              </w:rPr>
              <w:t>at lower spatial levels i</w:t>
            </w:r>
            <w:r w:rsidRPr="0002056A">
              <w:rPr>
                <w:rFonts w:ascii="Georgia" w:eastAsia="Times New Roman" w:hAnsi="Georgia" w:cs="Times New Roman"/>
                <w:i/>
                <w:sz w:val="16"/>
                <w:szCs w:val="16"/>
                <w:lang w:val="en-GB" w:eastAsia="hu-HU"/>
              </w:rPr>
              <w:t>n</w:t>
            </w:r>
            <w:r w:rsidRPr="0002056A">
              <w:rPr>
                <w:rFonts w:ascii="Georgia" w:eastAsia="Times New Roman" w:hAnsi="Georgia" w:cs="Times New Roman"/>
                <w:i/>
                <w:color w:val="000000"/>
                <w:sz w:val="16"/>
                <w:szCs w:val="16"/>
                <w:lang w:val="en-GB" w:eastAsia="hu-HU"/>
              </w:rPr>
              <w:t xml:space="preserve"> the NAS.</w:t>
            </w:r>
          </w:p>
        </w:tc>
        <w:tc>
          <w:tcPr>
            <w:tcW w:w="2409" w:type="dxa"/>
          </w:tcPr>
          <w:p w14:paraId="75B4266A" w14:textId="63F059E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propagation of such activities emerges in the NAS.</w:t>
            </w:r>
          </w:p>
        </w:tc>
      </w:tr>
      <w:tr w:rsidR="00706F32" w:rsidRPr="0002056A" w14:paraId="28BD0213" w14:textId="77777777" w:rsidTr="000F6837">
        <w:trPr>
          <w:jc w:val="center"/>
        </w:trPr>
        <w:tc>
          <w:tcPr>
            <w:tcW w:w="993" w:type="dxa"/>
            <w:vMerge w:val="restart"/>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2A2A5B25" w14:textId="362D505E"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20"/>
                <w:szCs w:val="20"/>
                <w:lang w:val="en-GB" w:eastAsia="hu-HU"/>
              </w:rPr>
              <w:t>Spatial aspects in adaptation</w:t>
            </w:r>
            <w:r w:rsidR="00A74F8D" w:rsidRPr="0002056A">
              <w:rPr>
                <w:rFonts w:ascii="Georgia" w:eastAsia="Times New Roman" w:hAnsi="Georgia" w:cs="Calibri"/>
                <w:b/>
                <w:bCs/>
                <w:color w:val="000000"/>
                <w:sz w:val="20"/>
                <w:szCs w:val="20"/>
                <w:lang w:val="en-GB" w:eastAsia="hu-HU"/>
              </w:rPr>
              <w:t>-</w:t>
            </w:r>
            <w:r w:rsidRPr="0002056A">
              <w:rPr>
                <w:rFonts w:ascii="Georgia" w:eastAsia="Times New Roman" w:hAnsi="Georgia" w:cs="Calibri"/>
                <w:b/>
                <w:bCs/>
                <w:color w:val="000000"/>
                <w:sz w:val="20"/>
                <w:szCs w:val="20"/>
                <w:lang w:val="en-GB" w:eastAsia="hu-HU"/>
              </w:rPr>
              <w:t>related evidence base</w:t>
            </w:r>
          </w:p>
        </w:tc>
        <w:tc>
          <w:tcPr>
            <w:tcW w:w="1696" w:type="dxa"/>
            <w:tcBorders>
              <w:top w:val="nil"/>
              <w:left w:val="nil"/>
              <w:bottom w:val="single" w:sz="4" w:space="0" w:color="auto"/>
              <w:right w:val="single" w:sz="4" w:space="0" w:color="auto"/>
            </w:tcBorders>
            <w:vAlign w:val="center"/>
          </w:tcPr>
          <w:p w14:paraId="35F75FD3" w14:textId="5588BDAB"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Basic logic of the situation analyses</w:t>
            </w:r>
          </w:p>
        </w:tc>
        <w:tc>
          <w:tcPr>
            <w:tcW w:w="3827" w:type="dxa"/>
          </w:tcPr>
          <w:p w14:paraId="6E240322" w14:textId="34884481"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situation analysis has special spatial logic, structured according to spatial units/region types. </w:t>
            </w:r>
          </w:p>
        </w:tc>
        <w:tc>
          <w:tcPr>
            <w:tcW w:w="2977" w:type="dxa"/>
          </w:tcPr>
          <w:p w14:paraId="76991540" w14:textId="1FC35171"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has a separated spatial chapter or 2 or more region type-oriented subchapters or concentrates on territorial differences throughout its entirety.</w:t>
            </w:r>
          </w:p>
        </w:tc>
        <w:tc>
          <w:tcPr>
            <w:tcW w:w="2835" w:type="dxa"/>
          </w:tcPr>
          <w:p w14:paraId="69D139A6" w14:textId="325B7F30"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No spatial chapter but all/majority of sectoral chapters mention even relevant spatial issues or there is one region type oriented subchapters.</w:t>
            </w:r>
          </w:p>
        </w:tc>
        <w:tc>
          <w:tcPr>
            <w:tcW w:w="2409" w:type="dxa"/>
          </w:tcPr>
          <w:p w14:paraId="1A9D89D2" w14:textId="625858DC"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is structured exclusively by sectors.</w:t>
            </w:r>
          </w:p>
        </w:tc>
      </w:tr>
      <w:tr w:rsidR="00706F32" w:rsidRPr="0002056A" w14:paraId="7A822BF6"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45682B7F"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8597A28" w14:textId="4C5A90CC"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visualization of the situation analyses</w:t>
            </w:r>
          </w:p>
        </w:tc>
        <w:tc>
          <w:tcPr>
            <w:tcW w:w="3827" w:type="dxa"/>
          </w:tcPr>
          <w:p w14:paraId="2BB03443" w14:textId="3049378F"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situation analysis subchapters contain several thematic maps and regional data-related figures in connection with each sector (altogether more than 7). </w:t>
            </w:r>
          </w:p>
        </w:tc>
        <w:tc>
          <w:tcPr>
            <w:tcW w:w="2977" w:type="dxa"/>
          </w:tcPr>
          <w:p w14:paraId="21D1BF1D" w14:textId="5768D1BE"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subchapters contain 4-7 thematic maps/ figures of regional data.</w:t>
            </w:r>
          </w:p>
        </w:tc>
        <w:tc>
          <w:tcPr>
            <w:tcW w:w="2835" w:type="dxa"/>
          </w:tcPr>
          <w:p w14:paraId="069D8E09" w14:textId="42907848"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subchapters contain 1-3 thematic maps/ figures of regional data.</w:t>
            </w:r>
          </w:p>
        </w:tc>
        <w:tc>
          <w:tcPr>
            <w:tcW w:w="2409" w:type="dxa"/>
          </w:tcPr>
          <w:p w14:paraId="655EA238" w14:textId="45C41106"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There are no thematic maps</w:t>
            </w:r>
            <w:r w:rsidR="00122D41" w:rsidRPr="0002056A">
              <w:rPr>
                <w:rFonts w:ascii="Georgia" w:eastAsia="Times New Roman" w:hAnsi="Georgia" w:cs="Times New Roman"/>
                <w:i/>
                <w:color w:val="000000"/>
                <w:sz w:val="16"/>
                <w:szCs w:val="16"/>
                <w:lang w:val="en-GB" w:eastAsia="hu-HU"/>
              </w:rPr>
              <w:t>/regional figures</w:t>
            </w:r>
            <w:r w:rsidRPr="0002056A">
              <w:rPr>
                <w:rFonts w:ascii="Georgia" w:eastAsia="Times New Roman" w:hAnsi="Georgia" w:cs="Times New Roman"/>
                <w:i/>
                <w:color w:val="000000"/>
                <w:sz w:val="16"/>
                <w:szCs w:val="16"/>
                <w:lang w:val="en-GB" w:eastAsia="hu-HU"/>
              </w:rPr>
              <w:t xml:space="preserve"> in the situation analysis subchapters.</w:t>
            </w:r>
          </w:p>
        </w:tc>
      </w:tr>
      <w:tr w:rsidR="00706F32" w:rsidRPr="0002056A" w14:paraId="04303583"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2672151A"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01A0452A" w14:textId="2DC80DFB"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situation analyses</w:t>
            </w:r>
          </w:p>
        </w:tc>
        <w:tc>
          <w:tcPr>
            <w:tcW w:w="3827" w:type="dxa"/>
          </w:tcPr>
          <w:p w14:paraId="7C8A1101" w14:textId="3413163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Dedicated situation analysis subchapter(s) deal consequently with all of the enlisted topics (region types, concrete places, functional territories, settlement network elements, territorial differences) with great emphasis. </w:t>
            </w:r>
          </w:p>
        </w:tc>
        <w:tc>
          <w:tcPr>
            <w:tcW w:w="2977" w:type="dxa"/>
          </w:tcPr>
          <w:p w14:paraId="57BB4EC5" w14:textId="67B5CA89"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Situation analysis subchapters deal consequently with 2-3 of the enlisted topics with great emphasis.</w:t>
            </w:r>
          </w:p>
        </w:tc>
        <w:tc>
          <w:tcPr>
            <w:tcW w:w="2835" w:type="dxa"/>
          </w:tcPr>
          <w:p w14:paraId="47C9C73D" w14:textId="415E7D84"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scattered presence of territorial/spatial references, with 1-2 types of the enlisted spatial topics in few subchapters.</w:t>
            </w:r>
          </w:p>
        </w:tc>
        <w:tc>
          <w:tcPr>
            <w:tcW w:w="2409" w:type="dxa"/>
          </w:tcPr>
          <w:p w14:paraId="22ED49AD" w14:textId="3A7629E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does not mention any of the enlisted topics.</w:t>
            </w:r>
          </w:p>
        </w:tc>
      </w:tr>
      <w:tr w:rsidR="00706F32" w:rsidRPr="0002056A" w14:paraId="467E4A07"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249A2E09"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9E4D8EC" w14:textId="504AECC4"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Consideration of European positions regarding climatic challenges</w:t>
            </w:r>
          </w:p>
        </w:tc>
        <w:tc>
          <w:tcPr>
            <w:tcW w:w="3827" w:type="dxa"/>
          </w:tcPr>
          <w:p w14:paraId="6B62C4C7" w14:textId="69F8C47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A special, dedicated </w:t>
            </w:r>
            <w:r w:rsidR="000A2811" w:rsidRPr="0002056A">
              <w:rPr>
                <w:rFonts w:ascii="Georgia" w:eastAsia="Times New Roman" w:hAnsi="Georgia" w:cs="Times New Roman"/>
                <w:i/>
                <w:color w:val="000000"/>
                <w:sz w:val="16"/>
                <w:szCs w:val="16"/>
                <w:lang w:val="en-GB" w:eastAsia="hu-HU"/>
              </w:rPr>
              <w:t xml:space="preserve">chapter or </w:t>
            </w:r>
            <w:r w:rsidRPr="0002056A">
              <w:rPr>
                <w:rFonts w:ascii="Georgia" w:eastAsia="Times New Roman" w:hAnsi="Georgia" w:cs="Times New Roman"/>
                <w:i/>
                <w:color w:val="000000"/>
                <w:sz w:val="16"/>
                <w:szCs w:val="16"/>
                <w:lang w:val="en-GB" w:eastAsia="hu-HU"/>
              </w:rPr>
              <w:t xml:space="preserve">subchapter deals with the topic of climate impacts in the respective macro region and the topic is recurring throughout the whole strategy. </w:t>
            </w:r>
          </w:p>
        </w:tc>
        <w:tc>
          <w:tcPr>
            <w:tcW w:w="2977" w:type="dxa"/>
          </w:tcPr>
          <w:p w14:paraId="4723E77A" w14:textId="3C427C5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A part of a subchapter deals with the macro regional situation of climate change or only the climatic chapters have related parts. </w:t>
            </w:r>
          </w:p>
        </w:tc>
        <w:tc>
          <w:tcPr>
            <w:tcW w:w="2835" w:type="dxa"/>
          </w:tcPr>
          <w:p w14:paraId="4773FD6D" w14:textId="0C377EF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is global or European outlook maybe with maps, but special macro regional emphasis is lacking.</w:t>
            </w:r>
          </w:p>
        </w:tc>
        <w:tc>
          <w:tcPr>
            <w:tcW w:w="2409" w:type="dxa"/>
          </w:tcPr>
          <w:p w14:paraId="47CE0ABA" w14:textId="6FA809A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European or macro regional outlook at all.</w:t>
            </w:r>
          </w:p>
        </w:tc>
      </w:tr>
      <w:tr w:rsidR="00706F32" w:rsidRPr="0002056A" w14:paraId="7E2AF2DA"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2B13CCD5"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2D51F403"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SWOT</w:t>
            </w:r>
          </w:p>
          <w:p w14:paraId="31A5E39E" w14:textId="6569F7BD"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p>
        </w:tc>
        <w:tc>
          <w:tcPr>
            <w:tcW w:w="3827" w:type="dxa"/>
          </w:tcPr>
          <w:p w14:paraId="4419EEE1" w14:textId="3358B5A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SWOT mentions 4-5 of the enlisted topics (region types, concrete places, functional territories, settlement network elements, territorial differences).</w:t>
            </w:r>
          </w:p>
        </w:tc>
        <w:tc>
          <w:tcPr>
            <w:tcW w:w="2977" w:type="dxa"/>
          </w:tcPr>
          <w:p w14:paraId="31EDF658" w14:textId="4A94CE1A"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SWOT mentions 2-3 types of the enlisted topics.</w:t>
            </w:r>
          </w:p>
        </w:tc>
        <w:tc>
          <w:tcPr>
            <w:tcW w:w="2835" w:type="dxa"/>
          </w:tcPr>
          <w:p w14:paraId="11106830" w14:textId="4E67426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SWOT mentions only 1 type of the enlisted topics.</w:t>
            </w:r>
          </w:p>
        </w:tc>
        <w:tc>
          <w:tcPr>
            <w:tcW w:w="2409" w:type="dxa"/>
          </w:tcPr>
          <w:p w14:paraId="3D79A13A" w14:textId="0D25B04E"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SWOT does not mention any of the enlisted topics.</w:t>
            </w:r>
          </w:p>
        </w:tc>
      </w:tr>
      <w:tr w:rsidR="00706F32" w:rsidRPr="0002056A" w14:paraId="542F4E93" w14:textId="77777777" w:rsidTr="000F6837">
        <w:trPr>
          <w:trHeight w:val="527"/>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43C8DBCB"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0B7BE41E"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p>
          <w:p w14:paraId="2AEB12F7"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narrative situation assessments</w:t>
            </w:r>
          </w:p>
          <w:p w14:paraId="0BA4DA6F" w14:textId="3C0AF593"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p>
        </w:tc>
        <w:tc>
          <w:tcPr>
            <w:tcW w:w="3827" w:type="dxa"/>
          </w:tcPr>
          <w:p w14:paraId="4E5C8613" w14:textId="5E2DD1D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assessment part mentions 4-5 of the enlisted topics (region types, concrete places, functional territories, settlement network elements, territorial differences).</w:t>
            </w:r>
          </w:p>
        </w:tc>
        <w:tc>
          <w:tcPr>
            <w:tcW w:w="2977" w:type="dxa"/>
          </w:tcPr>
          <w:p w14:paraId="4E90781E" w14:textId="4D16486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assessment part mentions 2-3 types of the enlisted topics.</w:t>
            </w:r>
          </w:p>
        </w:tc>
        <w:tc>
          <w:tcPr>
            <w:tcW w:w="2835" w:type="dxa"/>
          </w:tcPr>
          <w:p w14:paraId="175D0259" w14:textId="169AE00E"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assessment part mentions only 1 type of the enlisted topics.</w:t>
            </w:r>
          </w:p>
        </w:tc>
        <w:tc>
          <w:tcPr>
            <w:tcW w:w="2409" w:type="dxa"/>
          </w:tcPr>
          <w:p w14:paraId="662FD5F0" w14:textId="591D7DF9"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assessment part does not mention any of the enlisted topics.</w:t>
            </w:r>
          </w:p>
        </w:tc>
      </w:tr>
      <w:tr w:rsidR="00706F32" w:rsidRPr="0002056A" w14:paraId="7007AF23"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372CDFE3"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0BE6EBE2"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p>
          <w:p w14:paraId="34F3FD8A"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Spatial planning focus of situation analyses</w:t>
            </w:r>
          </w:p>
          <w:p w14:paraId="4F95DEC1" w14:textId="17434CD3"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p>
        </w:tc>
        <w:tc>
          <w:tcPr>
            <w:tcW w:w="3827" w:type="dxa"/>
          </w:tcPr>
          <w:p w14:paraId="438F8368" w14:textId="326335E5"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situation analysis dedicates a special chapter/subchapter to the introduction of spatial planning’s role in adaptation. </w:t>
            </w:r>
          </w:p>
        </w:tc>
        <w:tc>
          <w:tcPr>
            <w:tcW w:w="2977" w:type="dxa"/>
          </w:tcPr>
          <w:p w14:paraId="73B0F8D5" w14:textId="157ABF2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mentions spatial planning in one or more subchapters as an important activity.</w:t>
            </w:r>
          </w:p>
        </w:tc>
        <w:tc>
          <w:tcPr>
            <w:tcW w:w="2835" w:type="dxa"/>
          </w:tcPr>
          <w:p w14:paraId="6746EB3A" w14:textId="40E5F65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weak reference to spatial planning can be detected (e.g. spatial contexts of some region/settlement type's climate-related problems are mentioned or coherence with national spatial planning is introduced in general).</w:t>
            </w:r>
          </w:p>
        </w:tc>
        <w:tc>
          <w:tcPr>
            <w:tcW w:w="2409" w:type="dxa"/>
          </w:tcPr>
          <w:p w14:paraId="26BB06FC" w14:textId="72665D2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situation analysis does not mention anything regarding the issue.</w:t>
            </w:r>
          </w:p>
        </w:tc>
      </w:tr>
      <w:tr w:rsidR="00706F32" w:rsidRPr="0002056A" w14:paraId="3A7C25DB" w14:textId="77777777" w:rsidTr="000F6837">
        <w:trPr>
          <w:jc w:val="center"/>
        </w:trPr>
        <w:tc>
          <w:tcPr>
            <w:tcW w:w="993" w:type="dxa"/>
            <w:vMerge w:val="restart"/>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580FC682" w14:textId="1E61BDE2"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20"/>
                <w:szCs w:val="20"/>
                <w:lang w:val="en-GB" w:eastAsia="hu-HU"/>
              </w:rPr>
              <w:t>Spatial aspects in adaptation</w:t>
            </w:r>
            <w:r w:rsidR="00A74F8D" w:rsidRPr="0002056A">
              <w:rPr>
                <w:rFonts w:ascii="Georgia" w:eastAsia="Times New Roman" w:hAnsi="Georgia" w:cs="Calibri"/>
                <w:b/>
                <w:bCs/>
                <w:color w:val="000000"/>
                <w:sz w:val="20"/>
                <w:szCs w:val="20"/>
                <w:lang w:val="en-GB" w:eastAsia="hu-HU"/>
              </w:rPr>
              <w:t>-</w:t>
            </w:r>
            <w:r w:rsidRPr="0002056A">
              <w:rPr>
                <w:rFonts w:ascii="Georgia" w:eastAsia="Times New Roman" w:hAnsi="Georgia" w:cs="Calibri"/>
                <w:b/>
                <w:bCs/>
                <w:color w:val="000000"/>
                <w:sz w:val="20"/>
                <w:szCs w:val="20"/>
                <w:lang w:val="en-GB" w:eastAsia="hu-HU"/>
              </w:rPr>
              <w:t>related objective systems</w:t>
            </w:r>
          </w:p>
        </w:tc>
        <w:tc>
          <w:tcPr>
            <w:tcW w:w="1696" w:type="dxa"/>
            <w:tcBorders>
              <w:top w:val="nil"/>
              <w:left w:val="nil"/>
              <w:bottom w:val="single" w:sz="4" w:space="0" w:color="auto"/>
              <w:right w:val="single" w:sz="4" w:space="0" w:color="auto"/>
            </w:tcBorders>
            <w:vAlign w:val="center"/>
          </w:tcPr>
          <w:p w14:paraId="703F5738" w14:textId="0F527911"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Basic logic of NAS visions </w:t>
            </w:r>
          </w:p>
        </w:tc>
        <w:tc>
          <w:tcPr>
            <w:tcW w:w="3827" w:type="dxa"/>
          </w:tcPr>
          <w:p w14:paraId="4901F20F" w14:textId="57490C0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Vision chapter is structured according to a spatial logic (by spatial units/region types). </w:t>
            </w:r>
          </w:p>
        </w:tc>
        <w:tc>
          <w:tcPr>
            <w:tcW w:w="2977" w:type="dxa"/>
          </w:tcPr>
          <w:p w14:paraId="6AB006E2" w14:textId="285F38A5"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Within the Vision a separated part/paragraph is dedicated for special spatial aspects.</w:t>
            </w:r>
          </w:p>
        </w:tc>
        <w:tc>
          <w:tcPr>
            <w:tcW w:w="2835" w:type="dxa"/>
          </w:tcPr>
          <w:p w14:paraId="7E04F958" w14:textId="7E84D939"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chapter mentions spatial issues/places implicitly (e</w:t>
            </w:r>
            <w:r w:rsidR="00B8091D" w:rsidRPr="0002056A">
              <w:rPr>
                <w:rFonts w:ascii="Georgia" w:eastAsia="Times New Roman" w:hAnsi="Georgia" w:cs="Times New Roman"/>
                <w:i/>
                <w:color w:val="000000"/>
                <w:sz w:val="16"/>
                <w:szCs w:val="16"/>
                <w:lang w:val="en-GB" w:eastAsia="hu-HU"/>
              </w:rPr>
              <w:t>.g. e</w:t>
            </w:r>
            <w:r w:rsidRPr="0002056A">
              <w:rPr>
                <w:rFonts w:ascii="Georgia" w:eastAsia="Times New Roman" w:hAnsi="Georgia" w:cs="Times New Roman"/>
                <w:i/>
                <w:color w:val="000000"/>
                <w:sz w:val="16"/>
                <w:szCs w:val="16"/>
                <w:lang w:val="en-GB" w:eastAsia="hu-HU"/>
              </w:rPr>
              <w:t>mphasizing diversity or importance of different spatial levels or talks about areas in general).</w:t>
            </w:r>
          </w:p>
        </w:tc>
        <w:tc>
          <w:tcPr>
            <w:tcW w:w="2409" w:type="dxa"/>
          </w:tcPr>
          <w:p w14:paraId="1FDE9EBB" w14:textId="352F1B6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chapter is structured exclusively by sectors/themes.</w:t>
            </w:r>
          </w:p>
        </w:tc>
      </w:tr>
      <w:tr w:rsidR="00706F32" w:rsidRPr="0002056A" w14:paraId="53154935"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5EA83362"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75C82784" w14:textId="6772C191"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content of NAS visions </w:t>
            </w:r>
          </w:p>
        </w:tc>
        <w:tc>
          <w:tcPr>
            <w:tcW w:w="3827" w:type="dxa"/>
          </w:tcPr>
          <w:p w14:paraId="7BC9CEF1"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26A1673F" w14:textId="18D6956A"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Vision explicitly mentions 1) special geographic areas’ or 2) settlement network elements</w:t>
            </w:r>
            <w:r w:rsidR="00D82FF8"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3) region types</w:t>
            </w:r>
            <w:r w:rsidR="00D82FF8"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or 4) functional areas</w:t>
            </w:r>
            <w:r w:rsidR="00D82FF8"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(FUAs, CBCs, macro regions) vulnerability characteristics, 5) general spatial logic, spatial approach</w:t>
            </w:r>
            <w:r w:rsidR="00D82FF8"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e.g. focus on spatial mapping, spatial differences</w:t>
            </w:r>
            <w:r w:rsidR="00D82FF8"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w:t>
            </w:r>
          </w:p>
          <w:p w14:paraId="1AA0E8E5" w14:textId="3EE895D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2A134912" w14:textId="271DDAB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mentions only 2-3 types of the enlisted aspects.</w:t>
            </w:r>
          </w:p>
        </w:tc>
        <w:tc>
          <w:tcPr>
            <w:tcW w:w="2835" w:type="dxa"/>
          </w:tcPr>
          <w:p w14:paraId="40E71400" w14:textId="5C54D6A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mentions only 1 types of the enlisted aspects and rather in a general for</w:t>
            </w:r>
            <w:r w:rsidR="00AE3977" w:rsidRPr="0002056A">
              <w:rPr>
                <w:rFonts w:ascii="Georgia" w:eastAsia="Times New Roman" w:hAnsi="Georgia" w:cs="Times New Roman"/>
                <w:i/>
                <w:color w:val="000000"/>
                <w:sz w:val="16"/>
                <w:szCs w:val="16"/>
                <w:lang w:val="en-GB" w:eastAsia="hu-HU"/>
              </w:rPr>
              <w:t>m</w:t>
            </w:r>
            <w:r w:rsidRPr="0002056A">
              <w:rPr>
                <w:rFonts w:ascii="Georgia" w:eastAsia="Times New Roman" w:hAnsi="Georgia" w:cs="Times New Roman"/>
                <w:i/>
                <w:color w:val="000000"/>
                <w:sz w:val="16"/>
                <w:szCs w:val="16"/>
                <w:lang w:val="en-GB" w:eastAsia="hu-HU"/>
              </w:rPr>
              <w:t>.</w:t>
            </w:r>
          </w:p>
        </w:tc>
        <w:tc>
          <w:tcPr>
            <w:tcW w:w="2409" w:type="dxa"/>
          </w:tcPr>
          <w:p w14:paraId="7BF72361" w14:textId="1E9508D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does not mention any of the enlisted aspects.</w:t>
            </w:r>
          </w:p>
        </w:tc>
      </w:tr>
      <w:tr w:rsidR="00706F32" w:rsidRPr="0002056A" w14:paraId="1F6E35ED"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1EC6386D"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356F6738" w14:textId="0D9194D7"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the whole NAS objective system</w:t>
            </w:r>
          </w:p>
        </w:tc>
        <w:tc>
          <w:tcPr>
            <w:tcW w:w="3827" w:type="dxa"/>
          </w:tcPr>
          <w:p w14:paraId="0DD79CF9" w14:textId="51D8301C"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different levels of the objective system explicitly mention 1) special geographic areas’ or 2) settlement network elements</w:t>
            </w:r>
            <w:r w:rsidR="00AE3977"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3) region types</w:t>
            </w:r>
            <w:r w:rsidR="00AE3977"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or 4) functional areas</w:t>
            </w:r>
            <w:r w:rsidR="00AE3977"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(FUAs, CBCs, macro regions) vulnerability characteristics, 5) general spatial logic, spatial approach</w:t>
            </w:r>
            <w:r w:rsidR="002A6540"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e.g. focus on spatial mapping, spatial differences</w:t>
            </w:r>
            <w:r w:rsidR="002A6540"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w:t>
            </w:r>
          </w:p>
        </w:tc>
        <w:tc>
          <w:tcPr>
            <w:tcW w:w="2977" w:type="dxa"/>
          </w:tcPr>
          <w:p w14:paraId="23ADB6D4" w14:textId="2F3AD734"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different levels of the objective system mention only 2-3 type of the enlisted aspects.</w:t>
            </w:r>
          </w:p>
        </w:tc>
        <w:tc>
          <w:tcPr>
            <w:tcW w:w="2835" w:type="dxa"/>
          </w:tcPr>
          <w:p w14:paraId="5A4BA999" w14:textId="3DA7F29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different levels of the objective system mention only 1 type of the enlisted aspects but only vaguely (emphasizing diversity in a given sector, or tasks of different spatial levels or areas in general).</w:t>
            </w:r>
          </w:p>
        </w:tc>
        <w:tc>
          <w:tcPr>
            <w:tcW w:w="2409" w:type="dxa"/>
          </w:tcPr>
          <w:p w14:paraId="23B63078" w14:textId="78C465D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different levels of the objective system do not mention any of these</w:t>
            </w:r>
            <w:r w:rsidR="002A6540" w:rsidRPr="0002056A">
              <w:rPr>
                <w:rFonts w:ascii="Georgia" w:eastAsia="Times New Roman" w:hAnsi="Georgia" w:cs="Times New Roman"/>
                <w:i/>
                <w:color w:val="000000"/>
                <w:sz w:val="16"/>
                <w:szCs w:val="16"/>
                <w:lang w:val="en-GB" w:eastAsia="hu-HU"/>
              </w:rPr>
              <w:t xml:space="preserve"> topics</w:t>
            </w:r>
            <w:r w:rsidRPr="0002056A">
              <w:rPr>
                <w:rFonts w:ascii="Georgia" w:eastAsia="Times New Roman" w:hAnsi="Georgia" w:cs="Times New Roman"/>
                <w:i/>
                <w:color w:val="000000"/>
                <w:sz w:val="16"/>
                <w:szCs w:val="16"/>
                <w:lang w:val="en-GB" w:eastAsia="hu-HU"/>
              </w:rPr>
              <w:t>.</w:t>
            </w:r>
          </w:p>
        </w:tc>
      </w:tr>
      <w:tr w:rsidR="00706F32" w:rsidRPr="0002056A" w14:paraId="5F1138C9"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0E8D8093"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658A40CC" w14:textId="30C8713F"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Spatial focus of overall / strategic objectives </w:t>
            </w:r>
          </w:p>
        </w:tc>
        <w:tc>
          <w:tcPr>
            <w:tcW w:w="3827" w:type="dxa"/>
          </w:tcPr>
          <w:p w14:paraId="03E4B133" w14:textId="1FC62449"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Both the general and all or the majority of specific objectives target at given territorial unit / regional type or generally deal with spatial differences/structures</w:t>
            </w:r>
            <w:r w:rsidR="0028399A" w:rsidRPr="0002056A">
              <w:rPr>
                <w:rFonts w:ascii="Georgia" w:eastAsia="Times New Roman" w:hAnsi="Georgia" w:cs="Times New Roman"/>
                <w:i/>
                <w:color w:val="000000"/>
                <w:sz w:val="16"/>
                <w:szCs w:val="16"/>
                <w:lang w:val="en-GB" w:eastAsia="hu-HU"/>
              </w:rPr>
              <w:t>.</w:t>
            </w:r>
          </w:p>
        </w:tc>
        <w:tc>
          <w:tcPr>
            <w:tcW w:w="2977" w:type="dxa"/>
          </w:tcPr>
          <w:p w14:paraId="776E91E5" w14:textId="45C1349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Some specific objectives target at given territorial unit / regional type or generally deal with spatial differences/structures.</w:t>
            </w:r>
          </w:p>
        </w:tc>
        <w:tc>
          <w:tcPr>
            <w:tcW w:w="2835" w:type="dxa"/>
          </w:tcPr>
          <w:p w14:paraId="67DFEA03" w14:textId="77B9B812"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1 specific objective deals with spatial issues or one or more refer in their description to national level spatial vulnerability inequalities / spatial structures.</w:t>
            </w:r>
          </w:p>
        </w:tc>
        <w:tc>
          <w:tcPr>
            <w:tcW w:w="2409" w:type="dxa"/>
          </w:tcPr>
          <w:p w14:paraId="14215D9E" w14:textId="09DFF22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Neither the general nor the specific objectives mention any territorial unit / regional type / general spatial differences.</w:t>
            </w:r>
          </w:p>
        </w:tc>
      </w:tr>
      <w:tr w:rsidR="00706F32" w:rsidRPr="0002056A" w14:paraId="0733C763"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3AA96F41"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111DD8D9" w14:textId="54F7DB30"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Proportion of lower-level objectives with spatial content</w:t>
            </w:r>
          </w:p>
        </w:tc>
        <w:tc>
          <w:tcPr>
            <w:tcW w:w="3827" w:type="dxa"/>
          </w:tcPr>
          <w:p w14:paraId="4114B434" w14:textId="1FD2663E"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lower-level objectives dealing with spatial issues (territorial unit /</w:t>
            </w:r>
            <w:r w:rsidR="00BC7EB5"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 xml:space="preserve">region type or general spatial differences/structures) even in their title or their description is above 40%. </w:t>
            </w:r>
          </w:p>
        </w:tc>
        <w:tc>
          <w:tcPr>
            <w:tcW w:w="2977" w:type="dxa"/>
          </w:tcPr>
          <w:p w14:paraId="525211A5" w14:textId="5CE4C8A2"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lower-level objectives dealing with spatial issues is between 20-40 %</w:t>
            </w:r>
          </w:p>
        </w:tc>
        <w:tc>
          <w:tcPr>
            <w:tcW w:w="2835" w:type="dxa"/>
          </w:tcPr>
          <w:p w14:paraId="317BD038" w14:textId="7CA6E6F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lower-level objectives dealing with spatial issues is between 5-20%</w:t>
            </w:r>
          </w:p>
        </w:tc>
        <w:tc>
          <w:tcPr>
            <w:tcW w:w="2409" w:type="dxa"/>
          </w:tcPr>
          <w:p w14:paraId="75EFAFAF" w14:textId="643469F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lower</w:t>
            </w:r>
            <w:r w:rsidR="00AD1B71"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level objectives dealing with spatial issues is below 5% OR the given NAS/NAP does not contain </w:t>
            </w:r>
            <w:r w:rsidR="00962E9B" w:rsidRPr="0002056A">
              <w:rPr>
                <w:rFonts w:ascii="Georgia" w:eastAsia="Times New Roman" w:hAnsi="Georgia" w:cs="Times New Roman"/>
                <w:i/>
                <w:color w:val="000000"/>
                <w:sz w:val="16"/>
                <w:szCs w:val="16"/>
                <w:lang w:val="en-GB" w:eastAsia="hu-HU"/>
              </w:rPr>
              <w:t>lower-level</w:t>
            </w:r>
            <w:r w:rsidRPr="0002056A">
              <w:rPr>
                <w:rFonts w:ascii="Georgia" w:eastAsia="Times New Roman" w:hAnsi="Georgia" w:cs="Times New Roman"/>
                <w:i/>
                <w:color w:val="000000"/>
                <w:sz w:val="16"/>
                <w:szCs w:val="16"/>
                <w:lang w:val="en-GB" w:eastAsia="hu-HU"/>
              </w:rPr>
              <w:t xml:space="preserve"> objectives anyway.</w:t>
            </w:r>
          </w:p>
        </w:tc>
      </w:tr>
      <w:tr w:rsidR="00706F32" w:rsidRPr="0002056A" w14:paraId="24D532C3"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5B854BEB"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23BE6139" w14:textId="033188A2"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Spatiality’s presence in horizontal goals</w:t>
            </w:r>
          </w:p>
        </w:tc>
        <w:tc>
          <w:tcPr>
            <w:tcW w:w="3827" w:type="dxa"/>
          </w:tcPr>
          <w:p w14:paraId="59A47BEE" w14:textId="3325914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More than one horizontal goal/goals nominate spatial issues (e.g. use of spatial logic, focusing attention on regional vulnerability and resilience, taking into consideration spatial diversity, propagation of place-based approach, and principles of sustainable land use</w:t>
            </w:r>
            <w:r w:rsidR="00AD1B71" w:rsidRPr="0002056A">
              <w:rPr>
                <w:rFonts w:ascii="Georgia" w:eastAsia="Times New Roman" w:hAnsi="Georgia" w:cs="Times New Roman"/>
                <w:i/>
                <w:color w:val="000000"/>
                <w:sz w:val="16"/>
                <w:szCs w:val="16"/>
                <w:lang w:val="en-GB" w:eastAsia="hu-HU"/>
              </w:rPr>
              <w:t>, etc.</w:t>
            </w:r>
            <w:r w:rsidRPr="0002056A">
              <w:rPr>
                <w:rFonts w:ascii="Georgia" w:eastAsia="Times New Roman" w:hAnsi="Georgia" w:cs="Times New Roman"/>
                <w:i/>
                <w:color w:val="000000"/>
                <w:sz w:val="16"/>
                <w:szCs w:val="16"/>
                <w:lang w:val="en-GB" w:eastAsia="hu-HU"/>
              </w:rPr>
              <w:t xml:space="preserve">). </w:t>
            </w:r>
          </w:p>
        </w:tc>
        <w:tc>
          <w:tcPr>
            <w:tcW w:w="2977" w:type="dxa"/>
          </w:tcPr>
          <w:p w14:paraId="16334A75" w14:textId="3B144C5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one horizontal goal deals with spatial issues explicitly.</w:t>
            </w:r>
          </w:p>
        </w:tc>
        <w:tc>
          <w:tcPr>
            <w:tcW w:w="2835" w:type="dxa"/>
          </w:tcPr>
          <w:p w14:paraId="48BC1AAF" w14:textId="2720BA1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related principles emerge (e.g. subsidiarity, decentralization, governance, etc.).</w:t>
            </w:r>
          </w:p>
        </w:tc>
        <w:tc>
          <w:tcPr>
            <w:tcW w:w="2409" w:type="dxa"/>
          </w:tcPr>
          <w:p w14:paraId="73587D8B" w14:textId="03A8D4E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horizontal goal deals with the enlisted topics.</w:t>
            </w:r>
          </w:p>
        </w:tc>
      </w:tr>
      <w:tr w:rsidR="00706F32" w:rsidRPr="0002056A" w14:paraId="54E20898"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1F62AD87"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27A7E498" w14:textId="7FADE529"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MRE focus of objective system- and vison-planning</w:t>
            </w:r>
          </w:p>
        </w:tc>
        <w:tc>
          <w:tcPr>
            <w:tcW w:w="3827" w:type="dxa"/>
          </w:tcPr>
          <w:p w14:paraId="126DD285"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0A5A6376"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Among the objectives and vision paragraphs a higher-level objective and/or a Vision paragraph nominate the importance of national or regional MRE development in adaptation.</w:t>
            </w:r>
          </w:p>
          <w:p w14:paraId="6EF958CF" w14:textId="1A31FA42"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 </w:t>
            </w:r>
          </w:p>
        </w:tc>
        <w:tc>
          <w:tcPr>
            <w:tcW w:w="2977" w:type="dxa"/>
          </w:tcPr>
          <w:p w14:paraId="6ED0E2E0" w14:textId="2E6DFFC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One lower-level objective/one Vision sentence deals with the MRE aspects directly.</w:t>
            </w:r>
          </w:p>
        </w:tc>
        <w:tc>
          <w:tcPr>
            <w:tcW w:w="2835" w:type="dxa"/>
          </w:tcPr>
          <w:p w14:paraId="5E9C97F2" w14:textId="02E315C5"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weak references emerge to adaptation-oriented sectoral MRE issues in the descriptions of the objectives</w:t>
            </w:r>
            <w:r w:rsidR="001D7FDE" w:rsidRPr="0002056A">
              <w:rPr>
                <w:rFonts w:ascii="Georgia" w:eastAsia="Times New Roman" w:hAnsi="Georgia" w:cs="Times New Roman"/>
                <w:i/>
                <w:color w:val="000000"/>
                <w:sz w:val="16"/>
                <w:szCs w:val="16"/>
                <w:lang w:val="en-GB" w:eastAsia="hu-HU"/>
              </w:rPr>
              <w:t xml:space="preserve"> or in the text of the Vision</w:t>
            </w:r>
            <w:r w:rsidRPr="0002056A">
              <w:rPr>
                <w:rFonts w:ascii="Georgia" w:eastAsia="Times New Roman" w:hAnsi="Georgia" w:cs="Times New Roman"/>
                <w:i/>
                <w:color w:val="000000"/>
                <w:sz w:val="16"/>
                <w:szCs w:val="16"/>
                <w:lang w:val="en-GB" w:eastAsia="hu-HU"/>
              </w:rPr>
              <w:t>.</w:t>
            </w:r>
          </w:p>
        </w:tc>
        <w:tc>
          <w:tcPr>
            <w:tcW w:w="2409" w:type="dxa"/>
          </w:tcPr>
          <w:p w14:paraId="387E0066" w14:textId="0617DF15" w:rsidR="00706F32" w:rsidRPr="0002056A" w:rsidRDefault="00BA093F"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Neither the Vision, nor</w:t>
            </w:r>
            <w:r w:rsidR="00706F32"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 xml:space="preserve">any of </w:t>
            </w:r>
            <w:r w:rsidR="00706F32" w:rsidRPr="0002056A">
              <w:rPr>
                <w:rFonts w:ascii="Georgia" w:eastAsia="Times New Roman" w:hAnsi="Georgia" w:cs="Times New Roman"/>
                <w:i/>
                <w:color w:val="000000"/>
                <w:sz w:val="16"/>
                <w:szCs w:val="16"/>
                <w:lang w:val="en-GB" w:eastAsia="hu-HU"/>
              </w:rPr>
              <w:t>the objectives mention the importance of national or regional MRE development in adaptation.</w:t>
            </w:r>
          </w:p>
        </w:tc>
      </w:tr>
      <w:tr w:rsidR="00706F32" w:rsidRPr="0002056A" w14:paraId="103DFECB"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3A197CDC"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5730AF3"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p>
          <w:p w14:paraId="7ED7C9C0" w14:textId="6977E417"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visualization of the vision /objective system</w:t>
            </w:r>
          </w:p>
        </w:tc>
        <w:tc>
          <w:tcPr>
            <w:tcW w:w="3827" w:type="dxa"/>
          </w:tcPr>
          <w:p w14:paraId="7CB8FC9C"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3BD38A1D" w14:textId="67AC3DAE"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 Vision chapter and/or the objective system chapters contain more than 3 figures (cognitive objective maps, graphs, figures about spatial directions of adaptation interventions, photographs) in connection with the intended goal</w:t>
            </w:r>
            <w:r w:rsidR="00A209ED" w:rsidRPr="0002056A">
              <w:rPr>
                <w:rFonts w:ascii="Georgia" w:eastAsia="Times New Roman" w:hAnsi="Georgia" w:cs="Times New Roman"/>
                <w:i/>
                <w:color w:val="000000"/>
                <w:sz w:val="16"/>
                <w:szCs w:val="16"/>
                <w:lang w:val="en-GB" w:eastAsia="hu-HU"/>
              </w:rPr>
              <w:t>s</w:t>
            </w:r>
            <w:r w:rsidRPr="0002056A">
              <w:rPr>
                <w:rFonts w:ascii="Georgia" w:eastAsia="Times New Roman" w:hAnsi="Georgia" w:cs="Times New Roman"/>
                <w:i/>
                <w:color w:val="000000"/>
                <w:sz w:val="16"/>
                <w:szCs w:val="16"/>
                <w:lang w:val="en-GB" w:eastAsia="hu-HU"/>
              </w:rPr>
              <w:t xml:space="preserve"> or the localization of the objectives.</w:t>
            </w:r>
          </w:p>
          <w:p w14:paraId="3763D60B" w14:textId="6097D502"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 </w:t>
            </w:r>
          </w:p>
        </w:tc>
        <w:tc>
          <w:tcPr>
            <w:tcW w:w="2977" w:type="dxa"/>
          </w:tcPr>
          <w:p w14:paraId="0C173140" w14:textId="534CB0C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 Vision chapter and/or the objective system chapters contain 2-3 visual elements about spatiality or regional examples.</w:t>
            </w:r>
          </w:p>
        </w:tc>
        <w:tc>
          <w:tcPr>
            <w:tcW w:w="2835" w:type="dxa"/>
          </w:tcPr>
          <w:p w14:paraId="70C92223" w14:textId="371A52DC"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 Vision chapter and/or the objective system chapters contain </w:t>
            </w:r>
            <w:r w:rsidR="00B50785" w:rsidRPr="0002056A">
              <w:rPr>
                <w:rFonts w:ascii="Georgia" w:eastAsia="Times New Roman" w:hAnsi="Georgia" w:cs="Times New Roman"/>
                <w:i/>
                <w:color w:val="000000"/>
                <w:sz w:val="16"/>
                <w:szCs w:val="16"/>
                <w:lang w:val="en-GB" w:eastAsia="hu-HU"/>
              </w:rPr>
              <w:t xml:space="preserve">only </w:t>
            </w:r>
            <w:r w:rsidRPr="0002056A">
              <w:rPr>
                <w:rFonts w:ascii="Georgia" w:eastAsia="Times New Roman" w:hAnsi="Georgia" w:cs="Times New Roman"/>
                <w:i/>
                <w:color w:val="000000"/>
                <w:sz w:val="16"/>
                <w:szCs w:val="16"/>
                <w:lang w:val="en-GB" w:eastAsia="hu-HU"/>
              </w:rPr>
              <w:t>1 visual element about spatiality or regional examples.</w:t>
            </w:r>
          </w:p>
        </w:tc>
        <w:tc>
          <w:tcPr>
            <w:tcW w:w="2409" w:type="dxa"/>
          </w:tcPr>
          <w:p w14:paraId="6F2F9A43" w14:textId="741A534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There </w:t>
            </w:r>
            <w:r w:rsidR="00B50785" w:rsidRPr="0002056A">
              <w:rPr>
                <w:rFonts w:ascii="Georgia" w:eastAsia="Times New Roman" w:hAnsi="Georgia" w:cs="Times New Roman"/>
                <w:i/>
                <w:color w:val="000000"/>
                <w:sz w:val="16"/>
                <w:szCs w:val="16"/>
                <w:lang w:val="en-GB" w:eastAsia="hu-HU"/>
              </w:rPr>
              <w:t>is</w:t>
            </w:r>
            <w:r w:rsidRPr="0002056A">
              <w:rPr>
                <w:rFonts w:ascii="Georgia" w:eastAsia="Times New Roman" w:hAnsi="Georgia" w:cs="Times New Roman"/>
                <w:i/>
                <w:color w:val="000000"/>
                <w:sz w:val="16"/>
                <w:szCs w:val="16"/>
                <w:lang w:val="en-GB" w:eastAsia="hu-HU"/>
              </w:rPr>
              <w:t xml:space="preserve"> no </w:t>
            </w:r>
            <w:r w:rsidR="00B50785" w:rsidRPr="0002056A">
              <w:rPr>
                <w:rFonts w:ascii="Georgia" w:eastAsia="Times New Roman" w:hAnsi="Georgia" w:cs="Times New Roman"/>
                <w:i/>
                <w:color w:val="000000"/>
                <w:sz w:val="16"/>
                <w:szCs w:val="16"/>
                <w:lang w:val="en-GB" w:eastAsia="hu-HU"/>
              </w:rPr>
              <w:t xml:space="preserve">visual element about spatiality or regional examples </w:t>
            </w:r>
            <w:r w:rsidRPr="0002056A">
              <w:rPr>
                <w:rFonts w:ascii="Georgia" w:eastAsia="Times New Roman" w:hAnsi="Georgia" w:cs="Times New Roman"/>
                <w:i/>
                <w:color w:val="000000"/>
                <w:sz w:val="16"/>
                <w:szCs w:val="16"/>
                <w:lang w:val="en-GB" w:eastAsia="hu-HU"/>
              </w:rPr>
              <w:t>in the vision chapter and the objective system chapters.</w:t>
            </w:r>
          </w:p>
        </w:tc>
      </w:tr>
      <w:tr w:rsidR="00706F32" w:rsidRPr="0002056A" w14:paraId="1485A37F" w14:textId="77777777" w:rsidTr="000F6837">
        <w:trPr>
          <w:jc w:val="center"/>
        </w:trPr>
        <w:tc>
          <w:tcPr>
            <w:tcW w:w="993" w:type="dxa"/>
            <w:vMerge w:val="restart"/>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722D874B" w14:textId="67898C76"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16"/>
                <w:szCs w:val="16"/>
                <w:lang w:val="en-GB" w:eastAsia="hu-HU"/>
              </w:rPr>
              <w:t>Spatial aspects in adaptation</w:t>
            </w:r>
            <w:r w:rsidR="00CE352C" w:rsidRPr="0002056A">
              <w:rPr>
                <w:rFonts w:ascii="Georgia" w:eastAsia="Times New Roman" w:hAnsi="Georgia" w:cs="Calibri"/>
                <w:b/>
                <w:bCs/>
                <w:color w:val="000000"/>
                <w:sz w:val="16"/>
                <w:szCs w:val="16"/>
                <w:lang w:val="en-GB" w:eastAsia="hu-HU"/>
              </w:rPr>
              <w:t>-</w:t>
            </w:r>
            <w:r w:rsidRPr="0002056A">
              <w:rPr>
                <w:rFonts w:ascii="Georgia" w:eastAsia="Times New Roman" w:hAnsi="Georgia" w:cs="Calibri"/>
                <w:b/>
                <w:bCs/>
                <w:color w:val="000000"/>
                <w:sz w:val="16"/>
                <w:szCs w:val="16"/>
                <w:lang w:val="en-GB" w:eastAsia="hu-HU"/>
              </w:rPr>
              <w:t>related actions</w:t>
            </w:r>
          </w:p>
        </w:tc>
        <w:tc>
          <w:tcPr>
            <w:tcW w:w="1696" w:type="dxa"/>
            <w:tcBorders>
              <w:top w:val="nil"/>
              <w:left w:val="nil"/>
              <w:bottom w:val="single" w:sz="4" w:space="0" w:color="auto"/>
              <w:right w:val="single" w:sz="4" w:space="0" w:color="auto"/>
            </w:tcBorders>
          </w:tcPr>
          <w:p w14:paraId="4ED13561"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p>
          <w:p w14:paraId="4AF9B4B6"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r w:rsidRPr="0002056A">
              <w:rPr>
                <w:rFonts w:ascii="Georgia" w:eastAsia="Times New Roman" w:hAnsi="Georgia" w:cs="Calibri"/>
                <w:b/>
                <w:bCs/>
                <w:i/>
                <w:iCs/>
                <w:color w:val="538135" w:themeColor="accent6" w:themeShade="BF"/>
                <w:sz w:val="16"/>
                <w:szCs w:val="16"/>
                <w:lang w:val="en-GB" w:eastAsia="hu-HU"/>
              </w:rPr>
              <w:t>Proportion of measures with spatial content</w:t>
            </w:r>
          </w:p>
          <w:p w14:paraId="57AC29BA" w14:textId="6896883A"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 xml:space="preserve"> </w:t>
            </w:r>
          </w:p>
        </w:tc>
        <w:tc>
          <w:tcPr>
            <w:tcW w:w="3827" w:type="dxa"/>
          </w:tcPr>
          <w:p w14:paraId="5FDE0203" w14:textId="7B40B39B"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Proportion of the actions </w:t>
            </w:r>
            <w:r w:rsidR="005E4B86" w:rsidRPr="0002056A">
              <w:rPr>
                <w:rFonts w:ascii="Georgia" w:eastAsia="Times New Roman" w:hAnsi="Georgia" w:cs="Times New Roman"/>
                <w:i/>
                <w:color w:val="000000"/>
                <w:sz w:val="16"/>
                <w:szCs w:val="16"/>
                <w:lang w:val="en-GB" w:eastAsia="hu-HU"/>
              </w:rPr>
              <w:t>focusing on spa</w:t>
            </w:r>
            <w:r w:rsidRPr="0002056A">
              <w:rPr>
                <w:rFonts w:ascii="Georgia" w:eastAsia="Times New Roman" w:hAnsi="Georgia" w:cs="Times New Roman"/>
                <w:i/>
                <w:color w:val="000000"/>
                <w:sz w:val="16"/>
                <w:szCs w:val="16"/>
                <w:lang w:val="en-GB" w:eastAsia="hu-HU"/>
              </w:rPr>
              <w:t>tial issues (spatial unit or region/settlement type or general spatial differences or structures) even in their title or in their description is above 40%.</w:t>
            </w:r>
          </w:p>
          <w:p w14:paraId="02C9AA8D" w14:textId="77106894"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tc>
        <w:tc>
          <w:tcPr>
            <w:tcW w:w="2977" w:type="dxa"/>
          </w:tcPr>
          <w:p w14:paraId="0DA09EDE" w14:textId="4E6B3367" w:rsidR="00706F32" w:rsidRPr="0002056A" w:rsidRDefault="009D4495"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Proportion of the actions focusing on spatial issues </w:t>
            </w:r>
            <w:r w:rsidR="00706F32" w:rsidRPr="0002056A">
              <w:rPr>
                <w:rFonts w:ascii="Georgia" w:eastAsia="Times New Roman" w:hAnsi="Georgia" w:cs="Times New Roman"/>
                <w:i/>
                <w:color w:val="000000"/>
                <w:sz w:val="16"/>
                <w:szCs w:val="16"/>
                <w:lang w:val="en-GB" w:eastAsia="hu-HU"/>
              </w:rPr>
              <w:t>even in their title or in their description is between 30-40 %.</w:t>
            </w:r>
          </w:p>
        </w:tc>
        <w:tc>
          <w:tcPr>
            <w:tcW w:w="2835" w:type="dxa"/>
          </w:tcPr>
          <w:p w14:paraId="65FB749A" w14:textId="326126D5" w:rsidR="00706F32" w:rsidRPr="0002056A" w:rsidRDefault="009D4495"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Proportion of the actions focusing on spatial issues </w:t>
            </w:r>
            <w:r w:rsidR="00706F32" w:rsidRPr="0002056A">
              <w:rPr>
                <w:rFonts w:ascii="Georgia" w:eastAsia="Times New Roman" w:hAnsi="Georgia" w:cs="Times New Roman"/>
                <w:i/>
                <w:color w:val="000000"/>
                <w:sz w:val="16"/>
                <w:szCs w:val="16"/>
                <w:lang w:val="en-GB" w:eastAsia="hu-HU"/>
              </w:rPr>
              <w:t>even in their title or in their description is between 20-30%</w:t>
            </w:r>
            <w:r w:rsidRPr="0002056A">
              <w:rPr>
                <w:rFonts w:ascii="Georgia" w:eastAsia="Times New Roman" w:hAnsi="Georgia" w:cs="Times New Roman"/>
                <w:i/>
                <w:color w:val="000000"/>
                <w:sz w:val="16"/>
                <w:szCs w:val="16"/>
                <w:lang w:val="en-GB" w:eastAsia="hu-HU"/>
              </w:rPr>
              <w:t>.</w:t>
            </w:r>
          </w:p>
        </w:tc>
        <w:tc>
          <w:tcPr>
            <w:tcW w:w="2409" w:type="dxa"/>
          </w:tcPr>
          <w:p w14:paraId="7AB53380" w14:textId="598BDDF0" w:rsidR="00706F32" w:rsidRPr="0002056A" w:rsidRDefault="009D4495"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Proportion of the actions focusing on spatial issues </w:t>
            </w:r>
            <w:r w:rsidR="00706F32" w:rsidRPr="0002056A">
              <w:rPr>
                <w:rFonts w:ascii="Georgia" w:eastAsia="Times New Roman" w:hAnsi="Georgia" w:cs="Times New Roman"/>
                <w:i/>
                <w:color w:val="000000"/>
                <w:sz w:val="16"/>
                <w:szCs w:val="16"/>
                <w:lang w:val="en-GB" w:eastAsia="hu-HU"/>
              </w:rPr>
              <w:t>even in their title or in their description is below 20%.</w:t>
            </w:r>
          </w:p>
        </w:tc>
      </w:tr>
      <w:tr w:rsidR="00706F32" w:rsidRPr="0002056A" w14:paraId="534B5D50"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77D7B859"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tcPr>
          <w:p w14:paraId="5DE69D01" w14:textId="77777777" w:rsidR="00706F32" w:rsidRPr="0002056A" w:rsidRDefault="00706F32" w:rsidP="00706F32">
            <w:pPr>
              <w:spacing w:after="0" w:line="240" w:lineRule="auto"/>
              <w:rPr>
                <w:rFonts w:ascii="Georgia" w:eastAsia="Times New Roman" w:hAnsi="Georgia" w:cs="Calibri"/>
                <w:b/>
                <w:bCs/>
                <w:i/>
                <w:iCs/>
                <w:color w:val="538135" w:themeColor="accent6" w:themeShade="BF"/>
                <w:sz w:val="16"/>
                <w:szCs w:val="16"/>
                <w:lang w:val="en-GB" w:eastAsia="hu-HU"/>
              </w:rPr>
            </w:pPr>
          </w:p>
          <w:p w14:paraId="29C81B0E" w14:textId="73221317"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Proportion of spatial planning-related measures</w:t>
            </w:r>
          </w:p>
        </w:tc>
        <w:tc>
          <w:tcPr>
            <w:tcW w:w="3827" w:type="dxa"/>
          </w:tcPr>
          <w:p w14:paraId="42A0E6C0"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5BF040AA" w14:textId="64CEFC66"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planning issues even in their title or their description is above 10%</w:t>
            </w:r>
            <w:r w:rsidR="00B92E6F" w:rsidRPr="0002056A">
              <w:rPr>
                <w:rFonts w:ascii="Georgia" w:eastAsia="Times New Roman" w:hAnsi="Georgia" w:cs="Times New Roman"/>
                <w:i/>
                <w:color w:val="000000"/>
                <w:sz w:val="16"/>
                <w:szCs w:val="16"/>
                <w:lang w:val="en-GB" w:eastAsia="hu-HU"/>
              </w:rPr>
              <w:t>.</w:t>
            </w:r>
          </w:p>
          <w:p w14:paraId="7CC2B123" w14:textId="163D2429"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tc>
        <w:tc>
          <w:tcPr>
            <w:tcW w:w="2977" w:type="dxa"/>
          </w:tcPr>
          <w:p w14:paraId="54128FBD" w14:textId="6D2107CB"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planning issues even in their title or their description is between 5-10 %.</w:t>
            </w:r>
          </w:p>
        </w:tc>
        <w:tc>
          <w:tcPr>
            <w:tcW w:w="2835" w:type="dxa"/>
          </w:tcPr>
          <w:p w14:paraId="67212198" w14:textId="33F2F10C"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planning issues even in their title or their description is between 0-5%.</w:t>
            </w:r>
          </w:p>
        </w:tc>
        <w:tc>
          <w:tcPr>
            <w:tcW w:w="2409" w:type="dxa"/>
          </w:tcPr>
          <w:p w14:paraId="7D12BF8C" w14:textId="1D5A56AB"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No actions dealing with spatial planning issues </w:t>
            </w:r>
            <w:r w:rsidR="00B92E6F" w:rsidRPr="0002056A">
              <w:rPr>
                <w:rFonts w:ascii="Georgia" w:eastAsia="Times New Roman" w:hAnsi="Georgia" w:cs="Times New Roman"/>
                <w:i/>
                <w:color w:val="000000"/>
                <w:sz w:val="16"/>
                <w:szCs w:val="16"/>
                <w:lang w:val="en-GB" w:eastAsia="hu-HU"/>
              </w:rPr>
              <w:t>neither</w:t>
            </w:r>
            <w:r w:rsidRPr="0002056A">
              <w:rPr>
                <w:rFonts w:ascii="Georgia" w:eastAsia="Times New Roman" w:hAnsi="Georgia" w:cs="Times New Roman"/>
                <w:i/>
                <w:color w:val="000000"/>
                <w:sz w:val="16"/>
                <w:szCs w:val="16"/>
                <w:lang w:val="en-GB" w:eastAsia="hu-HU"/>
              </w:rPr>
              <w:t xml:space="preserve"> in their title </w:t>
            </w:r>
            <w:r w:rsidR="00B92E6F" w:rsidRPr="0002056A">
              <w:rPr>
                <w:rFonts w:ascii="Georgia" w:eastAsia="Times New Roman" w:hAnsi="Georgia" w:cs="Times New Roman"/>
                <w:i/>
                <w:color w:val="000000"/>
                <w:sz w:val="16"/>
                <w:szCs w:val="16"/>
                <w:lang w:val="en-GB" w:eastAsia="hu-HU"/>
              </w:rPr>
              <w:t>n</w:t>
            </w:r>
            <w:r w:rsidRPr="0002056A">
              <w:rPr>
                <w:rFonts w:ascii="Georgia" w:eastAsia="Times New Roman" w:hAnsi="Georgia" w:cs="Times New Roman"/>
                <w:i/>
                <w:color w:val="000000"/>
                <w:sz w:val="16"/>
                <w:szCs w:val="16"/>
                <w:lang w:val="en-GB" w:eastAsia="hu-HU"/>
              </w:rPr>
              <w:t xml:space="preserve">or </w:t>
            </w:r>
            <w:r w:rsidR="00B92E6F" w:rsidRPr="0002056A">
              <w:rPr>
                <w:rFonts w:ascii="Georgia" w:eastAsia="Times New Roman" w:hAnsi="Georgia" w:cs="Times New Roman"/>
                <w:i/>
                <w:color w:val="000000"/>
                <w:sz w:val="16"/>
                <w:szCs w:val="16"/>
                <w:lang w:val="en-GB" w:eastAsia="hu-HU"/>
              </w:rPr>
              <w:t xml:space="preserve">in </w:t>
            </w:r>
            <w:r w:rsidRPr="0002056A">
              <w:rPr>
                <w:rFonts w:ascii="Georgia" w:eastAsia="Times New Roman" w:hAnsi="Georgia" w:cs="Times New Roman"/>
                <w:i/>
                <w:color w:val="000000"/>
                <w:sz w:val="16"/>
                <w:szCs w:val="16"/>
                <w:lang w:val="en-GB" w:eastAsia="hu-HU"/>
              </w:rPr>
              <w:t>their description.</w:t>
            </w:r>
          </w:p>
        </w:tc>
      </w:tr>
      <w:tr w:rsidR="00706F32" w:rsidRPr="0002056A" w14:paraId="0FA0E6DA" w14:textId="77777777" w:rsidTr="000F6837">
        <w:trPr>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67615C51"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tcPr>
          <w:p w14:paraId="1D1F7BC6" w14:textId="66432432"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Proportion of spatial MRE-related measures</w:t>
            </w:r>
          </w:p>
        </w:tc>
        <w:tc>
          <w:tcPr>
            <w:tcW w:w="3827" w:type="dxa"/>
          </w:tcPr>
          <w:p w14:paraId="55220C42"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adaptation MRE issues even in their title or their description is above 10%.</w:t>
            </w:r>
          </w:p>
          <w:p w14:paraId="5BDC276E" w14:textId="083D664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tc>
        <w:tc>
          <w:tcPr>
            <w:tcW w:w="2977" w:type="dxa"/>
          </w:tcPr>
          <w:p w14:paraId="27E19243" w14:textId="0EF73E24"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adaptation MRE issues even in their title or their description is between 5-10 %.</w:t>
            </w:r>
          </w:p>
        </w:tc>
        <w:tc>
          <w:tcPr>
            <w:tcW w:w="2835" w:type="dxa"/>
          </w:tcPr>
          <w:p w14:paraId="13B4CC04" w14:textId="12380CE9"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Proportion of the actions dealing with spatial adaptation MRE issues even in their title or their description is between 0-5%.</w:t>
            </w:r>
          </w:p>
        </w:tc>
        <w:tc>
          <w:tcPr>
            <w:tcW w:w="2409" w:type="dxa"/>
          </w:tcPr>
          <w:p w14:paraId="1A03675C" w14:textId="2968646B"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No actions dealing with spatial MRE issues </w:t>
            </w:r>
            <w:r w:rsidR="008D6ADF" w:rsidRPr="0002056A">
              <w:rPr>
                <w:rFonts w:ascii="Georgia" w:eastAsia="Times New Roman" w:hAnsi="Georgia" w:cs="Times New Roman"/>
                <w:i/>
                <w:color w:val="000000"/>
                <w:sz w:val="16"/>
                <w:szCs w:val="16"/>
                <w:lang w:val="en-GB" w:eastAsia="hu-HU"/>
              </w:rPr>
              <w:t>neither</w:t>
            </w:r>
            <w:r w:rsidRPr="0002056A">
              <w:rPr>
                <w:rFonts w:ascii="Georgia" w:eastAsia="Times New Roman" w:hAnsi="Georgia" w:cs="Times New Roman"/>
                <w:i/>
                <w:color w:val="000000"/>
                <w:sz w:val="16"/>
                <w:szCs w:val="16"/>
                <w:lang w:val="en-GB" w:eastAsia="hu-HU"/>
              </w:rPr>
              <w:t xml:space="preserve"> in their title </w:t>
            </w:r>
            <w:r w:rsidR="008D6ADF" w:rsidRPr="0002056A">
              <w:rPr>
                <w:rFonts w:ascii="Georgia" w:eastAsia="Times New Roman" w:hAnsi="Georgia" w:cs="Times New Roman"/>
                <w:i/>
                <w:color w:val="000000"/>
                <w:sz w:val="16"/>
                <w:szCs w:val="16"/>
                <w:lang w:val="en-GB" w:eastAsia="hu-HU"/>
              </w:rPr>
              <w:t>n</w:t>
            </w:r>
            <w:r w:rsidRPr="0002056A">
              <w:rPr>
                <w:rFonts w:ascii="Georgia" w:eastAsia="Times New Roman" w:hAnsi="Georgia" w:cs="Times New Roman"/>
                <w:i/>
                <w:color w:val="000000"/>
                <w:sz w:val="16"/>
                <w:szCs w:val="16"/>
                <w:lang w:val="en-GB" w:eastAsia="hu-HU"/>
              </w:rPr>
              <w:t xml:space="preserve">or </w:t>
            </w:r>
            <w:r w:rsidR="008D6ADF" w:rsidRPr="0002056A">
              <w:rPr>
                <w:rFonts w:ascii="Georgia" w:eastAsia="Times New Roman" w:hAnsi="Georgia" w:cs="Times New Roman"/>
                <w:i/>
                <w:color w:val="000000"/>
                <w:sz w:val="16"/>
                <w:szCs w:val="16"/>
                <w:lang w:val="en-GB" w:eastAsia="hu-HU"/>
              </w:rPr>
              <w:t xml:space="preserve">in </w:t>
            </w:r>
            <w:r w:rsidRPr="0002056A">
              <w:rPr>
                <w:rFonts w:ascii="Georgia" w:eastAsia="Times New Roman" w:hAnsi="Georgia" w:cs="Times New Roman"/>
                <w:i/>
                <w:color w:val="000000"/>
                <w:sz w:val="16"/>
                <w:szCs w:val="16"/>
                <w:lang w:val="en-GB" w:eastAsia="hu-HU"/>
              </w:rPr>
              <w:t>their description.</w:t>
            </w:r>
          </w:p>
        </w:tc>
      </w:tr>
      <w:tr w:rsidR="00706F32" w:rsidRPr="0002056A" w14:paraId="7ADFB434" w14:textId="77777777" w:rsidTr="000F6837">
        <w:trPr>
          <w:trHeight w:val="1084"/>
          <w:jc w:val="center"/>
        </w:trPr>
        <w:tc>
          <w:tcPr>
            <w:tcW w:w="993" w:type="dxa"/>
            <w:vMerge w:val="restart"/>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6536EA64" w14:textId="00B86983"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20"/>
                <w:szCs w:val="20"/>
                <w:lang w:val="en-GB" w:eastAsia="hu-HU"/>
              </w:rPr>
              <w:lastRenderedPageBreak/>
              <w:t>Inter- and transnational spatial dimensions of adaptation planning</w:t>
            </w:r>
          </w:p>
        </w:tc>
        <w:tc>
          <w:tcPr>
            <w:tcW w:w="1696" w:type="dxa"/>
            <w:tcBorders>
              <w:top w:val="nil"/>
              <w:left w:val="nil"/>
              <w:bottom w:val="single" w:sz="4" w:space="0" w:color="auto"/>
              <w:right w:val="single" w:sz="4" w:space="0" w:color="auto"/>
            </w:tcBorders>
            <w:vAlign w:val="center"/>
          </w:tcPr>
          <w:p w14:paraId="06CADF10" w14:textId="31923418"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4"/>
                <w:szCs w:val="14"/>
                <w:lang w:val="en-GB" w:eastAsia="hu-HU"/>
              </w:rPr>
              <w:t xml:space="preserve">Emergence of climate change -related global spatial challenges as aspects for national security </w:t>
            </w:r>
          </w:p>
        </w:tc>
        <w:tc>
          <w:tcPr>
            <w:tcW w:w="3827" w:type="dxa"/>
          </w:tcPr>
          <w:p w14:paraId="0171DD24"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2FDC2F65" w14:textId="5C7EA44C"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Explicit, nominated reference to the issue emerges among the objectives/measure groups’ titles or in the form of a dedicated situation analysis chapter. </w:t>
            </w:r>
          </w:p>
        </w:tc>
        <w:tc>
          <w:tcPr>
            <w:tcW w:w="2977" w:type="dxa"/>
          </w:tcPr>
          <w:p w14:paraId="2D131394" w14:textId="004A813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Explicit reference to the issue emerges in the document in the description of objectives/measures’ or in the title of several individual measures or in the situation analysis’ </w:t>
            </w:r>
            <w:r w:rsidR="000B3581" w:rsidRPr="0002056A">
              <w:rPr>
                <w:rFonts w:ascii="Georgia" w:eastAsia="Times New Roman" w:hAnsi="Georgia" w:cs="Times New Roman"/>
                <w:i/>
                <w:color w:val="000000"/>
                <w:sz w:val="16"/>
                <w:szCs w:val="16"/>
                <w:lang w:val="en-GB" w:eastAsia="hu-HU"/>
              </w:rPr>
              <w:t>textual parts</w:t>
            </w:r>
            <w:r w:rsidRPr="0002056A">
              <w:rPr>
                <w:rFonts w:ascii="Georgia" w:eastAsia="Times New Roman" w:hAnsi="Georgia" w:cs="Times New Roman"/>
                <w:i/>
                <w:color w:val="000000"/>
                <w:sz w:val="16"/>
                <w:szCs w:val="16"/>
                <w:lang w:val="en-GB" w:eastAsia="hu-HU"/>
              </w:rPr>
              <w:t>.</w:t>
            </w:r>
          </w:p>
        </w:tc>
        <w:tc>
          <w:tcPr>
            <w:tcW w:w="2835" w:type="dxa"/>
          </w:tcPr>
          <w:p w14:paraId="4FE2DF18" w14:textId="6DBB2AE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implicit reference to the issue emerges in the description of objectives/measures or in the situation analysis.</w:t>
            </w:r>
          </w:p>
        </w:tc>
        <w:tc>
          <w:tcPr>
            <w:tcW w:w="2409" w:type="dxa"/>
          </w:tcPr>
          <w:p w14:paraId="4D957CC0" w14:textId="2F4F961A"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is no reference to the topic in the NAS.</w:t>
            </w:r>
          </w:p>
        </w:tc>
      </w:tr>
      <w:tr w:rsidR="00706F32" w:rsidRPr="0002056A" w14:paraId="08CA236E" w14:textId="77777777" w:rsidTr="000F6837">
        <w:trPr>
          <w:trHeight w:val="985"/>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4031ACA9"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4CB99D52" w14:textId="061481B5"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4"/>
                <w:szCs w:val="14"/>
                <w:lang w:val="en-GB" w:eastAsia="hu-HU"/>
              </w:rPr>
              <w:t>Emergence of strengthening macro regional / international co-operations in climate adaptation</w:t>
            </w:r>
          </w:p>
        </w:tc>
        <w:tc>
          <w:tcPr>
            <w:tcW w:w="3827" w:type="dxa"/>
          </w:tcPr>
          <w:p w14:paraId="57DD00BD"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3B641933" w14:textId="32B24CCE"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Explicit, nominated reference to the issue (international scientific or knowledge sharing </w:t>
            </w:r>
            <w:r w:rsidR="00216AD0" w:rsidRPr="0002056A">
              <w:rPr>
                <w:rFonts w:ascii="Georgia" w:eastAsia="Times New Roman" w:hAnsi="Georgia" w:cs="Times New Roman"/>
                <w:i/>
                <w:color w:val="000000"/>
                <w:sz w:val="16"/>
                <w:szCs w:val="16"/>
                <w:lang w:val="en-GB" w:eastAsia="hu-HU"/>
              </w:rPr>
              <w:t>cooperation</w:t>
            </w:r>
            <w:r w:rsidRPr="0002056A">
              <w:rPr>
                <w:rFonts w:ascii="Georgia" w:eastAsia="Times New Roman" w:hAnsi="Georgia" w:cs="Times New Roman"/>
                <w:i/>
                <w:color w:val="000000"/>
                <w:sz w:val="16"/>
                <w:szCs w:val="16"/>
                <w:lang w:val="en-GB" w:eastAsia="hu-HU"/>
              </w:rPr>
              <w:t>, macro</w:t>
            </w:r>
            <w:r w:rsidR="007008B1"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 xml:space="preserve">regional or </w:t>
            </w:r>
            <w:r w:rsidR="007008B1" w:rsidRPr="0002056A">
              <w:rPr>
                <w:rFonts w:ascii="Georgia" w:eastAsia="Times New Roman" w:hAnsi="Georgia" w:cs="Times New Roman"/>
                <w:i/>
                <w:color w:val="000000"/>
                <w:sz w:val="16"/>
                <w:szCs w:val="16"/>
                <w:lang w:val="en-GB" w:eastAsia="hu-HU"/>
              </w:rPr>
              <w:t>cross-border</w:t>
            </w:r>
            <w:r w:rsidRPr="0002056A">
              <w:rPr>
                <w:rFonts w:ascii="Georgia" w:eastAsia="Times New Roman" w:hAnsi="Georgia" w:cs="Times New Roman"/>
                <w:i/>
                <w:color w:val="000000"/>
                <w:sz w:val="16"/>
                <w:szCs w:val="16"/>
                <w:lang w:val="en-GB" w:eastAsia="hu-HU"/>
              </w:rPr>
              <w:t xml:space="preserve"> </w:t>
            </w:r>
            <w:r w:rsidR="007008B1" w:rsidRPr="0002056A">
              <w:rPr>
                <w:rFonts w:ascii="Georgia" w:eastAsia="Times New Roman" w:hAnsi="Georgia" w:cs="Times New Roman"/>
                <w:i/>
                <w:color w:val="000000"/>
                <w:sz w:val="16"/>
                <w:szCs w:val="16"/>
                <w:lang w:val="en-GB" w:eastAsia="hu-HU"/>
              </w:rPr>
              <w:t xml:space="preserve">development or sectoral </w:t>
            </w:r>
            <w:r w:rsidRPr="0002056A">
              <w:rPr>
                <w:rFonts w:ascii="Georgia" w:eastAsia="Times New Roman" w:hAnsi="Georgia" w:cs="Times New Roman"/>
                <w:i/>
                <w:color w:val="000000"/>
                <w:sz w:val="16"/>
                <w:szCs w:val="16"/>
                <w:lang w:val="en-GB" w:eastAsia="hu-HU"/>
              </w:rPr>
              <w:t>cooperations) emerges among the objectives/measure groups’ titles or in the form of a dedicated situation analysis chapter.</w:t>
            </w:r>
          </w:p>
          <w:p w14:paraId="07D52909" w14:textId="4890035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1793F45F" w14:textId="7D3949C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Explicit reference to the issue emerges in the document in the description of objectives/measures’ or in title of several individual measures or in the situation analysis’ </w:t>
            </w:r>
            <w:r w:rsidR="000B3581" w:rsidRPr="0002056A">
              <w:rPr>
                <w:rFonts w:ascii="Georgia" w:eastAsia="Times New Roman" w:hAnsi="Georgia" w:cs="Times New Roman"/>
                <w:i/>
                <w:color w:val="000000"/>
                <w:sz w:val="16"/>
                <w:szCs w:val="16"/>
                <w:lang w:val="en-GB" w:eastAsia="hu-HU"/>
              </w:rPr>
              <w:t>textual parts</w:t>
            </w:r>
            <w:r w:rsidRPr="0002056A">
              <w:rPr>
                <w:rFonts w:ascii="Georgia" w:eastAsia="Times New Roman" w:hAnsi="Georgia" w:cs="Times New Roman"/>
                <w:i/>
                <w:color w:val="000000"/>
                <w:sz w:val="16"/>
                <w:szCs w:val="16"/>
                <w:lang w:val="en-GB" w:eastAsia="hu-HU"/>
              </w:rPr>
              <w:t>.</w:t>
            </w:r>
          </w:p>
        </w:tc>
        <w:tc>
          <w:tcPr>
            <w:tcW w:w="2835" w:type="dxa"/>
          </w:tcPr>
          <w:p w14:paraId="22129989" w14:textId="0606E2D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implicit reference to the issue emerges in the description of objectives/measures or in the situation analysis.</w:t>
            </w:r>
          </w:p>
        </w:tc>
        <w:tc>
          <w:tcPr>
            <w:tcW w:w="2409" w:type="dxa"/>
          </w:tcPr>
          <w:p w14:paraId="3E98D903" w14:textId="42A4916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is no reference to the topic in the NAS.</w:t>
            </w:r>
          </w:p>
        </w:tc>
      </w:tr>
      <w:tr w:rsidR="00706F32" w:rsidRPr="0002056A" w14:paraId="27945595" w14:textId="77777777" w:rsidTr="000F6837">
        <w:trPr>
          <w:trHeight w:val="67"/>
          <w:jc w:val="center"/>
        </w:trPr>
        <w:tc>
          <w:tcPr>
            <w:tcW w:w="993" w:type="dxa"/>
            <w:vMerge/>
            <w:tcBorders>
              <w:top w:val="nil"/>
              <w:left w:val="single" w:sz="8" w:space="0" w:color="auto"/>
              <w:bottom w:val="single" w:sz="4" w:space="0" w:color="auto"/>
              <w:right w:val="single" w:sz="4" w:space="0" w:color="auto"/>
            </w:tcBorders>
            <w:shd w:val="clear" w:color="auto" w:fill="C5E0B3" w:themeFill="accent6" w:themeFillTint="66"/>
            <w:textDirection w:val="btLr"/>
            <w:vAlign w:val="center"/>
          </w:tcPr>
          <w:p w14:paraId="2E48BAB2"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372F046C" w14:textId="09F93BD3"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4"/>
                <w:szCs w:val="14"/>
                <w:lang w:val="en-GB" w:eastAsia="hu-HU"/>
              </w:rPr>
              <w:t>Emergence of strengthening macro regional / international influence in climate adaptation</w:t>
            </w:r>
          </w:p>
        </w:tc>
        <w:tc>
          <w:tcPr>
            <w:tcW w:w="3827" w:type="dxa"/>
          </w:tcPr>
          <w:p w14:paraId="28874EC4"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23ED2A5B"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Explicit, nominated reference to the issue (financing of interventions or development programmes in, or exporting adaptation knowledge to developing countries) emerges among the objectives/measure groups’ titles or in the form of a dedicated situation analysis chapter.</w:t>
            </w:r>
          </w:p>
          <w:p w14:paraId="21C98132" w14:textId="0A2780DD"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4A6E2C76" w14:textId="0209E489"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Explicit reference to the issue emerges in the document in the description of objectives/measures’ or in the title of several individual measures or in the situation analysis’ textual parts.</w:t>
            </w:r>
          </w:p>
        </w:tc>
        <w:tc>
          <w:tcPr>
            <w:tcW w:w="2835" w:type="dxa"/>
          </w:tcPr>
          <w:p w14:paraId="7FAC87C6" w14:textId="5808689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implicit reference to the issue can be detected in the description of objectives/measures or in the situation analysis.</w:t>
            </w:r>
          </w:p>
        </w:tc>
        <w:tc>
          <w:tcPr>
            <w:tcW w:w="2409" w:type="dxa"/>
          </w:tcPr>
          <w:p w14:paraId="18E1C020" w14:textId="059E84F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is no reference to the topic in the NAS.</w:t>
            </w:r>
          </w:p>
        </w:tc>
      </w:tr>
      <w:tr w:rsidR="00706F32" w:rsidRPr="0002056A" w14:paraId="15436E39" w14:textId="77777777" w:rsidTr="000F6837">
        <w:trPr>
          <w:jc w:val="center"/>
        </w:trPr>
        <w:tc>
          <w:tcPr>
            <w:tcW w:w="993" w:type="dxa"/>
            <w:vMerge w:val="restart"/>
            <w:tcBorders>
              <w:top w:val="nil"/>
              <w:left w:val="single" w:sz="8" w:space="0" w:color="auto"/>
              <w:right w:val="single" w:sz="4" w:space="0" w:color="auto"/>
            </w:tcBorders>
            <w:shd w:val="clear" w:color="auto" w:fill="C5E0B3" w:themeFill="accent6" w:themeFillTint="66"/>
            <w:textDirection w:val="btLr"/>
            <w:vAlign w:val="center"/>
          </w:tcPr>
          <w:p w14:paraId="180F69D1" w14:textId="77777777" w:rsidR="00706F32" w:rsidRPr="0002056A" w:rsidRDefault="00706F32" w:rsidP="00706F32">
            <w:pPr>
              <w:spacing w:after="0" w:line="240" w:lineRule="auto"/>
              <w:ind w:left="113" w:right="113"/>
              <w:jc w:val="center"/>
              <w:rPr>
                <w:rFonts w:ascii="Georgia" w:eastAsia="Times New Roman" w:hAnsi="Georgia" w:cs="Calibri"/>
                <w:b/>
                <w:bCs/>
                <w:color w:val="000000"/>
                <w:sz w:val="20"/>
                <w:szCs w:val="20"/>
                <w:lang w:val="en-GB" w:eastAsia="hu-HU"/>
              </w:rPr>
            </w:pPr>
            <w:r w:rsidRPr="0002056A">
              <w:rPr>
                <w:rFonts w:ascii="Georgia" w:eastAsia="Times New Roman" w:hAnsi="Georgia" w:cs="Calibri"/>
                <w:b/>
                <w:bCs/>
                <w:color w:val="000000"/>
                <w:sz w:val="20"/>
                <w:szCs w:val="20"/>
                <w:lang w:val="en-GB" w:eastAsia="hu-HU"/>
              </w:rPr>
              <w:t>Spatiality in adaptation monitoring and evaluations</w:t>
            </w:r>
          </w:p>
          <w:p w14:paraId="5C52F289"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752F5E6A" w14:textId="69FD307E"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levels of data connection and adaptation monitoring activities</w:t>
            </w:r>
          </w:p>
        </w:tc>
        <w:tc>
          <w:tcPr>
            <w:tcW w:w="3827" w:type="dxa"/>
          </w:tcPr>
          <w:p w14:paraId="5F0B2037"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4D44DACD" w14:textId="6931BFF8"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There is a functioning monitoring system in adaptation, using lowest-as-possible level spatial data.</w:t>
            </w:r>
          </w:p>
          <w:p w14:paraId="3545F0E2" w14:textId="4FBE9FF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5736E8FD" w14:textId="55935D3A"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Monitoring system is planned in adaptation, in the form of an action or objective</w:t>
            </w:r>
            <w:r w:rsidR="00A412A8" w:rsidRPr="0002056A">
              <w:rPr>
                <w:rFonts w:ascii="Georgia" w:eastAsia="Times New Roman" w:hAnsi="Georgia" w:cs="Times New Roman"/>
                <w:i/>
                <w:color w:val="000000"/>
                <w:sz w:val="16"/>
                <w:szCs w:val="16"/>
                <w:lang w:val="en-GB" w:eastAsia="hu-HU"/>
              </w:rPr>
              <w:t xml:space="preserve"> of the NAS/NAP</w:t>
            </w:r>
            <w:r w:rsidRPr="0002056A">
              <w:rPr>
                <w:rFonts w:ascii="Georgia" w:eastAsia="Times New Roman" w:hAnsi="Georgia" w:cs="Times New Roman"/>
                <w:i/>
                <w:color w:val="000000"/>
                <w:sz w:val="16"/>
                <w:szCs w:val="16"/>
                <w:lang w:val="en-GB" w:eastAsia="hu-HU"/>
              </w:rPr>
              <w:t>, with hints for spatial data use.</w:t>
            </w:r>
          </w:p>
        </w:tc>
        <w:tc>
          <w:tcPr>
            <w:tcW w:w="2835" w:type="dxa"/>
          </w:tcPr>
          <w:p w14:paraId="70951869" w14:textId="0F9BC174" w:rsidR="00706F32" w:rsidRPr="0002056A" w:rsidRDefault="003924CB"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sectoral m</w:t>
            </w:r>
            <w:r w:rsidR="00706F32" w:rsidRPr="0002056A">
              <w:rPr>
                <w:rFonts w:ascii="Georgia" w:eastAsia="Times New Roman" w:hAnsi="Georgia" w:cs="Times New Roman"/>
                <w:i/>
                <w:color w:val="000000"/>
                <w:sz w:val="16"/>
                <w:szCs w:val="16"/>
                <w:lang w:val="en-GB" w:eastAsia="hu-HU"/>
              </w:rPr>
              <w:t>onitoring is planned /exist</w:t>
            </w:r>
            <w:r w:rsidRPr="0002056A">
              <w:rPr>
                <w:rFonts w:ascii="Georgia" w:eastAsia="Times New Roman" w:hAnsi="Georgia" w:cs="Times New Roman"/>
                <w:i/>
                <w:color w:val="000000"/>
                <w:sz w:val="16"/>
                <w:szCs w:val="16"/>
                <w:lang w:val="en-GB" w:eastAsia="hu-HU"/>
              </w:rPr>
              <w:t>s</w:t>
            </w:r>
            <w:r w:rsidR="00706F32" w:rsidRPr="0002056A">
              <w:rPr>
                <w:rFonts w:ascii="Georgia" w:eastAsia="Times New Roman" w:hAnsi="Georgia" w:cs="Times New Roman"/>
                <w:i/>
                <w:color w:val="000000"/>
                <w:sz w:val="16"/>
                <w:szCs w:val="16"/>
                <w:lang w:val="en-GB" w:eastAsia="hu-HU"/>
              </w:rPr>
              <w:t xml:space="preserve"> or </w:t>
            </w:r>
            <w:r w:rsidR="004014B6" w:rsidRPr="0002056A">
              <w:rPr>
                <w:rFonts w:ascii="Georgia" w:eastAsia="Times New Roman" w:hAnsi="Georgia" w:cs="Times New Roman"/>
                <w:i/>
                <w:color w:val="000000"/>
                <w:sz w:val="16"/>
                <w:szCs w:val="16"/>
                <w:lang w:val="en-GB" w:eastAsia="hu-HU"/>
              </w:rPr>
              <w:t>a</w:t>
            </w:r>
            <w:r w:rsidR="00706F32" w:rsidRPr="0002056A">
              <w:rPr>
                <w:rFonts w:ascii="Georgia" w:eastAsia="Times New Roman" w:hAnsi="Georgia" w:cs="Times New Roman"/>
                <w:i/>
                <w:color w:val="000000"/>
                <w:sz w:val="16"/>
                <w:szCs w:val="16"/>
                <w:lang w:val="en-GB" w:eastAsia="hu-HU"/>
              </w:rPr>
              <w:t xml:space="preserve"> general climate policy </w:t>
            </w:r>
            <w:r w:rsidR="004014B6" w:rsidRPr="0002056A">
              <w:rPr>
                <w:rFonts w:ascii="Georgia" w:eastAsia="Times New Roman" w:hAnsi="Georgia" w:cs="Times New Roman"/>
                <w:i/>
                <w:color w:val="000000"/>
                <w:sz w:val="16"/>
                <w:szCs w:val="16"/>
                <w:lang w:val="en-GB" w:eastAsia="hu-HU"/>
              </w:rPr>
              <w:t>monitoring system</w:t>
            </w:r>
            <w:r w:rsidR="00706F32" w:rsidRPr="0002056A">
              <w:rPr>
                <w:rFonts w:ascii="Georgia" w:eastAsia="Times New Roman" w:hAnsi="Georgia" w:cs="Times New Roman"/>
                <w:i/>
                <w:color w:val="000000"/>
                <w:sz w:val="16"/>
                <w:szCs w:val="16"/>
                <w:lang w:val="en-GB" w:eastAsia="hu-HU"/>
              </w:rPr>
              <w:t xml:space="preserve"> is planned</w:t>
            </w:r>
            <w:r w:rsidR="004014B6" w:rsidRPr="0002056A">
              <w:rPr>
                <w:rFonts w:ascii="Georgia" w:eastAsia="Times New Roman" w:hAnsi="Georgia" w:cs="Times New Roman"/>
                <w:i/>
                <w:color w:val="000000"/>
                <w:sz w:val="16"/>
                <w:szCs w:val="16"/>
                <w:lang w:val="en-GB" w:eastAsia="hu-HU"/>
              </w:rPr>
              <w:t xml:space="preserve"> in the form of an action or objective of the NAS/NAP, without spatial references</w:t>
            </w:r>
            <w:r w:rsidR="00706F32" w:rsidRPr="0002056A">
              <w:rPr>
                <w:rFonts w:ascii="Georgia" w:eastAsia="Times New Roman" w:hAnsi="Georgia" w:cs="Times New Roman"/>
                <w:i/>
                <w:color w:val="000000"/>
                <w:sz w:val="16"/>
                <w:szCs w:val="16"/>
                <w:lang w:val="en-GB" w:eastAsia="hu-HU"/>
              </w:rPr>
              <w:t>.</w:t>
            </w:r>
          </w:p>
        </w:tc>
        <w:tc>
          <w:tcPr>
            <w:tcW w:w="2409" w:type="dxa"/>
          </w:tcPr>
          <w:p w14:paraId="22D66091" w14:textId="4C2CCC7C"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monitoring system exists in adaptation anyway.</w:t>
            </w:r>
          </w:p>
        </w:tc>
      </w:tr>
      <w:tr w:rsidR="00706F32" w:rsidRPr="0002056A" w14:paraId="6FFC8206"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6DDBD4FA"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25867089" w14:textId="22E0F298"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content of adaptation indicator sets</w:t>
            </w:r>
          </w:p>
        </w:tc>
        <w:tc>
          <w:tcPr>
            <w:tcW w:w="3827" w:type="dxa"/>
          </w:tcPr>
          <w:p w14:paraId="6657ADCC"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3197F909" w14:textId="5C6ABF0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are both impact/result and output indicator sets</w:t>
            </w:r>
            <w:r w:rsidR="007C74BA" w:rsidRPr="0002056A">
              <w:rPr>
                <w:rFonts w:ascii="Georgia" w:eastAsia="Times New Roman" w:hAnsi="Georgia" w:cs="Times New Roman"/>
                <w:i/>
                <w:color w:val="000000"/>
                <w:sz w:val="16"/>
                <w:szCs w:val="16"/>
                <w:lang w:val="en-GB" w:eastAsia="hu-HU"/>
              </w:rPr>
              <w:t xml:space="preserve"> in adaptation</w:t>
            </w:r>
            <w:r w:rsidRPr="0002056A">
              <w:rPr>
                <w:rFonts w:ascii="Georgia" w:eastAsia="Times New Roman" w:hAnsi="Georgia" w:cs="Times New Roman"/>
                <w:i/>
                <w:color w:val="000000"/>
                <w:sz w:val="16"/>
                <w:szCs w:val="16"/>
                <w:lang w:val="en-GB" w:eastAsia="hu-HU"/>
              </w:rPr>
              <w:t>, concentrating</w:t>
            </w:r>
            <w:r w:rsidR="007C74BA"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 xml:space="preserve">among other things on special geographic areas / regions / administrative units. </w:t>
            </w:r>
          </w:p>
        </w:tc>
        <w:tc>
          <w:tcPr>
            <w:tcW w:w="2977" w:type="dxa"/>
          </w:tcPr>
          <w:p w14:paraId="2E3989C4" w14:textId="2489A14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There are lower-level objective-related impact/result indicators (and possibly output indicators), but n</w:t>
            </w:r>
            <w:r w:rsidR="007C74BA" w:rsidRPr="0002056A">
              <w:rPr>
                <w:rFonts w:ascii="Georgia" w:eastAsia="Times New Roman" w:hAnsi="Georgia" w:cs="Times New Roman"/>
                <w:i/>
                <w:color w:val="000000"/>
                <w:sz w:val="16"/>
                <w:szCs w:val="16"/>
                <w:lang w:val="en-GB" w:eastAsia="hu-HU"/>
              </w:rPr>
              <w:t>either</w:t>
            </w:r>
            <w:r w:rsidRPr="0002056A">
              <w:rPr>
                <w:rFonts w:ascii="Georgia" w:eastAsia="Times New Roman" w:hAnsi="Georgia" w:cs="Times New Roman"/>
                <w:i/>
                <w:color w:val="000000"/>
                <w:sz w:val="16"/>
                <w:szCs w:val="16"/>
                <w:lang w:val="en-GB" w:eastAsia="hu-HU"/>
              </w:rPr>
              <w:t xml:space="preserve"> territorial breakdown nor any geographic/regional specification can be identified.</w:t>
            </w:r>
          </w:p>
        </w:tc>
        <w:tc>
          <w:tcPr>
            <w:tcW w:w="2835" w:type="dxa"/>
          </w:tcPr>
          <w:p w14:paraId="7066E038" w14:textId="04597D1E" w:rsidR="00706F32" w:rsidRPr="0002056A" w:rsidRDefault="000F50B9"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Mostly</w:t>
            </w:r>
            <w:r w:rsidR="00706F32" w:rsidRPr="0002056A">
              <w:rPr>
                <w:rFonts w:ascii="Georgia" w:eastAsia="Times New Roman" w:hAnsi="Georgia" w:cs="Times New Roman"/>
                <w:i/>
                <w:color w:val="000000"/>
                <w:sz w:val="16"/>
                <w:szCs w:val="16"/>
                <w:lang w:val="en-GB" w:eastAsia="hu-HU"/>
              </w:rPr>
              <w:t xml:space="preserve"> output indicators are gathered in the indicator system, (at maximum few result indicators exist related to specific objectives) without spatial focus; or the indicator system is just under planning.</w:t>
            </w:r>
          </w:p>
        </w:tc>
        <w:tc>
          <w:tcPr>
            <w:tcW w:w="2409" w:type="dxa"/>
          </w:tcPr>
          <w:p w14:paraId="35B4B124" w14:textId="64710D2B"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adaptation indicator system is present in the country.</w:t>
            </w:r>
          </w:p>
        </w:tc>
      </w:tr>
      <w:tr w:rsidR="00706F32" w:rsidRPr="0002056A" w14:paraId="4080128B"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3672AEDC"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68AB0C8E" w14:textId="3F57A7DC"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Presence of GIS- based DS system(s) in adaptation planning</w:t>
            </w:r>
          </w:p>
        </w:tc>
        <w:tc>
          <w:tcPr>
            <w:tcW w:w="3827" w:type="dxa"/>
          </w:tcPr>
          <w:p w14:paraId="16AEED66"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050D8D3D" w14:textId="72C5E4C5"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There is a functioning adaptation-oriented multi-thematic GIS-based </w:t>
            </w:r>
            <w:r w:rsidR="000F50B9" w:rsidRPr="0002056A">
              <w:rPr>
                <w:rFonts w:ascii="Georgia" w:eastAsia="Times New Roman" w:hAnsi="Georgia" w:cs="Times New Roman"/>
                <w:i/>
                <w:color w:val="000000"/>
                <w:sz w:val="16"/>
                <w:szCs w:val="16"/>
                <w:lang w:val="en-GB" w:eastAsia="hu-HU"/>
              </w:rPr>
              <w:t>decision support (</w:t>
            </w:r>
            <w:r w:rsidRPr="0002056A">
              <w:rPr>
                <w:rFonts w:ascii="Georgia" w:eastAsia="Times New Roman" w:hAnsi="Georgia" w:cs="Times New Roman"/>
                <w:i/>
                <w:color w:val="000000"/>
                <w:sz w:val="16"/>
                <w:szCs w:val="16"/>
                <w:lang w:val="en-GB" w:eastAsia="hu-HU"/>
              </w:rPr>
              <w:t>DS</w:t>
            </w:r>
            <w:r w:rsidR="000F50B9"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tool in the country. </w:t>
            </w:r>
          </w:p>
        </w:tc>
        <w:tc>
          <w:tcPr>
            <w:tcW w:w="2977" w:type="dxa"/>
          </w:tcPr>
          <w:p w14:paraId="73F014FB" w14:textId="64440997"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Adaptation-</w:t>
            </w:r>
            <w:r w:rsidR="000F50B9" w:rsidRPr="0002056A">
              <w:rPr>
                <w:rFonts w:ascii="Georgia" w:eastAsia="Times New Roman" w:hAnsi="Georgia" w:cs="Times New Roman"/>
                <w:i/>
                <w:color w:val="000000"/>
                <w:sz w:val="16"/>
                <w:szCs w:val="16"/>
                <w:lang w:val="en-GB" w:eastAsia="hu-HU"/>
              </w:rPr>
              <w:t>o</w:t>
            </w:r>
            <w:r w:rsidRPr="0002056A">
              <w:rPr>
                <w:rFonts w:ascii="Georgia" w:eastAsia="Times New Roman" w:hAnsi="Georgia" w:cs="Times New Roman"/>
                <w:i/>
                <w:color w:val="000000"/>
                <w:sz w:val="16"/>
                <w:szCs w:val="16"/>
                <w:lang w:val="en-GB" w:eastAsia="hu-HU"/>
              </w:rPr>
              <w:t>riented thematic GIS-based DS tool</w:t>
            </w:r>
            <w:r w:rsidR="000A7A79"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 xml:space="preserve">is planned in the form of an action or objective in the NAS/NAP or a functioning </w:t>
            </w:r>
            <w:r w:rsidR="0002441B">
              <w:rPr>
                <w:rFonts w:ascii="Georgia" w:eastAsia="Times New Roman" w:hAnsi="Georgia" w:cs="Times New Roman"/>
                <w:i/>
                <w:color w:val="000000"/>
                <w:sz w:val="16"/>
                <w:szCs w:val="16"/>
                <w:lang w:val="en-GB" w:eastAsia="hu-HU"/>
              </w:rPr>
              <w:t>system</w:t>
            </w:r>
            <w:r w:rsidRPr="0002056A">
              <w:rPr>
                <w:rFonts w:ascii="Georgia" w:eastAsia="Times New Roman" w:hAnsi="Georgia" w:cs="Times New Roman"/>
                <w:i/>
                <w:color w:val="000000"/>
                <w:sz w:val="16"/>
                <w:szCs w:val="16"/>
                <w:lang w:val="en-GB" w:eastAsia="hu-HU"/>
              </w:rPr>
              <w:t xml:space="preserve"> concentrates only on climatic data.</w:t>
            </w:r>
          </w:p>
        </w:tc>
        <w:tc>
          <w:tcPr>
            <w:tcW w:w="2835" w:type="dxa"/>
          </w:tcPr>
          <w:p w14:paraId="5C61C762" w14:textId="51436FF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Adaptation knowledge base website exists in the country</w:t>
            </w:r>
            <w:r w:rsidR="000A7A79"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or several sectora</w:t>
            </w:r>
            <w:r w:rsidR="00877BCB" w:rsidRPr="0002056A">
              <w:rPr>
                <w:rFonts w:ascii="Georgia" w:eastAsia="Times New Roman" w:hAnsi="Georgia" w:cs="Times New Roman"/>
                <w:i/>
                <w:color w:val="000000"/>
                <w:sz w:val="16"/>
                <w:szCs w:val="16"/>
                <w:lang w:val="en-GB" w:eastAsia="hu-HU"/>
              </w:rPr>
              <w:t>l</w:t>
            </w:r>
            <w:r w:rsidRPr="0002056A">
              <w:rPr>
                <w:rFonts w:ascii="Georgia" w:eastAsia="Times New Roman" w:hAnsi="Georgia" w:cs="Times New Roman"/>
                <w:i/>
                <w:color w:val="000000"/>
                <w:sz w:val="16"/>
                <w:szCs w:val="16"/>
                <w:lang w:val="en-GB" w:eastAsia="hu-HU"/>
              </w:rPr>
              <w:t xml:space="preserve"> websites are functioning /planned but without signs of GIS/DS functions.</w:t>
            </w:r>
          </w:p>
        </w:tc>
        <w:tc>
          <w:tcPr>
            <w:tcW w:w="2409" w:type="dxa"/>
          </w:tcPr>
          <w:p w14:paraId="2E2AF184" w14:textId="7762D51E"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Neither thematic GIS-based DS tools nor climate adaptation websites are present in the country.</w:t>
            </w:r>
          </w:p>
        </w:tc>
      </w:tr>
      <w:tr w:rsidR="00706F32" w:rsidRPr="0002056A" w14:paraId="483911BE"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4E39CC33"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1A5BA53C" w14:textId="5498A380"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The degree of spatial content in adaptation evaluations</w:t>
            </w:r>
          </w:p>
        </w:tc>
        <w:tc>
          <w:tcPr>
            <w:tcW w:w="3827" w:type="dxa"/>
          </w:tcPr>
          <w:p w14:paraId="07B2E4B4"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48DEBE12" w14:textId="36F7D125"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Explicitly (in some cases even in their title) geographically/spatially oriented evaluation products</w:t>
            </w:r>
            <w:r w:rsidR="005F26F2" w:rsidRPr="0002056A">
              <w:rPr>
                <w:rFonts w:ascii="Georgia" w:eastAsia="Times New Roman" w:hAnsi="Georgia" w:cs="Times New Roman"/>
                <w:i/>
                <w:color w:val="000000"/>
                <w:sz w:val="16"/>
                <w:szCs w:val="16"/>
                <w:lang w:val="en-GB" w:eastAsia="hu-HU"/>
              </w:rPr>
              <w:t xml:space="preserve"> (</w:t>
            </w:r>
            <w:r w:rsidRPr="0002056A">
              <w:rPr>
                <w:rFonts w:ascii="Georgia" w:eastAsia="Times New Roman" w:hAnsi="Georgia" w:cs="Times New Roman"/>
                <w:i/>
                <w:color w:val="000000"/>
                <w:sz w:val="16"/>
                <w:szCs w:val="16"/>
                <w:lang w:val="en-GB" w:eastAsia="hu-HU"/>
              </w:rPr>
              <w:t>rich in spatial chapters, analytical aspects, evaluation questions</w:t>
            </w:r>
            <w:r w:rsidR="005F26F2" w:rsidRPr="0002056A">
              <w:rPr>
                <w:rFonts w:ascii="Georgia" w:eastAsia="Times New Roman" w:hAnsi="Georgia" w:cs="Times New Roman"/>
                <w:i/>
                <w:color w:val="000000"/>
                <w:sz w:val="16"/>
                <w:szCs w:val="16"/>
                <w:lang w:val="en-GB" w:eastAsia="hu-HU"/>
              </w:rPr>
              <w:t>)</w:t>
            </w:r>
            <w:r w:rsidRPr="0002056A">
              <w:rPr>
                <w:rFonts w:ascii="Georgia" w:eastAsia="Times New Roman" w:hAnsi="Georgia" w:cs="Times New Roman"/>
                <w:i/>
                <w:color w:val="000000"/>
                <w:sz w:val="16"/>
                <w:szCs w:val="16"/>
                <w:lang w:val="en-GB" w:eastAsia="hu-HU"/>
              </w:rPr>
              <w:t xml:space="preserve"> exist in the country. </w:t>
            </w:r>
          </w:p>
        </w:tc>
        <w:tc>
          <w:tcPr>
            <w:tcW w:w="2977" w:type="dxa"/>
          </w:tcPr>
          <w:p w14:paraId="242E9920" w14:textId="2F31851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Large number of adaptation-oriented evaluation products exists, within an established system but with minor or no spatial content.</w:t>
            </w:r>
          </w:p>
        </w:tc>
        <w:tc>
          <w:tcPr>
            <w:tcW w:w="2835" w:type="dxa"/>
          </w:tcPr>
          <w:p w14:paraId="2AB51946" w14:textId="36A4D9BA"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Only 1 NAS evaluation is available without or with minor spatiality; or only the NAS/NAP aims the setting up of an evaluation system or elaboration of </w:t>
            </w:r>
            <w:r w:rsidR="00806434" w:rsidRPr="0002056A">
              <w:rPr>
                <w:rFonts w:ascii="Georgia" w:eastAsia="Times New Roman" w:hAnsi="Georgia" w:cs="Times New Roman"/>
                <w:i/>
                <w:color w:val="000000"/>
                <w:sz w:val="16"/>
                <w:szCs w:val="16"/>
                <w:lang w:val="en-GB" w:eastAsia="hu-HU"/>
              </w:rPr>
              <w:t>assessments,</w:t>
            </w:r>
            <w:r w:rsidRPr="0002056A">
              <w:rPr>
                <w:rFonts w:ascii="Georgia" w:eastAsia="Times New Roman" w:hAnsi="Georgia" w:cs="Times New Roman"/>
                <w:i/>
                <w:color w:val="000000"/>
                <w:sz w:val="16"/>
                <w:szCs w:val="16"/>
                <w:lang w:val="en-GB" w:eastAsia="hu-HU"/>
              </w:rPr>
              <w:t xml:space="preserve"> but no evaluation products is available in practice yet.</w:t>
            </w:r>
          </w:p>
        </w:tc>
        <w:tc>
          <w:tcPr>
            <w:tcW w:w="2409" w:type="dxa"/>
          </w:tcPr>
          <w:p w14:paraId="00975233" w14:textId="19F6741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Neither the NAS/NAP mentions evaluations, nor any assessment documents are available.</w:t>
            </w:r>
          </w:p>
        </w:tc>
      </w:tr>
      <w:tr w:rsidR="00706F32" w:rsidRPr="0002056A" w14:paraId="504B4989" w14:textId="77777777" w:rsidTr="000F6837">
        <w:trPr>
          <w:jc w:val="center"/>
        </w:trPr>
        <w:tc>
          <w:tcPr>
            <w:tcW w:w="993" w:type="dxa"/>
            <w:vMerge/>
            <w:tcBorders>
              <w:left w:val="single" w:sz="8" w:space="0" w:color="auto"/>
              <w:right w:val="single" w:sz="4" w:space="0" w:color="auto"/>
            </w:tcBorders>
            <w:shd w:val="clear" w:color="auto" w:fill="C5E0B3" w:themeFill="accent6" w:themeFillTint="66"/>
            <w:textDirection w:val="btLr"/>
            <w:vAlign w:val="center"/>
          </w:tcPr>
          <w:p w14:paraId="05A4F665"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248D29FB" w14:textId="713E1136"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visualization in adaptation evaluations</w:t>
            </w:r>
          </w:p>
        </w:tc>
        <w:tc>
          <w:tcPr>
            <w:tcW w:w="3827" w:type="dxa"/>
          </w:tcPr>
          <w:p w14:paraId="7CE76A57"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5297CE30" w14:textId="64969140"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Consequent and frequent emergence of explicitly geographically oriented maps or diagrams</w:t>
            </w:r>
            <w:r w:rsidR="000F6837" w:rsidRPr="0002056A">
              <w:rPr>
                <w:rFonts w:ascii="Georgia" w:eastAsia="Times New Roman" w:hAnsi="Georgia" w:cs="Times New Roman"/>
                <w:i/>
                <w:color w:val="000000"/>
                <w:sz w:val="16"/>
                <w:szCs w:val="16"/>
                <w:lang w:val="en-GB" w:eastAsia="hu-HU"/>
              </w:rPr>
              <w:t xml:space="preserve"> or</w:t>
            </w:r>
            <w:r w:rsidRPr="0002056A">
              <w:rPr>
                <w:rFonts w:ascii="Georgia" w:eastAsia="Times New Roman" w:hAnsi="Georgia" w:cs="Times New Roman"/>
                <w:i/>
                <w:color w:val="000000"/>
                <w:sz w:val="16"/>
                <w:szCs w:val="16"/>
                <w:lang w:val="en-GB" w:eastAsia="hu-HU"/>
              </w:rPr>
              <w:t xml:space="preserve"> info graphs can be detected in the evaluation product(s). </w:t>
            </w:r>
          </w:p>
          <w:p w14:paraId="569038E1" w14:textId="5FFCB63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p>
        </w:tc>
        <w:tc>
          <w:tcPr>
            <w:tcW w:w="2977" w:type="dxa"/>
          </w:tcPr>
          <w:p w14:paraId="75E30081" w14:textId="462072E8"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scarce use of geographically oriented maps or diagrams or info graphs can be detected in the evaluation product(s).</w:t>
            </w:r>
          </w:p>
        </w:tc>
        <w:tc>
          <w:tcPr>
            <w:tcW w:w="2835" w:type="dxa"/>
          </w:tcPr>
          <w:p w14:paraId="20973CDE" w14:textId="1115A766"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Only </w:t>
            </w:r>
            <w:r w:rsidR="000878D2" w:rsidRPr="0002056A">
              <w:rPr>
                <w:rFonts w:ascii="Georgia" w:eastAsia="Times New Roman" w:hAnsi="Georgia" w:cs="Times New Roman"/>
                <w:i/>
                <w:color w:val="000000"/>
                <w:sz w:val="16"/>
                <w:szCs w:val="16"/>
                <w:lang w:val="en-GB" w:eastAsia="hu-HU"/>
              </w:rPr>
              <w:t xml:space="preserve">scattered </w:t>
            </w:r>
            <w:r w:rsidRPr="0002056A">
              <w:rPr>
                <w:rFonts w:ascii="Georgia" w:eastAsia="Times New Roman" w:hAnsi="Georgia" w:cs="Times New Roman"/>
                <w:i/>
                <w:color w:val="000000"/>
                <w:sz w:val="16"/>
                <w:szCs w:val="16"/>
                <w:lang w:val="en-GB" w:eastAsia="hu-HU"/>
              </w:rPr>
              <w:t>diagrams or photos indicating spatial issues emerge in the evaluation documents</w:t>
            </w:r>
            <w:r w:rsidR="000878D2" w:rsidRPr="0002056A">
              <w:rPr>
                <w:rFonts w:ascii="Georgia" w:eastAsia="Times New Roman" w:hAnsi="Georgia" w:cs="Times New Roman"/>
                <w:i/>
                <w:color w:val="000000"/>
                <w:sz w:val="16"/>
                <w:szCs w:val="16"/>
                <w:lang w:val="en-GB" w:eastAsia="hu-HU"/>
              </w:rPr>
              <w:t>.</w:t>
            </w:r>
          </w:p>
        </w:tc>
        <w:tc>
          <w:tcPr>
            <w:tcW w:w="2409" w:type="dxa"/>
          </w:tcPr>
          <w:p w14:paraId="6506C89E" w14:textId="6278595F"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use of these tools is detected.</w:t>
            </w:r>
          </w:p>
        </w:tc>
      </w:tr>
      <w:tr w:rsidR="00706F32" w:rsidRPr="0002056A" w14:paraId="2FF34583" w14:textId="77777777" w:rsidTr="000F6837">
        <w:trPr>
          <w:jc w:val="center"/>
        </w:trPr>
        <w:tc>
          <w:tcPr>
            <w:tcW w:w="993" w:type="dxa"/>
            <w:vMerge/>
            <w:tcBorders>
              <w:left w:val="single" w:sz="8" w:space="0" w:color="auto"/>
              <w:bottom w:val="single" w:sz="4" w:space="0" w:color="auto"/>
              <w:right w:val="single" w:sz="4" w:space="0" w:color="auto"/>
            </w:tcBorders>
            <w:shd w:val="clear" w:color="auto" w:fill="C5E0B3" w:themeFill="accent6" w:themeFillTint="66"/>
            <w:textDirection w:val="btLr"/>
            <w:vAlign w:val="center"/>
          </w:tcPr>
          <w:p w14:paraId="01871551" w14:textId="77777777"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36498504" w14:textId="7F56F4B9"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Spatial levels of adaptation evaluation</w:t>
            </w:r>
          </w:p>
        </w:tc>
        <w:tc>
          <w:tcPr>
            <w:tcW w:w="3827" w:type="dxa"/>
          </w:tcPr>
          <w:p w14:paraId="70F56FE5"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p>
          <w:p w14:paraId="33CEC179" w14:textId="77777777" w:rsidR="00706F32" w:rsidRPr="0002056A" w:rsidRDefault="00706F32" w:rsidP="00706F32">
            <w:pPr>
              <w:spacing w:after="0" w:line="240" w:lineRule="auto"/>
              <w:jc w:val="both"/>
              <w:rPr>
                <w:rFonts w:ascii="Georgia" w:eastAsia="Times New Roman" w:hAnsi="Georgia" w:cs="Times New Roman"/>
                <w:i/>
                <w:color w:val="000000"/>
                <w:sz w:val="16"/>
                <w:szCs w:val="16"/>
                <w:lang w:val="en-GB" w:eastAsia="hu-HU"/>
              </w:rPr>
            </w:pPr>
            <w:r w:rsidRPr="0002056A">
              <w:rPr>
                <w:rFonts w:ascii="Georgia" w:eastAsia="Times New Roman" w:hAnsi="Georgia" w:cs="Times New Roman"/>
                <w:i/>
                <w:color w:val="000000"/>
                <w:sz w:val="16"/>
                <w:szCs w:val="16"/>
                <w:lang w:val="en-GB" w:eastAsia="hu-HU"/>
              </w:rPr>
              <w:t>Explicitly spatially oriented evaluation reports in adaptation at subnational and local levels exist, and the NAS/NAP refers to these.</w:t>
            </w:r>
          </w:p>
          <w:p w14:paraId="3D80B3F6" w14:textId="12D295F0"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 </w:t>
            </w:r>
          </w:p>
        </w:tc>
        <w:tc>
          <w:tcPr>
            <w:tcW w:w="2977" w:type="dxa"/>
          </w:tcPr>
          <w:p w14:paraId="0D84AA94" w14:textId="60DF85B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Only national level evaluation(s) exist but the NAS/NAP plan to elaborate evaluation reports at lower spatial levels, but no evaluation products are available in practice yet.</w:t>
            </w:r>
          </w:p>
        </w:tc>
        <w:tc>
          <w:tcPr>
            <w:tcW w:w="2835" w:type="dxa"/>
          </w:tcPr>
          <w:p w14:paraId="3590AACF" w14:textId="138CC7A3"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 xml:space="preserve">Only national level evaluations exist in the country, but no </w:t>
            </w:r>
            <w:r w:rsidR="00216AD0" w:rsidRPr="0002056A">
              <w:rPr>
                <w:rFonts w:ascii="Georgia" w:eastAsia="Times New Roman" w:hAnsi="Georgia" w:cs="Times New Roman"/>
                <w:i/>
                <w:color w:val="000000"/>
                <w:sz w:val="16"/>
                <w:szCs w:val="16"/>
                <w:lang w:val="en-GB" w:eastAsia="hu-HU"/>
              </w:rPr>
              <w:t>comprehensive</w:t>
            </w:r>
            <w:r w:rsidRPr="0002056A">
              <w:rPr>
                <w:rFonts w:ascii="Georgia" w:eastAsia="Times New Roman" w:hAnsi="Georgia" w:cs="Times New Roman"/>
                <w:i/>
                <w:color w:val="000000"/>
                <w:sz w:val="16"/>
                <w:szCs w:val="16"/>
                <w:lang w:val="en-GB" w:eastAsia="hu-HU"/>
              </w:rPr>
              <w:t xml:space="preserve"> evaluation system is planned.</w:t>
            </w:r>
          </w:p>
        </w:tc>
        <w:tc>
          <w:tcPr>
            <w:tcW w:w="2409" w:type="dxa"/>
          </w:tcPr>
          <w:p w14:paraId="09F5A623" w14:textId="12CE14C1" w:rsidR="00706F32" w:rsidRPr="0002056A" w:rsidRDefault="00706F32" w:rsidP="00706F32">
            <w:pPr>
              <w:spacing w:after="0" w:line="240" w:lineRule="auto"/>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i/>
                <w:color w:val="000000"/>
                <w:sz w:val="16"/>
                <w:szCs w:val="16"/>
                <w:lang w:val="en-GB" w:eastAsia="hu-HU"/>
              </w:rPr>
              <w:t>No evaluations are available.</w:t>
            </w:r>
          </w:p>
        </w:tc>
      </w:tr>
      <w:tr w:rsidR="00706F32" w:rsidRPr="0002056A" w14:paraId="242EE74E" w14:textId="77777777" w:rsidTr="000F6837">
        <w:trPr>
          <w:trHeight w:val="1899"/>
          <w:jc w:val="center"/>
        </w:trPr>
        <w:tc>
          <w:tcPr>
            <w:tcW w:w="993" w:type="dxa"/>
            <w:vMerge w:val="restart"/>
            <w:tcBorders>
              <w:top w:val="nil"/>
              <w:left w:val="single" w:sz="8" w:space="0" w:color="auto"/>
              <w:bottom w:val="single" w:sz="8" w:space="0" w:color="000000"/>
              <w:right w:val="single" w:sz="4" w:space="0" w:color="auto"/>
            </w:tcBorders>
            <w:shd w:val="clear" w:color="auto" w:fill="C5E0B3" w:themeFill="accent6" w:themeFillTint="66"/>
            <w:textDirection w:val="btLr"/>
            <w:vAlign w:val="center"/>
          </w:tcPr>
          <w:p w14:paraId="456A873D" w14:textId="312B50AB" w:rsidR="00706F32" w:rsidRPr="0002056A" w:rsidRDefault="00706F32" w:rsidP="00706F32">
            <w:pPr>
              <w:spacing w:after="0" w:line="240" w:lineRule="auto"/>
              <w:ind w:left="113" w:right="113"/>
              <w:jc w:val="center"/>
              <w:rPr>
                <w:rFonts w:ascii="Georgia" w:eastAsia="Times New Roman" w:hAnsi="Georgia" w:cs="Times New Roman"/>
                <w:color w:val="000000"/>
                <w:sz w:val="20"/>
                <w:szCs w:val="20"/>
                <w:lang w:val="en-GB" w:eastAsia="hu-HU"/>
              </w:rPr>
            </w:pPr>
            <w:r w:rsidRPr="0002056A">
              <w:rPr>
                <w:rFonts w:ascii="Georgia" w:eastAsia="Times New Roman" w:hAnsi="Georgia" w:cs="Calibri"/>
                <w:b/>
                <w:bCs/>
                <w:color w:val="000000"/>
                <w:sz w:val="18"/>
                <w:szCs w:val="18"/>
                <w:lang w:val="en-GB" w:eastAsia="hu-HU"/>
              </w:rPr>
              <w:t>Spatial policy considerations in adaptation planning</w:t>
            </w:r>
          </w:p>
        </w:tc>
        <w:tc>
          <w:tcPr>
            <w:tcW w:w="1696" w:type="dxa"/>
            <w:tcBorders>
              <w:top w:val="nil"/>
              <w:left w:val="nil"/>
              <w:bottom w:val="single" w:sz="4" w:space="0" w:color="auto"/>
              <w:right w:val="single" w:sz="4" w:space="0" w:color="auto"/>
            </w:tcBorders>
            <w:vAlign w:val="center"/>
          </w:tcPr>
          <w:p w14:paraId="22D30328" w14:textId="3A8B7C23"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Consideration of national spatial policy objectives in NAS documents</w:t>
            </w:r>
          </w:p>
        </w:tc>
        <w:tc>
          <w:tcPr>
            <w:tcW w:w="3827" w:type="dxa"/>
          </w:tcPr>
          <w:p w14:paraId="653DE534"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10B7E9EC"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142CE0C3" w14:textId="128EF0C8"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All or almost all of the then-current national spatial policy objectives emerge explicitly (in nominated form) in the documents’ vision / objective system / measures. </w:t>
            </w:r>
          </w:p>
        </w:tc>
        <w:tc>
          <w:tcPr>
            <w:tcW w:w="2977" w:type="dxa"/>
          </w:tcPr>
          <w:p w14:paraId="5DAF9973"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18B75A68" w14:textId="378D38FA"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Majority of objectives/priorities of the then-current national spatial development directions identified in national spatial or regional development concepts is present among the </w:t>
            </w:r>
            <w:r w:rsidR="006C5682" w:rsidRPr="0002056A">
              <w:rPr>
                <w:rFonts w:ascii="Georgia" w:eastAsia="Times New Roman" w:hAnsi="Georgia" w:cs="Times New Roman"/>
                <w:i/>
                <w:sz w:val="16"/>
                <w:szCs w:val="16"/>
                <w:lang w:val="en-GB" w:eastAsia="hu-HU"/>
              </w:rPr>
              <w:t xml:space="preserve">adaptation policy </w:t>
            </w:r>
            <w:r w:rsidRPr="0002056A">
              <w:rPr>
                <w:rFonts w:ascii="Georgia" w:eastAsia="Times New Roman" w:hAnsi="Georgia" w:cs="Times New Roman"/>
                <w:i/>
                <w:sz w:val="16"/>
                <w:szCs w:val="16"/>
                <w:lang w:val="en-GB" w:eastAsia="hu-HU"/>
              </w:rPr>
              <w:t>objectives/measures, in titles or in the text</w:t>
            </w:r>
            <w:r w:rsidR="006C5682" w:rsidRPr="0002056A">
              <w:rPr>
                <w:rFonts w:ascii="Georgia" w:eastAsia="Times New Roman" w:hAnsi="Georgia" w:cs="Times New Roman"/>
                <w:i/>
                <w:sz w:val="16"/>
                <w:szCs w:val="16"/>
                <w:lang w:val="en-GB" w:eastAsia="hu-HU"/>
              </w:rPr>
              <w:t>ual part</w:t>
            </w:r>
            <w:r w:rsidRPr="0002056A">
              <w:rPr>
                <w:rFonts w:ascii="Georgia" w:eastAsia="Times New Roman" w:hAnsi="Georgia" w:cs="Times New Roman"/>
                <w:i/>
                <w:sz w:val="16"/>
                <w:szCs w:val="16"/>
                <w:lang w:val="en-GB" w:eastAsia="hu-HU"/>
              </w:rPr>
              <w:t>s.</w:t>
            </w:r>
          </w:p>
        </w:tc>
        <w:tc>
          <w:tcPr>
            <w:tcW w:w="2835" w:type="dxa"/>
          </w:tcPr>
          <w:p w14:paraId="48DE6039"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4D13F8C9" w14:textId="17DDB8D6"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Only a minority of objectives/priorities of the then-current national spatial development directions identified in national spatial or regional development concepts is present among the </w:t>
            </w:r>
            <w:r w:rsidR="006C5682" w:rsidRPr="0002056A">
              <w:rPr>
                <w:rFonts w:ascii="Georgia" w:eastAsia="Times New Roman" w:hAnsi="Georgia" w:cs="Times New Roman"/>
                <w:i/>
                <w:sz w:val="16"/>
                <w:szCs w:val="16"/>
                <w:lang w:val="en-GB" w:eastAsia="hu-HU"/>
              </w:rPr>
              <w:t xml:space="preserve">adaptation policy </w:t>
            </w:r>
            <w:r w:rsidRPr="0002056A">
              <w:rPr>
                <w:rFonts w:ascii="Georgia" w:eastAsia="Times New Roman" w:hAnsi="Georgia" w:cs="Times New Roman"/>
                <w:i/>
                <w:sz w:val="16"/>
                <w:szCs w:val="16"/>
                <w:lang w:val="en-GB" w:eastAsia="hu-HU"/>
              </w:rPr>
              <w:t>objectives/measures, in titles or in the texts.</w:t>
            </w:r>
          </w:p>
        </w:tc>
        <w:tc>
          <w:tcPr>
            <w:tcW w:w="2409" w:type="dxa"/>
          </w:tcPr>
          <w:p w14:paraId="20839431"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04665385"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382880D6"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123C08EB" w14:textId="649EB8E8"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None of the then-current national spatial policy objectives emerge in the NAS.</w:t>
            </w:r>
          </w:p>
        </w:tc>
      </w:tr>
      <w:tr w:rsidR="00706F32" w:rsidRPr="0002056A" w14:paraId="4BF6B3E6" w14:textId="77777777" w:rsidTr="000F6837">
        <w:trPr>
          <w:jc w:val="center"/>
        </w:trPr>
        <w:tc>
          <w:tcPr>
            <w:tcW w:w="993" w:type="dxa"/>
            <w:vMerge/>
            <w:tcBorders>
              <w:top w:val="nil"/>
              <w:left w:val="single" w:sz="8" w:space="0" w:color="auto"/>
              <w:bottom w:val="single" w:sz="8" w:space="0" w:color="000000"/>
              <w:right w:val="single" w:sz="4" w:space="0" w:color="auto"/>
            </w:tcBorders>
            <w:shd w:val="clear" w:color="auto" w:fill="C5E0B3" w:themeFill="accent6" w:themeFillTint="66"/>
            <w:vAlign w:val="center"/>
          </w:tcPr>
          <w:p w14:paraId="1BE27474" w14:textId="77777777"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p>
        </w:tc>
        <w:tc>
          <w:tcPr>
            <w:tcW w:w="1696" w:type="dxa"/>
            <w:tcBorders>
              <w:top w:val="nil"/>
              <w:left w:val="nil"/>
              <w:bottom w:val="single" w:sz="4" w:space="0" w:color="auto"/>
              <w:right w:val="single" w:sz="4" w:space="0" w:color="auto"/>
            </w:tcBorders>
            <w:vAlign w:val="center"/>
          </w:tcPr>
          <w:p w14:paraId="599A4454" w14:textId="16F34626"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Consideration of European regional development policy objectives in NAS documents</w:t>
            </w:r>
          </w:p>
        </w:tc>
        <w:tc>
          <w:tcPr>
            <w:tcW w:w="3827" w:type="dxa"/>
          </w:tcPr>
          <w:p w14:paraId="0E3C4194" w14:textId="1E74B7C5"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All or almost all of the European regional development objectives from the then-current TA emerge explicitly </w:t>
            </w:r>
            <w:r w:rsidR="00867310" w:rsidRPr="0002056A">
              <w:rPr>
                <w:rFonts w:ascii="Georgia" w:eastAsia="Times New Roman" w:hAnsi="Georgia" w:cs="Times New Roman"/>
                <w:i/>
                <w:sz w:val="16"/>
                <w:szCs w:val="16"/>
                <w:lang w:val="en-GB" w:eastAsia="hu-HU"/>
              </w:rPr>
              <w:t>(</w:t>
            </w:r>
            <w:r w:rsidRPr="0002056A">
              <w:rPr>
                <w:rFonts w:ascii="Georgia" w:eastAsia="Times New Roman" w:hAnsi="Georgia" w:cs="Times New Roman"/>
                <w:i/>
                <w:sz w:val="16"/>
                <w:szCs w:val="16"/>
                <w:lang w:val="en-GB" w:eastAsia="hu-HU"/>
              </w:rPr>
              <w:t>in nominated form</w:t>
            </w:r>
            <w:r w:rsidR="00867310" w:rsidRPr="0002056A">
              <w:rPr>
                <w:rFonts w:ascii="Georgia" w:eastAsia="Times New Roman" w:hAnsi="Georgia" w:cs="Times New Roman"/>
                <w:i/>
                <w:sz w:val="16"/>
                <w:szCs w:val="16"/>
                <w:lang w:val="en-GB" w:eastAsia="hu-HU"/>
              </w:rPr>
              <w:t>)</w:t>
            </w:r>
            <w:r w:rsidRPr="0002056A">
              <w:rPr>
                <w:rFonts w:ascii="Georgia" w:eastAsia="Times New Roman" w:hAnsi="Georgia" w:cs="Times New Roman"/>
                <w:i/>
                <w:sz w:val="16"/>
                <w:szCs w:val="16"/>
                <w:lang w:val="en-GB" w:eastAsia="hu-HU"/>
              </w:rPr>
              <w:t xml:space="preserve"> in the documents’ vision / objective system / measures. </w:t>
            </w:r>
          </w:p>
        </w:tc>
        <w:tc>
          <w:tcPr>
            <w:tcW w:w="2977" w:type="dxa"/>
          </w:tcPr>
          <w:p w14:paraId="38AC964B" w14:textId="30D0C784"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M</w:t>
            </w:r>
            <w:r w:rsidR="00235C9E" w:rsidRPr="0002056A">
              <w:rPr>
                <w:rFonts w:ascii="Georgia" w:eastAsia="Times New Roman" w:hAnsi="Georgia" w:cs="Times New Roman"/>
                <w:i/>
                <w:sz w:val="16"/>
                <w:szCs w:val="16"/>
                <w:lang w:val="en-GB" w:eastAsia="hu-HU"/>
              </w:rPr>
              <w:t>ore than half</w:t>
            </w:r>
            <w:r w:rsidRPr="0002056A">
              <w:rPr>
                <w:rFonts w:ascii="Georgia" w:eastAsia="Times New Roman" w:hAnsi="Georgia" w:cs="Times New Roman"/>
                <w:i/>
                <w:sz w:val="16"/>
                <w:szCs w:val="16"/>
                <w:lang w:val="en-GB" w:eastAsia="hu-HU"/>
              </w:rPr>
              <w:t xml:space="preserve"> of </w:t>
            </w:r>
            <w:r w:rsidR="00235C9E" w:rsidRPr="0002056A">
              <w:rPr>
                <w:rFonts w:ascii="Georgia" w:eastAsia="Times New Roman" w:hAnsi="Georgia" w:cs="Times New Roman"/>
                <w:i/>
                <w:sz w:val="16"/>
                <w:szCs w:val="16"/>
                <w:lang w:val="en-GB" w:eastAsia="hu-HU"/>
              </w:rPr>
              <w:t xml:space="preserve">the </w:t>
            </w:r>
            <w:r w:rsidRPr="0002056A">
              <w:rPr>
                <w:rFonts w:ascii="Georgia" w:eastAsia="Times New Roman" w:hAnsi="Georgia" w:cs="Times New Roman"/>
                <w:i/>
                <w:sz w:val="16"/>
                <w:szCs w:val="16"/>
                <w:lang w:val="en-GB" w:eastAsia="hu-HU"/>
              </w:rPr>
              <w:t>European regional development objectives</w:t>
            </w:r>
            <w:r w:rsidRPr="0002056A" w:rsidDel="002F33AE">
              <w:rPr>
                <w:rFonts w:ascii="Georgia" w:eastAsia="Times New Roman" w:hAnsi="Georgia" w:cs="Times New Roman"/>
                <w:i/>
                <w:sz w:val="16"/>
                <w:szCs w:val="16"/>
                <w:lang w:val="en-GB" w:eastAsia="hu-HU"/>
              </w:rPr>
              <w:t xml:space="preserve"> </w:t>
            </w:r>
            <w:r w:rsidRPr="0002056A">
              <w:rPr>
                <w:rFonts w:ascii="Georgia" w:eastAsia="Times New Roman" w:hAnsi="Georgia" w:cs="Times New Roman"/>
                <w:i/>
                <w:sz w:val="16"/>
                <w:szCs w:val="16"/>
                <w:lang w:val="en-GB" w:eastAsia="hu-HU"/>
              </w:rPr>
              <w:t xml:space="preserve">/priorities (defined in the then-current Territorial Agenda of the EU) is present among the NAS objectives/measures, in titles or in the </w:t>
            </w:r>
            <w:r w:rsidR="00235C9E" w:rsidRPr="0002056A">
              <w:rPr>
                <w:rFonts w:ascii="Georgia" w:eastAsia="Times New Roman" w:hAnsi="Georgia" w:cs="Times New Roman"/>
                <w:i/>
                <w:sz w:val="16"/>
                <w:szCs w:val="16"/>
                <w:lang w:val="en-GB" w:eastAsia="hu-HU"/>
              </w:rPr>
              <w:t>textual parts</w:t>
            </w:r>
            <w:r w:rsidRPr="0002056A">
              <w:rPr>
                <w:rFonts w:ascii="Georgia" w:eastAsia="Times New Roman" w:hAnsi="Georgia" w:cs="Times New Roman"/>
                <w:i/>
                <w:sz w:val="16"/>
                <w:szCs w:val="16"/>
                <w:lang w:val="en-GB" w:eastAsia="hu-HU"/>
              </w:rPr>
              <w:t>.</w:t>
            </w:r>
          </w:p>
        </w:tc>
        <w:tc>
          <w:tcPr>
            <w:tcW w:w="2835" w:type="dxa"/>
          </w:tcPr>
          <w:p w14:paraId="500E98AE" w14:textId="5CA946DE"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Only a minority of European regional development objectives</w:t>
            </w:r>
            <w:r w:rsidRPr="0002056A" w:rsidDel="002F33AE">
              <w:rPr>
                <w:rFonts w:ascii="Georgia" w:eastAsia="Times New Roman" w:hAnsi="Georgia" w:cs="Times New Roman"/>
                <w:i/>
                <w:sz w:val="16"/>
                <w:szCs w:val="16"/>
                <w:lang w:val="en-GB" w:eastAsia="hu-HU"/>
              </w:rPr>
              <w:t xml:space="preserve"> </w:t>
            </w:r>
            <w:r w:rsidRPr="0002056A">
              <w:rPr>
                <w:rFonts w:ascii="Georgia" w:eastAsia="Times New Roman" w:hAnsi="Georgia" w:cs="Times New Roman"/>
                <w:i/>
                <w:sz w:val="16"/>
                <w:szCs w:val="16"/>
                <w:lang w:val="en-GB" w:eastAsia="hu-HU"/>
              </w:rPr>
              <w:t xml:space="preserve">/priorities (defined in the then-current Territorial Agenda of the EU) is present among the NAS objectives / measures, in titles or in the </w:t>
            </w:r>
            <w:r w:rsidR="00235C9E" w:rsidRPr="0002056A">
              <w:rPr>
                <w:rFonts w:ascii="Georgia" w:eastAsia="Times New Roman" w:hAnsi="Georgia" w:cs="Times New Roman"/>
                <w:i/>
                <w:sz w:val="16"/>
                <w:szCs w:val="16"/>
                <w:lang w:val="en-GB" w:eastAsia="hu-HU"/>
              </w:rPr>
              <w:t>textual parts</w:t>
            </w:r>
            <w:r w:rsidRPr="0002056A">
              <w:rPr>
                <w:rFonts w:ascii="Georgia" w:eastAsia="Times New Roman" w:hAnsi="Georgia" w:cs="Times New Roman"/>
                <w:i/>
                <w:sz w:val="16"/>
                <w:szCs w:val="16"/>
                <w:lang w:val="en-GB" w:eastAsia="hu-HU"/>
              </w:rPr>
              <w:t>.</w:t>
            </w:r>
          </w:p>
        </w:tc>
        <w:tc>
          <w:tcPr>
            <w:tcW w:w="2409" w:type="dxa"/>
          </w:tcPr>
          <w:p w14:paraId="22445495" w14:textId="77777777"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p>
          <w:p w14:paraId="5B043874" w14:textId="04E36272"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None of the European regional development objectives from the then-current TA emerge in the NAS.</w:t>
            </w:r>
          </w:p>
        </w:tc>
      </w:tr>
      <w:tr w:rsidR="00706F32" w:rsidRPr="0002056A" w14:paraId="2F4B2193" w14:textId="77777777" w:rsidTr="000F6837">
        <w:trPr>
          <w:trHeight w:val="779"/>
          <w:jc w:val="center"/>
        </w:trPr>
        <w:tc>
          <w:tcPr>
            <w:tcW w:w="993" w:type="dxa"/>
            <w:vMerge/>
            <w:tcBorders>
              <w:top w:val="nil"/>
              <w:left w:val="single" w:sz="8" w:space="0" w:color="auto"/>
              <w:bottom w:val="single" w:sz="8" w:space="0" w:color="000000"/>
              <w:right w:val="single" w:sz="4" w:space="0" w:color="auto"/>
            </w:tcBorders>
            <w:shd w:val="clear" w:color="auto" w:fill="C5E0B3" w:themeFill="accent6" w:themeFillTint="66"/>
            <w:vAlign w:val="center"/>
          </w:tcPr>
          <w:p w14:paraId="59CDC1F1" w14:textId="77777777"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p>
        </w:tc>
        <w:tc>
          <w:tcPr>
            <w:tcW w:w="1696" w:type="dxa"/>
            <w:tcBorders>
              <w:top w:val="nil"/>
              <w:left w:val="nil"/>
              <w:bottom w:val="single" w:sz="8" w:space="0" w:color="auto"/>
              <w:right w:val="single" w:sz="4" w:space="0" w:color="auto"/>
            </w:tcBorders>
            <w:vAlign w:val="center"/>
          </w:tcPr>
          <w:p w14:paraId="45962C38" w14:textId="05EA1D88" w:rsidR="00706F32" w:rsidRPr="0002056A" w:rsidRDefault="00706F32" w:rsidP="00706F32">
            <w:pPr>
              <w:spacing w:after="0"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Calibri"/>
                <w:b/>
                <w:bCs/>
                <w:i/>
                <w:iCs/>
                <w:color w:val="538135" w:themeColor="accent6" w:themeShade="BF"/>
                <w:sz w:val="16"/>
                <w:szCs w:val="16"/>
                <w:lang w:val="en-GB" w:eastAsia="hu-HU"/>
              </w:rPr>
              <w:t>Emergence of territorial cohesion-related concepts in NAS documents</w:t>
            </w:r>
          </w:p>
        </w:tc>
        <w:tc>
          <w:tcPr>
            <w:tcW w:w="3827" w:type="dxa"/>
          </w:tcPr>
          <w:p w14:paraId="2D2B28E0" w14:textId="0F3A66DD"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The NAS mentions at least 4 out of the 6 </w:t>
            </w:r>
            <w:r w:rsidR="009E3A92" w:rsidRPr="0002056A">
              <w:rPr>
                <w:rFonts w:ascii="Georgia" w:eastAsia="Times New Roman" w:hAnsi="Georgia" w:cs="Times New Roman"/>
                <w:i/>
                <w:sz w:val="16"/>
                <w:szCs w:val="16"/>
                <w:lang w:val="en-GB" w:eastAsia="hu-HU"/>
              </w:rPr>
              <w:t xml:space="preserve">territorial cohesion-related </w:t>
            </w:r>
            <w:r w:rsidRPr="0002056A">
              <w:rPr>
                <w:rFonts w:ascii="Georgia" w:eastAsia="Times New Roman" w:hAnsi="Georgia" w:cs="Times New Roman"/>
                <w:i/>
                <w:sz w:val="16"/>
                <w:szCs w:val="16"/>
                <w:lang w:val="en-GB" w:eastAsia="hu-HU"/>
              </w:rPr>
              <w:t xml:space="preserve">concepts (territorial cohesion, territorial capital, territorial harmony, territorially balanced development, territorial optimum, place-based approach). </w:t>
            </w:r>
          </w:p>
        </w:tc>
        <w:tc>
          <w:tcPr>
            <w:tcW w:w="2977" w:type="dxa"/>
          </w:tcPr>
          <w:p w14:paraId="6BCBEC9E" w14:textId="746E912B"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The NAS mentions only 2-3 of the enlisted </w:t>
            </w:r>
            <w:r w:rsidR="009E3A92" w:rsidRPr="0002056A">
              <w:rPr>
                <w:rFonts w:ascii="Georgia" w:eastAsia="Times New Roman" w:hAnsi="Georgia" w:cs="Times New Roman"/>
                <w:i/>
                <w:sz w:val="16"/>
                <w:szCs w:val="16"/>
                <w:lang w:val="en-GB" w:eastAsia="hu-HU"/>
              </w:rPr>
              <w:t>concep</w:t>
            </w:r>
            <w:r w:rsidRPr="0002056A">
              <w:rPr>
                <w:rFonts w:ascii="Georgia" w:eastAsia="Times New Roman" w:hAnsi="Georgia" w:cs="Times New Roman"/>
                <w:i/>
                <w:sz w:val="16"/>
                <w:szCs w:val="16"/>
                <w:lang w:val="en-GB" w:eastAsia="hu-HU"/>
              </w:rPr>
              <w:t>ts.</w:t>
            </w:r>
          </w:p>
        </w:tc>
        <w:tc>
          <w:tcPr>
            <w:tcW w:w="2835" w:type="dxa"/>
          </w:tcPr>
          <w:p w14:paraId="09416209" w14:textId="661063BD"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 xml:space="preserve">The NAS mentions only 1 of the enlisted </w:t>
            </w:r>
            <w:r w:rsidR="009E3A92" w:rsidRPr="0002056A">
              <w:rPr>
                <w:rFonts w:ascii="Georgia" w:eastAsia="Times New Roman" w:hAnsi="Georgia" w:cs="Times New Roman"/>
                <w:i/>
                <w:sz w:val="16"/>
                <w:szCs w:val="16"/>
                <w:lang w:val="en-GB" w:eastAsia="hu-HU"/>
              </w:rPr>
              <w:t>conce</w:t>
            </w:r>
            <w:r w:rsidRPr="0002056A">
              <w:rPr>
                <w:rFonts w:ascii="Georgia" w:eastAsia="Times New Roman" w:hAnsi="Georgia" w:cs="Times New Roman"/>
                <w:i/>
                <w:sz w:val="16"/>
                <w:szCs w:val="16"/>
                <w:lang w:val="en-GB" w:eastAsia="hu-HU"/>
              </w:rPr>
              <w:t>pts.</w:t>
            </w:r>
          </w:p>
        </w:tc>
        <w:tc>
          <w:tcPr>
            <w:tcW w:w="2409" w:type="dxa"/>
          </w:tcPr>
          <w:p w14:paraId="2C5AB7D5" w14:textId="3FAE02CE" w:rsidR="00706F32" w:rsidRPr="0002056A" w:rsidRDefault="00706F32" w:rsidP="00706F32">
            <w:pPr>
              <w:spacing w:after="0" w:line="240" w:lineRule="auto"/>
              <w:jc w:val="both"/>
              <w:rPr>
                <w:rFonts w:ascii="Georgia" w:eastAsia="Times New Roman" w:hAnsi="Georgia" w:cs="Times New Roman"/>
                <w:i/>
                <w:sz w:val="16"/>
                <w:szCs w:val="16"/>
                <w:lang w:val="en-GB" w:eastAsia="hu-HU"/>
              </w:rPr>
            </w:pPr>
            <w:r w:rsidRPr="0002056A">
              <w:rPr>
                <w:rFonts w:ascii="Georgia" w:eastAsia="Times New Roman" w:hAnsi="Georgia" w:cs="Times New Roman"/>
                <w:i/>
                <w:sz w:val="16"/>
                <w:szCs w:val="16"/>
                <w:lang w:val="en-GB" w:eastAsia="hu-HU"/>
              </w:rPr>
              <w:t>The NAS does not mention any of the enlisted concepts.</w:t>
            </w:r>
          </w:p>
        </w:tc>
      </w:tr>
    </w:tbl>
    <w:p w14:paraId="7CC5D41B" w14:textId="77777777" w:rsidR="0068518D" w:rsidRPr="0002056A" w:rsidRDefault="0068518D" w:rsidP="00730817">
      <w:pPr>
        <w:shd w:val="clear" w:color="auto" w:fill="FFFFFF" w:themeFill="background1"/>
        <w:spacing w:before="120" w:afterLines="120" w:after="288" w:line="240" w:lineRule="auto"/>
        <w:jc w:val="both"/>
        <w:rPr>
          <w:rFonts w:ascii="Georgia" w:eastAsia="Times New Roman" w:hAnsi="Georgia" w:cs="Times New Roman"/>
          <w:color w:val="000000"/>
          <w:sz w:val="20"/>
          <w:szCs w:val="20"/>
          <w:lang w:val="en-GB" w:eastAsia="hu-HU"/>
        </w:rPr>
        <w:sectPr w:rsidR="0068518D" w:rsidRPr="0002056A" w:rsidSect="0068518D">
          <w:pgSz w:w="16838" w:h="11906" w:orient="landscape"/>
          <w:pgMar w:top="1417" w:right="1417" w:bottom="1417" w:left="1417" w:header="708" w:footer="708" w:gutter="0"/>
          <w:cols w:space="708"/>
          <w:docGrid w:linePitch="360"/>
        </w:sectPr>
      </w:pPr>
    </w:p>
    <w:p w14:paraId="238F8646" w14:textId="607FFB19" w:rsidR="00DA216C" w:rsidRPr="0002056A" w:rsidRDefault="00DA216C" w:rsidP="00214BD9">
      <w:pPr>
        <w:pStyle w:val="Cmsor1"/>
        <w:numPr>
          <w:ilvl w:val="0"/>
          <w:numId w:val="4"/>
        </w:numPr>
        <w:rPr>
          <w:rFonts w:asciiTheme="minorHAnsi" w:hAnsiTheme="minorHAnsi" w:cstheme="minorHAnsi"/>
          <w:lang w:val="en-GB"/>
        </w:rPr>
      </w:pPr>
      <w:bookmarkStart w:id="36" w:name="_Toc225578853"/>
      <w:r w:rsidRPr="0002056A">
        <w:rPr>
          <w:rFonts w:asciiTheme="minorHAnsi" w:hAnsiTheme="minorHAnsi" w:cstheme="minorHAnsi"/>
          <w:lang w:val="en-GB"/>
        </w:rPr>
        <w:lastRenderedPageBreak/>
        <w:t>Empirical results</w:t>
      </w:r>
      <w:bookmarkEnd w:id="36"/>
    </w:p>
    <w:p w14:paraId="7F4B10E5" w14:textId="77E62172" w:rsidR="00DA216C" w:rsidRPr="0002056A" w:rsidRDefault="00300B33" w:rsidP="00214BD9">
      <w:pPr>
        <w:pStyle w:val="Cmsor2"/>
        <w:numPr>
          <w:ilvl w:val="1"/>
          <w:numId w:val="4"/>
        </w:numPr>
        <w:rPr>
          <w:rFonts w:asciiTheme="minorHAnsi" w:hAnsiTheme="minorHAnsi" w:cstheme="minorHAnsi"/>
          <w:b w:val="0"/>
          <w:bCs w:val="0"/>
          <w:i/>
          <w:iCs/>
          <w:lang w:val="en-GB"/>
        </w:rPr>
      </w:pPr>
      <w:bookmarkStart w:id="37" w:name="_Toc225578854"/>
      <w:r w:rsidRPr="0002056A">
        <w:rPr>
          <w:rFonts w:asciiTheme="minorHAnsi" w:hAnsiTheme="minorHAnsi" w:cstheme="minorHAnsi"/>
          <w:b w:val="0"/>
          <w:bCs w:val="0"/>
          <w:i/>
          <w:iCs/>
          <w:lang w:val="en-GB"/>
        </w:rPr>
        <w:t xml:space="preserve">Analysed climate adaptation </w:t>
      </w:r>
      <w:r w:rsidR="00DA216C" w:rsidRPr="0002056A">
        <w:rPr>
          <w:rFonts w:asciiTheme="minorHAnsi" w:hAnsiTheme="minorHAnsi" w:cstheme="minorHAnsi"/>
          <w:b w:val="0"/>
          <w:bCs w:val="0"/>
          <w:i/>
          <w:iCs/>
          <w:lang w:val="en-GB"/>
        </w:rPr>
        <w:t xml:space="preserve">policy </w:t>
      </w:r>
      <w:r w:rsidRPr="0002056A">
        <w:rPr>
          <w:rFonts w:asciiTheme="minorHAnsi" w:hAnsiTheme="minorHAnsi" w:cstheme="minorHAnsi"/>
          <w:b w:val="0"/>
          <w:bCs w:val="0"/>
          <w:i/>
          <w:iCs/>
          <w:lang w:val="en-GB"/>
        </w:rPr>
        <w:t>documents of</w:t>
      </w:r>
      <w:r w:rsidR="00DA216C" w:rsidRPr="0002056A">
        <w:rPr>
          <w:rFonts w:asciiTheme="minorHAnsi" w:hAnsiTheme="minorHAnsi" w:cstheme="minorHAnsi"/>
          <w:b w:val="0"/>
          <w:bCs w:val="0"/>
          <w:i/>
          <w:iCs/>
          <w:lang w:val="en-GB"/>
        </w:rPr>
        <w:t xml:space="preserve"> the European countries</w:t>
      </w:r>
      <w:bookmarkEnd w:id="37"/>
    </w:p>
    <w:p w14:paraId="418C1422" w14:textId="45F072FD" w:rsidR="009F2FFE" w:rsidRPr="0002056A" w:rsidRDefault="00846809" w:rsidP="00CD5BF3">
      <w:pPr>
        <w:spacing w:before="120" w:after="120"/>
        <w:jc w:val="both"/>
        <w:rPr>
          <w:rFonts w:ascii="Georgia" w:hAnsi="Georgia"/>
          <w:lang w:val="en-GB"/>
        </w:rPr>
      </w:pPr>
      <w:r w:rsidRPr="0002056A">
        <w:rPr>
          <w:rFonts w:ascii="Georgia" w:hAnsi="Georgia"/>
          <w:lang w:val="en-GB"/>
        </w:rPr>
        <w:t xml:space="preserve">Altogether </w:t>
      </w:r>
      <w:r w:rsidR="00091717" w:rsidRPr="0002056A">
        <w:rPr>
          <w:rFonts w:ascii="Georgia" w:hAnsi="Georgia"/>
          <w:lang w:val="en-GB"/>
        </w:rPr>
        <w:t>176</w:t>
      </w:r>
      <w:r w:rsidRPr="0002056A">
        <w:rPr>
          <w:rFonts w:ascii="Georgia" w:hAnsi="Georgia"/>
          <w:lang w:val="en-GB"/>
        </w:rPr>
        <w:t xml:space="preserve"> documents were analysed</w:t>
      </w:r>
      <w:r w:rsidR="006E062C" w:rsidRPr="0002056A">
        <w:rPr>
          <w:rFonts w:ascii="Georgia" w:hAnsi="Georgia"/>
          <w:lang w:val="en-GB"/>
        </w:rPr>
        <w:t xml:space="preserve"> during the empirical </w:t>
      </w:r>
      <w:r w:rsidR="00216AD0" w:rsidRPr="0002056A">
        <w:rPr>
          <w:rFonts w:ascii="Georgia" w:hAnsi="Georgia"/>
          <w:lang w:val="en-GB"/>
        </w:rPr>
        <w:t>work phase</w:t>
      </w:r>
      <w:r w:rsidRPr="0002056A">
        <w:rPr>
          <w:rFonts w:ascii="Georgia" w:hAnsi="Georgia"/>
          <w:lang w:val="en-GB"/>
        </w:rPr>
        <w:t xml:space="preserve">. </w:t>
      </w:r>
      <w:r w:rsidR="003405A3" w:rsidRPr="0002056A">
        <w:rPr>
          <w:rFonts w:ascii="Georgia" w:hAnsi="Georgia"/>
          <w:lang w:val="en-GB"/>
        </w:rPr>
        <w:t>Out of these</w:t>
      </w:r>
      <w:r w:rsidR="003667AC">
        <w:rPr>
          <w:rFonts w:ascii="Georgia" w:hAnsi="Georgia"/>
          <w:lang w:val="en-GB"/>
        </w:rPr>
        <w:t>,</w:t>
      </w:r>
      <w:r w:rsidR="003405A3" w:rsidRPr="0002056A">
        <w:rPr>
          <w:rFonts w:ascii="Georgia" w:hAnsi="Georgia"/>
          <w:lang w:val="en-GB"/>
        </w:rPr>
        <w:t xml:space="preserve"> </w:t>
      </w:r>
      <w:r w:rsidR="00041C05" w:rsidRPr="0002056A">
        <w:rPr>
          <w:rFonts w:ascii="Georgia" w:hAnsi="Georgia"/>
          <w:lang w:val="en-GB"/>
        </w:rPr>
        <w:t xml:space="preserve">there were </w:t>
      </w:r>
      <w:r w:rsidR="00091717" w:rsidRPr="0002056A">
        <w:rPr>
          <w:rFonts w:ascii="Georgia" w:hAnsi="Georgia"/>
          <w:lang w:val="en-GB"/>
        </w:rPr>
        <w:t>45</w:t>
      </w:r>
      <w:r w:rsidR="003405A3" w:rsidRPr="0002056A">
        <w:rPr>
          <w:rFonts w:ascii="Georgia" w:hAnsi="Georgia"/>
          <w:lang w:val="en-GB"/>
        </w:rPr>
        <w:t xml:space="preserve"> national adaptation strategies or </w:t>
      </w:r>
      <w:r w:rsidR="00300B33" w:rsidRPr="0002056A">
        <w:rPr>
          <w:rFonts w:ascii="Georgia" w:hAnsi="Georgia"/>
          <w:lang w:val="en-GB"/>
        </w:rPr>
        <w:t>integrated</w:t>
      </w:r>
      <w:r w:rsidR="006E062C" w:rsidRPr="0002056A">
        <w:rPr>
          <w:rFonts w:ascii="Georgia" w:hAnsi="Georgia"/>
          <w:lang w:val="en-GB"/>
        </w:rPr>
        <w:t xml:space="preserve"> national</w:t>
      </w:r>
      <w:r w:rsidR="00300B33" w:rsidRPr="0002056A">
        <w:rPr>
          <w:rFonts w:ascii="Georgia" w:hAnsi="Georgia"/>
          <w:lang w:val="en-GB"/>
        </w:rPr>
        <w:t xml:space="preserve"> </w:t>
      </w:r>
      <w:r w:rsidR="003405A3" w:rsidRPr="0002056A">
        <w:rPr>
          <w:rFonts w:ascii="Georgia" w:hAnsi="Georgia"/>
          <w:lang w:val="en-GB"/>
        </w:rPr>
        <w:t xml:space="preserve">climate change strategies, </w:t>
      </w:r>
      <w:r w:rsidR="00091717" w:rsidRPr="0002056A">
        <w:rPr>
          <w:rFonts w:ascii="Georgia" w:hAnsi="Georgia"/>
          <w:lang w:val="en-GB"/>
        </w:rPr>
        <w:t>20</w:t>
      </w:r>
      <w:r w:rsidR="003405A3" w:rsidRPr="0002056A">
        <w:rPr>
          <w:rFonts w:ascii="Georgia" w:hAnsi="Georgia"/>
          <w:lang w:val="en-GB"/>
        </w:rPr>
        <w:t xml:space="preserve"> operational </w:t>
      </w:r>
      <w:r w:rsidR="006E062C" w:rsidRPr="0002056A">
        <w:rPr>
          <w:rFonts w:ascii="Georgia" w:hAnsi="Georgia"/>
          <w:lang w:val="en-GB"/>
        </w:rPr>
        <w:t xml:space="preserve">adaptation </w:t>
      </w:r>
      <w:r w:rsidR="003405A3" w:rsidRPr="0002056A">
        <w:rPr>
          <w:rFonts w:ascii="Georgia" w:hAnsi="Georgia"/>
          <w:lang w:val="en-GB"/>
        </w:rPr>
        <w:t xml:space="preserve">action plans, </w:t>
      </w:r>
      <w:r w:rsidR="00091717" w:rsidRPr="0002056A">
        <w:rPr>
          <w:rFonts w:ascii="Georgia" w:hAnsi="Georgia"/>
          <w:lang w:val="en-GB"/>
        </w:rPr>
        <w:t>14</w:t>
      </w:r>
      <w:r w:rsidR="003405A3" w:rsidRPr="0002056A">
        <w:rPr>
          <w:rFonts w:ascii="Georgia" w:hAnsi="Georgia"/>
          <w:lang w:val="en-GB"/>
        </w:rPr>
        <w:t xml:space="preserve"> MRE methodology </w:t>
      </w:r>
      <w:r w:rsidR="006E062C" w:rsidRPr="0002056A">
        <w:rPr>
          <w:rFonts w:ascii="Georgia" w:hAnsi="Georgia"/>
          <w:lang w:val="en-GB"/>
        </w:rPr>
        <w:t xml:space="preserve">studies </w:t>
      </w:r>
      <w:r w:rsidR="003405A3" w:rsidRPr="0002056A">
        <w:rPr>
          <w:rFonts w:ascii="Georgia" w:hAnsi="Georgia"/>
          <w:lang w:val="en-GB"/>
        </w:rPr>
        <w:t xml:space="preserve">and </w:t>
      </w:r>
      <w:r w:rsidR="00091717" w:rsidRPr="0002056A">
        <w:rPr>
          <w:rFonts w:ascii="Georgia" w:hAnsi="Georgia"/>
          <w:lang w:val="en-GB"/>
        </w:rPr>
        <w:t>57</w:t>
      </w:r>
      <w:r w:rsidR="003405A3" w:rsidRPr="0002056A">
        <w:rPr>
          <w:rFonts w:ascii="Georgia" w:hAnsi="Georgia"/>
          <w:lang w:val="en-GB"/>
        </w:rPr>
        <w:t xml:space="preserve"> </w:t>
      </w:r>
      <w:r w:rsidR="006E062C" w:rsidRPr="0002056A">
        <w:rPr>
          <w:rFonts w:ascii="Georgia" w:hAnsi="Georgia"/>
          <w:lang w:val="en-GB"/>
        </w:rPr>
        <w:t>actual</w:t>
      </w:r>
      <w:r w:rsidR="003405A3" w:rsidRPr="0002056A">
        <w:rPr>
          <w:rFonts w:ascii="Georgia" w:hAnsi="Georgia"/>
          <w:lang w:val="en-GB"/>
        </w:rPr>
        <w:t xml:space="preserve"> monitoring and evaluation repo</w:t>
      </w:r>
      <w:r w:rsidR="00041C05" w:rsidRPr="0002056A">
        <w:rPr>
          <w:rFonts w:ascii="Georgia" w:hAnsi="Georgia"/>
          <w:lang w:val="en-GB"/>
        </w:rPr>
        <w:t>r</w:t>
      </w:r>
      <w:r w:rsidR="003405A3" w:rsidRPr="0002056A">
        <w:rPr>
          <w:rFonts w:ascii="Georgia" w:hAnsi="Georgia"/>
          <w:lang w:val="en-GB"/>
        </w:rPr>
        <w:t>ts</w:t>
      </w:r>
      <w:r w:rsidR="00041C05" w:rsidRPr="0002056A">
        <w:rPr>
          <w:rFonts w:ascii="Georgia" w:hAnsi="Georgia"/>
          <w:lang w:val="en-GB"/>
        </w:rPr>
        <w:t xml:space="preserve">. </w:t>
      </w:r>
      <w:r w:rsidR="002701A7" w:rsidRPr="0002056A">
        <w:rPr>
          <w:rFonts w:ascii="Georgia" w:hAnsi="Georgia"/>
          <w:lang w:val="en-GB"/>
        </w:rPr>
        <w:t>In Annex 3 the presented</w:t>
      </w:r>
      <w:r w:rsidR="00041C05" w:rsidRPr="0002056A">
        <w:rPr>
          <w:rFonts w:ascii="Georgia" w:hAnsi="Georgia"/>
          <w:lang w:val="en-GB"/>
        </w:rPr>
        <w:t xml:space="preserve"> tables summari</w:t>
      </w:r>
      <w:r w:rsidR="003667AC">
        <w:rPr>
          <w:rFonts w:ascii="Georgia" w:hAnsi="Georgia"/>
          <w:lang w:val="en-GB"/>
        </w:rPr>
        <w:t>s</w:t>
      </w:r>
      <w:r w:rsidR="00041C05" w:rsidRPr="0002056A">
        <w:rPr>
          <w:rFonts w:ascii="Georgia" w:hAnsi="Georgia"/>
          <w:lang w:val="en-GB"/>
        </w:rPr>
        <w:t>e the examined documents and their basic features</w:t>
      </w:r>
      <w:r w:rsidR="002701A7" w:rsidRPr="0002056A">
        <w:rPr>
          <w:rFonts w:ascii="Georgia" w:hAnsi="Georgia"/>
          <w:lang w:val="en-GB"/>
        </w:rPr>
        <w:t xml:space="preserve">; one table </w:t>
      </w:r>
      <w:r w:rsidR="00827FD7" w:rsidRPr="0002056A">
        <w:rPr>
          <w:rFonts w:ascii="Georgia" w:hAnsi="Georgia"/>
          <w:lang w:val="en-GB"/>
        </w:rPr>
        <w:t>is about the NAS and NAP documents and background situation analysis</w:t>
      </w:r>
      <w:r w:rsidR="00FB2EBB" w:rsidRPr="0002056A">
        <w:rPr>
          <w:rFonts w:ascii="Georgia" w:hAnsi="Georgia"/>
          <w:lang w:val="en-GB"/>
        </w:rPr>
        <w:t>-</w:t>
      </w:r>
      <w:r w:rsidR="00827FD7" w:rsidRPr="0002056A">
        <w:rPr>
          <w:rFonts w:ascii="Georgia" w:hAnsi="Georgia"/>
          <w:lang w:val="en-GB"/>
        </w:rPr>
        <w:t xml:space="preserve">like documents; the </w:t>
      </w:r>
      <w:r w:rsidR="00FB2EBB" w:rsidRPr="0002056A">
        <w:rPr>
          <w:rFonts w:ascii="Georgia" w:hAnsi="Georgia"/>
          <w:lang w:val="en-GB"/>
        </w:rPr>
        <w:t>o</w:t>
      </w:r>
      <w:r w:rsidR="00827FD7" w:rsidRPr="0002056A">
        <w:rPr>
          <w:rFonts w:ascii="Georgia" w:hAnsi="Georgia"/>
          <w:lang w:val="en-GB"/>
        </w:rPr>
        <w:t>ther table is about MRE methodological materials and actual reports/assessments.</w:t>
      </w:r>
    </w:p>
    <w:p w14:paraId="102A5669" w14:textId="43286A64" w:rsidR="00DA216C" w:rsidRPr="0002056A" w:rsidRDefault="00EC2DEA" w:rsidP="00214BD9">
      <w:pPr>
        <w:pStyle w:val="Cmsor2"/>
        <w:numPr>
          <w:ilvl w:val="1"/>
          <w:numId w:val="4"/>
        </w:numPr>
        <w:rPr>
          <w:rFonts w:asciiTheme="minorHAnsi" w:hAnsiTheme="minorHAnsi" w:cstheme="minorHAnsi"/>
          <w:b w:val="0"/>
          <w:bCs w:val="0"/>
          <w:i/>
          <w:iCs/>
          <w:lang w:val="en-GB"/>
        </w:rPr>
      </w:pPr>
      <w:bookmarkStart w:id="38" w:name="_Toc225578855"/>
      <w:r w:rsidRPr="0002056A">
        <w:rPr>
          <w:rFonts w:asciiTheme="minorHAnsi" w:hAnsiTheme="minorHAnsi" w:cstheme="minorHAnsi"/>
          <w:b w:val="0"/>
          <w:bCs w:val="0"/>
          <w:i/>
          <w:iCs/>
          <w:lang w:val="en-GB"/>
        </w:rPr>
        <w:t xml:space="preserve">Comparing </w:t>
      </w:r>
      <w:r w:rsidR="003667AC">
        <w:rPr>
          <w:rFonts w:asciiTheme="minorHAnsi" w:hAnsiTheme="minorHAnsi" w:cstheme="minorHAnsi"/>
          <w:b w:val="0"/>
          <w:bCs w:val="0"/>
          <w:i/>
          <w:iCs/>
          <w:lang w:val="en-GB"/>
        </w:rPr>
        <w:t xml:space="preserve">the </w:t>
      </w:r>
      <w:r w:rsidRPr="0002056A">
        <w:rPr>
          <w:rFonts w:asciiTheme="minorHAnsi" w:hAnsiTheme="minorHAnsi" w:cstheme="minorHAnsi"/>
          <w:b w:val="0"/>
          <w:bCs w:val="0"/>
          <w:i/>
          <w:iCs/>
          <w:lang w:val="en-GB"/>
        </w:rPr>
        <w:t>spatial sensitivity of national adaptation policies</w:t>
      </w:r>
      <w:bookmarkEnd w:id="38"/>
    </w:p>
    <w:p w14:paraId="78115C2B" w14:textId="1BD1FEF0" w:rsidR="00A740B2" w:rsidRPr="0002056A" w:rsidRDefault="00027B7D" w:rsidP="00CD5BF3">
      <w:pPr>
        <w:spacing w:before="120" w:after="120"/>
        <w:jc w:val="both"/>
        <w:rPr>
          <w:rFonts w:ascii="Georgia" w:hAnsi="Georgia"/>
          <w:lang w:val="en-GB"/>
        </w:rPr>
      </w:pPr>
      <w:r w:rsidRPr="0002056A">
        <w:rPr>
          <w:rFonts w:ascii="Georgia" w:hAnsi="Georgia"/>
          <w:lang w:val="en-GB"/>
        </w:rPr>
        <w:t>After conducting the analysis</w:t>
      </w:r>
      <w:r w:rsidR="00394E8E" w:rsidRPr="0002056A">
        <w:rPr>
          <w:rFonts w:ascii="Georgia" w:hAnsi="Georgia"/>
          <w:lang w:val="en-GB"/>
        </w:rPr>
        <w:t>,</w:t>
      </w:r>
      <w:r w:rsidRPr="0002056A">
        <w:rPr>
          <w:rFonts w:ascii="Georgia" w:hAnsi="Georgia"/>
          <w:lang w:val="en-GB"/>
        </w:rPr>
        <w:t xml:space="preserve"> the results of the</w:t>
      </w:r>
      <w:r w:rsidR="00934D03" w:rsidRPr="0002056A">
        <w:rPr>
          <w:rFonts w:ascii="Georgia" w:hAnsi="Georgia"/>
          <w:lang w:val="en-GB"/>
        </w:rPr>
        <w:t xml:space="preserve"> </w:t>
      </w:r>
      <w:r w:rsidR="00AC25F5" w:rsidRPr="0002056A">
        <w:rPr>
          <w:rFonts w:ascii="Georgia" w:hAnsi="Georgia"/>
          <w:lang w:val="en-GB"/>
        </w:rPr>
        <w:t>7</w:t>
      </w:r>
      <w:r w:rsidRPr="0002056A">
        <w:rPr>
          <w:rFonts w:ascii="Georgia" w:hAnsi="Georgia"/>
          <w:lang w:val="en-GB"/>
        </w:rPr>
        <w:t xml:space="preserve"> main aspects and their </w:t>
      </w:r>
      <w:r w:rsidR="00AC25F5" w:rsidRPr="0002056A">
        <w:rPr>
          <w:rFonts w:ascii="Georgia" w:hAnsi="Georgia"/>
          <w:lang w:val="en-GB"/>
        </w:rPr>
        <w:t>3</w:t>
      </w:r>
      <w:r w:rsidR="00B826E3" w:rsidRPr="0002056A">
        <w:rPr>
          <w:rFonts w:ascii="Georgia" w:hAnsi="Georgia"/>
          <w:lang w:val="en-GB"/>
        </w:rPr>
        <w:t>4</w:t>
      </w:r>
      <w:r w:rsidR="00AC25F5" w:rsidRPr="0002056A">
        <w:rPr>
          <w:rFonts w:ascii="Georgia" w:hAnsi="Georgia"/>
          <w:lang w:val="en-GB"/>
        </w:rPr>
        <w:t xml:space="preserve"> </w:t>
      </w:r>
      <w:r w:rsidRPr="0002056A">
        <w:rPr>
          <w:rFonts w:ascii="Georgia" w:hAnsi="Georgia"/>
          <w:lang w:val="en-GB"/>
        </w:rPr>
        <w:t>sub</w:t>
      </w:r>
      <w:r w:rsidR="005A3F71" w:rsidRPr="0002056A">
        <w:rPr>
          <w:rFonts w:ascii="Georgia" w:hAnsi="Georgia"/>
          <w:lang w:val="en-GB"/>
        </w:rPr>
        <w:t>-</w:t>
      </w:r>
      <w:r w:rsidRPr="0002056A">
        <w:rPr>
          <w:rFonts w:ascii="Georgia" w:hAnsi="Georgia"/>
          <w:lang w:val="en-GB"/>
        </w:rPr>
        <w:t xml:space="preserve">aspects </w:t>
      </w:r>
      <w:r w:rsidR="00AC25F5" w:rsidRPr="0002056A">
        <w:rPr>
          <w:rFonts w:ascii="Georgia" w:hAnsi="Georgia"/>
          <w:lang w:val="en-GB"/>
        </w:rPr>
        <w:t xml:space="preserve">were </w:t>
      </w:r>
      <w:r w:rsidR="006B2D4D" w:rsidRPr="0002056A">
        <w:rPr>
          <w:rFonts w:ascii="Georgia" w:hAnsi="Georgia"/>
          <w:lang w:val="en-GB"/>
        </w:rPr>
        <w:t>grouped</w:t>
      </w:r>
      <w:r w:rsidR="00AC25F5" w:rsidRPr="0002056A">
        <w:rPr>
          <w:rFonts w:ascii="Georgia" w:hAnsi="Georgia"/>
          <w:lang w:val="en-GB"/>
        </w:rPr>
        <w:t xml:space="preserve"> </w:t>
      </w:r>
      <w:r w:rsidRPr="0002056A">
        <w:rPr>
          <w:rFonts w:ascii="Georgia" w:hAnsi="Georgia"/>
          <w:lang w:val="en-GB"/>
        </w:rPr>
        <w:t>in</w:t>
      </w:r>
      <w:r w:rsidR="00AC25F5" w:rsidRPr="0002056A">
        <w:rPr>
          <w:rFonts w:ascii="Georgia" w:hAnsi="Georgia"/>
          <w:lang w:val="en-GB"/>
        </w:rPr>
        <w:t>to</w:t>
      </w:r>
      <w:r w:rsidRPr="0002056A">
        <w:rPr>
          <w:rFonts w:ascii="Georgia" w:hAnsi="Georgia"/>
          <w:lang w:val="en-GB"/>
        </w:rPr>
        <w:t xml:space="preserve"> 7 main subchapters. In the following </w:t>
      </w:r>
      <w:r w:rsidR="00777FE1" w:rsidRPr="0002056A">
        <w:rPr>
          <w:rFonts w:ascii="Georgia" w:hAnsi="Georgia"/>
          <w:lang w:val="en-GB"/>
        </w:rPr>
        <w:t>page</w:t>
      </w:r>
      <w:r w:rsidR="00777FE1">
        <w:rPr>
          <w:rFonts w:ascii="Georgia" w:hAnsi="Georgia"/>
          <w:lang w:val="en-GB"/>
        </w:rPr>
        <w:t>s</w:t>
      </w:r>
      <w:r w:rsidRPr="0002056A">
        <w:rPr>
          <w:rFonts w:ascii="Georgia" w:hAnsi="Georgia"/>
          <w:lang w:val="en-GB"/>
        </w:rPr>
        <w:t xml:space="preserve"> the outcomes </w:t>
      </w:r>
      <w:r w:rsidR="00934D03" w:rsidRPr="0002056A">
        <w:rPr>
          <w:rFonts w:ascii="Georgia" w:hAnsi="Georgia"/>
          <w:lang w:val="en-GB"/>
        </w:rPr>
        <w:t xml:space="preserve">are introduced according to this </w:t>
      </w:r>
      <w:r w:rsidR="006B2D4D" w:rsidRPr="0002056A">
        <w:rPr>
          <w:rFonts w:ascii="Georgia" w:hAnsi="Georgia"/>
          <w:lang w:val="en-GB"/>
        </w:rPr>
        <w:t>groupi</w:t>
      </w:r>
      <w:r w:rsidR="005A3F71" w:rsidRPr="0002056A">
        <w:rPr>
          <w:rFonts w:ascii="Georgia" w:hAnsi="Georgia"/>
          <w:lang w:val="en-GB"/>
        </w:rPr>
        <w:t>n</w:t>
      </w:r>
      <w:r w:rsidR="006B2D4D" w:rsidRPr="0002056A">
        <w:rPr>
          <w:rFonts w:ascii="Georgia" w:hAnsi="Georgia"/>
          <w:lang w:val="en-GB"/>
        </w:rPr>
        <w:t>g</w:t>
      </w:r>
      <w:r w:rsidR="00934D03" w:rsidRPr="0002056A">
        <w:rPr>
          <w:rFonts w:ascii="Georgia" w:hAnsi="Georgia"/>
          <w:lang w:val="en-GB"/>
        </w:rPr>
        <w:t xml:space="preserve">, </w:t>
      </w:r>
      <w:r w:rsidR="005A3F71" w:rsidRPr="0002056A">
        <w:rPr>
          <w:rFonts w:ascii="Georgia" w:hAnsi="Georgia"/>
          <w:lang w:val="en-GB"/>
        </w:rPr>
        <w:t xml:space="preserve">first introducing the main conclusions of a given main aspect then </w:t>
      </w:r>
      <w:r w:rsidR="00934D03" w:rsidRPr="0002056A">
        <w:rPr>
          <w:rFonts w:ascii="Georgia" w:hAnsi="Georgia"/>
          <w:lang w:val="en-GB"/>
        </w:rPr>
        <w:t>going through all of the examined sub-aspects</w:t>
      </w:r>
      <w:r w:rsidR="005A3F71" w:rsidRPr="0002056A">
        <w:rPr>
          <w:rFonts w:ascii="Georgia" w:hAnsi="Georgia"/>
          <w:lang w:val="en-GB"/>
        </w:rPr>
        <w:t xml:space="preserve"> under a given main </w:t>
      </w:r>
      <w:r w:rsidR="00CC0736" w:rsidRPr="0002056A">
        <w:rPr>
          <w:rFonts w:ascii="Georgia" w:hAnsi="Georgia"/>
          <w:lang w:val="en-GB"/>
        </w:rPr>
        <w:t>analytical topic</w:t>
      </w:r>
      <w:r w:rsidR="00934D03" w:rsidRPr="0002056A">
        <w:rPr>
          <w:rFonts w:ascii="Georgia" w:hAnsi="Georgia"/>
          <w:lang w:val="en-GB"/>
        </w:rPr>
        <w:t>.</w:t>
      </w:r>
    </w:p>
    <w:p w14:paraId="2D82D030" w14:textId="1DC3D032" w:rsidR="0011240F" w:rsidRPr="0002056A" w:rsidRDefault="006B2D4D" w:rsidP="00214BD9">
      <w:pPr>
        <w:pStyle w:val="Cmsor3"/>
        <w:numPr>
          <w:ilvl w:val="2"/>
          <w:numId w:val="4"/>
        </w:numPr>
        <w:rPr>
          <w:lang w:val="en-GB"/>
        </w:rPr>
      </w:pPr>
      <w:bookmarkStart w:id="39" w:name="_Toc225578856"/>
      <w:r w:rsidRPr="0002056A">
        <w:rPr>
          <w:lang w:val="en-GB"/>
        </w:rPr>
        <w:t>G</w:t>
      </w:r>
      <w:r w:rsidR="0011240F" w:rsidRPr="0002056A">
        <w:rPr>
          <w:lang w:val="en-GB"/>
        </w:rPr>
        <w:t>eneral spatial aspects of adaptation planning</w:t>
      </w:r>
      <w:bookmarkEnd w:id="39"/>
    </w:p>
    <w:p w14:paraId="0E797ECF" w14:textId="7A86B8B3" w:rsidR="0011240F" w:rsidRPr="0002056A" w:rsidRDefault="0011240F" w:rsidP="00CD5BF3">
      <w:pPr>
        <w:pBdr>
          <w:top w:val="single" w:sz="4" w:space="1" w:color="auto"/>
          <w:left w:val="single" w:sz="4" w:space="4" w:color="auto"/>
          <w:bottom w:val="single" w:sz="4" w:space="1" w:color="auto"/>
          <w:right w:val="single" w:sz="4" w:space="4" w:color="auto"/>
        </w:pBdr>
        <w:shd w:val="clear" w:color="auto" w:fill="FFFFFF" w:themeFill="background1"/>
        <w:spacing w:beforeLines="120" w:before="288" w:afterLines="120" w:after="288"/>
        <w:jc w:val="both"/>
        <w:rPr>
          <w:rFonts w:ascii="Georgia" w:hAnsi="Georgia" w:cs="Times New Roman"/>
          <w:lang w:val="en-GB"/>
        </w:rPr>
      </w:pPr>
      <w:r w:rsidRPr="0002056A">
        <w:rPr>
          <w:rFonts w:ascii="Georgia" w:hAnsi="Georgia" w:cs="Times New Roman"/>
          <w:lang w:val="en-GB"/>
        </w:rPr>
        <w:t xml:space="preserve">Regarding the first four analytical aspects, called summarily the </w:t>
      </w:r>
      <w:r w:rsidR="009236CF" w:rsidRPr="0002056A">
        <w:rPr>
          <w:rFonts w:ascii="Georgia" w:hAnsi="Georgia" w:cs="Times New Roman"/>
          <w:lang w:val="en-GB"/>
        </w:rPr>
        <w:t>“</w:t>
      </w:r>
      <w:r w:rsidRPr="0002056A">
        <w:rPr>
          <w:rFonts w:ascii="Georgia" w:hAnsi="Georgia" w:cs="Times New Roman"/>
          <w:i/>
          <w:iCs/>
          <w:lang w:val="en-GB"/>
        </w:rPr>
        <w:t>general spatial aspects of adaptation planning</w:t>
      </w:r>
      <w:r w:rsidR="006B2D4D" w:rsidRPr="0002056A">
        <w:rPr>
          <w:rFonts w:ascii="Georgia" w:hAnsi="Georgia" w:cs="Times New Roman"/>
          <w:lang w:val="en-GB"/>
        </w:rPr>
        <w:t>”</w:t>
      </w:r>
      <w:r w:rsidRPr="0002056A">
        <w:rPr>
          <w:rFonts w:ascii="Georgia" w:hAnsi="Georgia" w:cs="Times New Roman"/>
          <w:lang w:val="en-GB"/>
        </w:rPr>
        <w:t xml:space="preserve"> and covering the adaptation planning document’s space phraseology</w:t>
      </w:r>
      <w:r w:rsidR="00C803B6" w:rsidRPr="0002056A">
        <w:rPr>
          <w:rFonts w:ascii="Georgia" w:hAnsi="Georgia" w:cs="Times New Roman"/>
          <w:lang w:val="en-GB"/>
        </w:rPr>
        <w:t>, adaptation planning’s basic approach (regional or sectoral),</w:t>
      </w:r>
      <w:r w:rsidRPr="0002056A">
        <w:rPr>
          <w:rFonts w:ascii="Georgia" w:hAnsi="Georgia" w:cs="Times New Roman"/>
          <w:lang w:val="en-GB"/>
        </w:rPr>
        <w:t xml:space="preserve"> </w:t>
      </w:r>
      <w:r w:rsidR="00C803B6" w:rsidRPr="0002056A">
        <w:rPr>
          <w:rFonts w:ascii="Georgia" w:hAnsi="Georgia" w:cs="Times New Roman"/>
          <w:lang w:val="en-GB"/>
        </w:rPr>
        <w:t xml:space="preserve">emphases on </w:t>
      </w:r>
      <w:r w:rsidRPr="0002056A">
        <w:rPr>
          <w:rFonts w:ascii="Georgia" w:hAnsi="Georgia" w:cs="Times New Roman"/>
          <w:lang w:val="en-GB"/>
        </w:rPr>
        <w:t xml:space="preserve">lower-level planning, </w:t>
      </w:r>
      <w:r w:rsidR="009236CF" w:rsidRPr="0002056A">
        <w:rPr>
          <w:rFonts w:ascii="Georgia" w:hAnsi="Georgia" w:cs="Times New Roman"/>
          <w:lang w:val="en-GB"/>
        </w:rPr>
        <w:t>as well as</w:t>
      </w:r>
      <w:r w:rsidRPr="0002056A">
        <w:rPr>
          <w:rFonts w:ascii="Georgia" w:hAnsi="Georgia" w:cs="Times New Roman"/>
          <w:lang w:val="en-GB"/>
        </w:rPr>
        <w:t xml:space="preserve"> the intensity of adaptation activities at lower spatial levels, the best performing countr</w:t>
      </w:r>
      <w:r w:rsidR="00D92E3A" w:rsidRPr="0002056A">
        <w:rPr>
          <w:rFonts w:ascii="Georgia" w:hAnsi="Georgia" w:cs="Times New Roman"/>
          <w:lang w:val="en-GB"/>
        </w:rPr>
        <w:t>y is</w:t>
      </w:r>
      <w:r w:rsidRPr="0002056A">
        <w:rPr>
          <w:rFonts w:ascii="Georgia" w:hAnsi="Georgia" w:cs="Times New Roman"/>
          <w:i/>
          <w:iCs/>
          <w:lang w:val="en-GB"/>
        </w:rPr>
        <w:t xml:space="preserve"> Germany</w:t>
      </w:r>
      <w:r w:rsidRPr="0002056A">
        <w:rPr>
          <w:rFonts w:ascii="Georgia" w:hAnsi="Georgia" w:cs="Times New Roman"/>
          <w:lang w:val="en-GB"/>
        </w:rPr>
        <w:t xml:space="preserve"> (18 points of the maximum available 20), </w:t>
      </w:r>
      <w:r w:rsidR="009236CF" w:rsidRPr="0002056A">
        <w:rPr>
          <w:rFonts w:ascii="Georgia" w:hAnsi="Georgia" w:cs="Times New Roman"/>
          <w:lang w:val="en-GB"/>
        </w:rPr>
        <w:t xml:space="preserve">followed by </w:t>
      </w:r>
      <w:r w:rsidR="00D92E3A" w:rsidRPr="0002056A">
        <w:rPr>
          <w:rFonts w:ascii="Georgia" w:hAnsi="Georgia" w:cs="Times New Roman"/>
          <w:i/>
          <w:iCs/>
          <w:lang w:val="en-GB"/>
        </w:rPr>
        <w:t xml:space="preserve">Austria, </w:t>
      </w:r>
      <w:r w:rsidRPr="0002056A">
        <w:rPr>
          <w:rFonts w:ascii="Georgia" w:hAnsi="Georgia" w:cs="Times New Roman"/>
          <w:i/>
          <w:iCs/>
          <w:lang w:val="en-GB"/>
        </w:rPr>
        <w:t>the Netherlands, Scotland, Hungary</w:t>
      </w:r>
      <w:r w:rsidRPr="0002056A">
        <w:rPr>
          <w:rFonts w:ascii="Georgia" w:hAnsi="Georgia" w:cs="Times New Roman"/>
          <w:lang w:val="en-GB"/>
        </w:rPr>
        <w:t xml:space="preserve"> and</w:t>
      </w:r>
      <w:r w:rsidRPr="0002056A">
        <w:rPr>
          <w:rFonts w:ascii="Georgia" w:hAnsi="Georgia" w:cs="Times New Roman"/>
          <w:i/>
          <w:iCs/>
          <w:lang w:val="en-GB"/>
        </w:rPr>
        <w:t xml:space="preserve"> Poland</w:t>
      </w:r>
      <w:r w:rsidRPr="0002056A">
        <w:rPr>
          <w:rFonts w:ascii="Georgia" w:hAnsi="Georgia" w:cs="Times New Roman"/>
          <w:lang w:val="en-GB"/>
        </w:rPr>
        <w:t xml:space="preserve"> (16</w:t>
      </w:r>
      <w:r w:rsidR="005514B2" w:rsidRPr="0002056A">
        <w:rPr>
          <w:rFonts w:ascii="Georgia" w:hAnsi="Georgia" w:cs="Times New Roman"/>
          <w:lang w:val="en-GB"/>
        </w:rPr>
        <w:t>)</w:t>
      </w:r>
      <w:r w:rsidR="009236CF" w:rsidRPr="0002056A">
        <w:rPr>
          <w:rFonts w:ascii="Georgia" w:hAnsi="Georgia" w:cs="Times New Roman"/>
          <w:lang w:val="en-GB"/>
        </w:rPr>
        <w:t>. The</w:t>
      </w:r>
      <w:r w:rsidR="00591C9A" w:rsidRPr="0002056A">
        <w:rPr>
          <w:rFonts w:ascii="Georgia" w:hAnsi="Georgia" w:cs="Times New Roman"/>
          <w:lang w:val="en-GB"/>
        </w:rPr>
        <w:t>s</w:t>
      </w:r>
      <w:r w:rsidR="009236CF" w:rsidRPr="0002056A">
        <w:rPr>
          <w:rFonts w:ascii="Georgia" w:hAnsi="Georgia" w:cs="Times New Roman"/>
          <w:lang w:val="en-GB"/>
        </w:rPr>
        <w:t>e are</w:t>
      </w:r>
      <w:r w:rsidRPr="0002056A">
        <w:rPr>
          <w:rFonts w:ascii="Georgia" w:hAnsi="Georgia" w:cs="Times New Roman"/>
          <w:lang w:val="en-GB"/>
        </w:rPr>
        <w:t xml:space="preserve"> mostly North-Western states, completed with two well-performing Easterners. The second class (</w:t>
      </w:r>
      <w:r w:rsidR="005514B2" w:rsidRPr="0002056A">
        <w:rPr>
          <w:rFonts w:ascii="Georgia" w:hAnsi="Georgia" w:cs="Times New Roman"/>
          <w:lang w:val="en-GB"/>
        </w:rPr>
        <w:t>11-15</w:t>
      </w:r>
      <w:r w:rsidRPr="0002056A">
        <w:rPr>
          <w:rFonts w:ascii="Georgia" w:hAnsi="Georgia" w:cs="Times New Roman"/>
          <w:lang w:val="en-GB"/>
        </w:rPr>
        <w:t xml:space="preserve"> points) is composed by </w:t>
      </w:r>
      <w:r w:rsidRPr="0002056A">
        <w:rPr>
          <w:rFonts w:ascii="Georgia" w:hAnsi="Georgia" w:cs="Times New Roman"/>
          <w:i/>
          <w:iCs/>
          <w:lang w:val="en-GB"/>
        </w:rPr>
        <w:t>Romania, Bosnia and Herzegovina</w:t>
      </w:r>
      <w:r w:rsidR="009003CF" w:rsidRPr="0002056A">
        <w:rPr>
          <w:rFonts w:ascii="Georgia" w:hAnsi="Georgia" w:cs="Times New Roman"/>
          <w:i/>
          <w:iCs/>
          <w:lang w:val="en-GB"/>
        </w:rPr>
        <w:t>,</w:t>
      </w:r>
      <w:r w:rsidR="005514B2" w:rsidRPr="0002056A">
        <w:rPr>
          <w:rFonts w:ascii="Georgia" w:hAnsi="Georgia" w:cs="Times New Roman"/>
          <w:lang w:val="en-GB"/>
        </w:rPr>
        <w:t xml:space="preserve"> </w:t>
      </w:r>
      <w:r w:rsidR="005514B2" w:rsidRPr="0002056A">
        <w:rPr>
          <w:rFonts w:ascii="Georgia" w:hAnsi="Georgia" w:cs="Times New Roman"/>
          <w:i/>
          <w:iCs/>
          <w:lang w:val="en-GB"/>
        </w:rPr>
        <w:t xml:space="preserve">Switzerland, England, Finland, </w:t>
      </w:r>
      <w:r w:rsidR="001D3AEC" w:rsidRPr="0002056A">
        <w:rPr>
          <w:rFonts w:ascii="Georgia" w:hAnsi="Georgia" w:cs="Times New Roman"/>
          <w:i/>
          <w:iCs/>
          <w:lang w:val="en-GB"/>
        </w:rPr>
        <w:t xml:space="preserve">France, </w:t>
      </w:r>
      <w:r w:rsidR="00946CB7" w:rsidRPr="0002056A">
        <w:rPr>
          <w:rFonts w:ascii="Georgia" w:hAnsi="Georgia" w:cs="Times New Roman"/>
          <w:i/>
          <w:iCs/>
          <w:lang w:val="en-GB"/>
        </w:rPr>
        <w:t xml:space="preserve">Belgium, </w:t>
      </w:r>
      <w:r w:rsidRPr="0002056A">
        <w:rPr>
          <w:rFonts w:ascii="Georgia" w:hAnsi="Georgia" w:cs="Times New Roman"/>
          <w:i/>
          <w:iCs/>
          <w:lang w:val="en-GB"/>
        </w:rPr>
        <w:t>Northern Ireland</w:t>
      </w:r>
      <w:r w:rsidR="00123ACC" w:rsidRPr="0002056A">
        <w:rPr>
          <w:rFonts w:ascii="Georgia" w:hAnsi="Georgia" w:cs="Times New Roman"/>
          <w:i/>
          <w:iCs/>
          <w:lang w:val="en-GB"/>
        </w:rPr>
        <w:t>,</w:t>
      </w:r>
      <w:r w:rsidR="00A26B9A" w:rsidRPr="0002056A">
        <w:rPr>
          <w:rFonts w:ascii="Georgia" w:hAnsi="Georgia" w:cs="Times New Roman"/>
          <w:i/>
          <w:iCs/>
          <w:lang w:val="en-GB"/>
        </w:rPr>
        <w:t xml:space="preserve"> </w:t>
      </w:r>
      <w:r w:rsidRPr="0002056A">
        <w:rPr>
          <w:rFonts w:ascii="Georgia" w:hAnsi="Georgia" w:cs="Times New Roman"/>
          <w:i/>
          <w:iCs/>
          <w:lang w:val="en-GB"/>
        </w:rPr>
        <w:t xml:space="preserve">Ireland, Sweden, </w:t>
      </w:r>
      <w:r w:rsidR="0057497C" w:rsidRPr="0002056A">
        <w:rPr>
          <w:rFonts w:ascii="Georgia" w:hAnsi="Georgia" w:cs="Times New Roman"/>
          <w:i/>
          <w:iCs/>
          <w:lang w:val="en-GB"/>
        </w:rPr>
        <w:t xml:space="preserve">Türkiye </w:t>
      </w:r>
      <w:r w:rsidR="001D3AEC" w:rsidRPr="0002056A">
        <w:rPr>
          <w:rFonts w:ascii="Georgia" w:hAnsi="Georgia" w:cs="Times New Roman"/>
          <w:lang w:val="en-GB"/>
        </w:rPr>
        <w:t>and</w:t>
      </w:r>
      <w:r w:rsidR="001D3AEC" w:rsidRPr="0002056A">
        <w:rPr>
          <w:rFonts w:ascii="Georgia" w:hAnsi="Georgia" w:cs="Times New Roman"/>
          <w:i/>
          <w:iCs/>
          <w:lang w:val="en-GB"/>
        </w:rPr>
        <w:t xml:space="preserve"> </w:t>
      </w:r>
      <w:r w:rsidRPr="0002056A">
        <w:rPr>
          <w:rFonts w:ascii="Georgia" w:hAnsi="Georgia" w:cs="Times New Roman"/>
          <w:i/>
          <w:iCs/>
          <w:lang w:val="en-GB"/>
        </w:rPr>
        <w:t>Spain</w:t>
      </w:r>
      <w:r w:rsidRPr="0002056A">
        <w:rPr>
          <w:rFonts w:ascii="Georgia" w:hAnsi="Georgia" w:cs="Times New Roman"/>
          <w:lang w:val="en-GB"/>
        </w:rPr>
        <w:t xml:space="preserve">. It is seemingly a mixed group geographically, but </w:t>
      </w:r>
      <w:r w:rsidR="009F5F85" w:rsidRPr="0002056A">
        <w:rPr>
          <w:rFonts w:ascii="Georgia" w:hAnsi="Georgia" w:cs="Times New Roman"/>
          <w:lang w:val="en-GB"/>
        </w:rPr>
        <w:t>North-</w:t>
      </w:r>
      <w:r w:rsidR="009236CF" w:rsidRPr="0002056A">
        <w:rPr>
          <w:rFonts w:ascii="Georgia" w:hAnsi="Georgia" w:cs="Times New Roman"/>
          <w:lang w:val="en-GB"/>
        </w:rPr>
        <w:t>W</w:t>
      </w:r>
      <w:r w:rsidR="009F5F85" w:rsidRPr="0002056A">
        <w:rPr>
          <w:rFonts w:ascii="Georgia" w:hAnsi="Georgia" w:cs="Times New Roman"/>
          <w:lang w:val="en-GB"/>
        </w:rPr>
        <w:t xml:space="preserve">estern Europeans </w:t>
      </w:r>
      <w:r w:rsidRPr="0002056A">
        <w:rPr>
          <w:rFonts w:ascii="Georgia" w:hAnsi="Georgia" w:cs="Times New Roman"/>
          <w:lang w:val="en-GB"/>
        </w:rPr>
        <w:t>emerge</w:t>
      </w:r>
      <w:r w:rsidR="009F5F85" w:rsidRPr="0002056A">
        <w:rPr>
          <w:rFonts w:ascii="Georgia" w:hAnsi="Georgia" w:cs="Times New Roman"/>
          <w:lang w:val="en-GB"/>
        </w:rPr>
        <w:t xml:space="preserve"> again</w:t>
      </w:r>
      <w:r w:rsidR="009003CF" w:rsidRPr="0002056A">
        <w:rPr>
          <w:rFonts w:ascii="Georgia" w:hAnsi="Georgia" w:cs="Times New Roman"/>
          <w:lang w:val="en-GB"/>
        </w:rPr>
        <w:t xml:space="preserve"> with greater weight</w:t>
      </w:r>
      <w:r w:rsidRPr="0002056A">
        <w:rPr>
          <w:rFonts w:ascii="Georgia" w:hAnsi="Georgia" w:cs="Times New Roman"/>
          <w:lang w:val="en-GB"/>
        </w:rPr>
        <w:t xml:space="preserve">. The weakest category </w:t>
      </w:r>
      <w:r w:rsidR="005D4635" w:rsidRPr="0002056A">
        <w:rPr>
          <w:rFonts w:ascii="Georgia" w:hAnsi="Georgia" w:cs="Times New Roman"/>
          <w:lang w:val="en-GB"/>
        </w:rPr>
        <w:t xml:space="preserve">(below 5 points) </w:t>
      </w:r>
      <w:r w:rsidRPr="0002056A">
        <w:rPr>
          <w:rFonts w:ascii="Georgia" w:hAnsi="Georgia" w:cs="Times New Roman"/>
          <w:lang w:val="en-GB"/>
        </w:rPr>
        <w:t>is mostly made up by South-eastern (</w:t>
      </w:r>
      <w:r w:rsidRPr="0002056A">
        <w:rPr>
          <w:rFonts w:ascii="Georgia" w:hAnsi="Georgia" w:cs="Times New Roman"/>
          <w:i/>
          <w:iCs/>
          <w:lang w:val="en-GB"/>
        </w:rPr>
        <w:t>Montenegro, Malta, Cyprus, Macedon</w:t>
      </w:r>
      <w:r w:rsidR="002E33C4" w:rsidRPr="0002056A">
        <w:rPr>
          <w:rFonts w:ascii="Georgia" w:hAnsi="Georgia" w:cs="Times New Roman"/>
          <w:i/>
          <w:iCs/>
          <w:lang w:val="en-GB"/>
        </w:rPr>
        <w:t>i</w:t>
      </w:r>
      <w:r w:rsidRPr="0002056A">
        <w:rPr>
          <w:rFonts w:ascii="Georgia" w:hAnsi="Georgia" w:cs="Times New Roman"/>
          <w:i/>
          <w:iCs/>
          <w:lang w:val="en-GB"/>
        </w:rPr>
        <w:t>a</w:t>
      </w:r>
      <w:r w:rsidRPr="0002056A">
        <w:rPr>
          <w:rFonts w:ascii="Georgia" w:hAnsi="Georgia" w:cs="Times New Roman"/>
          <w:lang w:val="en-GB"/>
        </w:rPr>
        <w:t>) and Eastern ones (</w:t>
      </w:r>
      <w:r w:rsidRPr="0002056A">
        <w:rPr>
          <w:rFonts w:ascii="Georgia" w:hAnsi="Georgia" w:cs="Times New Roman"/>
          <w:i/>
          <w:iCs/>
          <w:lang w:val="en-GB"/>
        </w:rPr>
        <w:t>Latvia, Lithuania, Croatia</w:t>
      </w:r>
      <w:r w:rsidRPr="0002056A">
        <w:rPr>
          <w:rFonts w:ascii="Georgia" w:hAnsi="Georgia" w:cs="Times New Roman"/>
          <w:lang w:val="en-GB"/>
        </w:rPr>
        <w:t>)</w:t>
      </w:r>
      <w:r w:rsidR="005D4635" w:rsidRPr="0002056A">
        <w:rPr>
          <w:rFonts w:ascii="Georgia" w:hAnsi="Georgia" w:cs="Times New Roman"/>
          <w:lang w:val="en-GB"/>
        </w:rPr>
        <w:t xml:space="preserve"> together </w:t>
      </w:r>
      <w:r w:rsidR="00216AD0" w:rsidRPr="0002056A">
        <w:rPr>
          <w:rFonts w:ascii="Georgia" w:hAnsi="Georgia" w:cs="Times New Roman"/>
          <w:lang w:val="en-GB"/>
        </w:rPr>
        <w:t>with</w:t>
      </w:r>
      <w:r w:rsidR="005D4635" w:rsidRPr="0002056A">
        <w:rPr>
          <w:rFonts w:ascii="Georgia" w:hAnsi="Georgia" w:cs="Times New Roman"/>
          <w:lang w:val="en-GB"/>
        </w:rPr>
        <w:t xml:space="preserve"> a strongly sectoral-minded </w:t>
      </w:r>
      <w:r w:rsidR="00101BD1" w:rsidRPr="0002056A">
        <w:rPr>
          <w:rFonts w:ascii="Georgia" w:hAnsi="Georgia" w:cs="Times New Roman"/>
          <w:lang w:val="en-GB"/>
        </w:rPr>
        <w:t xml:space="preserve">planner </w:t>
      </w:r>
      <w:r w:rsidR="005D4635" w:rsidRPr="0002056A">
        <w:rPr>
          <w:rFonts w:ascii="Georgia" w:hAnsi="Georgia" w:cs="Times New Roman"/>
          <w:i/>
          <w:iCs/>
          <w:lang w:val="en-GB"/>
        </w:rPr>
        <w:t>Luxemb</w:t>
      </w:r>
      <w:r w:rsidR="00A91246" w:rsidRPr="0002056A">
        <w:rPr>
          <w:rFonts w:ascii="Georgia" w:hAnsi="Georgia" w:cs="Times New Roman"/>
          <w:i/>
          <w:iCs/>
          <w:lang w:val="en-GB"/>
        </w:rPr>
        <w:t>u</w:t>
      </w:r>
      <w:r w:rsidR="005D4635" w:rsidRPr="0002056A">
        <w:rPr>
          <w:rFonts w:ascii="Georgia" w:hAnsi="Georgia" w:cs="Times New Roman"/>
          <w:i/>
          <w:iCs/>
          <w:lang w:val="en-GB"/>
        </w:rPr>
        <w:t>rg</w:t>
      </w:r>
      <w:r w:rsidR="005D4635" w:rsidRPr="0002056A">
        <w:rPr>
          <w:rFonts w:ascii="Georgia" w:hAnsi="Georgia" w:cs="Times New Roman"/>
          <w:lang w:val="en-GB"/>
        </w:rPr>
        <w:t xml:space="preserve"> and </w:t>
      </w:r>
      <w:r w:rsidR="005D4635" w:rsidRPr="0002056A">
        <w:rPr>
          <w:rFonts w:ascii="Georgia" w:hAnsi="Georgia" w:cs="Times New Roman"/>
          <w:i/>
          <w:iCs/>
          <w:lang w:val="en-GB"/>
        </w:rPr>
        <w:t>Iceland</w:t>
      </w:r>
      <w:r w:rsidR="00550D30" w:rsidRPr="0002056A">
        <w:rPr>
          <w:rFonts w:ascii="Georgia" w:hAnsi="Georgia" w:cs="Times New Roman"/>
          <w:i/>
          <w:iCs/>
          <w:lang w:val="en-GB"/>
        </w:rPr>
        <w:t xml:space="preserve"> </w:t>
      </w:r>
      <w:r w:rsidR="00550D30" w:rsidRPr="0002056A">
        <w:rPr>
          <w:rFonts w:ascii="Georgia" w:hAnsi="Georgia" w:cs="Times New Roman"/>
          <w:lang w:val="en-GB"/>
        </w:rPr>
        <w:t>(Figure 18)</w:t>
      </w:r>
      <w:r w:rsidRPr="0002056A">
        <w:rPr>
          <w:rFonts w:ascii="Georgia" w:hAnsi="Georgia" w:cs="Times New Roman"/>
          <w:lang w:val="en-GB"/>
        </w:rPr>
        <w:t>.</w:t>
      </w:r>
    </w:p>
    <w:p w14:paraId="4D9C5AB4" w14:textId="77777777" w:rsidR="008308D9" w:rsidRPr="0002056A" w:rsidRDefault="008308D9" w:rsidP="00BD4CF2">
      <w:pPr>
        <w:spacing w:before="120" w:afterLines="120" w:after="288" w:line="240" w:lineRule="auto"/>
        <w:jc w:val="center"/>
        <w:rPr>
          <w:rFonts w:ascii="Georgia" w:hAnsi="Georgia" w:cs="Times New Roman"/>
          <w:bCs/>
          <w:sz w:val="20"/>
          <w:szCs w:val="20"/>
          <w:lang w:val="en-GB"/>
        </w:rPr>
      </w:pPr>
      <w:r w:rsidRPr="0002056A">
        <w:rPr>
          <w:rFonts w:ascii="Georgia" w:hAnsi="Georgia" w:cs="Times New Roman"/>
          <w:bCs/>
          <w:noProof/>
          <w:sz w:val="20"/>
          <w:szCs w:val="20"/>
          <w:lang w:val="en-GB"/>
          <w14:ligatures w14:val="standardContextual"/>
        </w:rPr>
        <w:lastRenderedPageBreak/>
        <w:drawing>
          <wp:inline distT="0" distB="0" distL="0" distR="0" wp14:anchorId="699A917F" wp14:editId="2BDC34AF">
            <wp:extent cx="5760720" cy="4863465"/>
            <wp:effectExtent l="19050" t="19050" r="11430" b="13335"/>
            <wp:docPr id="31549027" name="Kép 4" descr="A képen térkép, atlasz, szöveg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9027" name="Kép 4" descr="A képen térkép, atlasz, szöveg látható&#10;&#10;Előfordulhat, hogy az AI által létrehozott tartalom helytele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02509CC3" w14:textId="2991F8FA" w:rsidR="008308D9" w:rsidRPr="0002056A" w:rsidRDefault="008308D9" w:rsidP="00BD4CF2">
      <w:pPr>
        <w:jc w:val="center"/>
        <w:rPr>
          <w:rFonts w:ascii="Georgia" w:hAnsi="Georgia"/>
          <w:i/>
          <w:iCs/>
          <w:sz w:val="18"/>
          <w:szCs w:val="18"/>
          <w:lang w:val="en-GB"/>
        </w:rPr>
      </w:pPr>
      <w:r w:rsidRPr="0002056A">
        <w:rPr>
          <w:rFonts w:ascii="Georgia" w:hAnsi="Georgia"/>
          <w:b/>
          <w:bCs/>
          <w:sz w:val="18"/>
          <w:szCs w:val="18"/>
          <w:lang w:val="en-GB"/>
        </w:rPr>
        <w:t xml:space="preserve">Figure </w:t>
      </w:r>
      <w:r w:rsidR="00BD4CF2" w:rsidRPr="0002056A">
        <w:rPr>
          <w:rFonts w:ascii="Georgia" w:hAnsi="Georgia"/>
          <w:b/>
          <w:bCs/>
          <w:sz w:val="18"/>
          <w:szCs w:val="18"/>
          <w:lang w:val="en-GB"/>
        </w:rPr>
        <w:t>18</w:t>
      </w:r>
      <w:r w:rsidRPr="0002056A">
        <w:rPr>
          <w:rFonts w:ascii="Georgia" w:hAnsi="Georgia"/>
          <w:b/>
          <w:bCs/>
          <w:sz w:val="18"/>
          <w:szCs w:val="18"/>
          <w:lang w:val="en-GB"/>
        </w:rPr>
        <w:t>: General spatial emphases in the analysed countries</w:t>
      </w:r>
      <w:r w:rsidR="003667AC">
        <w:rPr>
          <w:rFonts w:ascii="Georgia" w:hAnsi="Georgia"/>
          <w:b/>
          <w:bCs/>
          <w:sz w:val="18"/>
          <w:szCs w:val="18"/>
          <w:lang w:val="en-GB"/>
        </w:rPr>
        <w:t>’</w:t>
      </w:r>
      <w:r w:rsidRPr="0002056A">
        <w:rPr>
          <w:rFonts w:ascii="Georgia" w:hAnsi="Georgia"/>
          <w:b/>
          <w:bCs/>
          <w:sz w:val="18"/>
          <w:szCs w:val="18"/>
          <w:lang w:val="en-GB"/>
        </w:rPr>
        <w:t xml:space="preserve"> adaptation policies. </w:t>
      </w:r>
      <w:r w:rsidRPr="0002056A">
        <w:rPr>
          <w:rFonts w:ascii="Georgia" w:hAnsi="Georgia"/>
          <w:i/>
          <w:iCs/>
          <w:sz w:val="18"/>
          <w:szCs w:val="18"/>
          <w:lang w:val="en-GB"/>
        </w:rPr>
        <w:t>Source: own editing.</w:t>
      </w:r>
    </w:p>
    <w:p w14:paraId="6602759B" w14:textId="176BF31B" w:rsidR="0011240F" w:rsidRPr="0002056A" w:rsidRDefault="0011240F" w:rsidP="00CD5BF3">
      <w:pPr>
        <w:shd w:val="clear" w:color="auto" w:fill="FFFFFF" w:themeFill="background1"/>
        <w:spacing w:beforeLines="120" w:before="288" w:afterLines="120" w:after="288"/>
        <w:jc w:val="both"/>
        <w:rPr>
          <w:rFonts w:ascii="Georgia" w:hAnsi="Georgia" w:cs="Times New Roman"/>
          <w:bCs/>
          <w:lang w:val="en-GB"/>
        </w:rPr>
      </w:pPr>
      <w:r w:rsidRPr="0002056A">
        <w:rPr>
          <w:rFonts w:ascii="Georgia" w:hAnsi="Georgia" w:cs="Times New Roman"/>
          <w:bCs/>
          <w:lang w:val="en-GB"/>
        </w:rPr>
        <w:t>Going from sub-aspect to sub-aspect,</w:t>
      </w:r>
      <w:r w:rsidRPr="0002056A">
        <w:rPr>
          <w:rFonts w:ascii="Georgia" w:hAnsi="Georgia" w:cs="Times New Roman"/>
          <w:b/>
          <w:lang w:val="en-GB"/>
        </w:rPr>
        <w:t xml:space="preserve"> the space phraseology </w:t>
      </w:r>
      <w:r w:rsidRPr="0002056A">
        <w:rPr>
          <w:rFonts w:ascii="Georgia" w:hAnsi="Georgia" w:cs="Times New Roman"/>
          <w:bCs/>
          <w:lang w:val="en-GB"/>
        </w:rPr>
        <w:t xml:space="preserve">was the strongest in the countries that are uniformly strong in using </w:t>
      </w:r>
      <w:r w:rsidR="005F0D01" w:rsidRPr="0002056A">
        <w:rPr>
          <w:rFonts w:ascii="Georgia" w:hAnsi="Georgia" w:cs="Times New Roman"/>
          <w:bCs/>
          <w:lang w:val="en-GB"/>
        </w:rPr>
        <w:t>all</w:t>
      </w:r>
      <w:r w:rsidR="00A608BD" w:rsidRPr="0002056A">
        <w:rPr>
          <w:rFonts w:ascii="Georgia" w:hAnsi="Georgia" w:cs="Times New Roman"/>
          <w:bCs/>
          <w:lang w:val="en-GB"/>
        </w:rPr>
        <w:t xml:space="preserve"> (</w:t>
      </w:r>
      <w:r w:rsidRPr="0002056A">
        <w:rPr>
          <w:rFonts w:ascii="Georgia" w:hAnsi="Georgia" w:cs="Times New Roman"/>
          <w:bCs/>
          <w:i/>
          <w:lang w:val="en-GB"/>
        </w:rPr>
        <w:t>Hungary</w:t>
      </w:r>
      <w:r w:rsidRPr="0002056A">
        <w:rPr>
          <w:rFonts w:ascii="Georgia" w:hAnsi="Georgia" w:cs="Times New Roman"/>
          <w:bCs/>
          <w:lang w:val="en-GB"/>
        </w:rPr>
        <w:t xml:space="preserve"> and </w:t>
      </w:r>
      <w:r w:rsidRPr="0002056A">
        <w:rPr>
          <w:rFonts w:ascii="Georgia" w:hAnsi="Georgia" w:cs="Times New Roman"/>
          <w:bCs/>
          <w:i/>
          <w:iCs/>
          <w:lang w:val="en-GB"/>
        </w:rPr>
        <w:t>France</w:t>
      </w:r>
      <w:r w:rsidR="00A608BD" w:rsidRPr="0002056A">
        <w:rPr>
          <w:rFonts w:ascii="Georgia" w:hAnsi="Georgia" w:cs="Times New Roman"/>
          <w:bCs/>
          <w:lang w:val="en-GB"/>
        </w:rPr>
        <w:t>)</w:t>
      </w:r>
      <w:r w:rsidRPr="0002056A">
        <w:rPr>
          <w:rFonts w:ascii="Georgia" w:hAnsi="Georgia" w:cs="Times New Roman"/>
          <w:bCs/>
          <w:lang w:val="en-GB"/>
        </w:rPr>
        <w:t>, or the majority of the examined concepts</w:t>
      </w:r>
      <w:r w:rsidR="00A608BD" w:rsidRPr="0002056A">
        <w:rPr>
          <w:rFonts w:ascii="Georgia" w:hAnsi="Georgia" w:cs="Times New Roman"/>
          <w:bCs/>
          <w:lang w:val="en-GB"/>
        </w:rPr>
        <w:t xml:space="preserve"> (</w:t>
      </w:r>
      <w:r w:rsidRPr="0002056A">
        <w:rPr>
          <w:rFonts w:ascii="Georgia" w:hAnsi="Georgia" w:cs="Times New Roman"/>
          <w:bCs/>
          <w:lang w:val="en-GB"/>
        </w:rPr>
        <w:t xml:space="preserve">e.g. the </w:t>
      </w:r>
      <w:r w:rsidRPr="0002056A">
        <w:rPr>
          <w:rFonts w:ascii="Georgia" w:hAnsi="Georgia" w:cs="Times New Roman"/>
          <w:bCs/>
          <w:i/>
          <w:lang w:val="en-GB"/>
        </w:rPr>
        <w:t>Czech Republic, Türkiye, Serbia, Bulgaria</w:t>
      </w:r>
      <w:r w:rsidRPr="0002056A">
        <w:rPr>
          <w:rFonts w:ascii="Georgia" w:hAnsi="Georgia" w:cs="Times New Roman"/>
          <w:bCs/>
          <w:lang w:val="en-GB"/>
        </w:rPr>
        <w:t xml:space="preserve">, </w:t>
      </w:r>
      <w:r w:rsidRPr="0002056A">
        <w:rPr>
          <w:rFonts w:ascii="Georgia" w:hAnsi="Georgia" w:cs="Times New Roman"/>
          <w:bCs/>
          <w:i/>
          <w:lang w:val="en-GB"/>
        </w:rPr>
        <w:t xml:space="preserve">Scotland, Austria, France, Switzerland </w:t>
      </w:r>
      <w:r w:rsidRPr="0002056A">
        <w:rPr>
          <w:rFonts w:ascii="Georgia" w:hAnsi="Georgia" w:cs="Times New Roman"/>
          <w:bCs/>
          <w:iCs/>
          <w:lang w:val="en-GB"/>
        </w:rPr>
        <w:t>or</w:t>
      </w:r>
      <w:r w:rsidRPr="0002056A">
        <w:rPr>
          <w:rFonts w:ascii="Georgia" w:hAnsi="Georgia" w:cs="Times New Roman"/>
          <w:bCs/>
          <w:i/>
          <w:lang w:val="en-GB"/>
        </w:rPr>
        <w:t xml:space="preserve"> Italy</w:t>
      </w:r>
      <w:r w:rsidR="00A608BD" w:rsidRPr="0002056A">
        <w:rPr>
          <w:rFonts w:ascii="Georgia" w:hAnsi="Georgia" w:cs="Times New Roman"/>
          <w:bCs/>
          <w:iCs/>
          <w:lang w:val="en-GB"/>
        </w:rPr>
        <w:t>)</w:t>
      </w:r>
      <w:r w:rsidR="00A91246" w:rsidRPr="0002056A">
        <w:rPr>
          <w:rFonts w:ascii="Georgia" w:hAnsi="Georgia" w:cs="Times New Roman"/>
          <w:bCs/>
          <w:lang w:val="en-GB"/>
        </w:rPr>
        <w:t xml:space="preserve"> in their NAS documents</w:t>
      </w:r>
      <w:r w:rsidRPr="0002056A">
        <w:rPr>
          <w:rFonts w:ascii="Georgia" w:hAnsi="Georgia" w:cs="Times New Roman"/>
          <w:bCs/>
          <w:lang w:val="en-GB"/>
        </w:rPr>
        <w:t xml:space="preserve">. Two outstanding concepts emerge in </w:t>
      </w:r>
      <w:r w:rsidRPr="0002056A">
        <w:rPr>
          <w:rFonts w:ascii="Georgia" w:hAnsi="Georgia" w:cs="Times New Roman"/>
          <w:bCs/>
          <w:i/>
          <w:lang w:val="en-GB"/>
        </w:rPr>
        <w:t>Romania</w:t>
      </w:r>
      <w:r w:rsidRPr="0002056A">
        <w:rPr>
          <w:rFonts w:ascii="Georgia" w:hAnsi="Georgia" w:cs="Times New Roman"/>
          <w:bCs/>
          <w:lang w:val="en-GB"/>
        </w:rPr>
        <w:t xml:space="preserve"> (“place”, “local”) and </w:t>
      </w:r>
      <w:r w:rsidRPr="0002056A">
        <w:rPr>
          <w:rFonts w:ascii="Georgia" w:hAnsi="Georgia" w:cs="Times New Roman"/>
          <w:bCs/>
          <w:i/>
          <w:lang w:val="en-GB"/>
        </w:rPr>
        <w:t>Finland</w:t>
      </w:r>
      <w:r w:rsidRPr="0002056A">
        <w:rPr>
          <w:rFonts w:ascii="Georgia" w:hAnsi="Georgia" w:cs="Times New Roman"/>
          <w:bCs/>
          <w:lang w:val="en-GB"/>
        </w:rPr>
        <w:t xml:space="preserve"> (“space”, “region”). 1-1 outstanding concept can be mentioned in connection with </w:t>
      </w:r>
      <w:r w:rsidRPr="0002056A">
        <w:rPr>
          <w:rFonts w:ascii="Georgia" w:hAnsi="Georgia" w:cs="Times New Roman"/>
          <w:bCs/>
          <w:i/>
          <w:lang w:val="en-GB"/>
        </w:rPr>
        <w:t xml:space="preserve">Ireland, Northern Ireland, Kosovo, Croatia, Norway, </w:t>
      </w:r>
      <w:r w:rsidRPr="0002056A">
        <w:rPr>
          <w:rFonts w:ascii="Georgia" w:hAnsi="Georgia" w:cs="Times New Roman"/>
          <w:bCs/>
          <w:iCs/>
          <w:lang w:val="en-GB"/>
        </w:rPr>
        <w:t xml:space="preserve">or </w:t>
      </w:r>
      <w:r w:rsidRPr="0002056A">
        <w:rPr>
          <w:rFonts w:ascii="Georgia" w:hAnsi="Georgia" w:cs="Times New Roman"/>
          <w:bCs/>
          <w:i/>
          <w:lang w:val="en-GB"/>
        </w:rPr>
        <w:t>England</w:t>
      </w:r>
      <w:r w:rsidR="00895CBC" w:rsidRPr="0002056A">
        <w:rPr>
          <w:rFonts w:ascii="Georgia" w:hAnsi="Georgia" w:cs="Times New Roman"/>
          <w:bCs/>
          <w:i/>
          <w:lang w:val="en-GB"/>
        </w:rPr>
        <w:t>.</w:t>
      </w:r>
      <w:r w:rsidRPr="0002056A">
        <w:rPr>
          <w:rFonts w:ascii="Georgia" w:hAnsi="Georgia" w:cs="Times New Roman"/>
          <w:bCs/>
          <w:i/>
          <w:lang w:val="en-GB"/>
        </w:rPr>
        <w:t xml:space="preserve"> </w:t>
      </w:r>
      <w:r w:rsidRPr="0002056A">
        <w:rPr>
          <w:rFonts w:ascii="Georgia" w:hAnsi="Georgia" w:cs="Times New Roman"/>
          <w:bCs/>
          <w:lang w:val="en-GB"/>
        </w:rPr>
        <w:t xml:space="preserve">If we examine the results from the concepts’ point of view, “space” gets special emphasis in </w:t>
      </w:r>
      <w:r w:rsidRPr="0002056A">
        <w:rPr>
          <w:rFonts w:ascii="Georgia" w:hAnsi="Georgia" w:cs="Times New Roman"/>
          <w:bCs/>
          <w:i/>
          <w:lang w:val="en-GB"/>
        </w:rPr>
        <w:t xml:space="preserve">Hungary, Austria </w:t>
      </w:r>
      <w:r w:rsidRPr="0002056A">
        <w:rPr>
          <w:rFonts w:ascii="Georgia" w:hAnsi="Georgia" w:cs="Times New Roman"/>
          <w:bCs/>
          <w:iCs/>
          <w:lang w:val="en-GB"/>
        </w:rPr>
        <w:t>and</w:t>
      </w:r>
      <w:r w:rsidRPr="0002056A">
        <w:rPr>
          <w:rFonts w:ascii="Georgia" w:hAnsi="Georgia" w:cs="Times New Roman"/>
          <w:bCs/>
          <w:i/>
          <w:lang w:val="en-GB"/>
        </w:rPr>
        <w:t xml:space="preserve"> Switzerland</w:t>
      </w:r>
      <w:r w:rsidRPr="0002056A">
        <w:rPr>
          <w:rFonts w:ascii="Georgia" w:hAnsi="Georgia" w:cs="Times New Roman"/>
          <w:bCs/>
          <w:lang w:val="en-GB"/>
        </w:rPr>
        <w:t xml:space="preserve">; “spatiality” in </w:t>
      </w:r>
      <w:r w:rsidRPr="0002056A">
        <w:rPr>
          <w:rFonts w:ascii="Georgia" w:hAnsi="Georgia" w:cs="Times New Roman"/>
          <w:bCs/>
          <w:i/>
          <w:lang w:val="en-GB"/>
        </w:rPr>
        <w:t>Hungary, Kosovo</w:t>
      </w:r>
      <w:r w:rsidR="00A608BD" w:rsidRPr="0002056A">
        <w:rPr>
          <w:rFonts w:ascii="Georgia" w:hAnsi="Georgia" w:cs="Times New Roman"/>
          <w:bCs/>
          <w:i/>
          <w:lang w:val="en-GB"/>
        </w:rPr>
        <w:t xml:space="preserve"> </w:t>
      </w:r>
      <w:r w:rsidR="00A608BD" w:rsidRPr="0002056A">
        <w:rPr>
          <w:rFonts w:ascii="Georgia" w:hAnsi="Georgia" w:cs="Times New Roman"/>
          <w:bCs/>
          <w:iCs/>
          <w:lang w:val="en-GB"/>
        </w:rPr>
        <w:t>and</w:t>
      </w:r>
      <w:r w:rsidRPr="0002056A">
        <w:rPr>
          <w:rFonts w:ascii="Georgia" w:hAnsi="Georgia" w:cs="Times New Roman"/>
          <w:bCs/>
          <w:i/>
          <w:lang w:val="en-GB"/>
        </w:rPr>
        <w:t xml:space="preserve"> Switzerland</w:t>
      </w:r>
      <w:r w:rsidRPr="0002056A">
        <w:rPr>
          <w:rFonts w:ascii="Georgia" w:hAnsi="Georgia" w:cs="Times New Roman"/>
          <w:bCs/>
          <w:lang w:val="en-GB"/>
        </w:rPr>
        <w:t xml:space="preserve">. Altogether, </w:t>
      </w:r>
      <w:r w:rsidRPr="0002056A">
        <w:rPr>
          <w:rFonts w:ascii="Georgia" w:hAnsi="Georgia" w:cs="Times New Roman"/>
          <w:bCs/>
          <w:i/>
          <w:lang w:val="en-GB"/>
        </w:rPr>
        <w:t>Hungary and Switzerland</w:t>
      </w:r>
      <w:r w:rsidRPr="0002056A">
        <w:rPr>
          <w:rFonts w:ascii="Georgia" w:hAnsi="Georgia" w:cs="Times New Roman"/>
          <w:bCs/>
          <w:lang w:val="en-GB"/>
        </w:rPr>
        <w:t xml:space="preserve"> are outstanding in both space-related terms. The </w:t>
      </w:r>
      <w:r w:rsidR="003667AC">
        <w:rPr>
          <w:rFonts w:ascii="Georgia" w:hAnsi="Georgia" w:cs="Times New Roman"/>
          <w:bCs/>
          <w:lang w:val="en-GB"/>
        </w:rPr>
        <w:t xml:space="preserve">word “region” is mentioned numerous times in several countries from all over Europe (Czechia, Hungary, Greece, Türkiye, Switzerland, France, Finland, Norway), meanwhile “regionality” is mentioned </w:t>
      </w:r>
      <w:r w:rsidRPr="0002056A">
        <w:rPr>
          <w:rFonts w:ascii="Georgia" w:hAnsi="Georgia" w:cs="Times New Roman"/>
          <w:bCs/>
          <w:lang w:val="en-GB"/>
        </w:rPr>
        <w:t>in</w:t>
      </w:r>
      <w:r w:rsidRPr="0002056A">
        <w:rPr>
          <w:rFonts w:ascii="Georgia" w:hAnsi="Georgia" w:cs="Times New Roman"/>
          <w:bCs/>
          <w:i/>
          <w:lang w:val="en-GB"/>
        </w:rPr>
        <w:t xml:space="preserve"> Hungary, Bulgaria, </w:t>
      </w:r>
      <w:r w:rsidR="00A21DC2" w:rsidRPr="0002056A">
        <w:rPr>
          <w:rFonts w:ascii="Georgia" w:hAnsi="Georgia" w:cs="Times New Roman"/>
          <w:bCs/>
          <w:i/>
          <w:lang w:val="en-GB"/>
        </w:rPr>
        <w:t>Türkiye</w:t>
      </w:r>
      <w:r w:rsidRPr="0002056A">
        <w:rPr>
          <w:rFonts w:ascii="Georgia" w:hAnsi="Georgia" w:cs="Times New Roman"/>
          <w:bCs/>
          <w:lang w:val="en-GB"/>
        </w:rPr>
        <w:t xml:space="preserve"> and </w:t>
      </w:r>
      <w:r w:rsidRPr="0002056A">
        <w:rPr>
          <w:rFonts w:ascii="Georgia" w:hAnsi="Georgia" w:cs="Times New Roman"/>
          <w:bCs/>
          <w:i/>
          <w:lang w:val="en-GB"/>
        </w:rPr>
        <w:t xml:space="preserve">Austria. Hungary </w:t>
      </w:r>
      <w:r w:rsidRPr="0002056A">
        <w:rPr>
          <w:rFonts w:ascii="Georgia" w:hAnsi="Georgia" w:cs="Times New Roman"/>
          <w:bCs/>
          <w:lang w:val="en-GB"/>
        </w:rPr>
        <w:t xml:space="preserve">and </w:t>
      </w:r>
      <w:r w:rsidR="00A21DC2" w:rsidRPr="0002056A">
        <w:rPr>
          <w:rFonts w:ascii="Georgia" w:hAnsi="Georgia" w:cs="Times New Roman"/>
          <w:bCs/>
          <w:i/>
          <w:lang w:val="en-GB"/>
        </w:rPr>
        <w:t>Türkiye</w:t>
      </w:r>
      <w:r w:rsidRPr="0002056A">
        <w:rPr>
          <w:rFonts w:ascii="Georgia" w:hAnsi="Georgia" w:cs="Times New Roman"/>
          <w:bCs/>
          <w:lang w:val="en-GB"/>
        </w:rPr>
        <w:t xml:space="preserve"> are especially strong using the region and similar concepts. “Territory” emerges mainly in </w:t>
      </w:r>
      <w:r w:rsidRPr="0002056A">
        <w:rPr>
          <w:rFonts w:ascii="Georgia" w:hAnsi="Georgia" w:cs="Times New Roman"/>
          <w:bCs/>
          <w:i/>
          <w:lang w:val="en-GB"/>
        </w:rPr>
        <w:t>Central and Southern European</w:t>
      </w:r>
      <w:r w:rsidRPr="0002056A">
        <w:rPr>
          <w:rFonts w:ascii="Georgia" w:hAnsi="Georgia" w:cs="Times New Roman"/>
          <w:bCs/>
          <w:lang w:val="en-GB"/>
        </w:rPr>
        <w:t xml:space="preserve"> NAS/NAP documents, where the </w:t>
      </w:r>
      <w:r w:rsidR="00DE61DD" w:rsidRPr="0002056A">
        <w:rPr>
          <w:rFonts w:ascii="Georgia" w:hAnsi="Georgia" w:cs="Times New Roman"/>
          <w:bCs/>
          <w:lang w:val="en-GB"/>
        </w:rPr>
        <w:t xml:space="preserve">national </w:t>
      </w:r>
      <w:r w:rsidRPr="0002056A">
        <w:rPr>
          <w:rFonts w:ascii="Georgia" w:hAnsi="Georgia" w:cs="Times New Roman"/>
          <w:bCs/>
          <w:lang w:val="en-GB"/>
        </w:rPr>
        <w:t>languages use the word territory, territorial usually as synonyms of space and spatial, and understand under the term not only administrational units (</w:t>
      </w:r>
      <w:r w:rsidR="00895CBC" w:rsidRPr="0002056A">
        <w:rPr>
          <w:rFonts w:ascii="Georgia" w:hAnsi="Georgia" w:cs="Times New Roman"/>
          <w:bCs/>
          <w:i/>
          <w:lang w:val="en-GB"/>
        </w:rPr>
        <w:t xml:space="preserve">Austria, </w:t>
      </w:r>
      <w:r w:rsidRPr="0002056A">
        <w:rPr>
          <w:rFonts w:ascii="Georgia" w:hAnsi="Georgia" w:cs="Times New Roman"/>
          <w:bCs/>
          <w:i/>
          <w:lang w:val="en-GB"/>
        </w:rPr>
        <w:t xml:space="preserve">Czech Republic, Hungary, Slovakia, Serbia; </w:t>
      </w:r>
      <w:r w:rsidRPr="0002056A">
        <w:rPr>
          <w:rFonts w:ascii="Georgia" w:hAnsi="Georgia" w:cs="Times New Roman"/>
          <w:bCs/>
          <w:iCs/>
          <w:lang w:val="en-GB"/>
        </w:rPr>
        <w:t>and</w:t>
      </w:r>
      <w:r w:rsidRPr="0002056A">
        <w:rPr>
          <w:rFonts w:ascii="Georgia" w:hAnsi="Georgia" w:cs="Times New Roman"/>
          <w:bCs/>
          <w:i/>
          <w:lang w:val="en-GB"/>
        </w:rPr>
        <w:t xml:space="preserve"> Italy, Portugal, </w:t>
      </w:r>
      <w:r w:rsidR="00E5367F" w:rsidRPr="0002056A">
        <w:rPr>
          <w:rFonts w:ascii="Georgia" w:hAnsi="Georgia" w:cs="Times New Roman"/>
          <w:bCs/>
          <w:iCs/>
          <w:lang w:val="en-GB"/>
        </w:rPr>
        <w:t xml:space="preserve">but from Western-Europe </w:t>
      </w:r>
      <w:r w:rsidRPr="0002056A">
        <w:rPr>
          <w:rFonts w:ascii="Georgia" w:hAnsi="Georgia" w:cs="Times New Roman"/>
          <w:bCs/>
          <w:i/>
          <w:lang w:val="en-GB"/>
        </w:rPr>
        <w:t xml:space="preserve">France </w:t>
      </w:r>
      <w:r w:rsidR="00E5367F" w:rsidRPr="0002056A">
        <w:rPr>
          <w:rFonts w:ascii="Georgia" w:hAnsi="Georgia" w:cs="Times New Roman"/>
          <w:bCs/>
          <w:iCs/>
          <w:lang w:val="en-GB"/>
        </w:rPr>
        <w:t>and from Northern-Europe</w:t>
      </w:r>
      <w:r w:rsidRPr="0002056A">
        <w:rPr>
          <w:rFonts w:ascii="Georgia" w:hAnsi="Georgia" w:cs="Times New Roman"/>
          <w:bCs/>
          <w:i/>
          <w:lang w:val="en-GB"/>
        </w:rPr>
        <w:t xml:space="preserve"> Finland</w:t>
      </w:r>
      <w:r w:rsidR="00E5367F" w:rsidRPr="0002056A">
        <w:rPr>
          <w:rFonts w:ascii="Georgia" w:hAnsi="Georgia" w:cs="Times New Roman"/>
          <w:bCs/>
          <w:i/>
          <w:lang w:val="en-GB"/>
        </w:rPr>
        <w:t xml:space="preserve"> </w:t>
      </w:r>
      <w:r w:rsidR="00E5367F" w:rsidRPr="0002056A">
        <w:rPr>
          <w:rFonts w:ascii="Georgia" w:hAnsi="Georgia" w:cs="Times New Roman"/>
          <w:bCs/>
          <w:iCs/>
          <w:lang w:val="en-GB"/>
        </w:rPr>
        <w:t>can also be mentioned here</w:t>
      </w:r>
      <w:r w:rsidRPr="0002056A">
        <w:rPr>
          <w:rFonts w:ascii="Georgia" w:hAnsi="Georgia" w:cs="Times New Roman"/>
          <w:bCs/>
          <w:iCs/>
          <w:lang w:val="en-GB"/>
        </w:rPr>
        <w:t>)</w:t>
      </w:r>
      <w:r w:rsidR="00895CBC" w:rsidRPr="0002056A">
        <w:rPr>
          <w:rFonts w:ascii="Georgia" w:hAnsi="Georgia" w:cs="Times New Roman"/>
          <w:bCs/>
          <w:iCs/>
          <w:lang w:val="en-GB"/>
        </w:rPr>
        <w:t>.</w:t>
      </w:r>
      <w:r w:rsidR="00895CBC" w:rsidRPr="0002056A">
        <w:rPr>
          <w:rFonts w:ascii="Georgia" w:hAnsi="Georgia" w:cs="Times New Roman"/>
          <w:bCs/>
          <w:lang w:val="en-GB"/>
        </w:rPr>
        <w:t xml:space="preserve"> </w:t>
      </w:r>
      <w:r w:rsidRPr="0002056A">
        <w:rPr>
          <w:rFonts w:ascii="Georgia" w:hAnsi="Georgia" w:cs="Times New Roman"/>
          <w:bCs/>
          <w:lang w:val="en-GB"/>
        </w:rPr>
        <w:t>“</w:t>
      </w:r>
      <w:r w:rsidR="00895CBC" w:rsidRPr="0002056A">
        <w:rPr>
          <w:rFonts w:ascii="Georgia" w:hAnsi="Georgia" w:cs="Times New Roman"/>
          <w:bCs/>
          <w:lang w:val="en-GB"/>
        </w:rPr>
        <w:t>T</w:t>
      </w:r>
      <w:r w:rsidRPr="0002056A">
        <w:rPr>
          <w:rFonts w:ascii="Georgia" w:hAnsi="Georgia" w:cs="Times New Roman"/>
          <w:bCs/>
          <w:lang w:val="en-GB"/>
        </w:rPr>
        <w:t xml:space="preserve">erritoriality” is outstanding in </w:t>
      </w:r>
      <w:r w:rsidRPr="0002056A">
        <w:rPr>
          <w:rFonts w:ascii="Georgia" w:hAnsi="Georgia" w:cs="Times New Roman"/>
          <w:bCs/>
          <w:i/>
          <w:lang w:val="en-GB"/>
        </w:rPr>
        <w:lastRenderedPageBreak/>
        <w:t xml:space="preserve">Hungary, Portugal </w:t>
      </w:r>
      <w:r w:rsidRPr="0002056A">
        <w:rPr>
          <w:rFonts w:ascii="Georgia" w:hAnsi="Georgia" w:cs="Times New Roman"/>
          <w:bCs/>
          <w:iCs/>
          <w:lang w:val="en-GB"/>
        </w:rPr>
        <w:t>and</w:t>
      </w:r>
      <w:r w:rsidRPr="0002056A">
        <w:rPr>
          <w:rFonts w:ascii="Georgia" w:hAnsi="Georgia" w:cs="Times New Roman"/>
          <w:bCs/>
          <w:i/>
          <w:lang w:val="en-GB"/>
        </w:rPr>
        <w:t xml:space="preserve"> France</w:t>
      </w:r>
      <w:r w:rsidRPr="0002056A">
        <w:rPr>
          <w:rFonts w:ascii="Georgia" w:hAnsi="Georgia" w:cs="Times New Roman"/>
          <w:bCs/>
          <w:lang w:val="en-GB"/>
        </w:rPr>
        <w:t>. “Place” appear</w:t>
      </w:r>
      <w:r w:rsidR="00450FFF" w:rsidRPr="0002056A">
        <w:rPr>
          <w:rFonts w:ascii="Georgia" w:hAnsi="Georgia" w:cs="Times New Roman"/>
          <w:bCs/>
          <w:lang w:val="en-GB"/>
        </w:rPr>
        <w:t>s</w:t>
      </w:r>
      <w:r w:rsidRPr="0002056A">
        <w:rPr>
          <w:rFonts w:ascii="Georgia" w:hAnsi="Georgia" w:cs="Times New Roman"/>
          <w:bCs/>
          <w:lang w:val="en-GB"/>
        </w:rPr>
        <w:t xml:space="preserve"> extremely </w:t>
      </w:r>
      <w:r w:rsidR="003667AC">
        <w:rPr>
          <w:rFonts w:ascii="Georgia" w:hAnsi="Georgia" w:cs="Times New Roman"/>
          <w:bCs/>
          <w:lang w:val="en-GB"/>
        </w:rPr>
        <w:t xml:space="preserve">often in </w:t>
      </w:r>
      <w:r w:rsidR="00582C63">
        <w:rPr>
          <w:rFonts w:ascii="Georgia" w:hAnsi="Georgia" w:cs="Times New Roman"/>
          <w:bCs/>
          <w:lang w:val="en-GB"/>
        </w:rPr>
        <w:t xml:space="preserve">the documents of </w:t>
      </w:r>
      <w:r w:rsidR="003667AC">
        <w:rPr>
          <w:rFonts w:ascii="Georgia" w:hAnsi="Georgia" w:cs="Times New Roman"/>
          <w:bCs/>
          <w:lang w:val="en-GB"/>
        </w:rPr>
        <w:t>Romania, where administration is strongly locally focused</w:t>
      </w:r>
      <w:r w:rsidRPr="0002056A">
        <w:rPr>
          <w:rFonts w:ascii="Georgia" w:hAnsi="Georgia" w:cs="Times New Roman"/>
          <w:bCs/>
          <w:lang w:val="en-GB"/>
        </w:rPr>
        <w:t xml:space="preserve">. “Local”, from similar reasons, emerges mostly in </w:t>
      </w:r>
      <w:r w:rsidRPr="0002056A">
        <w:rPr>
          <w:rFonts w:ascii="Georgia" w:hAnsi="Georgia" w:cs="Times New Roman"/>
          <w:bCs/>
          <w:i/>
          <w:lang w:val="en-GB"/>
        </w:rPr>
        <w:t>South</w:t>
      </w:r>
      <w:r w:rsidR="00F324D1" w:rsidRPr="0002056A">
        <w:rPr>
          <w:rFonts w:ascii="Georgia" w:hAnsi="Georgia" w:cs="Times New Roman"/>
          <w:bCs/>
          <w:i/>
          <w:lang w:val="en-GB"/>
        </w:rPr>
        <w:t>ern-</w:t>
      </w:r>
      <w:r w:rsidRPr="0002056A">
        <w:rPr>
          <w:rFonts w:ascii="Georgia" w:hAnsi="Georgia" w:cs="Times New Roman"/>
          <w:bCs/>
          <w:i/>
          <w:lang w:val="en-GB"/>
        </w:rPr>
        <w:t xml:space="preserve">European, Balkan </w:t>
      </w:r>
      <w:r w:rsidRPr="0002056A">
        <w:rPr>
          <w:rFonts w:ascii="Georgia" w:hAnsi="Georgia" w:cs="Times New Roman"/>
          <w:bCs/>
          <w:iCs/>
          <w:lang w:val="en-GB"/>
        </w:rPr>
        <w:t xml:space="preserve">and </w:t>
      </w:r>
      <w:r w:rsidRPr="0002056A">
        <w:rPr>
          <w:rFonts w:ascii="Georgia" w:hAnsi="Georgia" w:cs="Times New Roman"/>
          <w:bCs/>
          <w:i/>
          <w:lang w:val="en-GB"/>
        </w:rPr>
        <w:t>UK countries</w:t>
      </w:r>
      <w:r w:rsidR="00F324D1" w:rsidRPr="0002056A">
        <w:rPr>
          <w:rFonts w:ascii="Georgia" w:hAnsi="Georgia" w:cs="Times New Roman"/>
          <w:bCs/>
          <w:i/>
          <w:lang w:val="en-GB"/>
        </w:rPr>
        <w:t>/country parts</w:t>
      </w:r>
      <w:r w:rsidRPr="0002056A">
        <w:rPr>
          <w:rFonts w:ascii="Georgia" w:hAnsi="Georgia" w:cs="Times New Roman"/>
          <w:bCs/>
          <w:lang w:val="en-GB"/>
        </w:rPr>
        <w:t xml:space="preserve"> (</w:t>
      </w:r>
      <w:r w:rsidRPr="0002056A">
        <w:rPr>
          <w:rFonts w:ascii="Georgia" w:hAnsi="Georgia" w:cs="Times New Roman"/>
          <w:bCs/>
          <w:i/>
          <w:lang w:val="en-GB"/>
        </w:rPr>
        <w:t>Hungary, Romania, Albania, Bulgaria, Serbia</w:t>
      </w:r>
      <w:r w:rsidR="00F324D1" w:rsidRPr="0002056A">
        <w:rPr>
          <w:rFonts w:ascii="Georgia" w:hAnsi="Georgia" w:cs="Times New Roman"/>
          <w:bCs/>
          <w:i/>
          <w:lang w:val="en-GB"/>
        </w:rPr>
        <w:t>;</w:t>
      </w:r>
      <w:r w:rsidRPr="0002056A">
        <w:rPr>
          <w:rFonts w:ascii="Georgia" w:hAnsi="Georgia" w:cs="Times New Roman"/>
          <w:bCs/>
          <w:i/>
          <w:lang w:val="en-GB"/>
        </w:rPr>
        <w:t xml:space="preserve"> Italy, T</w:t>
      </w:r>
      <w:r w:rsidR="00216AD0">
        <w:rPr>
          <w:rFonts w:ascii="Georgia" w:hAnsi="Georgia" w:cs="Times New Roman"/>
          <w:bCs/>
          <w:i/>
          <w:lang w:val="en-GB"/>
        </w:rPr>
        <w:t>ü</w:t>
      </w:r>
      <w:r w:rsidRPr="0002056A">
        <w:rPr>
          <w:rFonts w:ascii="Georgia" w:hAnsi="Georgia" w:cs="Times New Roman"/>
          <w:bCs/>
          <w:i/>
          <w:lang w:val="en-GB"/>
        </w:rPr>
        <w:t>rk</w:t>
      </w:r>
      <w:r w:rsidR="00216AD0">
        <w:rPr>
          <w:rFonts w:ascii="Georgia" w:hAnsi="Georgia" w:cs="Times New Roman"/>
          <w:bCs/>
          <w:i/>
          <w:lang w:val="en-GB"/>
        </w:rPr>
        <w:t>i</w:t>
      </w:r>
      <w:r w:rsidRPr="0002056A">
        <w:rPr>
          <w:rFonts w:ascii="Georgia" w:hAnsi="Georgia" w:cs="Times New Roman"/>
          <w:bCs/>
          <w:i/>
          <w:lang w:val="en-GB"/>
        </w:rPr>
        <w:t xml:space="preserve">ye, </w:t>
      </w:r>
      <w:r w:rsidR="00F324D1" w:rsidRPr="0002056A">
        <w:rPr>
          <w:rFonts w:ascii="Georgia" w:hAnsi="Georgia" w:cs="Times New Roman"/>
          <w:bCs/>
          <w:iCs/>
          <w:lang w:val="en-GB"/>
        </w:rPr>
        <w:t xml:space="preserve">furthermore </w:t>
      </w:r>
      <w:r w:rsidRPr="0002056A">
        <w:rPr>
          <w:rFonts w:ascii="Georgia" w:hAnsi="Georgia" w:cs="Times New Roman"/>
          <w:bCs/>
          <w:i/>
          <w:lang w:val="en-GB"/>
        </w:rPr>
        <w:t xml:space="preserve">France, Ireland, Northern Ireland, Scotland, England </w:t>
      </w:r>
      <w:r w:rsidRPr="0002056A">
        <w:rPr>
          <w:rFonts w:ascii="Georgia" w:hAnsi="Georgia" w:cs="Times New Roman"/>
          <w:bCs/>
          <w:iCs/>
          <w:lang w:val="en-GB"/>
        </w:rPr>
        <w:t>and</w:t>
      </w:r>
      <w:r w:rsidRPr="0002056A">
        <w:rPr>
          <w:rFonts w:ascii="Georgia" w:hAnsi="Georgia" w:cs="Times New Roman"/>
          <w:bCs/>
          <w:i/>
          <w:lang w:val="en-GB"/>
        </w:rPr>
        <w:t xml:space="preserve"> Wales)</w:t>
      </w:r>
      <w:r w:rsidRPr="0002056A">
        <w:rPr>
          <w:rFonts w:ascii="Georgia" w:hAnsi="Georgia" w:cs="Times New Roman"/>
          <w:bCs/>
          <w:lang w:val="en-GB"/>
        </w:rPr>
        <w:t xml:space="preserve">. “Locality/location”, on the other hand, </w:t>
      </w:r>
      <w:r w:rsidR="003667AC">
        <w:rPr>
          <w:rFonts w:ascii="Georgia" w:hAnsi="Georgia" w:cs="Times New Roman"/>
          <w:bCs/>
          <w:lang w:val="en-GB"/>
        </w:rPr>
        <w:t>does not get special emphasis in any country</w:t>
      </w:r>
      <w:r w:rsidRPr="0002056A">
        <w:rPr>
          <w:rFonts w:ascii="Georgia" w:hAnsi="Georgia" w:cs="Times New Roman"/>
          <w:bCs/>
          <w:lang w:val="en-GB"/>
        </w:rPr>
        <w:t>. Geography and geographic, compared to other analysed concepts/notions</w:t>
      </w:r>
      <w:r w:rsidR="003667AC">
        <w:rPr>
          <w:rFonts w:ascii="Georgia" w:hAnsi="Georgia" w:cs="Times New Roman"/>
          <w:bCs/>
          <w:lang w:val="en-GB"/>
        </w:rPr>
        <w:t>,</w:t>
      </w:r>
      <w:r w:rsidRPr="0002056A">
        <w:rPr>
          <w:rFonts w:ascii="Georgia" w:hAnsi="Georgia" w:cs="Times New Roman"/>
          <w:bCs/>
          <w:lang w:val="en-GB"/>
        </w:rPr>
        <w:t xml:space="preserve"> show generally weaker presence in the analysed national documents, and out of the two</w:t>
      </w:r>
      <w:r w:rsidR="003667AC">
        <w:rPr>
          <w:rFonts w:ascii="Georgia" w:hAnsi="Georgia" w:cs="Times New Roman"/>
          <w:bCs/>
          <w:lang w:val="en-GB"/>
        </w:rPr>
        <w:t>,</w:t>
      </w:r>
      <w:r w:rsidRPr="0002056A">
        <w:rPr>
          <w:rFonts w:ascii="Georgia" w:hAnsi="Georgia" w:cs="Times New Roman"/>
          <w:bCs/>
          <w:lang w:val="en-GB"/>
        </w:rPr>
        <w:t xml:space="preserve"> rather the latter appear</w:t>
      </w:r>
      <w:r w:rsidR="00F37FB4" w:rsidRPr="0002056A">
        <w:rPr>
          <w:rFonts w:ascii="Georgia" w:hAnsi="Georgia" w:cs="Times New Roman"/>
          <w:bCs/>
          <w:lang w:val="en-GB"/>
        </w:rPr>
        <w:t>s</w:t>
      </w:r>
      <w:r w:rsidRPr="0002056A">
        <w:rPr>
          <w:rFonts w:ascii="Georgia" w:hAnsi="Georgia" w:cs="Times New Roman"/>
          <w:bCs/>
          <w:lang w:val="en-GB"/>
        </w:rPr>
        <w:t xml:space="preserve">. Mainly </w:t>
      </w:r>
      <w:r w:rsidRPr="0002056A">
        <w:rPr>
          <w:rFonts w:ascii="Georgia" w:hAnsi="Georgia" w:cs="Times New Roman"/>
          <w:bCs/>
          <w:i/>
          <w:lang w:val="en-GB"/>
        </w:rPr>
        <w:t>South</w:t>
      </w:r>
      <w:r w:rsidR="00F37FB4" w:rsidRPr="0002056A">
        <w:rPr>
          <w:rFonts w:ascii="Georgia" w:hAnsi="Georgia" w:cs="Times New Roman"/>
          <w:bCs/>
          <w:i/>
          <w:lang w:val="en-GB"/>
        </w:rPr>
        <w:t>ern-</w:t>
      </w:r>
      <w:r w:rsidRPr="0002056A">
        <w:rPr>
          <w:rFonts w:ascii="Georgia" w:hAnsi="Georgia" w:cs="Times New Roman"/>
          <w:bCs/>
          <w:i/>
          <w:lang w:val="en-GB"/>
        </w:rPr>
        <w:t>European countries</w:t>
      </w:r>
      <w:r w:rsidRPr="0002056A">
        <w:rPr>
          <w:rFonts w:ascii="Georgia" w:hAnsi="Georgia" w:cs="Times New Roman"/>
          <w:bCs/>
          <w:lang w:val="en-GB"/>
        </w:rPr>
        <w:t xml:space="preserve"> mention these concepts (</w:t>
      </w:r>
      <w:r w:rsidRPr="0002056A">
        <w:rPr>
          <w:rFonts w:ascii="Georgia" w:hAnsi="Georgia" w:cs="Times New Roman"/>
          <w:bCs/>
          <w:i/>
          <w:lang w:val="en-GB"/>
        </w:rPr>
        <w:t>Spain</w:t>
      </w:r>
      <w:r w:rsidRPr="0002056A">
        <w:rPr>
          <w:rFonts w:ascii="Georgia" w:hAnsi="Georgia" w:cs="Times New Roman"/>
          <w:bCs/>
          <w:lang w:val="en-GB"/>
        </w:rPr>
        <w:t xml:space="preserve">, </w:t>
      </w:r>
      <w:r w:rsidRPr="0002056A">
        <w:rPr>
          <w:rFonts w:ascii="Georgia" w:hAnsi="Georgia" w:cs="Times New Roman"/>
          <w:bCs/>
          <w:i/>
          <w:lang w:val="en-GB"/>
        </w:rPr>
        <w:t>Italy, Greece, T</w:t>
      </w:r>
      <w:r w:rsidR="00B47436" w:rsidRPr="0002056A">
        <w:rPr>
          <w:rFonts w:ascii="Georgia" w:hAnsi="Georgia" w:cs="Times New Roman"/>
          <w:bCs/>
          <w:i/>
          <w:lang w:val="en-GB"/>
        </w:rPr>
        <w:t>ürki</w:t>
      </w:r>
      <w:r w:rsidRPr="0002056A">
        <w:rPr>
          <w:rFonts w:ascii="Georgia" w:hAnsi="Georgia" w:cs="Times New Roman"/>
          <w:bCs/>
          <w:i/>
          <w:lang w:val="en-GB"/>
        </w:rPr>
        <w:t xml:space="preserve">ye </w:t>
      </w:r>
      <w:r w:rsidRPr="0002056A">
        <w:rPr>
          <w:rFonts w:ascii="Georgia" w:hAnsi="Georgia" w:cs="Times New Roman"/>
          <w:bCs/>
          <w:iCs/>
          <w:lang w:val="en-GB"/>
        </w:rPr>
        <w:t>and</w:t>
      </w:r>
      <w:r w:rsidRPr="0002056A">
        <w:rPr>
          <w:rFonts w:ascii="Georgia" w:hAnsi="Georgia" w:cs="Times New Roman"/>
          <w:bCs/>
          <w:i/>
          <w:lang w:val="en-GB"/>
        </w:rPr>
        <w:t xml:space="preserve"> Portugal</w:t>
      </w:r>
      <w:r w:rsidRPr="0002056A">
        <w:rPr>
          <w:rFonts w:ascii="Georgia" w:hAnsi="Georgia" w:cs="Times New Roman"/>
          <w:bCs/>
          <w:lang w:val="en-GB"/>
        </w:rPr>
        <w:t xml:space="preserve">, completed with </w:t>
      </w:r>
      <w:r w:rsidRPr="0002056A">
        <w:rPr>
          <w:rFonts w:ascii="Georgia" w:hAnsi="Georgia" w:cs="Times New Roman"/>
          <w:bCs/>
          <w:i/>
          <w:lang w:val="en-GB"/>
        </w:rPr>
        <w:t xml:space="preserve">Austria </w:t>
      </w:r>
      <w:r w:rsidRPr="0002056A">
        <w:rPr>
          <w:rFonts w:ascii="Georgia" w:hAnsi="Georgia" w:cs="Times New Roman"/>
          <w:bCs/>
          <w:iCs/>
          <w:lang w:val="en-GB"/>
        </w:rPr>
        <w:t>and</w:t>
      </w:r>
      <w:r w:rsidRPr="0002056A">
        <w:rPr>
          <w:rFonts w:ascii="Georgia" w:hAnsi="Georgia" w:cs="Times New Roman"/>
          <w:bCs/>
          <w:i/>
          <w:lang w:val="en-GB"/>
        </w:rPr>
        <w:t xml:space="preserve"> Denmark</w:t>
      </w:r>
      <w:r w:rsidRPr="0002056A">
        <w:rPr>
          <w:rFonts w:ascii="Georgia" w:hAnsi="Georgia" w:cs="Times New Roman"/>
          <w:bCs/>
          <w:lang w:val="en-GB"/>
        </w:rPr>
        <w:t>)</w:t>
      </w:r>
      <w:r w:rsidR="00A158B9" w:rsidRPr="0002056A">
        <w:rPr>
          <w:rFonts w:ascii="Georgia" w:hAnsi="Georgia" w:cs="Times New Roman"/>
          <w:bCs/>
          <w:lang w:val="en-GB"/>
        </w:rPr>
        <w:t xml:space="preserve"> (Figure 19)</w:t>
      </w:r>
      <w:r w:rsidRPr="0002056A">
        <w:rPr>
          <w:rFonts w:ascii="Georgia" w:hAnsi="Georgia" w:cs="Times New Roman"/>
          <w:bCs/>
          <w:lang w:val="en-GB"/>
        </w:rPr>
        <w:t>.</w:t>
      </w:r>
    </w:p>
    <w:p w14:paraId="0766B42C" w14:textId="23808BF1" w:rsidR="0011240F" w:rsidRPr="0002056A" w:rsidRDefault="0011240F" w:rsidP="00CD5BF3">
      <w:pPr>
        <w:shd w:val="clear" w:color="auto" w:fill="FFFFFF" w:themeFill="background1"/>
        <w:spacing w:beforeLines="120" w:before="288" w:afterLines="120" w:after="288"/>
        <w:jc w:val="both"/>
        <w:rPr>
          <w:rFonts w:ascii="Georgia" w:hAnsi="Georgia" w:cs="Times New Roman"/>
          <w:bCs/>
          <w:lang w:val="en-GB"/>
        </w:rPr>
      </w:pPr>
      <w:r w:rsidRPr="0002056A">
        <w:rPr>
          <w:rFonts w:ascii="Georgia" w:hAnsi="Georgia" w:cs="Times New Roman"/>
          <w:b/>
          <w:lang w:val="en-GB"/>
        </w:rPr>
        <w:t xml:space="preserve">The spatial/sectoral character of adaptation policy </w:t>
      </w:r>
      <w:r w:rsidR="003667AC">
        <w:rPr>
          <w:rFonts w:ascii="Georgia" w:hAnsi="Georgia" w:cs="Times New Roman"/>
          <w:bCs/>
          <w:lang w:val="en-GB"/>
        </w:rPr>
        <w:t>sub-aspects’ best category means that, beyond the spatially oriented national documents,</w:t>
      </w:r>
      <w:r w:rsidRPr="0002056A">
        <w:rPr>
          <w:rFonts w:ascii="Georgia" w:hAnsi="Georgia" w:cs="Times New Roman"/>
          <w:bCs/>
          <w:lang w:val="en-GB"/>
        </w:rPr>
        <w:t xml:space="preserve"> there are also regional adaptation strategies for special regions/spatial units. </w:t>
      </w:r>
      <w:r w:rsidRPr="0002056A">
        <w:rPr>
          <w:rFonts w:ascii="Georgia" w:hAnsi="Georgia" w:cs="Times New Roman"/>
          <w:bCs/>
          <w:i/>
          <w:lang w:val="en-GB"/>
        </w:rPr>
        <w:t xml:space="preserve">Portugal, Austria, Belgium, the Netherlands, Norway </w:t>
      </w:r>
      <w:r w:rsidRPr="0002056A">
        <w:rPr>
          <w:rFonts w:ascii="Georgia" w:hAnsi="Georgia" w:cs="Times New Roman"/>
          <w:bCs/>
          <w:iCs/>
          <w:lang w:val="en-GB"/>
        </w:rPr>
        <w:t>and</w:t>
      </w:r>
      <w:r w:rsidRPr="0002056A">
        <w:rPr>
          <w:rFonts w:ascii="Georgia" w:hAnsi="Georgia" w:cs="Times New Roman"/>
          <w:bCs/>
          <w:i/>
          <w:lang w:val="en-GB"/>
        </w:rPr>
        <w:t xml:space="preserve"> Sweden</w:t>
      </w:r>
      <w:r w:rsidRPr="0002056A">
        <w:rPr>
          <w:rFonts w:ascii="Georgia" w:hAnsi="Georgia" w:cs="Times New Roman"/>
          <w:bCs/>
          <w:lang w:val="en-GB"/>
        </w:rPr>
        <w:t xml:space="preserve"> performed the best – mostly federal states or traditional</w:t>
      </w:r>
      <w:r w:rsidR="002140BA" w:rsidRPr="0002056A">
        <w:rPr>
          <w:rFonts w:ascii="Georgia" w:hAnsi="Georgia" w:cs="Times New Roman"/>
          <w:bCs/>
          <w:lang w:val="en-GB"/>
        </w:rPr>
        <w:t>l</w:t>
      </w:r>
      <w:r w:rsidR="00B35E59" w:rsidRPr="0002056A">
        <w:rPr>
          <w:rFonts w:ascii="Georgia" w:hAnsi="Georgia" w:cs="Times New Roman"/>
          <w:bCs/>
          <w:lang w:val="en-GB"/>
        </w:rPr>
        <w:t xml:space="preserve">y strong </w:t>
      </w:r>
      <w:r w:rsidRPr="0002056A">
        <w:rPr>
          <w:rFonts w:ascii="Georgia" w:hAnsi="Georgia" w:cs="Times New Roman"/>
          <w:bCs/>
          <w:lang w:val="en-GB"/>
        </w:rPr>
        <w:t xml:space="preserve">regional planners. In </w:t>
      </w:r>
      <w:r w:rsidRPr="0002056A">
        <w:rPr>
          <w:rFonts w:ascii="Georgia" w:hAnsi="Georgia" w:cs="Times New Roman"/>
          <w:bCs/>
          <w:i/>
          <w:lang w:val="en-GB"/>
        </w:rPr>
        <w:t xml:space="preserve">the Netherlands </w:t>
      </w:r>
      <w:r w:rsidRPr="0002056A">
        <w:rPr>
          <w:rFonts w:ascii="Georgia" w:hAnsi="Georgia" w:cs="Times New Roman"/>
          <w:bCs/>
          <w:lang w:val="en-GB"/>
        </w:rPr>
        <w:t xml:space="preserve">the Delta Programme in itself is the manifestation of a region- (estuary area-) oriented adaptation planning and activities. </w:t>
      </w:r>
      <w:r w:rsidR="003667AC">
        <w:rPr>
          <w:rFonts w:ascii="Georgia" w:hAnsi="Georgia" w:cs="Times New Roman"/>
          <w:bCs/>
          <w:lang w:val="en-GB"/>
        </w:rPr>
        <w:t xml:space="preserve">An interesting situation emerges in </w:t>
      </w:r>
      <w:r w:rsidR="003667AC" w:rsidRPr="003F3CBE">
        <w:rPr>
          <w:rFonts w:ascii="Georgia" w:hAnsi="Georgia" w:cs="Times New Roman"/>
          <w:bCs/>
          <w:i/>
          <w:iCs/>
          <w:lang w:val="en-GB"/>
        </w:rPr>
        <w:t>Finland</w:t>
      </w:r>
      <w:r w:rsidR="003667AC">
        <w:rPr>
          <w:rFonts w:ascii="Georgia" w:hAnsi="Georgia" w:cs="Times New Roman"/>
          <w:bCs/>
          <w:lang w:val="en-GB"/>
        </w:rPr>
        <w:t xml:space="preserve">, where </w:t>
      </w:r>
      <w:r w:rsidR="00B2310E">
        <w:rPr>
          <w:rFonts w:ascii="Georgia" w:hAnsi="Georgia" w:cs="Times New Roman"/>
          <w:bCs/>
          <w:lang w:val="en-GB"/>
        </w:rPr>
        <w:t xml:space="preserve">although </w:t>
      </w:r>
      <w:r w:rsidR="003667AC">
        <w:rPr>
          <w:rFonts w:ascii="Georgia" w:hAnsi="Georgia" w:cs="Times New Roman"/>
          <w:bCs/>
          <w:lang w:val="en-GB"/>
        </w:rPr>
        <w:t>there are sectoral adaptation documents instead of regional ones, in some of them an</w:t>
      </w:r>
      <w:r w:rsidRPr="0002056A">
        <w:rPr>
          <w:rFonts w:ascii="Georgia" w:hAnsi="Georgia"/>
          <w:lang w:val="en-GB"/>
        </w:rPr>
        <w:t xml:space="preserve"> indication</w:t>
      </w:r>
      <w:r w:rsidR="00FF4935" w:rsidRPr="0002056A">
        <w:rPr>
          <w:rFonts w:ascii="Georgia" w:hAnsi="Georgia"/>
          <w:lang w:val="en-GB"/>
        </w:rPr>
        <w:t xml:space="preserve"> of</w:t>
      </w:r>
      <w:r w:rsidRPr="0002056A">
        <w:rPr>
          <w:rFonts w:ascii="Georgia" w:hAnsi="Georgia"/>
          <w:lang w:val="en-GB"/>
        </w:rPr>
        <w:t xml:space="preserve"> some regional thinking</w:t>
      </w:r>
      <w:r w:rsidR="00FF4935" w:rsidRPr="0002056A">
        <w:rPr>
          <w:rFonts w:ascii="Georgia" w:hAnsi="Georgia"/>
          <w:lang w:val="en-GB"/>
        </w:rPr>
        <w:t xml:space="preserve"> can be detected</w:t>
      </w:r>
      <w:r w:rsidR="00B2310E">
        <w:rPr>
          <w:rFonts w:ascii="Georgia" w:hAnsi="Georgia"/>
          <w:lang w:val="en-GB"/>
        </w:rPr>
        <w:t xml:space="preserve"> </w:t>
      </w:r>
      <w:r w:rsidR="00B2310E">
        <w:rPr>
          <w:rFonts w:ascii="Georgia" w:hAnsi="Georgia" w:cs="Times New Roman"/>
          <w:bCs/>
          <w:lang w:val="en-GB"/>
        </w:rPr>
        <w:t>(e.g. in the health-related sectoral adaptation plan out of the 6 implementation areas, one is dedicated to the Arctic region and its Saami population)</w:t>
      </w:r>
      <w:r w:rsidRPr="0002056A">
        <w:rPr>
          <w:rFonts w:ascii="Georgia" w:hAnsi="Georgia"/>
          <w:lang w:val="en-GB"/>
        </w:rPr>
        <w:t xml:space="preserve">. </w:t>
      </w:r>
      <w:r w:rsidRPr="0002056A">
        <w:rPr>
          <w:rFonts w:ascii="Georgia" w:hAnsi="Georgia" w:cs="Times New Roman"/>
          <w:bCs/>
          <w:lang w:val="en-GB"/>
        </w:rPr>
        <w:t xml:space="preserve">In 10 more countries </w:t>
      </w:r>
      <w:r w:rsidRPr="0002056A">
        <w:rPr>
          <w:rFonts w:ascii="Georgia" w:eastAsia="Times New Roman" w:hAnsi="Georgia" w:cs="Times New Roman"/>
          <w:color w:val="000000"/>
          <w:lang w:val="en-GB" w:eastAsia="hu-HU"/>
        </w:rPr>
        <w:t xml:space="preserve">there are scattered </w:t>
      </w:r>
      <w:r w:rsidR="00102F95" w:rsidRPr="0002056A">
        <w:rPr>
          <w:rFonts w:ascii="Georgia" w:eastAsia="Times New Roman" w:hAnsi="Georgia" w:cs="Times New Roman"/>
          <w:color w:val="000000"/>
          <w:lang w:val="en-GB" w:eastAsia="hu-HU"/>
        </w:rPr>
        <w:t xml:space="preserve">emergence of </w:t>
      </w:r>
      <w:r w:rsidRPr="0002056A">
        <w:rPr>
          <w:rFonts w:ascii="Georgia" w:eastAsia="Times New Roman" w:hAnsi="Georgia" w:cs="Times New Roman"/>
          <w:color w:val="000000"/>
          <w:lang w:val="en-GB" w:eastAsia="hu-HU"/>
        </w:rPr>
        <w:t xml:space="preserve">regional strategies beyond the national one </w:t>
      </w:r>
      <w:r w:rsidR="000C5886" w:rsidRPr="0002056A">
        <w:rPr>
          <w:rFonts w:ascii="Georgia" w:eastAsia="Times New Roman" w:hAnsi="Georgia" w:cs="Times New Roman"/>
          <w:color w:val="000000"/>
          <w:lang w:val="en-GB" w:eastAsia="hu-HU"/>
        </w:rPr>
        <w:t xml:space="preserve">or large number of municipal strategies </w:t>
      </w:r>
      <w:r w:rsidR="00CD68A2" w:rsidRPr="0002056A">
        <w:rPr>
          <w:rFonts w:ascii="Georgia" w:eastAsia="Times New Roman" w:hAnsi="Georgia" w:cs="Times New Roman"/>
          <w:color w:val="000000"/>
          <w:lang w:val="en-GB" w:eastAsia="hu-HU"/>
        </w:rPr>
        <w:t xml:space="preserve">exist </w:t>
      </w:r>
      <w:r w:rsidR="000C5886" w:rsidRPr="0002056A">
        <w:rPr>
          <w:rFonts w:ascii="Georgia" w:eastAsia="Times New Roman" w:hAnsi="Georgia" w:cs="Times New Roman"/>
          <w:color w:val="000000"/>
          <w:lang w:val="en-GB" w:eastAsia="hu-HU"/>
        </w:rPr>
        <w:t>beyond the national one but without strict legislative basis</w:t>
      </w:r>
      <w:r w:rsidRPr="0002056A">
        <w:rPr>
          <w:rFonts w:ascii="Georgia" w:hAnsi="Georgia" w:cs="Times New Roman"/>
          <w:bCs/>
          <w:lang w:val="en-GB"/>
        </w:rPr>
        <w:t>.</w:t>
      </w:r>
      <w:r w:rsidRPr="0002056A">
        <w:rPr>
          <w:rFonts w:ascii="Georgia" w:hAnsi="Georgia" w:cs="Times New Roman"/>
          <w:bCs/>
          <w:i/>
          <w:lang w:val="en-GB"/>
        </w:rPr>
        <w:t xml:space="preserve"> Estonia, Hungary, Poland, Slovenia </w:t>
      </w:r>
      <w:r w:rsidRPr="0002056A">
        <w:rPr>
          <w:rFonts w:ascii="Georgia" w:hAnsi="Georgia" w:cs="Times New Roman"/>
          <w:bCs/>
          <w:iCs/>
          <w:lang w:val="en-GB"/>
        </w:rPr>
        <w:t>and</w:t>
      </w:r>
      <w:r w:rsidRPr="0002056A">
        <w:rPr>
          <w:rFonts w:ascii="Georgia" w:hAnsi="Georgia" w:cs="Times New Roman"/>
          <w:bCs/>
          <w:i/>
          <w:lang w:val="en-GB"/>
        </w:rPr>
        <w:t xml:space="preserve"> Slovakia </w:t>
      </w:r>
      <w:r w:rsidRPr="0002056A">
        <w:rPr>
          <w:rFonts w:ascii="Georgia" w:hAnsi="Georgia" w:cs="Times New Roman"/>
          <w:bCs/>
          <w:iCs/>
          <w:lang w:val="en-GB"/>
        </w:rPr>
        <w:t xml:space="preserve">from </w:t>
      </w:r>
      <w:r w:rsidR="00D140F3" w:rsidRPr="0002056A">
        <w:rPr>
          <w:rFonts w:ascii="Georgia" w:hAnsi="Georgia" w:cs="Times New Roman"/>
          <w:bCs/>
          <w:i/>
          <w:lang w:val="en-GB"/>
        </w:rPr>
        <w:t>E</w:t>
      </w:r>
      <w:r w:rsidRPr="0002056A">
        <w:rPr>
          <w:rFonts w:ascii="Georgia" w:hAnsi="Georgia" w:cs="Times New Roman"/>
          <w:bCs/>
          <w:i/>
          <w:lang w:val="en-GB"/>
        </w:rPr>
        <w:t>aster</w:t>
      </w:r>
      <w:r w:rsidR="00D140F3" w:rsidRPr="0002056A">
        <w:rPr>
          <w:rFonts w:ascii="Georgia" w:hAnsi="Georgia" w:cs="Times New Roman"/>
          <w:bCs/>
          <w:i/>
          <w:lang w:val="en-GB"/>
        </w:rPr>
        <w:t>n-</w:t>
      </w:r>
      <w:r w:rsidRPr="0002056A">
        <w:rPr>
          <w:rFonts w:ascii="Georgia" w:hAnsi="Georgia" w:cs="Times New Roman"/>
          <w:bCs/>
          <w:i/>
          <w:lang w:val="en-GB"/>
        </w:rPr>
        <w:t>Europe</w:t>
      </w:r>
      <w:r w:rsidR="00D140F3" w:rsidRPr="0002056A">
        <w:rPr>
          <w:rFonts w:ascii="Georgia" w:hAnsi="Georgia" w:cs="Times New Roman"/>
          <w:bCs/>
          <w:i/>
          <w:lang w:val="en-GB"/>
        </w:rPr>
        <w:t>;</w:t>
      </w:r>
      <w:r w:rsidRPr="0002056A">
        <w:rPr>
          <w:rFonts w:ascii="Georgia" w:hAnsi="Georgia" w:cs="Times New Roman"/>
          <w:bCs/>
          <w:i/>
          <w:lang w:val="en-GB"/>
        </w:rPr>
        <w:t xml:space="preserve"> France, Germany, Scotland, Switzerland</w:t>
      </w:r>
      <w:r w:rsidRPr="0002056A">
        <w:rPr>
          <w:rFonts w:ascii="Georgia" w:hAnsi="Georgia" w:cs="Times New Roman"/>
          <w:bCs/>
          <w:lang w:val="en-GB"/>
        </w:rPr>
        <w:t xml:space="preserve"> and </w:t>
      </w:r>
      <w:r w:rsidRPr="0002056A">
        <w:rPr>
          <w:rFonts w:ascii="Georgia" w:hAnsi="Georgia" w:cs="Times New Roman"/>
          <w:bCs/>
          <w:i/>
          <w:lang w:val="en-GB"/>
        </w:rPr>
        <w:t>Wales</w:t>
      </w:r>
      <w:r w:rsidRPr="0002056A">
        <w:rPr>
          <w:rFonts w:ascii="Georgia" w:hAnsi="Georgia" w:cs="Times New Roman"/>
          <w:bCs/>
          <w:lang w:val="en-GB"/>
        </w:rPr>
        <w:t xml:space="preserve"> form </w:t>
      </w:r>
      <w:r w:rsidRPr="0002056A">
        <w:rPr>
          <w:rFonts w:ascii="Georgia" w:hAnsi="Georgia" w:cs="Times New Roman"/>
          <w:bCs/>
          <w:i/>
          <w:iCs/>
          <w:lang w:val="en-GB"/>
        </w:rPr>
        <w:t>Western</w:t>
      </w:r>
      <w:r w:rsidR="00D140F3" w:rsidRPr="0002056A">
        <w:rPr>
          <w:rFonts w:ascii="Georgia" w:hAnsi="Georgia" w:cs="Times New Roman"/>
          <w:bCs/>
          <w:i/>
          <w:iCs/>
          <w:lang w:val="en-GB"/>
        </w:rPr>
        <w:t>-</w:t>
      </w:r>
      <w:r w:rsidRPr="0002056A">
        <w:rPr>
          <w:rFonts w:ascii="Georgia" w:hAnsi="Georgia" w:cs="Times New Roman"/>
          <w:bCs/>
          <w:i/>
          <w:iCs/>
          <w:lang w:val="en-GB"/>
        </w:rPr>
        <w:t>Europe</w:t>
      </w:r>
      <w:r w:rsidRPr="0002056A">
        <w:rPr>
          <w:rFonts w:ascii="Georgia" w:hAnsi="Georgia" w:cs="Times New Roman"/>
          <w:bCs/>
          <w:lang w:val="en-GB"/>
        </w:rPr>
        <w:t xml:space="preserve"> belong to this category.</w:t>
      </w:r>
    </w:p>
    <w:p w14:paraId="358F76D3" w14:textId="4382C7BC" w:rsidR="00185B52" w:rsidRPr="0002056A" w:rsidRDefault="0011240F" w:rsidP="00171286">
      <w:pPr>
        <w:shd w:val="clear" w:color="auto" w:fill="FFFFFF" w:themeFill="background1"/>
        <w:spacing w:beforeLines="120" w:before="288" w:afterLines="120" w:after="288"/>
        <w:jc w:val="both"/>
        <w:rPr>
          <w:rFonts w:ascii="Georgia" w:hAnsi="Georgia" w:cs="Times New Roman"/>
          <w:bCs/>
          <w:iCs/>
          <w:lang w:val="en-GB"/>
        </w:rPr>
      </w:pPr>
      <w:r w:rsidRPr="0002056A">
        <w:rPr>
          <w:rFonts w:ascii="Georgia" w:hAnsi="Georgia" w:cs="Times New Roman"/>
          <w:bCs/>
          <w:lang w:val="en-GB"/>
        </w:rPr>
        <w:t>As for the</w:t>
      </w:r>
      <w:r w:rsidRPr="0002056A">
        <w:rPr>
          <w:rFonts w:ascii="Georgia" w:hAnsi="Georgia" w:cs="Times New Roman"/>
          <w:b/>
          <w:lang w:val="en-GB"/>
        </w:rPr>
        <w:t xml:space="preserve"> spatial levels of adaptation activities, </w:t>
      </w:r>
      <w:r w:rsidRPr="0002056A">
        <w:rPr>
          <w:rFonts w:ascii="Georgia" w:eastAsia="Times New Roman" w:hAnsi="Georgia" w:cs="Times New Roman"/>
          <w:color w:val="000000"/>
          <w:lang w:val="en-GB" w:eastAsia="hu-HU"/>
        </w:rPr>
        <w:t>more than half of the countries are in the upper two categories (9 in the best, 15 in the second best)</w:t>
      </w:r>
      <w:r w:rsidR="00102F95" w:rsidRPr="0002056A">
        <w:rPr>
          <w:rFonts w:ascii="Georgia" w:eastAsia="Times New Roman" w:hAnsi="Georgia" w:cs="Times New Roman"/>
          <w:color w:val="000000"/>
          <w:lang w:val="en-GB" w:eastAsia="hu-HU"/>
        </w:rPr>
        <w:t>.</w:t>
      </w:r>
      <w:r w:rsidRPr="0002056A">
        <w:rPr>
          <w:rFonts w:ascii="Georgia" w:eastAsia="Times New Roman" w:hAnsi="Georgia" w:cs="Times New Roman"/>
          <w:i/>
          <w:color w:val="000000"/>
          <w:lang w:val="en-GB" w:eastAsia="hu-HU"/>
        </w:rPr>
        <w:t xml:space="preserve"> Poland, Austria, Switzerland, Belgium, </w:t>
      </w:r>
      <w:r w:rsidRPr="0002056A">
        <w:rPr>
          <w:rFonts w:ascii="Georgia" w:eastAsia="Times New Roman" w:hAnsi="Georgia" w:cs="Times New Roman"/>
          <w:color w:val="000000"/>
          <w:lang w:val="en-GB" w:eastAsia="hu-HU"/>
        </w:rPr>
        <w:t xml:space="preserve">the parts of the </w:t>
      </w:r>
      <w:r w:rsidRPr="0002056A">
        <w:rPr>
          <w:rFonts w:ascii="Georgia" w:eastAsia="Times New Roman" w:hAnsi="Georgia" w:cs="Times New Roman"/>
          <w:i/>
          <w:color w:val="000000"/>
          <w:lang w:val="en-GB" w:eastAsia="hu-HU"/>
        </w:rPr>
        <w:t>UK</w:t>
      </w:r>
      <w:r w:rsidR="00DD2BCB" w:rsidRPr="0002056A">
        <w:rPr>
          <w:rFonts w:ascii="Georgia" w:eastAsia="Times New Roman" w:hAnsi="Georgia" w:cs="Times New Roman"/>
          <w:i/>
          <w:color w:val="000000"/>
          <w:lang w:val="en-GB" w:eastAsia="hu-HU"/>
        </w:rPr>
        <w:t>,</w:t>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i/>
          <w:color w:val="000000"/>
          <w:lang w:val="en-GB" w:eastAsia="hu-HU"/>
        </w:rPr>
        <w:t xml:space="preserve">Ireland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Finland </w:t>
      </w:r>
      <w:r w:rsidRPr="0002056A">
        <w:rPr>
          <w:rFonts w:ascii="Georgia" w:eastAsia="Times New Roman" w:hAnsi="Georgia" w:cs="Times New Roman"/>
          <w:color w:val="000000"/>
          <w:lang w:val="en-GB" w:eastAsia="hu-HU"/>
        </w:rPr>
        <w:t xml:space="preserve">compose the best category where a </w:t>
      </w:r>
      <w:r w:rsidRPr="0002056A">
        <w:rPr>
          <w:rFonts w:ascii="Georgia" w:eastAsia="Times New Roman" w:hAnsi="Georgia" w:cs="Times New Roman"/>
          <w:lang w:val="en-GB" w:eastAsia="hu-HU"/>
        </w:rPr>
        <w:t xml:space="preserve">dedicated NAS chapter/part deals with the issue of national, regional and local level adaptation tasks. </w:t>
      </w:r>
      <w:r w:rsidR="004819DA" w:rsidRPr="0002056A">
        <w:rPr>
          <w:rFonts w:ascii="Georgia" w:eastAsia="Times New Roman" w:hAnsi="Georgia" w:cs="Times New Roman"/>
          <w:lang w:val="en-GB" w:eastAsia="hu-HU"/>
        </w:rPr>
        <w:t>14</w:t>
      </w:r>
      <w:r w:rsidRPr="0002056A">
        <w:rPr>
          <w:rFonts w:ascii="Georgia" w:eastAsia="Times New Roman" w:hAnsi="Georgia" w:cs="Times New Roman"/>
          <w:lang w:val="en-GB" w:eastAsia="hu-HU"/>
        </w:rPr>
        <w:t xml:space="preserve"> countries (</w:t>
      </w:r>
      <w:r w:rsidRPr="0002056A">
        <w:rPr>
          <w:rFonts w:ascii="Georgia" w:eastAsia="Times New Roman" w:hAnsi="Georgia" w:cs="Times New Roman"/>
          <w:i/>
          <w:lang w:val="en-GB" w:eastAsia="hu-HU"/>
        </w:rPr>
        <w:t xml:space="preserve">Hungary, Slovakia, Estonia, four Balkan, three South European </w:t>
      </w:r>
      <w:r w:rsidRPr="0002056A">
        <w:rPr>
          <w:rFonts w:ascii="Georgia" w:eastAsia="Times New Roman" w:hAnsi="Georgia" w:cs="Times New Roman"/>
          <w:lang w:val="en-GB" w:eastAsia="hu-HU"/>
        </w:rPr>
        <w:t>and</w:t>
      </w:r>
      <w:r w:rsidRPr="0002056A">
        <w:rPr>
          <w:rFonts w:ascii="Georgia" w:eastAsia="Times New Roman" w:hAnsi="Georgia" w:cs="Times New Roman"/>
          <w:i/>
          <w:lang w:val="en-GB" w:eastAsia="hu-HU"/>
        </w:rPr>
        <w:t xml:space="preserve"> six North-western European countries</w:t>
      </w:r>
      <w:r w:rsidR="00DD2BCB" w:rsidRPr="0002056A">
        <w:rPr>
          <w:rFonts w:ascii="Georgia" w:eastAsia="Times New Roman" w:hAnsi="Georgia" w:cs="Times New Roman"/>
          <w:iCs/>
          <w:lang w:val="en-GB" w:eastAsia="hu-HU"/>
        </w:rPr>
        <w:t>)</w:t>
      </w:r>
      <w:r w:rsidRPr="0002056A">
        <w:rPr>
          <w:rFonts w:ascii="Georgia" w:eastAsia="Times New Roman" w:hAnsi="Georgia" w:cs="Times New Roman"/>
          <w:i/>
          <w:lang w:val="en-GB" w:eastAsia="hu-HU"/>
        </w:rPr>
        <w:t xml:space="preserve"> </w:t>
      </w:r>
      <w:r w:rsidRPr="0002056A">
        <w:rPr>
          <w:rFonts w:ascii="Georgia" w:eastAsia="Times New Roman" w:hAnsi="Georgia" w:cs="Times New Roman"/>
          <w:lang w:val="en-GB" w:eastAsia="hu-HU"/>
        </w:rPr>
        <w:t xml:space="preserve">got into the second best category where both national and lower (regional, local) levels are mentioned by the strategy/legislation as levels of adaptation actions, activities, but no dedicated </w:t>
      </w:r>
      <w:r w:rsidR="00DD2BCB" w:rsidRPr="0002056A">
        <w:rPr>
          <w:rFonts w:ascii="Georgia" w:eastAsia="Times New Roman" w:hAnsi="Georgia" w:cs="Times New Roman"/>
          <w:lang w:val="en-GB" w:eastAsia="hu-HU"/>
        </w:rPr>
        <w:t xml:space="preserve">NAS </w:t>
      </w:r>
      <w:r w:rsidRPr="0002056A">
        <w:rPr>
          <w:rFonts w:ascii="Georgia" w:eastAsia="Times New Roman" w:hAnsi="Georgia" w:cs="Times New Roman"/>
          <w:lang w:val="en-GB" w:eastAsia="hu-HU"/>
        </w:rPr>
        <w:t>chapter exists; in these countries elaboration of regional or municipal level strategies are frequent practices. The weakest results can be perceived in</w:t>
      </w:r>
      <w:r w:rsidRPr="0002056A">
        <w:rPr>
          <w:rFonts w:ascii="Georgia" w:eastAsia="Times New Roman" w:hAnsi="Georgia" w:cs="Times New Roman"/>
          <w:i/>
          <w:lang w:val="en-GB" w:eastAsia="hu-HU"/>
        </w:rPr>
        <w:t xml:space="preserve"> Eastern-Central Europe </w:t>
      </w:r>
      <w:r w:rsidRPr="0002056A">
        <w:rPr>
          <w:rFonts w:ascii="Georgia" w:eastAsia="Times New Roman" w:hAnsi="Georgia" w:cs="Times New Roman"/>
          <w:lang w:val="en-GB" w:eastAsia="hu-HU"/>
        </w:rPr>
        <w:t>and in some</w:t>
      </w:r>
      <w:r w:rsidRPr="0002056A">
        <w:rPr>
          <w:rFonts w:ascii="Georgia" w:eastAsia="Times New Roman" w:hAnsi="Georgia" w:cs="Times New Roman"/>
          <w:i/>
          <w:lang w:val="en-GB" w:eastAsia="hu-HU"/>
        </w:rPr>
        <w:t xml:space="preserve"> Southerners (Italy, Malta, Portugal, Cyprus) </w:t>
      </w:r>
      <w:r w:rsidRPr="0002056A">
        <w:rPr>
          <w:rFonts w:ascii="Georgia" w:eastAsia="Times New Roman" w:hAnsi="Georgia" w:cs="Times New Roman"/>
          <w:lang w:val="en-GB" w:eastAsia="hu-HU"/>
        </w:rPr>
        <w:t xml:space="preserve">where there are either only vague references in the examined documents to regional </w:t>
      </w:r>
      <w:r w:rsidR="00DD2BCB" w:rsidRPr="0002056A">
        <w:rPr>
          <w:rFonts w:ascii="Georgia" w:eastAsia="Times New Roman" w:hAnsi="Georgia" w:cs="Times New Roman"/>
          <w:lang w:val="en-GB" w:eastAsia="hu-HU"/>
        </w:rPr>
        <w:t xml:space="preserve">or </w:t>
      </w:r>
      <w:r w:rsidRPr="0002056A">
        <w:rPr>
          <w:rFonts w:ascii="Georgia" w:eastAsia="Times New Roman" w:hAnsi="Georgia" w:cs="Times New Roman"/>
          <w:lang w:val="en-GB" w:eastAsia="hu-HU"/>
        </w:rPr>
        <w:t>local levels, or only the national level is mentioned</w:t>
      </w:r>
      <w:r w:rsidRPr="0002056A">
        <w:rPr>
          <w:rFonts w:ascii="Georgia" w:eastAsia="Times New Roman" w:hAnsi="Georgia" w:cs="Times New Roman"/>
          <w:color w:val="000000"/>
          <w:lang w:val="en-GB" w:eastAsia="hu-HU"/>
        </w:rPr>
        <w:t xml:space="preserve">. </w:t>
      </w:r>
      <w:r w:rsidRPr="0002056A">
        <w:rPr>
          <w:rFonts w:ascii="Georgia" w:hAnsi="Georgia" w:cs="Times New Roman"/>
          <w:bCs/>
          <w:iCs/>
          <w:lang w:val="en-GB"/>
        </w:rPr>
        <w:t>This weak emphasis can be explained by the mostly unitary structure of the analysed country administrations.</w:t>
      </w:r>
    </w:p>
    <w:p w14:paraId="55F42B9F" w14:textId="77777777" w:rsidR="00185B52" w:rsidRPr="0002056A" w:rsidRDefault="00185B52" w:rsidP="0011240F">
      <w:pPr>
        <w:shd w:val="clear" w:color="auto" w:fill="FFFFFF" w:themeFill="background1"/>
        <w:spacing w:beforeLines="120" w:before="288" w:afterLines="120" w:after="288" w:line="240" w:lineRule="auto"/>
        <w:jc w:val="both"/>
        <w:rPr>
          <w:rFonts w:ascii="Georgia" w:hAnsi="Georgia" w:cs="Times New Roman"/>
          <w:bCs/>
          <w:iCs/>
          <w:lang w:val="en-GB"/>
        </w:rPr>
        <w:sectPr w:rsidR="00185B52" w:rsidRPr="0002056A" w:rsidSect="0068518D">
          <w:pgSz w:w="11906" w:h="16838"/>
          <w:pgMar w:top="1417" w:right="1417" w:bottom="1417" w:left="1417" w:header="708" w:footer="708" w:gutter="0"/>
          <w:cols w:space="708"/>
          <w:docGrid w:linePitch="360"/>
        </w:sectPr>
      </w:pPr>
    </w:p>
    <w:p w14:paraId="0A1AAEF0" w14:textId="77777777" w:rsidR="0011240F" w:rsidRPr="0002056A" w:rsidRDefault="0011240F" w:rsidP="0011240F">
      <w:pPr>
        <w:shd w:val="clear" w:color="auto" w:fill="FFFFFF" w:themeFill="background1"/>
        <w:spacing w:beforeLines="120" w:before="288" w:afterLines="120" w:after="288" w:line="240" w:lineRule="auto"/>
        <w:jc w:val="both"/>
        <w:rPr>
          <w:rFonts w:ascii="Georgia" w:hAnsi="Georgia" w:cs="Times New Roman"/>
          <w:bCs/>
          <w:iCs/>
          <w:lang w:val="en-GB"/>
        </w:rPr>
      </w:pPr>
    </w:p>
    <w:p w14:paraId="05AC12F0" w14:textId="211390BF" w:rsidR="00CB6E47" w:rsidRPr="0002056A" w:rsidRDefault="00FE7E77" w:rsidP="0011240F">
      <w:pPr>
        <w:shd w:val="clear" w:color="auto" w:fill="FFFFFF" w:themeFill="background1"/>
        <w:spacing w:beforeLines="120" w:before="288" w:afterLines="120" w:after="288" w:line="240" w:lineRule="auto"/>
        <w:jc w:val="both"/>
        <w:rPr>
          <w:rFonts w:ascii="Georgia" w:hAnsi="Georgia" w:cs="Times New Roman"/>
          <w:bCs/>
          <w:iCs/>
          <w:lang w:val="en-GB"/>
        </w:rPr>
      </w:pPr>
      <w:r w:rsidRPr="0002056A">
        <w:rPr>
          <w:noProof/>
          <w:lang w:val="en-GB"/>
          <w14:ligatures w14:val="standardContextual"/>
        </w:rPr>
        <w:drawing>
          <wp:inline distT="0" distB="0" distL="0" distR="0" wp14:anchorId="06A4C40F" wp14:editId="709680A7">
            <wp:extent cx="8928100" cy="4584700"/>
            <wp:effectExtent l="0" t="0" r="6350" b="6350"/>
            <wp:docPr id="831564191" name="Diagram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DF888DC" w14:textId="0CBE1BC8" w:rsidR="00CB6E47" w:rsidRPr="0002056A" w:rsidRDefault="00D11CFD" w:rsidP="00921E46">
      <w:pPr>
        <w:shd w:val="clear" w:color="auto" w:fill="FFFFFF" w:themeFill="background1"/>
        <w:spacing w:beforeLines="120" w:before="288" w:afterLines="120" w:after="288" w:line="240" w:lineRule="auto"/>
        <w:jc w:val="center"/>
        <w:rPr>
          <w:rFonts w:ascii="Georgia" w:hAnsi="Georgia" w:cs="Times New Roman"/>
          <w:bCs/>
          <w:i/>
          <w:iCs/>
          <w:sz w:val="18"/>
          <w:szCs w:val="18"/>
          <w:lang w:val="en-GB"/>
        </w:rPr>
      </w:pPr>
      <w:r w:rsidRPr="0002056A">
        <w:rPr>
          <w:rFonts w:ascii="Georgia" w:hAnsi="Georgia" w:cs="Times New Roman"/>
          <w:b/>
          <w:iCs/>
          <w:sz w:val="18"/>
          <w:szCs w:val="18"/>
          <w:lang w:val="en-GB"/>
        </w:rPr>
        <w:t xml:space="preserve">Figure </w:t>
      </w:r>
      <w:r w:rsidR="00BD4CF2" w:rsidRPr="0002056A">
        <w:rPr>
          <w:rFonts w:ascii="Georgia" w:hAnsi="Georgia" w:cs="Times New Roman"/>
          <w:b/>
          <w:iCs/>
          <w:sz w:val="18"/>
          <w:szCs w:val="18"/>
          <w:lang w:val="en-GB"/>
        </w:rPr>
        <w:t>19</w:t>
      </w:r>
      <w:r w:rsidRPr="0002056A">
        <w:rPr>
          <w:rFonts w:ascii="Georgia" w:hAnsi="Georgia" w:cs="Times New Roman"/>
          <w:b/>
          <w:iCs/>
          <w:sz w:val="18"/>
          <w:szCs w:val="18"/>
          <w:lang w:val="en-GB"/>
        </w:rPr>
        <w:t xml:space="preserve">: </w:t>
      </w:r>
      <w:r w:rsidR="00921E46" w:rsidRPr="0002056A">
        <w:rPr>
          <w:rFonts w:ascii="Georgia" w:hAnsi="Georgia" w:cs="Times New Roman"/>
          <w:b/>
          <w:iCs/>
          <w:sz w:val="18"/>
          <w:szCs w:val="18"/>
          <w:lang w:val="en-GB"/>
        </w:rPr>
        <w:t xml:space="preserve">Number of mentionings of different space-related concepts in </w:t>
      </w:r>
      <w:r w:rsidRPr="0002056A">
        <w:rPr>
          <w:rFonts w:ascii="Georgia" w:hAnsi="Georgia" w:cs="Times New Roman"/>
          <w:b/>
          <w:sz w:val="18"/>
          <w:szCs w:val="18"/>
          <w:lang w:val="en-GB"/>
        </w:rPr>
        <w:t>the analysed NAS documents.</w:t>
      </w:r>
      <w:r w:rsidR="00921E46" w:rsidRPr="0002056A">
        <w:rPr>
          <w:rFonts w:ascii="Georgia" w:hAnsi="Georgia" w:cs="Times New Roman"/>
          <w:b/>
          <w:sz w:val="18"/>
          <w:szCs w:val="18"/>
          <w:lang w:val="en-GB"/>
        </w:rPr>
        <w:t xml:space="preserve"> </w:t>
      </w:r>
      <w:r w:rsidR="00921E46" w:rsidRPr="0002056A">
        <w:rPr>
          <w:rFonts w:ascii="Georgia" w:hAnsi="Georgia" w:cs="Times New Roman"/>
          <w:bCs/>
          <w:i/>
          <w:iCs/>
          <w:sz w:val="18"/>
          <w:szCs w:val="18"/>
          <w:lang w:val="en-GB"/>
        </w:rPr>
        <w:t>Source: own editing.</w:t>
      </w:r>
    </w:p>
    <w:p w14:paraId="1A287FF8" w14:textId="77777777" w:rsidR="00921E46" w:rsidRPr="0002056A" w:rsidRDefault="00921E46" w:rsidP="0011240F">
      <w:pPr>
        <w:shd w:val="clear" w:color="auto" w:fill="FFFFFF" w:themeFill="background1"/>
        <w:spacing w:beforeLines="120" w:before="288" w:afterLines="120" w:after="288" w:line="240" w:lineRule="auto"/>
        <w:jc w:val="both"/>
        <w:rPr>
          <w:rFonts w:ascii="Georgia" w:hAnsi="Georgia" w:cs="Times New Roman"/>
          <w:bCs/>
          <w:iCs/>
          <w:lang w:val="en-GB"/>
        </w:rPr>
      </w:pPr>
    </w:p>
    <w:p w14:paraId="24CFB1C4" w14:textId="77777777" w:rsidR="00CB6E47" w:rsidRPr="0002056A" w:rsidRDefault="00CB6E47" w:rsidP="0011240F">
      <w:pPr>
        <w:shd w:val="clear" w:color="auto" w:fill="FFFFFF" w:themeFill="background1"/>
        <w:spacing w:beforeLines="120" w:before="288" w:afterLines="120" w:after="288" w:line="240" w:lineRule="auto"/>
        <w:jc w:val="both"/>
        <w:rPr>
          <w:rFonts w:ascii="Georgia" w:hAnsi="Georgia" w:cs="Times New Roman"/>
          <w:bCs/>
          <w:iCs/>
          <w:lang w:val="en-GB"/>
        </w:rPr>
        <w:sectPr w:rsidR="00CB6E47" w:rsidRPr="0002056A" w:rsidSect="00FE7E77">
          <w:pgSz w:w="16838" w:h="11906" w:orient="landscape"/>
          <w:pgMar w:top="1417" w:right="1417" w:bottom="1417" w:left="1417" w:header="708" w:footer="708" w:gutter="0"/>
          <w:cols w:space="708"/>
          <w:docGrid w:linePitch="360"/>
        </w:sectPr>
      </w:pPr>
    </w:p>
    <w:p w14:paraId="46A114D5" w14:textId="2E1152B8" w:rsidR="00B92E3B" w:rsidRPr="0002056A" w:rsidRDefault="00B92E3B" w:rsidP="00CD5BF3">
      <w:pPr>
        <w:shd w:val="clear" w:color="auto" w:fill="FFFFFF" w:themeFill="background1"/>
        <w:spacing w:beforeLines="120" w:before="288" w:afterLines="120" w:after="288"/>
        <w:jc w:val="both"/>
        <w:rPr>
          <w:rFonts w:ascii="Georgia" w:hAnsi="Georgia"/>
          <w:lang w:val="en-GB"/>
        </w:rPr>
      </w:pPr>
      <w:r w:rsidRPr="0002056A">
        <w:rPr>
          <w:rFonts w:ascii="Georgia" w:eastAsia="Times New Roman" w:hAnsi="Georgia" w:cs="Times New Roman"/>
          <w:b/>
          <w:iCs/>
          <w:lang w:val="en-GB" w:eastAsia="hu-HU"/>
        </w:rPr>
        <w:lastRenderedPageBreak/>
        <w:t xml:space="preserve">Propagation of adaptation planning at lower territorial levels </w:t>
      </w:r>
      <w:r w:rsidRPr="0002056A">
        <w:rPr>
          <w:rFonts w:ascii="Georgia" w:eastAsia="Times New Roman" w:hAnsi="Georgia" w:cs="Times New Roman"/>
          <w:bCs/>
          <w:iCs/>
          <w:lang w:val="en-GB" w:eastAsia="hu-HU"/>
        </w:rPr>
        <w:t xml:space="preserve">showed basically good results. </w:t>
      </w:r>
      <w:r w:rsidRPr="0002056A">
        <w:rPr>
          <w:rFonts w:ascii="Georgia" w:hAnsi="Georgia" w:cs="Times New Roman"/>
          <w:bCs/>
          <w:lang w:val="en-GB"/>
        </w:rPr>
        <w:t xml:space="preserve">Half of the </w:t>
      </w:r>
      <w:r w:rsidRPr="0002056A">
        <w:rPr>
          <w:rFonts w:ascii="Georgia" w:eastAsia="Times New Roman" w:hAnsi="Georgia" w:cs="Times New Roman"/>
          <w:bCs/>
          <w:color w:val="000000"/>
          <w:lang w:val="en-GB" w:eastAsia="hu-HU"/>
        </w:rPr>
        <w:t>countries are in the upper two categories. Th</w:t>
      </w:r>
      <w:r w:rsidRPr="0002056A">
        <w:rPr>
          <w:rFonts w:ascii="Georgia" w:eastAsia="Times New Roman" w:hAnsi="Georgia" w:cs="Times New Roman"/>
          <w:color w:val="000000"/>
          <w:lang w:val="en-GB" w:eastAsia="hu-HU"/>
        </w:rPr>
        <w:t>e best performances can be seen in</w:t>
      </w:r>
      <w:r w:rsidRPr="0002056A">
        <w:rPr>
          <w:rFonts w:ascii="Georgia" w:eastAsia="Times New Roman" w:hAnsi="Georgia" w:cs="Times New Roman"/>
          <w:i/>
          <w:color w:val="000000"/>
          <w:lang w:val="en-GB" w:eastAsia="hu-HU"/>
        </w:rPr>
        <w:t xml:space="preserve"> Hungary, Poland, Romania (Central-Eastern Europe), Albania, Bosnia, Bulgaria (Balkans), Türkiye (South), Germany, England, the Netherlands and Finland (North-western Europe). </w:t>
      </w:r>
      <w:r w:rsidR="00141B22">
        <w:rPr>
          <w:rFonts w:ascii="Georgia" w:eastAsia="Times New Roman" w:hAnsi="Georgia" w:cs="Times New Roman"/>
          <w:color w:val="000000"/>
          <w:lang w:val="en-GB" w:eastAsia="hu-HU"/>
        </w:rPr>
        <w:t>An especially</w:t>
      </w:r>
      <w:r w:rsidR="00141B22"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good example is</w:t>
      </w:r>
      <w:r w:rsidRPr="0002056A">
        <w:rPr>
          <w:rFonts w:ascii="Georgia" w:eastAsia="Times New Roman" w:hAnsi="Georgia" w:cs="Times New Roman"/>
          <w:i/>
          <w:color w:val="000000"/>
          <w:lang w:val="en-GB" w:eastAsia="hu-HU"/>
        </w:rPr>
        <w:t xml:space="preserve"> the Netherlands, </w:t>
      </w:r>
      <w:r w:rsidRPr="0002056A">
        <w:rPr>
          <w:rFonts w:ascii="Georgia" w:hAnsi="Georgia" w:cs="Times New Roman"/>
          <w:lang w:val="en-GB"/>
        </w:rPr>
        <w:t xml:space="preserve">where the Delta Decision on Spatial Adaptation encourages local authorities to devote attention to heat stress as part of a local climate scan. </w:t>
      </w:r>
      <w:r w:rsidRPr="0002056A">
        <w:rPr>
          <w:rFonts w:ascii="Georgia" w:hAnsi="Georgia" w:cs="Times New Roman"/>
          <w:bCs/>
          <w:iCs/>
          <w:lang w:val="en-GB"/>
        </w:rPr>
        <w:t xml:space="preserve">In </w:t>
      </w:r>
      <w:r w:rsidRPr="0002056A">
        <w:rPr>
          <w:rFonts w:ascii="Georgia" w:hAnsi="Georgia" w:cs="Times New Roman"/>
          <w:bCs/>
          <w:i/>
          <w:iCs/>
          <w:lang w:val="en-GB"/>
        </w:rPr>
        <w:t>Hungary</w:t>
      </w:r>
      <w:r w:rsidRPr="0002056A">
        <w:rPr>
          <w:rFonts w:ascii="Georgia" w:hAnsi="Georgia" w:cs="Times New Roman"/>
          <w:bCs/>
          <w:iCs/>
          <w:lang w:val="en-GB"/>
        </w:rPr>
        <w:t xml:space="preserve">, </w:t>
      </w:r>
      <w:r w:rsidRPr="0002056A">
        <w:rPr>
          <w:rFonts w:ascii="Georgia" w:hAnsi="Georgia" w:cs="Times New Roman"/>
          <w:lang w:val="en-GB"/>
        </w:rPr>
        <w:t xml:space="preserve">a specific subgoal of the NCCS-2-NAS mentions the need for elaboration of vulnerable regions' strategies; some action lines in the settlement development chapter also mention local strategy building. In </w:t>
      </w:r>
      <w:r w:rsidRPr="0002056A">
        <w:rPr>
          <w:rFonts w:ascii="Georgia" w:hAnsi="Georgia" w:cs="Times New Roman"/>
          <w:i/>
          <w:lang w:val="en-GB"/>
        </w:rPr>
        <w:t>Poland</w:t>
      </w:r>
      <w:r w:rsidRPr="0002056A">
        <w:rPr>
          <w:rStyle w:val="Lbjegyzet-hivatkozs"/>
          <w:rFonts w:ascii="Georgia" w:hAnsi="Georgia" w:cs="Times New Roman"/>
          <w:lang w:val="en-GB"/>
        </w:rPr>
        <w:footnoteReference w:id="94"/>
      </w:r>
      <w:r w:rsidRPr="0002056A">
        <w:rPr>
          <w:rFonts w:ascii="Georgia" w:hAnsi="Georgia" w:cs="Times New Roman"/>
          <w:lang w:val="en-GB"/>
        </w:rPr>
        <w:t xml:space="preserve"> and </w:t>
      </w:r>
      <w:r w:rsidRPr="0002056A">
        <w:rPr>
          <w:rFonts w:ascii="Georgia" w:hAnsi="Georgia" w:cs="Times New Roman"/>
          <w:i/>
          <w:lang w:val="en-GB"/>
        </w:rPr>
        <w:t>Romania</w:t>
      </w:r>
      <w:r w:rsidR="00141B22">
        <w:rPr>
          <w:rFonts w:ascii="Georgia" w:hAnsi="Georgia" w:cs="Times New Roman"/>
          <w:i/>
          <w:lang w:val="en-GB"/>
        </w:rPr>
        <w:t>,</w:t>
      </w:r>
      <w:r w:rsidRPr="0002056A">
        <w:rPr>
          <w:rStyle w:val="Lbjegyzet-hivatkozs"/>
          <w:rFonts w:ascii="Georgia" w:hAnsi="Georgia" w:cs="Times New Roman"/>
          <w:lang w:val="en-GB"/>
        </w:rPr>
        <w:footnoteReference w:id="95"/>
      </w:r>
      <w:r w:rsidRPr="0002056A">
        <w:rPr>
          <w:rFonts w:ascii="Georgia" w:hAnsi="Georgia" w:cs="Times New Roman"/>
          <w:lang w:val="en-GB"/>
        </w:rPr>
        <w:t xml:space="preserve"> several objective system levels refer to the issue. </w:t>
      </w:r>
      <w:r w:rsidRPr="0002056A">
        <w:rPr>
          <w:rFonts w:ascii="Georgia" w:hAnsi="Georgia" w:cs="Times New Roman"/>
          <w:i/>
          <w:lang w:val="en-GB"/>
        </w:rPr>
        <w:t>Albania</w:t>
      </w:r>
      <w:r w:rsidRPr="0002056A">
        <w:rPr>
          <w:rFonts w:ascii="Georgia" w:hAnsi="Georgia" w:cs="Times New Roman"/>
          <w:lang w:val="en-GB"/>
        </w:rPr>
        <w:t>’s strategy and programme also nominate the activity at the level of goals and priority actions</w:t>
      </w:r>
      <w:r w:rsidRPr="0002056A">
        <w:rPr>
          <w:rStyle w:val="Lbjegyzet-hivatkozs"/>
          <w:rFonts w:ascii="Georgia" w:hAnsi="Georgia" w:cs="Times New Roman"/>
          <w:lang w:val="en-GB"/>
        </w:rPr>
        <w:footnoteReference w:id="96"/>
      </w:r>
      <w:r w:rsidRPr="0002056A">
        <w:rPr>
          <w:rFonts w:ascii="Georgia" w:hAnsi="Georgia" w:cs="Times New Roman"/>
          <w:lang w:val="en-GB"/>
        </w:rPr>
        <w:t xml:space="preserve">. Several of </w:t>
      </w:r>
      <w:r w:rsidRPr="0002056A">
        <w:rPr>
          <w:rFonts w:ascii="Georgia" w:hAnsi="Georgia" w:cs="Times New Roman"/>
          <w:i/>
          <w:lang w:val="en-GB"/>
        </w:rPr>
        <w:t>Bosnia</w:t>
      </w:r>
      <w:r w:rsidRPr="0002056A">
        <w:rPr>
          <w:rFonts w:ascii="Georgia" w:hAnsi="Georgia" w:cs="Times New Roman"/>
          <w:lang w:val="en-GB"/>
        </w:rPr>
        <w:t>’s NAS sectoral situation analysis subchapters talks about related topics</w:t>
      </w:r>
      <w:r w:rsidRPr="0002056A">
        <w:rPr>
          <w:rStyle w:val="Lbjegyzet-hivatkozs"/>
          <w:rFonts w:ascii="Georgia" w:hAnsi="Georgia" w:cs="Times New Roman"/>
          <w:lang w:val="en-GB"/>
        </w:rPr>
        <w:footnoteReference w:id="97"/>
      </w:r>
      <w:r w:rsidRPr="0002056A">
        <w:rPr>
          <w:rFonts w:ascii="Georgia" w:hAnsi="Georgia" w:cs="Times New Roman"/>
          <w:lang w:val="en-GB"/>
        </w:rPr>
        <w:t xml:space="preserve">. </w:t>
      </w:r>
      <w:r w:rsidRPr="0002056A">
        <w:rPr>
          <w:rFonts w:ascii="Georgia" w:hAnsi="Georgia" w:cs="Times New Roman"/>
          <w:i/>
          <w:lang w:val="en-GB"/>
        </w:rPr>
        <w:t>Bulgaria</w:t>
      </w:r>
      <w:r w:rsidRPr="0002056A">
        <w:rPr>
          <w:rFonts w:ascii="Georgia" w:hAnsi="Georgia" w:cs="Times New Roman"/>
          <w:lang w:val="en-GB"/>
        </w:rPr>
        <w:t xml:space="preserve">’s NAS Chapter 2 about national sectoral frameworks mentions the planning tasks of municipalities and other sectors (tourism, transport, forestry) at local level. In </w:t>
      </w:r>
      <w:r w:rsidRPr="0002056A">
        <w:rPr>
          <w:rFonts w:ascii="Georgia" w:hAnsi="Georgia" w:cs="Times New Roman"/>
          <w:i/>
          <w:lang w:val="en-GB"/>
        </w:rPr>
        <w:t>Finland</w:t>
      </w:r>
      <w:r w:rsidR="00141B22">
        <w:rPr>
          <w:rFonts w:ascii="Georgia" w:hAnsi="Georgia" w:cs="Times New Roman"/>
          <w:lang w:val="en-GB"/>
        </w:rPr>
        <w:t xml:space="preserve">, the NAS propagates the issue at the </w:t>
      </w:r>
      <w:r w:rsidRPr="0002056A">
        <w:rPr>
          <w:rFonts w:ascii="Georgia" w:hAnsi="Georgia" w:cs="Times New Roman"/>
          <w:lang w:val="en-GB"/>
        </w:rPr>
        <w:t>sub-objective and measure level.</w:t>
      </w:r>
    </w:p>
    <w:p w14:paraId="129AB103" w14:textId="7555DB43" w:rsidR="00AD75FD" w:rsidRPr="0002056A" w:rsidRDefault="00AD75FD" w:rsidP="00214BD9">
      <w:pPr>
        <w:pStyle w:val="Cmsor3"/>
        <w:numPr>
          <w:ilvl w:val="2"/>
          <w:numId w:val="4"/>
        </w:numPr>
        <w:rPr>
          <w:lang w:val="en-GB"/>
        </w:rPr>
      </w:pPr>
      <w:bookmarkStart w:id="40" w:name="_Toc225578857"/>
      <w:r w:rsidRPr="0002056A">
        <w:rPr>
          <w:lang w:val="en-GB"/>
        </w:rPr>
        <w:t>NAS situation analyses’ spatial awareness</w:t>
      </w:r>
      <w:bookmarkEnd w:id="40"/>
    </w:p>
    <w:p w14:paraId="53857104" w14:textId="2781BDB1" w:rsidR="00AD75FD" w:rsidRDefault="00AD75FD" w:rsidP="0004509C">
      <w:pPr>
        <w:pBdr>
          <w:top w:val="single" w:sz="4" w:space="1" w:color="auto"/>
          <w:left w:val="single" w:sz="4" w:space="4" w:color="auto"/>
          <w:bottom w:val="single" w:sz="4" w:space="1" w:color="auto"/>
          <w:right w:val="single" w:sz="4" w:space="4" w:color="auto"/>
        </w:pBdr>
        <w:shd w:val="clear" w:color="auto" w:fill="FFFFFF" w:themeFill="background1"/>
        <w:spacing w:before="120" w:after="120"/>
        <w:jc w:val="both"/>
        <w:rPr>
          <w:rFonts w:ascii="Georgia" w:hAnsi="Georgia" w:cs="Times New Roman"/>
          <w:lang w:val="en-GB"/>
        </w:rPr>
      </w:pPr>
      <w:r w:rsidRPr="0002056A">
        <w:rPr>
          <w:rFonts w:ascii="Georgia" w:hAnsi="Georgia" w:cs="Times New Roman"/>
          <w:lang w:val="en-GB"/>
        </w:rPr>
        <w:t xml:space="preserve">The analytical aspect dealing with NAS situation analyses </w:t>
      </w:r>
      <w:r w:rsidR="00141B22">
        <w:rPr>
          <w:rFonts w:ascii="Georgia" w:hAnsi="Georgia" w:cs="Times New Roman"/>
          <w:lang w:val="en-GB"/>
        </w:rPr>
        <w:t xml:space="preserve">is </w:t>
      </w:r>
      <w:r w:rsidRPr="0002056A">
        <w:rPr>
          <w:rFonts w:ascii="Georgia" w:hAnsi="Georgia" w:cs="Times New Roman"/>
          <w:lang w:val="en-GB"/>
        </w:rPr>
        <w:t>performed generally at mediocre/weak level. Even the best-performing states d</w:t>
      </w:r>
      <w:r w:rsidR="000F27BC" w:rsidRPr="0002056A">
        <w:rPr>
          <w:rFonts w:ascii="Georgia" w:hAnsi="Georgia" w:cs="Times New Roman"/>
          <w:lang w:val="en-GB"/>
        </w:rPr>
        <w:t>id</w:t>
      </w:r>
      <w:r w:rsidRPr="0002056A">
        <w:rPr>
          <w:rFonts w:ascii="Georgia" w:hAnsi="Georgia" w:cs="Times New Roman"/>
          <w:lang w:val="en-GB"/>
        </w:rPr>
        <w:t xml:space="preserve"> not reach 50% of the available points: the generally spatially oriented </w:t>
      </w:r>
      <w:r w:rsidRPr="0002056A">
        <w:rPr>
          <w:rFonts w:ascii="Georgia" w:hAnsi="Georgia" w:cs="Times New Roman"/>
          <w:i/>
          <w:iCs/>
          <w:lang w:val="en-GB"/>
        </w:rPr>
        <w:t xml:space="preserve">Bosnia and Herzegovina, </w:t>
      </w:r>
      <w:r w:rsidRPr="0002056A">
        <w:rPr>
          <w:rFonts w:ascii="Georgia" w:hAnsi="Georgia" w:cs="Times New Roman"/>
          <w:lang w:val="en-GB"/>
        </w:rPr>
        <w:t xml:space="preserve">where 3 different </w:t>
      </w:r>
      <w:r w:rsidR="00141B22">
        <w:rPr>
          <w:rFonts w:ascii="Georgia" w:hAnsi="Georgia" w:cs="Times New Roman"/>
          <w:lang w:val="en-GB"/>
        </w:rPr>
        <w:t>administrative parts of the state are in the focus of the whole situation analysis; furthermore,</w:t>
      </w:r>
      <w:r w:rsidRPr="0002056A">
        <w:rPr>
          <w:rFonts w:ascii="Georgia" w:hAnsi="Georgia" w:cs="Times New Roman"/>
          <w:i/>
          <w:iCs/>
          <w:lang w:val="en-GB"/>
        </w:rPr>
        <w:t xml:space="preserve"> Austria, Latvia, Switzerland, Serbia, Türkiye, Hungary </w:t>
      </w:r>
      <w:r w:rsidRPr="0002056A">
        <w:rPr>
          <w:rFonts w:ascii="Georgia" w:hAnsi="Georgia" w:cs="Times New Roman"/>
          <w:lang w:val="en-GB"/>
        </w:rPr>
        <w:t xml:space="preserve">and </w:t>
      </w:r>
      <w:r w:rsidRPr="0002056A">
        <w:rPr>
          <w:rFonts w:ascii="Georgia" w:hAnsi="Georgia" w:cs="Times New Roman"/>
          <w:i/>
          <w:iCs/>
          <w:lang w:val="en-GB"/>
        </w:rPr>
        <w:t>Latvia</w:t>
      </w:r>
      <w:r w:rsidRPr="0002056A">
        <w:rPr>
          <w:rFonts w:ascii="Georgia" w:hAnsi="Georgia" w:cs="Times New Roman"/>
          <w:lang w:val="en-GB"/>
        </w:rPr>
        <w:t xml:space="preserve"> compose the highest category. The second group is mixed, composed by both Easterners (</w:t>
      </w:r>
      <w:r w:rsidRPr="0002056A">
        <w:rPr>
          <w:rFonts w:ascii="Georgia" w:hAnsi="Georgia" w:cs="Times New Roman"/>
          <w:i/>
          <w:iCs/>
          <w:lang w:val="en-GB"/>
        </w:rPr>
        <w:t>Czechia, Poland, Bulgaria, Estonia</w:t>
      </w:r>
      <w:r w:rsidRPr="0002056A">
        <w:rPr>
          <w:rFonts w:ascii="Georgia" w:hAnsi="Georgia" w:cs="Times New Roman"/>
          <w:lang w:val="en-GB"/>
        </w:rPr>
        <w:t>), Westerners (</w:t>
      </w:r>
      <w:r w:rsidRPr="0002056A">
        <w:rPr>
          <w:rFonts w:ascii="Georgia" w:hAnsi="Georgia" w:cs="Times New Roman"/>
          <w:i/>
          <w:iCs/>
          <w:lang w:val="en-GB"/>
        </w:rPr>
        <w:t>Belgium, the Netherlands, Luxemburg, France</w:t>
      </w:r>
      <w:r w:rsidRPr="0002056A">
        <w:rPr>
          <w:rFonts w:ascii="Georgia" w:hAnsi="Georgia" w:cs="Times New Roman"/>
          <w:lang w:val="en-GB"/>
        </w:rPr>
        <w:t>), or Southerners (</w:t>
      </w:r>
      <w:r w:rsidRPr="0002056A">
        <w:rPr>
          <w:rFonts w:ascii="Georgia" w:hAnsi="Georgia" w:cs="Times New Roman"/>
          <w:i/>
          <w:iCs/>
          <w:lang w:val="en-GB"/>
        </w:rPr>
        <w:t>Italy, Greece, Portugal</w:t>
      </w:r>
      <w:r w:rsidRPr="0002056A">
        <w:rPr>
          <w:rFonts w:ascii="Georgia" w:hAnsi="Georgia" w:cs="Times New Roman"/>
          <w:lang w:val="en-GB"/>
        </w:rPr>
        <w:t xml:space="preserve">). Several Westerners got surprisingly in the worst category, but the reason </w:t>
      </w:r>
      <w:r w:rsidR="00141B22">
        <w:rPr>
          <w:rFonts w:ascii="Georgia" w:hAnsi="Georgia" w:cs="Times New Roman"/>
          <w:lang w:val="en-GB"/>
        </w:rPr>
        <w:t>is mostly that they do not have actual situation analyses within their NAS, while having a national CCRA fulfilling the evidence-based</w:t>
      </w:r>
      <w:r w:rsidR="00396713" w:rsidRPr="0002056A">
        <w:rPr>
          <w:rFonts w:ascii="Georgia" w:hAnsi="Georgia" w:cs="Times New Roman"/>
          <w:lang w:val="en-GB"/>
        </w:rPr>
        <w:t xml:space="preserve"> </w:t>
      </w:r>
      <w:r w:rsidRPr="0002056A">
        <w:rPr>
          <w:rFonts w:ascii="Georgia" w:hAnsi="Georgia" w:cs="Times New Roman"/>
          <w:lang w:val="en-GB"/>
        </w:rPr>
        <w:t>providing function. But even the</w:t>
      </w:r>
      <w:r w:rsidR="00F75AF8" w:rsidRPr="0002056A">
        <w:rPr>
          <w:rFonts w:ascii="Georgia" w:hAnsi="Georgia" w:cs="Times New Roman"/>
          <w:lang w:val="en-GB"/>
        </w:rPr>
        <w:t>se</w:t>
      </w:r>
      <w:r w:rsidRPr="0002056A">
        <w:rPr>
          <w:rFonts w:ascii="Georgia" w:hAnsi="Georgia" w:cs="Times New Roman"/>
          <w:lang w:val="en-GB"/>
        </w:rPr>
        <w:t xml:space="preserve"> CCRAs reflect rather a sectoral approach</w:t>
      </w:r>
      <w:r w:rsidR="00396713" w:rsidRPr="0002056A">
        <w:rPr>
          <w:rFonts w:ascii="Georgia" w:hAnsi="Georgia" w:cs="Times New Roman"/>
          <w:lang w:val="en-GB"/>
        </w:rPr>
        <w:t xml:space="preserve"> (Figure 20)</w:t>
      </w:r>
      <w:r w:rsidRPr="0002056A">
        <w:rPr>
          <w:rFonts w:ascii="Georgia" w:hAnsi="Georgia" w:cs="Times New Roman"/>
          <w:lang w:val="en-GB"/>
        </w:rPr>
        <w:t>.</w:t>
      </w:r>
    </w:p>
    <w:p w14:paraId="5749D689" w14:textId="77777777" w:rsidR="0004509C" w:rsidRPr="0002056A" w:rsidRDefault="0004509C" w:rsidP="0004509C">
      <w:pPr>
        <w:shd w:val="clear" w:color="auto" w:fill="FFFFFF" w:themeFill="background1"/>
        <w:spacing w:before="120" w:after="120"/>
        <w:jc w:val="both"/>
        <w:rPr>
          <w:lang w:val="en-GB"/>
        </w:rPr>
      </w:pPr>
      <w:r w:rsidRPr="0002056A">
        <w:rPr>
          <w:rFonts w:ascii="Georgia" w:eastAsia="Times New Roman" w:hAnsi="Georgia" w:cs="Times New Roman"/>
          <w:bCs/>
          <w:iCs/>
          <w:lang w:val="en-GB" w:eastAsia="hu-HU"/>
        </w:rPr>
        <w:t>In</w:t>
      </w:r>
      <w:r w:rsidRPr="0002056A">
        <w:rPr>
          <w:rFonts w:ascii="Georgia" w:eastAsia="Times New Roman" w:hAnsi="Georgia" w:cs="Times New Roman"/>
          <w:b/>
          <w:iCs/>
          <w:lang w:val="en-GB" w:eastAsia="hu-HU"/>
        </w:rPr>
        <w:t xml:space="preserve"> the basic logic of the situation analyses </w:t>
      </w:r>
      <w:r w:rsidRPr="0002056A">
        <w:rPr>
          <w:rFonts w:ascii="Georgia" w:hAnsi="Georgia" w:cs="Times New Roman"/>
          <w:bCs/>
          <w:lang w:val="en-GB"/>
        </w:rPr>
        <w:t xml:space="preserve">signs of spatial thinking are stronger only in a few countries. </w:t>
      </w:r>
      <w:r w:rsidRPr="0002056A">
        <w:rPr>
          <w:rFonts w:ascii="Georgia" w:hAnsi="Georgia" w:cs="Times New Roman"/>
          <w:bCs/>
          <w:i/>
          <w:iCs/>
          <w:lang w:val="en-GB"/>
        </w:rPr>
        <w:t>Hungary</w:t>
      </w:r>
      <w:r w:rsidRPr="0002056A">
        <w:rPr>
          <w:rFonts w:ascii="Georgia" w:hAnsi="Georgia" w:cs="Times New Roman"/>
          <w:bCs/>
          <w:lang w:val="en-GB"/>
        </w:rPr>
        <w:t>’s situation analysis shows out</w:t>
      </w:r>
      <w:r w:rsidRPr="0002056A">
        <w:rPr>
          <w:rFonts w:ascii="Georgia" w:eastAsia="Times New Roman" w:hAnsi="Georgia" w:cs="Times New Roman"/>
          <w:color w:val="000000"/>
          <w:lang w:val="en-GB" w:eastAsia="hu-HU"/>
        </w:rPr>
        <w:t xml:space="preserve">standing spatial logic, dedicating a separated spatial vulnerability chapter to the topic that introduces district-level spatial differences of given climate challenge topics. (Moreover, as things stand, the update of the national strategy, being conducted currently, will strengthen further the spatial emphases in the document, both in the situation analysis and the objective system). </w:t>
      </w:r>
      <w:r w:rsidRPr="0002056A">
        <w:rPr>
          <w:rFonts w:ascii="Georgia" w:hAnsi="Georgia" w:cs="Times New Roman"/>
          <w:bCs/>
          <w:i/>
          <w:lang w:val="en-GB"/>
        </w:rPr>
        <w:t xml:space="preserve">Poland </w:t>
      </w:r>
      <w:r w:rsidRPr="0002056A">
        <w:rPr>
          <w:rFonts w:ascii="Georgia" w:hAnsi="Georgia" w:cs="Times New Roman"/>
          <w:bCs/>
          <w:lang w:val="en-GB"/>
        </w:rPr>
        <w:t xml:space="preserve">applies quasi-consequent spatial unit- or regional type mentioning in all sectoral situation analysis subchapters. In </w:t>
      </w:r>
      <w:r w:rsidRPr="0002056A">
        <w:rPr>
          <w:rFonts w:ascii="Georgia" w:hAnsi="Georgia" w:cs="Times New Roman"/>
          <w:bCs/>
          <w:i/>
          <w:lang w:val="en-GB"/>
        </w:rPr>
        <w:t>Italy</w:t>
      </w:r>
      <w:r w:rsidRPr="0002056A">
        <w:rPr>
          <w:rFonts w:ascii="Georgia" w:hAnsi="Georgia" w:cs="Times New Roman"/>
          <w:bCs/>
          <w:lang w:val="en-GB"/>
        </w:rPr>
        <w:t xml:space="preserve">’s NAS the analysis and assessment of the state of knowledge on risk and vulnerability to climate change at the national level is organised by relevant sectors. However, already the Introduction mentions the Alpine and Apennine areas and the Po valley, which </w:t>
      </w:r>
      <w:r w:rsidRPr="0002056A">
        <w:rPr>
          <w:rFonts w:ascii="Georgia" w:hAnsi="Georgia" w:cs="Times New Roman"/>
          <w:bCs/>
          <w:lang w:val="en-GB"/>
        </w:rPr>
        <w:lastRenderedPageBreak/>
        <w:t>regions show later regular recurrence through the whole situation analysis. However, the vast majority of countries performed weaker or showed the total lack of spatial aspects.</w:t>
      </w:r>
    </w:p>
    <w:p w14:paraId="29A68888" w14:textId="77777777" w:rsidR="00066AAA" w:rsidRPr="0002056A" w:rsidRDefault="00066AAA" w:rsidP="00066AAA">
      <w:pPr>
        <w:spacing w:before="120" w:afterLines="120" w:after="288" w:line="240" w:lineRule="auto"/>
        <w:jc w:val="both"/>
        <w:rPr>
          <w:rFonts w:ascii="Georgia" w:hAnsi="Georgia" w:cs="Times New Roman"/>
          <w:bCs/>
          <w:sz w:val="20"/>
          <w:szCs w:val="20"/>
          <w:lang w:val="en-GB"/>
        </w:rPr>
      </w:pPr>
      <w:r w:rsidRPr="0002056A">
        <w:rPr>
          <w:rFonts w:ascii="Georgia" w:hAnsi="Georgia" w:cs="Times New Roman"/>
          <w:bCs/>
          <w:noProof/>
          <w:sz w:val="20"/>
          <w:szCs w:val="20"/>
          <w:lang w:val="en-GB"/>
          <w14:ligatures w14:val="standardContextual"/>
        </w:rPr>
        <w:drawing>
          <wp:inline distT="0" distB="0" distL="0" distR="0" wp14:anchorId="7F170777" wp14:editId="6865B3A6">
            <wp:extent cx="5760720" cy="4863465"/>
            <wp:effectExtent l="19050" t="19050" r="11430" b="13335"/>
            <wp:docPr id="83457781" name="Kép 5" descr="A képen térkép, szöveg,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7781" name="Kép 5" descr="A képen térkép, szöveg, atlasz látható&#10;&#10;Előfordulhat, hogy az AI által létrehozott tartalom helytele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74D088A5" w14:textId="100F3BB7" w:rsidR="00066AAA" w:rsidRPr="0002056A" w:rsidRDefault="00066AAA" w:rsidP="00CD5BF3">
      <w:pPr>
        <w:jc w:val="center"/>
        <w:rPr>
          <w:rFonts w:ascii="Georgia" w:hAnsi="Georgia"/>
          <w:i/>
          <w:iCs/>
          <w:sz w:val="18"/>
          <w:szCs w:val="18"/>
          <w:lang w:val="en-GB"/>
        </w:rPr>
      </w:pPr>
      <w:r w:rsidRPr="0002056A">
        <w:rPr>
          <w:rFonts w:ascii="Georgia" w:hAnsi="Georgia"/>
          <w:b/>
          <w:bCs/>
          <w:sz w:val="18"/>
          <w:szCs w:val="18"/>
          <w:lang w:val="en-GB"/>
        </w:rPr>
        <w:t xml:space="preserve">Figure </w:t>
      </w:r>
      <w:r w:rsidR="00A4577E" w:rsidRPr="0002056A">
        <w:rPr>
          <w:rFonts w:ascii="Georgia" w:hAnsi="Georgia"/>
          <w:b/>
          <w:bCs/>
          <w:sz w:val="18"/>
          <w:szCs w:val="18"/>
          <w:lang w:val="en-GB"/>
        </w:rPr>
        <w:t>20</w:t>
      </w:r>
      <w:r w:rsidRPr="0002056A">
        <w:rPr>
          <w:rFonts w:ascii="Georgia" w:hAnsi="Georgia"/>
          <w:b/>
          <w:bCs/>
          <w:sz w:val="18"/>
          <w:szCs w:val="18"/>
          <w:lang w:val="en-GB"/>
        </w:rPr>
        <w:t xml:space="preserve">: Degree of spatial content of the NAS situation analyses in the examined countries. </w:t>
      </w:r>
      <w:r w:rsidRPr="0002056A">
        <w:rPr>
          <w:rFonts w:ascii="Georgia" w:hAnsi="Georgia"/>
          <w:i/>
          <w:iCs/>
          <w:sz w:val="18"/>
          <w:szCs w:val="18"/>
          <w:lang w:val="en-GB"/>
        </w:rPr>
        <w:t>Source: own editing.</w:t>
      </w:r>
    </w:p>
    <w:p w14:paraId="58C34670" w14:textId="49AC5E24" w:rsidR="0004509C" w:rsidRDefault="00AD75FD" w:rsidP="00CD5BF3">
      <w:pPr>
        <w:shd w:val="clear" w:color="auto" w:fill="FFFFFF" w:themeFill="background1"/>
        <w:spacing w:before="120" w:after="120"/>
        <w:jc w:val="both"/>
        <w:rPr>
          <w:rFonts w:ascii="Georgia" w:hAnsi="Georgia" w:cs="Times New Roman"/>
          <w:bCs/>
          <w:lang w:val="en-GB"/>
        </w:rPr>
      </w:pPr>
      <w:r w:rsidRPr="0002056A">
        <w:rPr>
          <w:rFonts w:ascii="Georgia" w:eastAsia="Times New Roman" w:hAnsi="Georgia" w:cs="Times New Roman"/>
          <w:b/>
          <w:iCs/>
          <w:lang w:val="en-GB" w:eastAsia="hu-HU"/>
        </w:rPr>
        <w:t xml:space="preserve">Regarding the spatial visualization of the situation analyses </w:t>
      </w:r>
      <w:r w:rsidRPr="0002056A">
        <w:rPr>
          <w:rFonts w:ascii="Georgia" w:hAnsi="Georgia" w:cs="Times New Roman"/>
          <w:bCs/>
          <w:i/>
          <w:lang w:val="en-GB"/>
        </w:rPr>
        <w:t>Türkiye</w:t>
      </w:r>
      <w:r w:rsidRPr="0002056A">
        <w:rPr>
          <w:rFonts w:ascii="Georgia" w:hAnsi="Georgia" w:cs="Times New Roman"/>
          <w:bCs/>
          <w:lang w:val="en-GB"/>
        </w:rPr>
        <w:t xml:space="preserve"> is outstanding (having 25 mostly </w:t>
      </w:r>
      <w:r w:rsidR="005622FF" w:rsidRPr="0002056A">
        <w:rPr>
          <w:rFonts w:ascii="Georgia" w:hAnsi="Georgia" w:cs="Times New Roman"/>
          <w:bCs/>
          <w:lang w:val="en-GB"/>
        </w:rPr>
        <w:t xml:space="preserve">climate </w:t>
      </w:r>
      <w:r w:rsidRPr="0002056A">
        <w:rPr>
          <w:rFonts w:ascii="Georgia" w:hAnsi="Georgia" w:cs="Times New Roman"/>
          <w:bCs/>
          <w:lang w:val="en-GB"/>
        </w:rPr>
        <w:t>vulnerability</w:t>
      </w:r>
      <w:r w:rsidR="005622FF" w:rsidRPr="0002056A">
        <w:rPr>
          <w:rFonts w:ascii="Georgia" w:hAnsi="Georgia" w:cs="Times New Roman"/>
          <w:bCs/>
          <w:lang w:val="en-GB"/>
        </w:rPr>
        <w:t>/risk</w:t>
      </w:r>
      <w:r w:rsidRPr="0002056A">
        <w:rPr>
          <w:rFonts w:ascii="Georgia" w:hAnsi="Georgia" w:cs="Times New Roman"/>
          <w:bCs/>
          <w:lang w:val="en-GB"/>
        </w:rPr>
        <w:t xml:space="preserve"> maps throughout </w:t>
      </w:r>
      <w:r w:rsidR="005622FF" w:rsidRPr="0002056A">
        <w:rPr>
          <w:rFonts w:ascii="Georgia" w:hAnsi="Georgia" w:cs="Times New Roman"/>
          <w:bCs/>
          <w:lang w:val="en-GB"/>
        </w:rPr>
        <w:t>i</w:t>
      </w:r>
      <w:r w:rsidRPr="0002056A">
        <w:rPr>
          <w:rFonts w:ascii="Georgia" w:hAnsi="Georgia" w:cs="Times New Roman"/>
          <w:bCs/>
          <w:lang w:val="en-GB"/>
        </w:rPr>
        <w:t>t</w:t>
      </w:r>
      <w:r w:rsidR="005622FF" w:rsidRPr="0002056A">
        <w:rPr>
          <w:rFonts w:ascii="Georgia" w:hAnsi="Georgia" w:cs="Times New Roman"/>
          <w:bCs/>
          <w:lang w:val="en-GB"/>
        </w:rPr>
        <w:t>s</w:t>
      </w:r>
      <w:r w:rsidRPr="0002056A">
        <w:rPr>
          <w:rFonts w:ascii="Georgia" w:hAnsi="Georgia" w:cs="Times New Roman"/>
          <w:bCs/>
          <w:lang w:val="en-GB"/>
        </w:rPr>
        <w:t xml:space="preserve"> NAS), followed by </w:t>
      </w:r>
      <w:r w:rsidRPr="0002056A">
        <w:rPr>
          <w:rFonts w:ascii="Georgia" w:hAnsi="Georgia" w:cs="Times New Roman"/>
          <w:bCs/>
          <w:i/>
          <w:lang w:val="en-GB"/>
        </w:rPr>
        <w:t xml:space="preserve">Hungary </w:t>
      </w:r>
      <w:r w:rsidRPr="0002056A">
        <w:rPr>
          <w:rFonts w:ascii="Georgia" w:hAnsi="Georgia" w:cs="Times New Roman"/>
          <w:bCs/>
          <w:lang w:val="en-GB"/>
        </w:rPr>
        <w:t xml:space="preserve">(14 maps), the </w:t>
      </w:r>
      <w:r w:rsidRPr="0002056A">
        <w:rPr>
          <w:rFonts w:ascii="Georgia" w:hAnsi="Georgia" w:cs="Times New Roman"/>
          <w:bCs/>
          <w:i/>
          <w:lang w:val="en-GB"/>
        </w:rPr>
        <w:t xml:space="preserve">Czech Republic </w:t>
      </w:r>
      <w:r w:rsidRPr="0002056A">
        <w:rPr>
          <w:rFonts w:ascii="Georgia" w:hAnsi="Georgia" w:cs="Times New Roman"/>
          <w:bCs/>
          <w:lang w:val="en-GB"/>
        </w:rPr>
        <w:t xml:space="preserve">(12), </w:t>
      </w:r>
      <w:r w:rsidRPr="0002056A">
        <w:rPr>
          <w:rFonts w:ascii="Georgia" w:hAnsi="Georgia" w:cs="Times New Roman"/>
          <w:bCs/>
          <w:i/>
          <w:lang w:val="en-GB"/>
        </w:rPr>
        <w:t>Poland</w:t>
      </w:r>
      <w:r w:rsidRPr="0002056A">
        <w:rPr>
          <w:rFonts w:ascii="Georgia" w:hAnsi="Georgia" w:cs="Times New Roman"/>
          <w:bCs/>
          <w:lang w:val="en-GB"/>
        </w:rPr>
        <w:t xml:space="preserve"> (9+ one regional table), </w:t>
      </w:r>
      <w:r w:rsidRPr="0002056A">
        <w:rPr>
          <w:rFonts w:ascii="Georgia" w:hAnsi="Georgia" w:cs="Times New Roman"/>
          <w:bCs/>
          <w:i/>
          <w:lang w:val="en-GB"/>
        </w:rPr>
        <w:t>Serbia</w:t>
      </w:r>
      <w:r w:rsidRPr="0002056A">
        <w:rPr>
          <w:rFonts w:ascii="Georgia" w:hAnsi="Georgia" w:cs="Times New Roman"/>
          <w:bCs/>
          <w:lang w:val="en-GB"/>
        </w:rPr>
        <w:t xml:space="preserve"> (9) and </w:t>
      </w:r>
      <w:r w:rsidRPr="0002056A">
        <w:rPr>
          <w:rFonts w:ascii="Georgia" w:hAnsi="Georgia" w:cs="Times New Roman"/>
          <w:bCs/>
          <w:i/>
          <w:lang w:val="en-GB"/>
        </w:rPr>
        <w:t xml:space="preserve">Switzerland </w:t>
      </w:r>
      <w:r w:rsidRPr="0002056A">
        <w:rPr>
          <w:rFonts w:ascii="Georgia" w:hAnsi="Georgia" w:cs="Times New Roman"/>
          <w:bCs/>
          <w:lang w:val="en-GB"/>
        </w:rPr>
        <w:t xml:space="preserve">(8 spatial visual maps for almost each </w:t>
      </w:r>
      <w:r w:rsidR="00F84E0F" w:rsidRPr="0002056A">
        <w:rPr>
          <w:rFonts w:ascii="Georgia" w:hAnsi="Georgia" w:cs="Times New Roman"/>
          <w:bCs/>
          <w:lang w:val="en-GB"/>
        </w:rPr>
        <w:t xml:space="preserve">introduced </w:t>
      </w:r>
      <w:r w:rsidRPr="0002056A">
        <w:rPr>
          <w:rFonts w:ascii="Georgia" w:hAnsi="Georgia" w:cs="Times New Roman"/>
          <w:bCs/>
          <w:lang w:val="en-GB"/>
        </w:rPr>
        <w:t>climate impacts</w:t>
      </w:r>
      <w:r w:rsidR="00F84E0F" w:rsidRPr="0002056A">
        <w:rPr>
          <w:rFonts w:ascii="Georgia" w:hAnsi="Georgia" w:cs="Times New Roman"/>
          <w:bCs/>
          <w:lang w:val="en-GB"/>
        </w:rPr>
        <w:t xml:space="preserve"> – this solution </w:t>
      </w:r>
      <w:r w:rsidR="00566322" w:rsidRPr="0002056A">
        <w:rPr>
          <w:rFonts w:ascii="Georgia" w:hAnsi="Georgia" w:cs="Times New Roman"/>
          <w:bCs/>
          <w:lang w:val="en-GB"/>
        </w:rPr>
        <w:t>makes the Swiss NAS a unique example of spatial visualization in Europe</w:t>
      </w:r>
      <w:r w:rsidRPr="0002056A">
        <w:rPr>
          <w:rFonts w:ascii="Georgia" w:hAnsi="Georgia" w:cs="Times New Roman"/>
          <w:bCs/>
          <w:lang w:val="en-GB"/>
        </w:rPr>
        <w:t xml:space="preserve">). </w:t>
      </w:r>
      <w:r w:rsidRPr="0002056A">
        <w:rPr>
          <w:rFonts w:ascii="Georgia" w:hAnsi="Georgia" w:cs="Times New Roman"/>
          <w:bCs/>
          <w:i/>
          <w:lang w:val="en-GB"/>
        </w:rPr>
        <w:t xml:space="preserve">Denmark </w:t>
      </w:r>
      <w:r w:rsidRPr="0002056A">
        <w:rPr>
          <w:rFonts w:ascii="Georgia" w:hAnsi="Georgia" w:cs="Times New Roman"/>
          <w:bCs/>
          <w:iCs/>
          <w:lang w:val="en-GB"/>
        </w:rPr>
        <w:t xml:space="preserve">and </w:t>
      </w:r>
      <w:r w:rsidRPr="0002056A">
        <w:rPr>
          <w:rFonts w:ascii="Georgia" w:hAnsi="Georgia" w:cs="Times New Roman"/>
          <w:bCs/>
          <w:i/>
          <w:lang w:val="en-GB"/>
        </w:rPr>
        <w:t>Norway</w:t>
      </w:r>
      <w:r w:rsidRPr="0002056A">
        <w:rPr>
          <w:rFonts w:ascii="Georgia" w:hAnsi="Georgia" w:cs="Times New Roman"/>
          <w:bCs/>
          <w:lang w:val="en-GB"/>
        </w:rPr>
        <w:t xml:space="preserve"> are two interesting examples</w:t>
      </w:r>
      <w:r w:rsidR="00566322" w:rsidRPr="0002056A">
        <w:rPr>
          <w:rFonts w:ascii="Georgia" w:hAnsi="Georgia" w:cs="Times New Roman"/>
          <w:bCs/>
          <w:lang w:val="en-GB"/>
        </w:rPr>
        <w:t>,</w:t>
      </w:r>
      <w:r w:rsidRPr="0002056A">
        <w:rPr>
          <w:rFonts w:ascii="Georgia" w:hAnsi="Georgia" w:cs="Times New Roman"/>
          <w:bCs/>
          <w:lang w:val="en-GB"/>
        </w:rPr>
        <w:t xml:space="preserve"> using larger number of photographs (8 and 9) instead of maps about </w:t>
      </w:r>
      <w:r w:rsidR="005622FF" w:rsidRPr="0002056A">
        <w:rPr>
          <w:rFonts w:ascii="Georgia" w:hAnsi="Georgia" w:cs="Times New Roman"/>
          <w:bCs/>
          <w:lang w:val="en-GB"/>
        </w:rPr>
        <w:t xml:space="preserve">regional </w:t>
      </w:r>
      <w:r w:rsidRPr="0002056A">
        <w:rPr>
          <w:rFonts w:ascii="Georgia" w:hAnsi="Georgia" w:cs="Times New Roman"/>
          <w:bCs/>
          <w:lang w:val="en-GB"/>
        </w:rPr>
        <w:t xml:space="preserve">impacts. </w:t>
      </w:r>
      <w:r w:rsidRPr="0002056A">
        <w:rPr>
          <w:rFonts w:ascii="Georgia" w:hAnsi="Georgia" w:cs="Times New Roman"/>
          <w:bCs/>
          <w:i/>
          <w:lang w:val="en-GB"/>
        </w:rPr>
        <w:t>Latvia, Bosnia</w:t>
      </w:r>
      <w:r w:rsidRPr="0002056A">
        <w:rPr>
          <w:rFonts w:ascii="Georgia" w:hAnsi="Georgia" w:cs="Times New Roman"/>
          <w:bCs/>
          <w:iCs/>
          <w:lang w:val="en-GB"/>
        </w:rPr>
        <w:t xml:space="preserve"> and</w:t>
      </w:r>
      <w:r w:rsidRPr="0002056A">
        <w:rPr>
          <w:rFonts w:ascii="Georgia" w:hAnsi="Georgia" w:cs="Times New Roman"/>
          <w:bCs/>
          <w:i/>
          <w:lang w:val="en-GB"/>
        </w:rPr>
        <w:t xml:space="preserve"> France</w:t>
      </w:r>
      <w:r w:rsidRPr="0002056A">
        <w:rPr>
          <w:rFonts w:ascii="Georgia" w:hAnsi="Georgia" w:cs="Times New Roman"/>
          <w:bCs/>
          <w:lang w:val="en-GB"/>
        </w:rPr>
        <w:t xml:space="preserve"> used 6-7 maps in their NAS, Austria 3-3 map</w:t>
      </w:r>
      <w:r w:rsidR="00870AE9" w:rsidRPr="0002056A">
        <w:rPr>
          <w:rFonts w:ascii="Georgia" w:hAnsi="Georgia" w:cs="Times New Roman"/>
          <w:bCs/>
          <w:lang w:val="en-GB"/>
        </w:rPr>
        <w:t>s</w:t>
      </w:r>
      <w:r w:rsidRPr="0002056A">
        <w:rPr>
          <w:rFonts w:ascii="Georgia" w:hAnsi="Georgia" w:cs="Times New Roman"/>
          <w:bCs/>
          <w:lang w:val="en-GB"/>
        </w:rPr>
        <w:t xml:space="preserve"> and regional diagrams. Seemingly Central-Eastern-Europe is overrepresented a bit in the two higher categories, meanwhile traditional spatial/adaptation planner nations, surprisingly, do not put enough emphasis on this issue. The reason is similar to that of the previous sub-aspect: these countries use rather comprehensive CCRA documents for that function, but the map provision in these CCRAs is not always satisfying, either.</w:t>
      </w:r>
    </w:p>
    <w:p w14:paraId="74A45A0D" w14:textId="77777777" w:rsidR="0004509C" w:rsidRDefault="0004509C">
      <w:pPr>
        <w:spacing w:after="160" w:line="259" w:lineRule="auto"/>
        <w:rPr>
          <w:rFonts w:ascii="Georgia" w:hAnsi="Georgia" w:cs="Times New Roman"/>
          <w:bCs/>
          <w:lang w:val="en-GB"/>
        </w:rPr>
      </w:pPr>
      <w:r>
        <w:rPr>
          <w:rFonts w:ascii="Georgia" w:hAnsi="Georgia" w:cs="Times New Roman"/>
          <w:bCs/>
          <w:lang w:val="en-GB"/>
        </w:rPr>
        <w:br w:type="page"/>
      </w:r>
    </w:p>
    <w:p w14:paraId="20A73516" w14:textId="77777777" w:rsidR="00AD75FD" w:rsidRPr="0002056A" w:rsidRDefault="00AD75FD" w:rsidP="00CD5BF3">
      <w:pPr>
        <w:shd w:val="clear" w:color="auto" w:fill="FFFFFF" w:themeFill="background1"/>
        <w:spacing w:before="120" w:after="120"/>
        <w:jc w:val="both"/>
        <w:rPr>
          <w:lang w:val="en-GB"/>
        </w:rPr>
      </w:pPr>
    </w:p>
    <w:p w14:paraId="56721E89" w14:textId="267520AF" w:rsidR="00AD75FD" w:rsidRPr="0002056A" w:rsidRDefault="00AD75FD" w:rsidP="00CD5BF3">
      <w:pPr>
        <w:shd w:val="clear" w:color="auto" w:fill="FFFFFF" w:themeFill="background1"/>
        <w:spacing w:before="120" w:after="120"/>
        <w:jc w:val="both"/>
        <w:rPr>
          <w:lang w:val="en-GB"/>
        </w:rPr>
      </w:pPr>
      <w:r w:rsidRPr="0002056A">
        <w:rPr>
          <w:rFonts w:ascii="Georgia" w:eastAsia="Times New Roman" w:hAnsi="Georgia" w:cs="Times New Roman"/>
          <w:bCs/>
          <w:iCs/>
          <w:lang w:val="en-GB" w:eastAsia="hu-HU"/>
        </w:rPr>
        <w:t>As for the</w:t>
      </w:r>
      <w:r w:rsidRPr="0002056A">
        <w:rPr>
          <w:rFonts w:ascii="Georgia" w:eastAsia="Times New Roman" w:hAnsi="Georgia" w:cs="Times New Roman"/>
          <w:b/>
          <w:iCs/>
          <w:lang w:val="en-GB" w:eastAsia="hu-HU"/>
        </w:rPr>
        <w:t xml:space="preserve"> </w:t>
      </w:r>
      <w:r w:rsidR="005622FF" w:rsidRPr="0002056A">
        <w:rPr>
          <w:rFonts w:ascii="Georgia" w:eastAsia="Times New Roman" w:hAnsi="Georgia" w:cs="Times New Roman"/>
          <w:b/>
          <w:iCs/>
          <w:lang w:val="en-GB" w:eastAsia="hu-HU"/>
        </w:rPr>
        <w:t xml:space="preserve">actual </w:t>
      </w:r>
      <w:r w:rsidRPr="0002056A">
        <w:rPr>
          <w:rFonts w:ascii="Georgia" w:eastAsia="Times New Roman" w:hAnsi="Georgia" w:cs="Times New Roman"/>
          <w:b/>
          <w:iCs/>
          <w:lang w:val="en-GB" w:eastAsia="hu-HU"/>
        </w:rPr>
        <w:t xml:space="preserve">spatial content of situation analyses, </w:t>
      </w:r>
      <w:r w:rsidRPr="0002056A">
        <w:rPr>
          <w:rFonts w:ascii="Georgia" w:hAnsi="Georgia" w:cs="Times New Roman"/>
          <w:bCs/>
          <w:lang w:val="en-GB"/>
        </w:rPr>
        <w:t>d</w:t>
      </w:r>
      <w:r w:rsidRPr="0002056A">
        <w:rPr>
          <w:rFonts w:ascii="Georgia" w:eastAsia="Times New Roman" w:hAnsi="Georgia" w:cs="Times New Roman"/>
          <w:color w:val="000000"/>
          <w:lang w:val="en-GB" w:eastAsia="hu-HU"/>
        </w:rPr>
        <w:t xml:space="preserve">edicated situation analysis subchapter(s) dealing consequently with all of the important spatial topics (region types, </w:t>
      </w:r>
      <w:r w:rsidR="005622FF" w:rsidRPr="0002056A">
        <w:rPr>
          <w:rFonts w:ascii="Georgia" w:eastAsia="Times New Roman" w:hAnsi="Georgia" w:cs="Times New Roman"/>
          <w:color w:val="000000"/>
          <w:lang w:val="en-GB" w:eastAsia="hu-HU"/>
        </w:rPr>
        <w:t>a</w:t>
      </w:r>
      <w:r w:rsidRPr="0002056A">
        <w:rPr>
          <w:rFonts w:ascii="Georgia" w:eastAsia="Times New Roman" w:hAnsi="Georgia" w:cs="Times New Roman"/>
          <w:color w:val="000000"/>
          <w:lang w:val="en-GB" w:eastAsia="hu-HU"/>
        </w:rPr>
        <w:t>c</w:t>
      </w:r>
      <w:r w:rsidR="005622FF" w:rsidRPr="0002056A">
        <w:rPr>
          <w:rFonts w:ascii="Georgia" w:eastAsia="Times New Roman" w:hAnsi="Georgia" w:cs="Times New Roman"/>
          <w:color w:val="000000"/>
          <w:lang w:val="en-GB" w:eastAsia="hu-HU"/>
        </w:rPr>
        <w:t>tual places</w:t>
      </w:r>
      <w:r w:rsidRPr="0002056A">
        <w:rPr>
          <w:rFonts w:ascii="Georgia" w:eastAsia="Times New Roman" w:hAnsi="Georgia" w:cs="Times New Roman"/>
          <w:color w:val="000000"/>
          <w:lang w:val="en-GB" w:eastAsia="hu-HU"/>
        </w:rPr>
        <w:t xml:space="preserve">, functional territories, settlement network elements, </w:t>
      </w:r>
      <w:r w:rsidR="00411112" w:rsidRPr="0002056A">
        <w:rPr>
          <w:rFonts w:ascii="Georgia" w:eastAsia="Times New Roman" w:hAnsi="Georgia" w:cs="Times New Roman"/>
          <w:color w:val="000000"/>
          <w:lang w:val="en-GB" w:eastAsia="hu-HU"/>
        </w:rPr>
        <w:t>spat</w:t>
      </w:r>
      <w:r w:rsidRPr="0002056A">
        <w:rPr>
          <w:rFonts w:ascii="Georgia" w:eastAsia="Times New Roman" w:hAnsi="Georgia" w:cs="Times New Roman"/>
          <w:color w:val="000000"/>
          <w:lang w:val="en-GB" w:eastAsia="hu-HU"/>
        </w:rPr>
        <w:t>ial differences) with great emphasis can be detected only in</w:t>
      </w:r>
      <w:r w:rsidRPr="0002056A">
        <w:rPr>
          <w:rFonts w:ascii="Georgia" w:eastAsia="Times New Roman" w:hAnsi="Georgia" w:cs="Times New Roman"/>
          <w:i/>
          <w:color w:val="000000"/>
          <w:lang w:val="en-GB" w:eastAsia="hu-HU"/>
        </w:rPr>
        <w:t xml:space="preserve"> </w:t>
      </w:r>
      <w:r w:rsidR="00A21DC2" w:rsidRPr="0002056A">
        <w:rPr>
          <w:rFonts w:ascii="Georgia" w:eastAsia="Times New Roman" w:hAnsi="Georgia" w:cs="Times New Roman"/>
          <w:i/>
          <w:color w:val="000000"/>
          <w:lang w:val="en-GB" w:eastAsia="hu-HU"/>
        </w:rPr>
        <w:t>Türkiye</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In its NAS a</w:t>
      </w:r>
      <w:r w:rsidRPr="0002056A">
        <w:rPr>
          <w:rFonts w:ascii="Georgia" w:hAnsi="Georgia"/>
          <w:lang w:val="en-GB"/>
        </w:rPr>
        <w:t>ll sectoral chapters have their own situation-introductory part with very strong spatial content. They generally include provincial-level vulnerability maps, and there are also implicit and nominated spatial references in the text</w:t>
      </w:r>
      <w:r w:rsidR="00721FB0" w:rsidRPr="0002056A">
        <w:rPr>
          <w:rFonts w:ascii="Georgia" w:hAnsi="Georgia"/>
          <w:lang w:val="en-GB"/>
        </w:rPr>
        <w:t>ual parts</w:t>
      </w:r>
      <w:r w:rsidRPr="0002056A">
        <w:rPr>
          <w:rFonts w:ascii="Georgia" w:hAnsi="Georgia"/>
          <w:lang w:val="en-GB"/>
        </w:rPr>
        <w:t xml:space="preserve">. Half of the countries got into the upper-middle category, mainly </w:t>
      </w:r>
      <w:r w:rsidRPr="0002056A">
        <w:rPr>
          <w:rFonts w:ascii="Georgia" w:hAnsi="Georgia"/>
          <w:i/>
          <w:lang w:val="en-GB"/>
        </w:rPr>
        <w:t xml:space="preserve">Balkan states </w:t>
      </w:r>
      <w:r w:rsidRPr="0002056A">
        <w:rPr>
          <w:rFonts w:ascii="Georgia" w:hAnsi="Georgia"/>
          <w:lang w:val="en-GB"/>
        </w:rPr>
        <w:t>(</w:t>
      </w:r>
      <w:r w:rsidRPr="0002056A">
        <w:rPr>
          <w:rFonts w:ascii="Georgia" w:hAnsi="Georgia"/>
          <w:i/>
          <w:lang w:val="en-GB"/>
        </w:rPr>
        <w:t>Albania</w:t>
      </w:r>
      <w:r w:rsidRPr="0002056A">
        <w:rPr>
          <w:rFonts w:ascii="Georgia" w:hAnsi="Georgia"/>
          <w:lang w:val="en-GB"/>
        </w:rPr>
        <w:t xml:space="preserve">, </w:t>
      </w:r>
      <w:r w:rsidRPr="0002056A">
        <w:rPr>
          <w:rFonts w:ascii="Georgia" w:hAnsi="Georgia"/>
          <w:i/>
          <w:lang w:val="en-GB"/>
        </w:rPr>
        <w:t>Bosnia, Bulgaria, Kosovo, Serbia</w:t>
      </w:r>
      <w:r w:rsidRPr="0002056A">
        <w:rPr>
          <w:rFonts w:ascii="Georgia" w:hAnsi="Georgia"/>
          <w:lang w:val="en-GB"/>
        </w:rPr>
        <w:t xml:space="preserve">), </w:t>
      </w:r>
      <w:r w:rsidRPr="0002056A">
        <w:rPr>
          <w:rFonts w:ascii="Georgia" w:hAnsi="Georgia"/>
          <w:i/>
          <w:lang w:val="en-GB"/>
        </w:rPr>
        <w:t xml:space="preserve">Western European countries </w:t>
      </w:r>
      <w:r w:rsidRPr="0002056A">
        <w:rPr>
          <w:rFonts w:ascii="Georgia" w:hAnsi="Georgia"/>
          <w:lang w:val="en-GB"/>
        </w:rPr>
        <w:t>(</w:t>
      </w:r>
      <w:r w:rsidRPr="0002056A">
        <w:rPr>
          <w:rFonts w:ascii="Georgia" w:hAnsi="Georgia"/>
          <w:i/>
          <w:lang w:val="en-GB"/>
        </w:rPr>
        <w:t xml:space="preserve">Austria, Switzerland, Benelux countries, England) Italy </w:t>
      </w:r>
      <w:r w:rsidRPr="0002056A">
        <w:rPr>
          <w:rFonts w:ascii="Georgia" w:hAnsi="Georgia"/>
          <w:lang w:val="en-GB"/>
        </w:rPr>
        <w:t xml:space="preserve">and </w:t>
      </w:r>
      <w:r w:rsidRPr="0002056A">
        <w:rPr>
          <w:rFonts w:ascii="Georgia" w:hAnsi="Georgia"/>
          <w:i/>
          <w:lang w:val="en-GB"/>
        </w:rPr>
        <w:t>Scandinavian countries</w:t>
      </w:r>
      <w:r w:rsidRPr="0002056A">
        <w:rPr>
          <w:rFonts w:ascii="Georgia" w:hAnsi="Georgia"/>
          <w:lang w:val="en-GB"/>
        </w:rPr>
        <w:t xml:space="preserve"> excluding Iceland, with </w:t>
      </w:r>
      <w:r w:rsidRPr="0002056A">
        <w:rPr>
          <w:rFonts w:ascii="Georgia" w:hAnsi="Georgia" w:cs="Times New Roman"/>
          <w:bCs/>
          <w:iCs/>
          <w:lang w:val="en-GB"/>
        </w:rPr>
        <w:t xml:space="preserve">concrete spatial contents </w:t>
      </w:r>
      <w:r w:rsidR="000F59BA" w:rsidRPr="0002056A">
        <w:rPr>
          <w:rFonts w:ascii="Georgia" w:hAnsi="Georgia" w:cs="Times New Roman"/>
          <w:bCs/>
          <w:iCs/>
          <w:lang w:val="en-GB"/>
        </w:rPr>
        <w:t xml:space="preserve">(2-3 out of the enlisted spatial topics) </w:t>
      </w:r>
      <w:r w:rsidRPr="0002056A">
        <w:rPr>
          <w:rFonts w:ascii="Georgia" w:hAnsi="Georgia" w:cs="Times New Roman"/>
          <w:bCs/>
          <w:iCs/>
          <w:lang w:val="en-GB"/>
        </w:rPr>
        <w:t xml:space="preserve">emerging </w:t>
      </w:r>
      <w:r w:rsidR="00411112" w:rsidRPr="0002056A">
        <w:rPr>
          <w:rFonts w:ascii="Georgia" w:hAnsi="Georgia" w:cs="Times New Roman"/>
          <w:bCs/>
          <w:iCs/>
          <w:lang w:val="en-GB"/>
        </w:rPr>
        <w:t xml:space="preserve">here and there </w:t>
      </w:r>
      <w:r w:rsidRPr="0002056A">
        <w:rPr>
          <w:rFonts w:ascii="Georgia" w:hAnsi="Georgia" w:cs="Times New Roman"/>
          <w:bCs/>
          <w:iCs/>
          <w:lang w:val="en-GB"/>
        </w:rPr>
        <w:t xml:space="preserve">in </w:t>
      </w:r>
      <w:r w:rsidR="00721FB0" w:rsidRPr="0002056A">
        <w:rPr>
          <w:rFonts w:ascii="Georgia" w:hAnsi="Georgia" w:cs="Times New Roman"/>
          <w:bCs/>
          <w:iCs/>
          <w:lang w:val="en-GB"/>
        </w:rPr>
        <w:t xml:space="preserve">the </w:t>
      </w:r>
      <w:r w:rsidRPr="0002056A">
        <w:rPr>
          <w:rFonts w:ascii="Georgia" w:hAnsi="Georgia" w:cs="Times New Roman"/>
          <w:bCs/>
          <w:iCs/>
          <w:lang w:val="en-GB"/>
        </w:rPr>
        <w:t>majority of situation analysis chapters</w:t>
      </w:r>
      <w:r w:rsidRPr="0002056A">
        <w:rPr>
          <w:rFonts w:ascii="Georgia" w:hAnsi="Georgia" w:cs="Times New Roman"/>
          <w:bCs/>
          <w:lang w:val="en-GB"/>
        </w:rPr>
        <w:t xml:space="preserve"> but there is no nominated spatial chapter (</w:t>
      </w:r>
      <w:r w:rsidRPr="0002056A">
        <w:rPr>
          <w:rFonts w:ascii="Georgia" w:hAnsi="Georgia" w:cs="Times New Roman"/>
          <w:bCs/>
          <w:i/>
          <w:lang w:val="en-GB"/>
        </w:rPr>
        <w:t>Polish, Italian NASs)</w:t>
      </w:r>
      <w:r w:rsidR="00BE16D5" w:rsidRPr="0002056A">
        <w:rPr>
          <w:rFonts w:ascii="Georgia" w:hAnsi="Georgia" w:cs="Times New Roman"/>
          <w:bCs/>
          <w:i/>
          <w:lang w:val="en-GB"/>
        </w:rPr>
        <w:t xml:space="preserve"> </w:t>
      </w:r>
      <w:r w:rsidR="00BE16D5" w:rsidRPr="0002056A">
        <w:rPr>
          <w:rFonts w:ascii="Georgia" w:hAnsi="Georgia" w:cs="Times New Roman"/>
          <w:bCs/>
          <w:iCs/>
          <w:lang w:val="en-GB"/>
        </w:rPr>
        <w:t>within the national strategy</w:t>
      </w:r>
      <w:r w:rsidRPr="0002056A">
        <w:rPr>
          <w:rFonts w:ascii="Georgia" w:hAnsi="Georgia" w:cs="Times New Roman"/>
          <w:bCs/>
          <w:i/>
          <w:lang w:val="en-GB"/>
        </w:rPr>
        <w:t>.</w:t>
      </w:r>
    </w:p>
    <w:p w14:paraId="730A6487" w14:textId="6CD81D82" w:rsidR="00AD75FD" w:rsidRPr="0002056A" w:rsidRDefault="00AD75FD" w:rsidP="00CD5BF3">
      <w:pPr>
        <w:shd w:val="clear" w:color="auto" w:fill="FFFFFF" w:themeFill="background1"/>
        <w:spacing w:before="120" w:after="120"/>
        <w:jc w:val="both"/>
        <w:rPr>
          <w:lang w:val="en-GB"/>
        </w:rPr>
      </w:pPr>
      <w:r w:rsidRPr="0002056A">
        <w:rPr>
          <w:rFonts w:ascii="Georgia" w:eastAsia="Times New Roman" w:hAnsi="Georgia" w:cs="Times New Roman"/>
          <w:bCs/>
          <w:iCs/>
          <w:lang w:val="en-GB" w:eastAsia="hu-HU"/>
        </w:rPr>
        <w:t>Examining the</w:t>
      </w:r>
      <w:r w:rsidRPr="0002056A">
        <w:rPr>
          <w:rFonts w:ascii="Georgia" w:eastAsia="Times New Roman" w:hAnsi="Georgia" w:cs="Times New Roman"/>
          <w:b/>
          <w:iCs/>
          <w:lang w:val="en-GB" w:eastAsia="hu-HU"/>
        </w:rPr>
        <w:t xml:space="preserve"> consideration of </w:t>
      </w:r>
      <w:r w:rsidR="005D503D" w:rsidRPr="0002056A">
        <w:rPr>
          <w:rFonts w:ascii="Georgia" w:eastAsia="Times New Roman" w:hAnsi="Georgia" w:cs="Times New Roman"/>
          <w:b/>
          <w:iCs/>
          <w:lang w:val="en-GB" w:eastAsia="hu-HU"/>
        </w:rPr>
        <w:t>intra-</w:t>
      </w:r>
      <w:r w:rsidRPr="0002056A">
        <w:rPr>
          <w:rFonts w:ascii="Georgia" w:eastAsia="Times New Roman" w:hAnsi="Georgia" w:cs="Times New Roman"/>
          <w:b/>
          <w:iCs/>
          <w:lang w:val="en-GB" w:eastAsia="hu-HU"/>
        </w:rPr>
        <w:t>European</w:t>
      </w:r>
      <w:r w:rsidR="005D503D" w:rsidRPr="0002056A">
        <w:rPr>
          <w:rFonts w:ascii="Georgia" w:eastAsia="Times New Roman" w:hAnsi="Georgia" w:cs="Times New Roman"/>
          <w:b/>
          <w:iCs/>
          <w:lang w:val="en-GB" w:eastAsia="hu-HU"/>
        </w:rPr>
        <w:t>/macro regional</w:t>
      </w:r>
      <w:r w:rsidRPr="0002056A">
        <w:rPr>
          <w:rFonts w:ascii="Georgia" w:eastAsia="Times New Roman" w:hAnsi="Georgia" w:cs="Times New Roman"/>
          <w:b/>
          <w:iCs/>
          <w:lang w:val="en-GB" w:eastAsia="hu-HU"/>
        </w:rPr>
        <w:t xml:space="preserve"> positions regarding the climatic challenges</w:t>
      </w:r>
      <w:r w:rsidR="005D503D" w:rsidRPr="0002056A">
        <w:rPr>
          <w:rFonts w:ascii="Georgia" w:eastAsia="Times New Roman" w:hAnsi="Georgia" w:cs="Times New Roman"/>
          <w:b/>
          <w:iCs/>
          <w:lang w:val="en-GB" w:eastAsia="hu-HU"/>
        </w:rPr>
        <w:t xml:space="preserve"> </w:t>
      </w:r>
      <w:r w:rsidRPr="0002056A">
        <w:rPr>
          <w:rFonts w:ascii="Georgia" w:eastAsia="Times New Roman" w:hAnsi="Georgia" w:cs="Times New Roman"/>
          <w:bCs/>
          <w:iCs/>
          <w:lang w:val="en-GB" w:eastAsia="hu-HU"/>
        </w:rPr>
        <w:t>within the situation analyses</w:t>
      </w:r>
      <w:r w:rsidR="005D503D" w:rsidRPr="0002056A">
        <w:rPr>
          <w:rFonts w:ascii="Georgia" w:eastAsia="Times New Roman" w:hAnsi="Georgia" w:cs="Times New Roman"/>
          <w:bCs/>
          <w:iCs/>
          <w:lang w:val="en-GB" w:eastAsia="hu-HU"/>
        </w:rPr>
        <w:t>,</w:t>
      </w:r>
      <w:r w:rsidRPr="0002056A">
        <w:rPr>
          <w:rFonts w:ascii="Georgia" w:eastAsia="Times New Roman" w:hAnsi="Georgia" w:cs="Times New Roman"/>
          <w:bCs/>
          <w:iCs/>
          <w:lang w:val="en-GB" w:eastAsia="hu-HU"/>
        </w:rPr>
        <w:t xml:space="preserve"> </w:t>
      </w:r>
      <w:r w:rsidRPr="0002056A">
        <w:rPr>
          <w:rFonts w:ascii="Georgia" w:hAnsi="Georgia" w:cs="Times New Roman"/>
          <w:bCs/>
          <w:iCs/>
          <w:lang w:val="en-GB"/>
        </w:rPr>
        <w:t>not a</w:t>
      </w:r>
      <w:r w:rsidRPr="0002056A">
        <w:rPr>
          <w:rFonts w:ascii="Georgia" w:hAnsi="Georgia" w:cs="Times New Roman"/>
          <w:bCs/>
          <w:lang w:val="en-GB"/>
        </w:rPr>
        <w:t xml:space="preserve"> single country can be found that dedicates a sp</w:t>
      </w:r>
      <w:r w:rsidRPr="0002056A">
        <w:rPr>
          <w:rFonts w:ascii="Georgia" w:eastAsia="Times New Roman" w:hAnsi="Georgia" w:cs="Times New Roman"/>
          <w:color w:val="000000"/>
          <w:lang w:val="en-GB" w:eastAsia="hu-HU"/>
        </w:rPr>
        <w:t xml:space="preserve">ecial subchapter to the topic. Some countries are in the upper-middle category, where </w:t>
      </w:r>
      <w:r w:rsidR="00BE16D5" w:rsidRPr="0002056A">
        <w:rPr>
          <w:rFonts w:ascii="Georgia" w:eastAsia="Times New Roman" w:hAnsi="Georgia" w:cs="Times New Roman"/>
          <w:color w:val="000000"/>
          <w:lang w:val="en-GB" w:eastAsia="hu-HU"/>
        </w:rPr>
        <w:t xml:space="preserve">at least </w:t>
      </w:r>
      <w:r w:rsidRPr="0002056A">
        <w:rPr>
          <w:rFonts w:ascii="Georgia" w:eastAsia="Times New Roman" w:hAnsi="Georgia" w:cs="Times New Roman"/>
          <w:color w:val="000000"/>
          <w:lang w:val="en-GB" w:eastAsia="hu-HU"/>
        </w:rPr>
        <w:t>part of a subchapter deals with the macro regional climate change-related situation, or the climatic chapters have a related part</w:t>
      </w:r>
      <w:r w:rsidR="00BE16D5"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or macro</w:t>
      </w:r>
      <w:r w:rsidR="0010074C"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regional position is a recurring side topic in the document. However, c</w:t>
      </w:r>
      <w:r w:rsidRPr="0002056A">
        <w:rPr>
          <w:rFonts w:ascii="Georgia" w:hAnsi="Georgia" w:cs="Times New Roman"/>
          <w:bCs/>
          <w:lang w:val="en-GB"/>
        </w:rPr>
        <w:t xml:space="preserve">onsideration of the given state’s own geographic position within Europe gets weak emphasis in the documents generally. As a few best practices, </w:t>
      </w:r>
      <w:r w:rsidRPr="0002056A">
        <w:rPr>
          <w:rFonts w:ascii="Georgia" w:hAnsi="Georgia" w:cs="Times New Roman"/>
          <w:bCs/>
          <w:i/>
          <w:lang w:val="en-GB"/>
        </w:rPr>
        <w:t>Lithuania</w:t>
      </w:r>
      <w:r w:rsidRPr="0002056A">
        <w:rPr>
          <w:rFonts w:ascii="Georgia" w:hAnsi="Georgia" w:cs="Times New Roman"/>
          <w:bCs/>
          <w:lang w:val="en-GB"/>
        </w:rPr>
        <w:t xml:space="preserve"> </w:t>
      </w:r>
      <w:r w:rsidR="0010074C" w:rsidRPr="0002056A">
        <w:rPr>
          <w:rFonts w:ascii="Georgia" w:hAnsi="Georgia" w:cs="Times New Roman"/>
          <w:bCs/>
          <w:lang w:val="en-GB"/>
        </w:rPr>
        <w:t xml:space="preserve">and </w:t>
      </w:r>
      <w:r w:rsidRPr="0002056A">
        <w:rPr>
          <w:rFonts w:ascii="Georgia" w:hAnsi="Georgia" w:cs="Times New Roman"/>
          <w:bCs/>
          <w:i/>
          <w:lang w:val="en-GB"/>
        </w:rPr>
        <w:t xml:space="preserve">Estonia </w:t>
      </w:r>
      <w:r w:rsidRPr="0002056A">
        <w:rPr>
          <w:rFonts w:ascii="Georgia" w:hAnsi="Georgia" w:cs="Times New Roman"/>
          <w:bCs/>
          <w:iCs/>
          <w:lang w:val="en-GB"/>
        </w:rPr>
        <w:t>can be cite</w:t>
      </w:r>
      <w:r w:rsidR="0010074C" w:rsidRPr="0002056A">
        <w:rPr>
          <w:rFonts w:ascii="Georgia" w:hAnsi="Georgia" w:cs="Times New Roman"/>
          <w:bCs/>
          <w:iCs/>
          <w:lang w:val="en-GB"/>
        </w:rPr>
        <w:t>d</w:t>
      </w:r>
      <w:r w:rsidRPr="0002056A">
        <w:rPr>
          <w:rFonts w:ascii="Georgia" w:hAnsi="Georgia" w:cs="Times New Roman"/>
          <w:bCs/>
          <w:iCs/>
          <w:lang w:val="en-GB"/>
        </w:rPr>
        <w:t xml:space="preserve"> as the</w:t>
      </w:r>
      <w:r w:rsidR="0010074C" w:rsidRPr="0002056A">
        <w:rPr>
          <w:rFonts w:ascii="Georgia" w:hAnsi="Georgia" w:cs="Times New Roman"/>
          <w:bCs/>
          <w:iCs/>
          <w:lang w:val="en-GB"/>
        </w:rPr>
        <w:t>y</w:t>
      </w:r>
      <w:r w:rsidRPr="0002056A">
        <w:rPr>
          <w:rFonts w:ascii="Georgia" w:hAnsi="Georgia" w:cs="Times New Roman"/>
          <w:bCs/>
          <w:iCs/>
          <w:lang w:val="en-GB"/>
        </w:rPr>
        <w:t xml:space="preserve"> consequently mention their</w:t>
      </w:r>
      <w:r w:rsidRPr="0002056A">
        <w:rPr>
          <w:rFonts w:ascii="Georgia" w:hAnsi="Georgia" w:cs="Times New Roman"/>
          <w:bCs/>
          <w:i/>
          <w:lang w:val="en-GB"/>
        </w:rPr>
        <w:t xml:space="preserve"> </w:t>
      </w:r>
      <w:r w:rsidRPr="0002056A">
        <w:rPr>
          <w:rFonts w:ascii="Georgia" w:hAnsi="Georgia" w:cs="Times New Roman"/>
          <w:bCs/>
          <w:lang w:val="en-GB"/>
        </w:rPr>
        <w:t xml:space="preserve">Baltic position; </w:t>
      </w:r>
      <w:r w:rsidRPr="0002056A">
        <w:rPr>
          <w:rFonts w:ascii="Georgia" w:hAnsi="Georgia" w:cs="Times New Roman"/>
          <w:bCs/>
          <w:i/>
          <w:lang w:val="en-GB"/>
        </w:rPr>
        <w:t xml:space="preserve">Bosnia </w:t>
      </w:r>
      <w:r w:rsidRPr="0002056A">
        <w:rPr>
          <w:rFonts w:ascii="Georgia" w:hAnsi="Georgia" w:cs="Times New Roman"/>
          <w:bCs/>
          <w:iCs/>
          <w:lang w:val="en-GB"/>
        </w:rPr>
        <w:t>recurringly applies</w:t>
      </w:r>
      <w:r w:rsidRPr="0002056A">
        <w:rPr>
          <w:rFonts w:ascii="Georgia" w:hAnsi="Georgia" w:cs="Times New Roman"/>
          <w:bCs/>
          <w:i/>
          <w:lang w:val="en-GB"/>
        </w:rPr>
        <w:t xml:space="preserve"> </w:t>
      </w:r>
      <w:r w:rsidRPr="0002056A">
        <w:rPr>
          <w:rFonts w:ascii="Georgia" w:hAnsi="Georgia" w:cs="Times New Roman"/>
          <w:bCs/>
          <w:lang w:val="en-GB"/>
        </w:rPr>
        <w:t xml:space="preserve">comparisons with other Balkan/Southeastern European countries throughout its NAS document; </w:t>
      </w:r>
      <w:r w:rsidRPr="0002056A">
        <w:rPr>
          <w:rFonts w:ascii="Georgia" w:hAnsi="Georgia" w:cs="Times New Roman"/>
          <w:bCs/>
          <w:i/>
          <w:lang w:val="en-GB"/>
        </w:rPr>
        <w:t>Italy’</w:t>
      </w:r>
      <w:r w:rsidRPr="0002056A">
        <w:rPr>
          <w:rFonts w:ascii="Georgia" w:hAnsi="Georgia" w:cs="Times New Roman"/>
          <w:bCs/>
          <w:lang w:val="en-GB"/>
        </w:rPr>
        <w:t xml:space="preserve"> NAS dedicates </w:t>
      </w:r>
      <w:r w:rsidR="003C12D1" w:rsidRPr="0002056A">
        <w:rPr>
          <w:rFonts w:ascii="Georgia" w:hAnsi="Georgia" w:cs="Times New Roman"/>
          <w:bCs/>
          <w:lang w:val="en-GB"/>
        </w:rPr>
        <w:t xml:space="preserve">a given subchapter </w:t>
      </w:r>
      <w:r w:rsidRPr="0002056A">
        <w:rPr>
          <w:rFonts w:ascii="Georgia" w:hAnsi="Georgia" w:cs="Times New Roman"/>
          <w:bCs/>
          <w:lang w:val="en-GB"/>
        </w:rPr>
        <w:t>to "</w:t>
      </w:r>
      <w:r w:rsidRPr="0002056A">
        <w:rPr>
          <w:rFonts w:ascii="Georgia" w:hAnsi="Georgia" w:cs="Times New Roman"/>
          <w:bCs/>
          <w:i/>
          <w:iCs/>
          <w:lang w:val="en-GB"/>
        </w:rPr>
        <w:t>European context and the Mediterranean area</w:t>
      </w:r>
      <w:r w:rsidRPr="0002056A">
        <w:rPr>
          <w:rFonts w:ascii="Georgia" w:hAnsi="Georgia" w:cs="Times New Roman"/>
          <w:bCs/>
          <w:lang w:val="en-GB"/>
        </w:rPr>
        <w:t xml:space="preserve">", and furthermore there are other scattered references </w:t>
      </w:r>
      <w:r w:rsidR="003C12D1" w:rsidRPr="0002056A">
        <w:rPr>
          <w:rFonts w:ascii="Georgia" w:hAnsi="Georgia" w:cs="Times New Roman"/>
          <w:bCs/>
          <w:lang w:val="en-GB"/>
        </w:rPr>
        <w:t>to</w:t>
      </w:r>
      <w:r w:rsidRPr="0002056A">
        <w:rPr>
          <w:rFonts w:ascii="Georgia" w:hAnsi="Georgia" w:cs="Times New Roman"/>
          <w:bCs/>
          <w:lang w:val="en-GB"/>
        </w:rPr>
        <w:t xml:space="preserve"> </w:t>
      </w:r>
      <w:r w:rsidR="00FC5045" w:rsidRPr="0002056A">
        <w:rPr>
          <w:rFonts w:ascii="Georgia" w:hAnsi="Georgia" w:cs="Times New Roman"/>
          <w:bCs/>
          <w:lang w:val="en-GB"/>
        </w:rPr>
        <w:t>intra-</w:t>
      </w:r>
      <w:r w:rsidRPr="0002056A">
        <w:rPr>
          <w:rFonts w:ascii="Georgia" w:hAnsi="Georgia" w:cs="Times New Roman"/>
          <w:bCs/>
          <w:lang w:val="en-GB"/>
        </w:rPr>
        <w:t>European position, too</w:t>
      </w:r>
      <w:r w:rsidR="0070611A" w:rsidRPr="0002056A">
        <w:rPr>
          <w:rFonts w:ascii="Georgia" w:hAnsi="Georgia" w:cs="Times New Roman"/>
          <w:bCs/>
          <w:lang w:val="en-GB"/>
        </w:rPr>
        <w:t>,</w:t>
      </w:r>
      <w:r w:rsidRPr="0002056A">
        <w:rPr>
          <w:rFonts w:ascii="Georgia" w:hAnsi="Georgia" w:cs="Times New Roman"/>
          <w:bCs/>
          <w:lang w:val="en-GB"/>
        </w:rPr>
        <w:t xml:space="preserve"> all along the situation analysis </w:t>
      </w:r>
      <w:r w:rsidR="0070611A" w:rsidRPr="0002056A">
        <w:rPr>
          <w:rFonts w:ascii="Georgia" w:hAnsi="Georgia" w:cs="Times New Roman"/>
          <w:bCs/>
          <w:lang w:val="en-GB"/>
        </w:rPr>
        <w:t>sub</w:t>
      </w:r>
      <w:r w:rsidRPr="0002056A">
        <w:rPr>
          <w:rFonts w:ascii="Georgia" w:hAnsi="Georgia" w:cs="Times New Roman"/>
          <w:bCs/>
          <w:lang w:val="en-GB"/>
        </w:rPr>
        <w:t>chapters</w:t>
      </w:r>
      <w:r w:rsidR="0070611A" w:rsidRPr="0002056A">
        <w:rPr>
          <w:rFonts w:ascii="Georgia" w:hAnsi="Georgia" w:cs="Times New Roman"/>
          <w:bCs/>
          <w:lang w:val="en-GB"/>
        </w:rPr>
        <w:t>. The</w:t>
      </w:r>
      <w:r w:rsidRPr="0002056A">
        <w:rPr>
          <w:rFonts w:ascii="Georgia" w:hAnsi="Georgia" w:cs="Times New Roman"/>
          <w:bCs/>
          <w:lang w:val="en-GB"/>
        </w:rPr>
        <w:t xml:space="preserve"> </w:t>
      </w:r>
      <w:r w:rsidRPr="0002056A">
        <w:rPr>
          <w:rFonts w:ascii="Georgia" w:hAnsi="Georgia" w:cs="Times New Roman"/>
          <w:bCs/>
          <w:i/>
          <w:lang w:val="en-GB"/>
        </w:rPr>
        <w:t>Portugal</w:t>
      </w:r>
      <w:r w:rsidRPr="0002056A">
        <w:rPr>
          <w:rFonts w:ascii="Georgia" w:hAnsi="Georgia" w:cs="Times New Roman"/>
          <w:bCs/>
          <w:lang w:val="en-GB"/>
        </w:rPr>
        <w:t xml:space="preserve"> </w:t>
      </w:r>
      <w:r w:rsidR="0070611A" w:rsidRPr="0002056A">
        <w:rPr>
          <w:rFonts w:ascii="Georgia" w:hAnsi="Georgia" w:cs="Times New Roman"/>
          <w:bCs/>
          <w:lang w:val="en-GB"/>
        </w:rPr>
        <w:t xml:space="preserve">documents </w:t>
      </w:r>
      <w:r w:rsidRPr="0002056A">
        <w:rPr>
          <w:rFonts w:ascii="Georgia" w:hAnsi="Georgia" w:cs="Times New Roman"/>
          <w:bCs/>
          <w:lang w:val="en-GB"/>
        </w:rPr>
        <w:t xml:space="preserve">slightly mentioned </w:t>
      </w:r>
      <w:r w:rsidR="00FC5045" w:rsidRPr="0002056A">
        <w:rPr>
          <w:rFonts w:ascii="Georgia" w:hAnsi="Georgia" w:cs="Times New Roman"/>
          <w:bCs/>
          <w:lang w:val="en-GB"/>
        </w:rPr>
        <w:t xml:space="preserve">the </w:t>
      </w:r>
      <w:r w:rsidRPr="0002056A">
        <w:rPr>
          <w:rFonts w:ascii="Georgia" w:hAnsi="Georgia" w:cs="Times New Roman"/>
          <w:bCs/>
          <w:lang w:val="en-GB"/>
        </w:rPr>
        <w:t>South</w:t>
      </w:r>
      <w:r w:rsidR="00FC5045" w:rsidRPr="0002056A">
        <w:rPr>
          <w:rFonts w:ascii="Georgia" w:hAnsi="Georgia" w:cs="Times New Roman"/>
          <w:bCs/>
          <w:lang w:val="en-GB"/>
        </w:rPr>
        <w:t>ern</w:t>
      </w:r>
      <w:r w:rsidRPr="0002056A">
        <w:rPr>
          <w:rFonts w:ascii="Georgia" w:hAnsi="Georgia" w:cs="Times New Roman"/>
          <w:bCs/>
          <w:lang w:val="en-GB"/>
        </w:rPr>
        <w:t xml:space="preserve">-European position of the country (in Chapter 4.2. of the Framework and </w:t>
      </w:r>
      <w:r w:rsidR="00FC5045" w:rsidRPr="0002056A">
        <w:rPr>
          <w:rFonts w:ascii="Georgia" w:hAnsi="Georgia" w:cs="Times New Roman"/>
          <w:bCs/>
          <w:lang w:val="en-GB"/>
        </w:rPr>
        <w:t xml:space="preserve">even </w:t>
      </w:r>
      <w:r w:rsidRPr="0002056A">
        <w:rPr>
          <w:rFonts w:ascii="Georgia" w:hAnsi="Georgia" w:cs="Times New Roman"/>
          <w:bCs/>
          <w:lang w:val="en-GB"/>
        </w:rPr>
        <w:t xml:space="preserve">more by the Situation Analysis parts of the NAP </w:t>
      </w:r>
      <w:r w:rsidR="0070611A" w:rsidRPr="0002056A">
        <w:rPr>
          <w:rFonts w:ascii="Georgia" w:hAnsi="Georgia" w:cs="Times New Roman"/>
          <w:bCs/>
          <w:lang w:val="en-GB"/>
        </w:rPr>
        <w:t>as well as</w:t>
      </w:r>
      <w:r w:rsidRPr="0002056A">
        <w:rPr>
          <w:rFonts w:ascii="Georgia" w:hAnsi="Georgia" w:cs="Times New Roman"/>
          <w:bCs/>
          <w:lang w:val="en-GB"/>
        </w:rPr>
        <w:t xml:space="preserve"> the Introduction of the Framework's NAS Annex.)</w:t>
      </w:r>
    </w:p>
    <w:p w14:paraId="70BF8B6C" w14:textId="3A67AD08" w:rsidR="00AD75FD" w:rsidRPr="0002056A" w:rsidRDefault="00AD75FD" w:rsidP="00CD5BF3">
      <w:pPr>
        <w:shd w:val="clear" w:color="auto" w:fill="FFFFFF" w:themeFill="background1"/>
        <w:spacing w:before="120" w:after="120"/>
        <w:jc w:val="both"/>
        <w:rPr>
          <w:lang w:val="en-GB"/>
        </w:rPr>
      </w:pPr>
      <w:r w:rsidRPr="0002056A">
        <w:rPr>
          <w:rFonts w:ascii="Georgia" w:hAnsi="Georgia" w:cs="Times New Roman"/>
          <w:b/>
          <w:iCs/>
          <w:lang w:val="en-GB"/>
        </w:rPr>
        <w:t>SWOT analysis chapters</w:t>
      </w:r>
      <w:r w:rsidRPr="0002056A">
        <w:rPr>
          <w:rFonts w:ascii="Georgia" w:hAnsi="Georgia" w:cs="Times New Roman"/>
          <w:bCs/>
          <w:lang w:val="en-GB"/>
        </w:rPr>
        <w:t xml:space="preserve"> emerge only in three countries, </w:t>
      </w:r>
      <w:r w:rsidRPr="0002056A">
        <w:rPr>
          <w:rFonts w:ascii="Georgia" w:hAnsi="Georgia" w:cs="Times New Roman"/>
          <w:bCs/>
          <w:i/>
          <w:lang w:val="en-GB"/>
        </w:rPr>
        <w:t xml:space="preserve">Lithuania, Albania </w:t>
      </w:r>
      <w:r w:rsidRPr="0002056A">
        <w:rPr>
          <w:rFonts w:ascii="Georgia" w:hAnsi="Georgia" w:cs="Times New Roman"/>
          <w:bCs/>
          <w:lang w:val="en-GB"/>
        </w:rPr>
        <w:t xml:space="preserve">and </w:t>
      </w:r>
      <w:r w:rsidRPr="0002056A">
        <w:rPr>
          <w:rFonts w:ascii="Georgia" w:hAnsi="Georgia" w:cs="Times New Roman"/>
          <w:bCs/>
          <w:i/>
          <w:lang w:val="en-GB"/>
        </w:rPr>
        <w:t>Bulgaria</w:t>
      </w:r>
      <w:r w:rsidRPr="0002056A">
        <w:rPr>
          <w:rFonts w:ascii="Georgia" w:hAnsi="Georgia" w:cs="Times New Roman"/>
          <w:bCs/>
          <w:lang w:val="en-GB"/>
        </w:rPr>
        <w:t xml:space="preserve">, and the spatial content in these chapters is also weak. </w:t>
      </w:r>
      <w:r w:rsidRPr="0002056A">
        <w:rPr>
          <w:rFonts w:ascii="Georgia" w:hAnsi="Georgia" w:cs="Times New Roman"/>
          <w:bCs/>
          <w:i/>
          <w:lang w:val="en-GB"/>
        </w:rPr>
        <w:t xml:space="preserve">Lithuania’s </w:t>
      </w:r>
      <w:r w:rsidRPr="0002056A">
        <w:rPr>
          <w:rFonts w:ascii="Georgia" w:hAnsi="Georgia" w:cs="Times New Roman"/>
          <w:bCs/>
          <w:iCs/>
          <w:lang w:val="en-GB"/>
        </w:rPr>
        <w:t>NAS contains</w:t>
      </w:r>
      <w:r w:rsidRPr="0002056A">
        <w:rPr>
          <w:rFonts w:ascii="Georgia" w:hAnsi="Georgia" w:cs="Times New Roman"/>
          <w:bCs/>
          <w:lang w:val="en-GB"/>
        </w:rPr>
        <w:t xml:space="preserve"> scattered mentionings about existing risk management GIS facilities </w:t>
      </w:r>
      <w:r w:rsidR="009B719F" w:rsidRPr="0002056A">
        <w:rPr>
          <w:rFonts w:ascii="Georgia" w:hAnsi="Georgia" w:cs="Times New Roman"/>
          <w:bCs/>
          <w:lang w:val="en-GB"/>
        </w:rPr>
        <w:t xml:space="preserve">and the </w:t>
      </w:r>
      <w:r w:rsidRPr="0002056A">
        <w:rPr>
          <w:rFonts w:ascii="Georgia" w:hAnsi="Georgia" w:cs="Times New Roman"/>
          <w:bCs/>
          <w:lang w:val="en-GB"/>
        </w:rPr>
        <w:t xml:space="preserve">lack of a NAGiS-like system. In </w:t>
      </w:r>
      <w:r w:rsidR="00141B22">
        <w:rPr>
          <w:rFonts w:ascii="Georgia" w:hAnsi="Georgia" w:cs="Times New Roman"/>
          <w:bCs/>
          <w:i/>
          <w:lang w:val="en-GB"/>
        </w:rPr>
        <w:t>Bulgaria</w:t>
      </w:r>
      <w:r w:rsidR="00554D7F">
        <w:rPr>
          <w:rFonts w:ascii="Georgia" w:hAnsi="Georgia" w:cs="Times New Roman"/>
          <w:bCs/>
          <w:i/>
          <w:lang w:val="en-GB"/>
        </w:rPr>
        <w:t>,</w:t>
      </w:r>
      <w:r w:rsidR="00141B22">
        <w:rPr>
          <w:rFonts w:ascii="Georgia" w:hAnsi="Georgia" w:cs="Times New Roman"/>
          <w:bCs/>
          <w:i/>
          <w:lang w:val="en-GB"/>
        </w:rPr>
        <w:t xml:space="preserve"> </w:t>
      </w:r>
      <w:r w:rsidR="00554D7F">
        <w:rPr>
          <w:rFonts w:ascii="Georgia" w:hAnsi="Georgia" w:cs="Times New Roman"/>
          <w:bCs/>
          <w:lang w:val="en-GB"/>
        </w:rPr>
        <w:t xml:space="preserve">region </w:t>
      </w:r>
      <w:r w:rsidRPr="0002056A">
        <w:rPr>
          <w:rFonts w:ascii="Georgia" w:hAnsi="Georgia" w:cs="Times New Roman"/>
          <w:bCs/>
          <w:lang w:val="en-GB"/>
        </w:rPr>
        <w:t xml:space="preserve">types are present </w:t>
      </w:r>
      <w:r w:rsidR="00F36B2A">
        <w:rPr>
          <w:rFonts w:ascii="Georgia" w:hAnsi="Georgia" w:cs="Times New Roman"/>
          <w:bCs/>
          <w:lang w:val="en-GB"/>
        </w:rPr>
        <w:t xml:space="preserve">but </w:t>
      </w:r>
      <w:r w:rsidRPr="0002056A">
        <w:rPr>
          <w:rFonts w:ascii="Georgia" w:hAnsi="Georgia" w:cs="Times New Roman"/>
          <w:bCs/>
          <w:lang w:val="en-GB"/>
        </w:rPr>
        <w:t xml:space="preserve">only scarcely (urban areas, destinations, </w:t>
      </w:r>
      <w:r w:rsidR="00216AD0" w:rsidRPr="0002056A">
        <w:rPr>
          <w:rFonts w:ascii="Georgia" w:hAnsi="Georgia" w:cs="Times New Roman"/>
          <w:bCs/>
          <w:lang w:val="en-GB"/>
        </w:rPr>
        <w:t>forest</w:t>
      </w:r>
      <w:r w:rsidRPr="0002056A">
        <w:rPr>
          <w:rFonts w:ascii="Georgia" w:hAnsi="Georgia" w:cs="Times New Roman"/>
          <w:bCs/>
          <w:lang w:val="en-GB"/>
        </w:rPr>
        <w:t xml:space="preserve"> territories and urban/rural green infrastructure are mentioned in 1-1 SWOT points). </w:t>
      </w:r>
      <w:r w:rsidRPr="0002056A">
        <w:rPr>
          <w:rFonts w:ascii="Georgia" w:eastAsia="Times New Roman" w:hAnsi="Georgia" w:cs="Times New Roman"/>
          <w:bCs/>
          <w:iCs/>
          <w:lang w:val="en-GB" w:eastAsia="hu-HU"/>
        </w:rPr>
        <w:t>As for the</w:t>
      </w:r>
      <w:r w:rsidRPr="0002056A">
        <w:rPr>
          <w:rFonts w:ascii="Georgia" w:eastAsia="Times New Roman" w:hAnsi="Georgia" w:cs="Times New Roman"/>
          <w:b/>
          <w:iCs/>
          <w:lang w:val="en-GB" w:eastAsia="hu-HU"/>
        </w:rPr>
        <w:t xml:space="preserve"> spatial</w:t>
      </w:r>
      <w:r w:rsidRPr="0002056A" w:rsidDel="00A42C45">
        <w:rPr>
          <w:rFonts w:ascii="Georgia" w:eastAsia="Times New Roman" w:hAnsi="Georgia" w:cs="Times New Roman"/>
          <w:b/>
          <w:iCs/>
          <w:lang w:val="en-GB" w:eastAsia="hu-HU"/>
        </w:rPr>
        <w:t xml:space="preserve"> </w:t>
      </w:r>
      <w:r w:rsidRPr="0002056A">
        <w:rPr>
          <w:rFonts w:ascii="Georgia" w:eastAsia="Times New Roman" w:hAnsi="Georgia" w:cs="Times New Roman"/>
          <w:b/>
          <w:iCs/>
          <w:lang w:val="en-GB" w:eastAsia="hu-HU"/>
        </w:rPr>
        <w:t xml:space="preserve">content of situation assessments, </w:t>
      </w:r>
      <w:r w:rsidRPr="0002056A">
        <w:rPr>
          <w:rFonts w:ascii="Georgia" w:hAnsi="Georgia"/>
          <w:lang w:val="en-GB"/>
        </w:rPr>
        <w:t xml:space="preserve">similarly to SWOTs, these parts are generally also lacking from the overwhelming majority of national documents. Such </w:t>
      </w:r>
      <w:r w:rsidR="00141B22">
        <w:rPr>
          <w:rFonts w:ascii="Georgia" w:hAnsi="Georgia"/>
          <w:lang w:val="en-GB"/>
        </w:rPr>
        <w:t>a type of chapter</w:t>
      </w:r>
      <w:r w:rsidRPr="0002056A">
        <w:rPr>
          <w:rFonts w:ascii="Georgia" w:hAnsi="Georgia"/>
          <w:lang w:val="en-GB"/>
        </w:rPr>
        <w:t xml:space="preserve"> emerges only in three countries, </w:t>
      </w:r>
      <w:r w:rsidRPr="0002056A">
        <w:rPr>
          <w:rFonts w:ascii="Georgia" w:hAnsi="Georgia"/>
          <w:i/>
          <w:lang w:val="en-GB"/>
        </w:rPr>
        <w:t xml:space="preserve">Lithuania, Bosnia </w:t>
      </w:r>
      <w:r w:rsidRPr="0002056A">
        <w:rPr>
          <w:rFonts w:ascii="Georgia" w:hAnsi="Georgia"/>
          <w:lang w:val="en-GB"/>
        </w:rPr>
        <w:t xml:space="preserve">and </w:t>
      </w:r>
      <w:r w:rsidRPr="0002056A">
        <w:rPr>
          <w:rFonts w:ascii="Georgia" w:hAnsi="Georgia"/>
          <w:i/>
          <w:lang w:val="en-GB"/>
        </w:rPr>
        <w:t>Bulgaria</w:t>
      </w:r>
      <w:r w:rsidRPr="0002056A">
        <w:rPr>
          <w:rFonts w:ascii="Georgia" w:hAnsi="Georgia"/>
          <w:lang w:val="en-GB"/>
        </w:rPr>
        <w:t>, but the spatial content in these chapters is practically missing, any</w:t>
      </w:r>
      <w:r w:rsidR="00EB3E93" w:rsidRPr="0002056A">
        <w:rPr>
          <w:rFonts w:ascii="Georgia" w:hAnsi="Georgia"/>
          <w:lang w:val="en-GB"/>
        </w:rPr>
        <w:t>way</w:t>
      </w:r>
      <w:r w:rsidRPr="0002056A">
        <w:rPr>
          <w:rFonts w:ascii="Georgia" w:hAnsi="Georgia"/>
          <w:lang w:val="en-GB"/>
        </w:rPr>
        <w:t>.</w:t>
      </w:r>
    </w:p>
    <w:p w14:paraId="7F549C27" w14:textId="48098710" w:rsidR="00AD75FD" w:rsidRPr="0002056A" w:rsidRDefault="00AD75FD" w:rsidP="00CD5BF3">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
          <w:iCs/>
          <w:lang w:val="en-GB" w:eastAsia="hu-HU"/>
        </w:rPr>
        <w:t xml:space="preserve">The spatial planning focus of the NAS situation analyses </w:t>
      </w:r>
      <w:r w:rsidRPr="0002056A">
        <w:rPr>
          <w:rFonts w:ascii="Georgia" w:eastAsia="Times New Roman" w:hAnsi="Georgia" w:cs="Times New Roman"/>
          <w:bCs/>
          <w:lang w:val="en-GB" w:eastAsia="hu-HU"/>
        </w:rPr>
        <w:t>show</w:t>
      </w:r>
      <w:r w:rsidR="009B719F" w:rsidRPr="0002056A">
        <w:rPr>
          <w:rFonts w:ascii="Georgia" w:eastAsia="Times New Roman" w:hAnsi="Georgia" w:cs="Times New Roman"/>
          <w:bCs/>
          <w:lang w:val="en-GB" w:eastAsia="hu-HU"/>
        </w:rPr>
        <w:t>s</w:t>
      </w:r>
      <w:r w:rsidRPr="0002056A">
        <w:rPr>
          <w:rFonts w:ascii="Georgia" w:eastAsia="Times New Roman" w:hAnsi="Georgia" w:cs="Times New Roman"/>
          <w:bCs/>
          <w:lang w:val="en-GB" w:eastAsia="hu-HU"/>
        </w:rPr>
        <w:t xml:space="preserve"> not very well performance, either. </w:t>
      </w:r>
      <w:r w:rsidRPr="0002056A">
        <w:rPr>
          <w:rFonts w:ascii="Georgia" w:hAnsi="Georgia" w:cs="Times New Roman"/>
          <w:bCs/>
          <w:lang w:val="en-GB"/>
        </w:rPr>
        <w:t>Seven, mostly North-Western European countries (</w:t>
      </w:r>
      <w:r w:rsidRPr="0002056A">
        <w:rPr>
          <w:rFonts w:ascii="Georgia" w:hAnsi="Georgia" w:cs="Times New Roman"/>
          <w:bCs/>
          <w:i/>
          <w:iCs/>
          <w:lang w:val="en-GB"/>
        </w:rPr>
        <w:t>the Netherlands, Denmark, Switzerland, Austria</w:t>
      </w:r>
      <w:r w:rsidRPr="0002056A">
        <w:rPr>
          <w:rFonts w:ascii="Georgia" w:hAnsi="Georgia" w:cs="Times New Roman"/>
          <w:bCs/>
          <w:lang w:val="en-GB"/>
        </w:rPr>
        <w:t xml:space="preserve">), together with </w:t>
      </w:r>
      <w:r w:rsidRPr="0002056A">
        <w:rPr>
          <w:rFonts w:ascii="Georgia" w:hAnsi="Georgia" w:cs="Times New Roman"/>
          <w:bCs/>
          <w:i/>
          <w:iCs/>
          <w:lang w:val="en-GB"/>
        </w:rPr>
        <w:t xml:space="preserve">Bosnia, Estonia </w:t>
      </w:r>
      <w:r w:rsidRPr="0002056A">
        <w:rPr>
          <w:rFonts w:ascii="Georgia" w:hAnsi="Georgia" w:cs="Times New Roman"/>
          <w:bCs/>
          <w:lang w:val="en-GB"/>
        </w:rPr>
        <w:t>and</w:t>
      </w:r>
      <w:r w:rsidRPr="0002056A">
        <w:rPr>
          <w:rFonts w:ascii="Georgia" w:hAnsi="Georgia" w:cs="Times New Roman"/>
          <w:bCs/>
          <w:i/>
          <w:iCs/>
          <w:lang w:val="en-GB"/>
        </w:rPr>
        <w:t xml:space="preserve"> Latvia</w:t>
      </w:r>
      <w:r w:rsidR="00141B22">
        <w:rPr>
          <w:rFonts w:ascii="Georgia" w:hAnsi="Georgia" w:cs="Times New Roman"/>
          <w:bCs/>
          <w:i/>
          <w:iCs/>
          <w:lang w:val="en-GB"/>
        </w:rPr>
        <w:t>,</w:t>
      </w:r>
      <w:r w:rsidRPr="0002056A">
        <w:rPr>
          <w:rFonts w:ascii="Georgia" w:hAnsi="Georgia" w:cs="Times New Roman"/>
          <w:bCs/>
          <w:lang w:val="en-GB"/>
        </w:rPr>
        <w:t xml:space="preserve"> got into the best category, dedicating a special chapter/subchapter to the introduction of spatial planning’s role in adaptation. The </w:t>
      </w:r>
      <w:r w:rsidRPr="0002056A">
        <w:rPr>
          <w:rFonts w:ascii="Georgia" w:hAnsi="Georgia" w:cs="Times New Roman"/>
          <w:bCs/>
          <w:i/>
          <w:iCs/>
          <w:lang w:val="en-GB"/>
        </w:rPr>
        <w:t>other Scandinavians</w:t>
      </w:r>
      <w:r w:rsidRPr="0002056A">
        <w:rPr>
          <w:rFonts w:ascii="Georgia" w:hAnsi="Georgia" w:cs="Times New Roman"/>
          <w:bCs/>
          <w:lang w:val="en-GB"/>
        </w:rPr>
        <w:t xml:space="preserve">, </w:t>
      </w:r>
      <w:r w:rsidR="00141B22">
        <w:rPr>
          <w:rFonts w:ascii="Georgia" w:hAnsi="Georgia" w:cs="Times New Roman"/>
          <w:bCs/>
          <w:lang w:val="en-GB"/>
        </w:rPr>
        <w:t>together with Serbia and Czechia,</w:t>
      </w:r>
      <w:r w:rsidRPr="0002056A">
        <w:rPr>
          <w:rFonts w:ascii="Georgia" w:hAnsi="Georgia" w:cs="Times New Roman"/>
          <w:bCs/>
          <w:lang w:val="en-GB"/>
        </w:rPr>
        <w:t xml:space="preserve"> compose the second</w:t>
      </w:r>
      <w:r w:rsidR="00185B52" w:rsidRPr="0002056A">
        <w:rPr>
          <w:rFonts w:ascii="Georgia" w:hAnsi="Georgia" w:cs="Times New Roman"/>
          <w:bCs/>
          <w:lang w:val="en-GB"/>
        </w:rPr>
        <w:t>-</w:t>
      </w:r>
      <w:r w:rsidRPr="0002056A">
        <w:rPr>
          <w:rFonts w:ascii="Georgia" w:hAnsi="Georgia" w:cs="Times New Roman"/>
          <w:bCs/>
          <w:lang w:val="en-GB"/>
        </w:rPr>
        <w:t xml:space="preserve">best category (where situation analyses mention spatial planning in one or more subchapters as an important activity). Surprisingly, some traditional spatial planner state’s current strategies </w:t>
      </w:r>
      <w:r w:rsidR="00876A05" w:rsidRPr="0002056A">
        <w:rPr>
          <w:rFonts w:ascii="Georgia" w:hAnsi="Georgia" w:cs="Times New Roman"/>
          <w:bCs/>
          <w:lang w:val="en-GB"/>
        </w:rPr>
        <w:t xml:space="preserve">(e.g. </w:t>
      </w:r>
      <w:r w:rsidR="00876A05" w:rsidRPr="0002056A">
        <w:rPr>
          <w:rFonts w:ascii="Georgia" w:hAnsi="Georgia" w:cs="Times New Roman"/>
          <w:bCs/>
          <w:i/>
          <w:iCs/>
          <w:lang w:val="en-GB"/>
        </w:rPr>
        <w:t>England, Germany</w:t>
      </w:r>
      <w:r w:rsidR="00876A05" w:rsidRPr="0002056A">
        <w:rPr>
          <w:rFonts w:ascii="Georgia" w:hAnsi="Georgia" w:cs="Times New Roman"/>
          <w:bCs/>
          <w:lang w:val="en-GB"/>
        </w:rPr>
        <w:t xml:space="preserve">) </w:t>
      </w:r>
      <w:r w:rsidR="00141B22">
        <w:rPr>
          <w:rFonts w:ascii="Georgia" w:hAnsi="Georgia" w:cs="Times New Roman"/>
          <w:bCs/>
          <w:lang w:val="en-GB"/>
        </w:rPr>
        <w:t>do not emphasise spatial planning’s role very strongly</w:t>
      </w:r>
      <w:r w:rsidRPr="0002056A">
        <w:rPr>
          <w:rFonts w:ascii="Georgia" w:hAnsi="Georgia" w:cs="Times New Roman"/>
          <w:bCs/>
          <w:lang w:val="en-GB"/>
        </w:rPr>
        <w:t xml:space="preserve">. </w:t>
      </w:r>
      <w:r w:rsidR="005C14E5" w:rsidRPr="0002056A">
        <w:rPr>
          <w:rFonts w:ascii="Georgia" w:hAnsi="Georgia" w:cs="Times New Roman"/>
          <w:bCs/>
          <w:lang w:val="en-GB"/>
        </w:rPr>
        <w:t xml:space="preserve">The reason for this is perhaps the triviality of the issue in these countries that have long ago recognized the </w:t>
      </w:r>
      <w:r w:rsidR="00216AD0" w:rsidRPr="0002056A">
        <w:rPr>
          <w:rFonts w:ascii="Georgia" w:hAnsi="Georgia" w:cs="Times New Roman"/>
          <w:bCs/>
          <w:lang w:val="en-GB"/>
        </w:rPr>
        <w:t>importance</w:t>
      </w:r>
      <w:r w:rsidR="005C14E5" w:rsidRPr="0002056A">
        <w:rPr>
          <w:rFonts w:ascii="Georgia" w:hAnsi="Georgia" w:cs="Times New Roman"/>
          <w:bCs/>
          <w:lang w:val="en-GB"/>
        </w:rPr>
        <w:t xml:space="preserve"> </w:t>
      </w:r>
      <w:r w:rsidR="00066AAA" w:rsidRPr="0002056A">
        <w:rPr>
          <w:rFonts w:ascii="Georgia" w:hAnsi="Georgia" w:cs="Times New Roman"/>
          <w:bCs/>
          <w:lang w:val="en-GB"/>
        </w:rPr>
        <w:t xml:space="preserve">of spatial planning in </w:t>
      </w:r>
      <w:r w:rsidR="00AC5238" w:rsidRPr="0002056A">
        <w:rPr>
          <w:rFonts w:ascii="Georgia" w:hAnsi="Georgia" w:cs="Times New Roman"/>
          <w:bCs/>
          <w:lang w:val="en-GB"/>
        </w:rPr>
        <w:t>adaptation,</w:t>
      </w:r>
      <w:r w:rsidR="00066AAA" w:rsidRPr="0002056A">
        <w:rPr>
          <w:rFonts w:ascii="Georgia" w:hAnsi="Georgia" w:cs="Times New Roman"/>
          <w:bCs/>
          <w:lang w:val="en-GB"/>
        </w:rPr>
        <w:t xml:space="preserve"> and they do not feel </w:t>
      </w:r>
      <w:r w:rsidR="00066AAA" w:rsidRPr="0002056A">
        <w:rPr>
          <w:rFonts w:ascii="Georgia" w:hAnsi="Georgia" w:cs="Times New Roman"/>
          <w:bCs/>
          <w:lang w:val="en-GB"/>
        </w:rPr>
        <w:lastRenderedPageBreak/>
        <w:t xml:space="preserve">necessary to emphasise the issue further in their adaptation strategies. </w:t>
      </w:r>
      <w:r w:rsidRPr="0002056A">
        <w:rPr>
          <w:rFonts w:ascii="Georgia" w:hAnsi="Georgia" w:cs="Times New Roman"/>
          <w:bCs/>
          <w:lang w:val="en-GB"/>
        </w:rPr>
        <w:t xml:space="preserve">Majority of the European countries shows only weak reference to spatial planning in their NAS, only mentioning spatial contexts of some regional/settlement type's climate-related problems or the coherence with national spatial planning </w:t>
      </w:r>
      <w:r w:rsidR="00851427" w:rsidRPr="0002056A">
        <w:rPr>
          <w:rFonts w:ascii="Georgia" w:hAnsi="Georgia" w:cs="Times New Roman"/>
          <w:bCs/>
          <w:lang w:val="en-GB"/>
        </w:rPr>
        <w:t xml:space="preserve">documents </w:t>
      </w:r>
      <w:r w:rsidRPr="0002056A">
        <w:rPr>
          <w:rFonts w:ascii="Georgia" w:hAnsi="Georgia" w:cs="Times New Roman"/>
          <w:bCs/>
          <w:lang w:val="en-GB"/>
        </w:rPr>
        <w:t>is introduced</w:t>
      </w:r>
      <w:r w:rsidR="00851427" w:rsidRPr="0002056A">
        <w:rPr>
          <w:rFonts w:ascii="Georgia" w:hAnsi="Georgia" w:cs="Times New Roman"/>
          <w:bCs/>
          <w:lang w:val="en-GB"/>
        </w:rPr>
        <w:t>;</w:t>
      </w:r>
      <w:r w:rsidRPr="0002056A">
        <w:rPr>
          <w:rFonts w:ascii="Georgia" w:hAnsi="Georgia" w:cs="Times New Roman"/>
          <w:bCs/>
          <w:lang w:val="en-GB"/>
        </w:rPr>
        <w:t xml:space="preserve"> or they do not mention anything regarding the issue.</w:t>
      </w:r>
    </w:p>
    <w:p w14:paraId="07B0E39B" w14:textId="087E1895" w:rsidR="00BD445B" w:rsidRPr="0002056A" w:rsidRDefault="00D32621" w:rsidP="00214BD9">
      <w:pPr>
        <w:pStyle w:val="Cmsor3"/>
        <w:numPr>
          <w:ilvl w:val="2"/>
          <w:numId w:val="4"/>
        </w:numPr>
        <w:rPr>
          <w:lang w:val="en-GB"/>
        </w:rPr>
      </w:pPr>
      <w:bookmarkStart w:id="41" w:name="_Toc225578858"/>
      <w:r w:rsidRPr="0002056A">
        <w:rPr>
          <w:lang w:val="en-GB"/>
        </w:rPr>
        <w:t>Spatiality in t</w:t>
      </w:r>
      <w:r w:rsidR="00BD445B" w:rsidRPr="0002056A">
        <w:rPr>
          <w:lang w:val="en-GB"/>
        </w:rPr>
        <w:t>he NAS objective systems</w:t>
      </w:r>
      <w:bookmarkEnd w:id="41"/>
    </w:p>
    <w:p w14:paraId="28187798" w14:textId="155738C9" w:rsidR="00BD445B" w:rsidRPr="0002056A" w:rsidRDefault="00BD445B" w:rsidP="00171286">
      <w:pPr>
        <w:pBdr>
          <w:top w:val="single" w:sz="4" w:space="1" w:color="auto"/>
          <w:left w:val="single" w:sz="4" w:space="4" w:color="auto"/>
          <w:bottom w:val="single" w:sz="4" w:space="1" w:color="auto"/>
          <w:right w:val="single" w:sz="4" w:space="4" w:color="auto"/>
        </w:pBdr>
        <w:shd w:val="clear" w:color="auto" w:fill="FFFFFF" w:themeFill="background1"/>
        <w:spacing w:before="120" w:after="120"/>
        <w:jc w:val="both"/>
        <w:rPr>
          <w:rFonts w:ascii="Georgia" w:hAnsi="Georgia"/>
          <w:lang w:val="en-GB"/>
        </w:rPr>
      </w:pPr>
      <w:r w:rsidRPr="0002056A">
        <w:rPr>
          <w:rFonts w:ascii="Georgia" w:hAnsi="Georgia"/>
          <w:lang w:val="en-GB"/>
        </w:rPr>
        <w:t>Similarly to the situation analyses, the NAS objective systems also show</w:t>
      </w:r>
      <w:r w:rsidR="00D32621" w:rsidRPr="0002056A">
        <w:rPr>
          <w:rFonts w:ascii="Georgia" w:hAnsi="Georgia"/>
          <w:lang w:val="en-GB"/>
        </w:rPr>
        <w:t>ed</w:t>
      </w:r>
      <w:r w:rsidRPr="0002056A">
        <w:rPr>
          <w:rFonts w:ascii="Georgia" w:hAnsi="Georgia"/>
          <w:lang w:val="en-GB"/>
        </w:rPr>
        <w:t xml:space="preserve"> basically weak performances:  16-20 points out of the available 4</w:t>
      </w:r>
      <w:r w:rsidR="000046FE" w:rsidRPr="0002056A">
        <w:rPr>
          <w:rFonts w:ascii="Georgia" w:hAnsi="Georgia"/>
          <w:lang w:val="en-GB"/>
        </w:rPr>
        <w:t>0</w:t>
      </w:r>
      <w:r w:rsidRPr="0002056A">
        <w:rPr>
          <w:rFonts w:ascii="Georgia" w:hAnsi="Georgia"/>
          <w:lang w:val="en-GB"/>
        </w:rPr>
        <w:t xml:space="preserve"> mean</w:t>
      </w:r>
      <w:r w:rsidR="00D32621" w:rsidRPr="0002056A">
        <w:rPr>
          <w:rFonts w:ascii="Georgia" w:hAnsi="Georgia"/>
          <w:lang w:val="en-GB"/>
        </w:rPr>
        <w:t>t</w:t>
      </w:r>
      <w:r w:rsidRPr="0002056A">
        <w:rPr>
          <w:rFonts w:ascii="Georgia" w:hAnsi="Georgia"/>
          <w:lang w:val="en-GB"/>
        </w:rPr>
        <w:t xml:space="preserve"> the best category (</w:t>
      </w:r>
      <w:r w:rsidR="00334B07" w:rsidRPr="0002056A">
        <w:rPr>
          <w:rFonts w:ascii="Georgia" w:hAnsi="Georgia"/>
          <w:lang w:val="en-GB"/>
        </w:rPr>
        <w:t xml:space="preserve">with </w:t>
      </w:r>
      <w:r w:rsidRPr="0002056A">
        <w:rPr>
          <w:rFonts w:ascii="Georgia" w:hAnsi="Georgia"/>
          <w:i/>
          <w:iCs/>
          <w:lang w:val="en-GB"/>
        </w:rPr>
        <w:t>France, Germany, Scotland, Norway</w:t>
      </w:r>
      <w:r w:rsidRPr="0002056A">
        <w:rPr>
          <w:rFonts w:ascii="Georgia" w:hAnsi="Georgia"/>
          <w:lang w:val="en-GB"/>
        </w:rPr>
        <w:t xml:space="preserve"> from </w:t>
      </w:r>
      <w:r w:rsidRPr="0002056A">
        <w:rPr>
          <w:rFonts w:ascii="Georgia" w:hAnsi="Georgia"/>
          <w:i/>
          <w:iCs/>
          <w:lang w:val="en-GB"/>
        </w:rPr>
        <w:t>Northwestern</w:t>
      </w:r>
      <w:r w:rsidR="00D32621" w:rsidRPr="0002056A">
        <w:rPr>
          <w:rFonts w:ascii="Georgia" w:hAnsi="Georgia"/>
          <w:i/>
          <w:iCs/>
          <w:lang w:val="en-GB"/>
        </w:rPr>
        <w:t>-</w:t>
      </w:r>
      <w:r w:rsidRPr="0002056A">
        <w:rPr>
          <w:rFonts w:ascii="Georgia" w:hAnsi="Georgia"/>
          <w:i/>
          <w:iCs/>
          <w:lang w:val="en-GB"/>
        </w:rPr>
        <w:t>Europe</w:t>
      </w:r>
      <w:r w:rsidRPr="0002056A">
        <w:rPr>
          <w:rFonts w:ascii="Georgia" w:hAnsi="Georgia"/>
          <w:lang w:val="en-GB"/>
        </w:rPr>
        <w:t xml:space="preserve"> and </w:t>
      </w:r>
      <w:r w:rsidRPr="0002056A">
        <w:rPr>
          <w:rFonts w:ascii="Georgia" w:hAnsi="Georgia"/>
          <w:i/>
          <w:iCs/>
          <w:lang w:val="en-GB"/>
        </w:rPr>
        <w:t>Lithuania</w:t>
      </w:r>
      <w:r w:rsidR="00767217" w:rsidRPr="0002056A">
        <w:rPr>
          <w:rFonts w:ascii="Georgia" w:hAnsi="Georgia"/>
          <w:i/>
          <w:iCs/>
          <w:lang w:val="en-GB"/>
        </w:rPr>
        <w:t xml:space="preserve"> </w:t>
      </w:r>
      <w:r w:rsidRPr="0002056A">
        <w:rPr>
          <w:rFonts w:ascii="Georgia" w:hAnsi="Georgia"/>
          <w:lang w:val="en-GB"/>
        </w:rPr>
        <w:t xml:space="preserve">from the </w:t>
      </w:r>
      <w:r w:rsidRPr="0002056A">
        <w:rPr>
          <w:rFonts w:ascii="Georgia" w:hAnsi="Georgia"/>
          <w:i/>
          <w:iCs/>
          <w:lang w:val="en-GB"/>
        </w:rPr>
        <w:t>Central-Eastern</w:t>
      </w:r>
      <w:r w:rsidRPr="0002056A">
        <w:rPr>
          <w:rFonts w:ascii="Georgia" w:hAnsi="Georgia"/>
          <w:lang w:val="en-GB"/>
        </w:rPr>
        <w:t xml:space="preserve"> part of the continent). The second</w:t>
      </w:r>
      <w:r w:rsidR="00FB7D5E" w:rsidRPr="0002056A">
        <w:rPr>
          <w:rFonts w:ascii="Georgia" w:hAnsi="Georgia"/>
          <w:lang w:val="en-GB"/>
        </w:rPr>
        <w:t>-</w:t>
      </w:r>
      <w:r w:rsidRPr="0002056A">
        <w:rPr>
          <w:rFonts w:ascii="Georgia" w:hAnsi="Georgia"/>
          <w:lang w:val="en-GB"/>
        </w:rPr>
        <w:t>best category with 1</w:t>
      </w:r>
      <w:r w:rsidR="000C5FF7" w:rsidRPr="0002056A">
        <w:rPr>
          <w:rFonts w:ascii="Georgia" w:hAnsi="Georgia"/>
          <w:lang w:val="en-GB"/>
        </w:rPr>
        <w:t>1</w:t>
      </w:r>
      <w:r w:rsidRPr="0002056A">
        <w:rPr>
          <w:rFonts w:ascii="Georgia" w:hAnsi="Georgia"/>
          <w:lang w:val="en-GB"/>
        </w:rPr>
        <w:t>-1</w:t>
      </w:r>
      <w:r w:rsidR="000C5FF7" w:rsidRPr="0002056A">
        <w:rPr>
          <w:rFonts w:ascii="Georgia" w:hAnsi="Georgia"/>
          <w:lang w:val="en-GB"/>
        </w:rPr>
        <w:t>5</w:t>
      </w:r>
      <w:r w:rsidRPr="0002056A">
        <w:rPr>
          <w:rFonts w:ascii="Georgia" w:hAnsi="Georgia"/>
          <w:lang w:val="en-GB"/>
        </w:rPr>
        <w:t xml:space="preserve"> points consist</w:t>
      </w:r>
      <w:r w:rsidR="006F5F2C" w:rsidRPr="0002056A">
        <w:rPr>
          <w:rFonts w:ascii="Georgia" w:hAnsi="Georgia"/>
          <w:lang w:val="en-GB"/>
        </w:rPr>
        <w:t>ed</w:t>
      </w:r>
      <w:r w:rsidRPr="0002056A">
        <w:rPr>
          <w:rFonts w:ascii="Georgia" w:hAnsi="Georgia"/>
          <w:lang w:val="en-GB"/>
        </w:rPr>
        <w:t xml:space="preserve"> of Southerners (</w:t>
      </w:r>
      <w:r w:rsidRPr="0002056A">
        <w:rPr>
          <w:rFonts w:ascii="Georgia" w:hAnsi="Georgia"/>
          <w:i/>
          <w:iCs/>
          <w:lang w:val="en-GB"/>
        </w:rPr>
        <w:t>Spain, Portugal</w:t>
      </w:r>
      <w:r w:rsidRPr="0002056A">
        <w:rPr>
          <w:rFonts w:ascii="Georgia" w:hAnsi="Georgia"/>
          <w:lang w:val="en-GB"/>
        </w:rPr>
        <w:t>)</w:t>
      </w:r>
      <w:r w:rsidR="00F752E9" w:rsidRPr="0002056A">
        <w:rPr>
          <w:rFonts w:ascii="Georgia" w:hAnsi="Georgia"/>
          <w:lang w:val="en-GB"/>
        </w:rPr>
        <w:t xml:space="preserve">, </w:t>
      </w:r>
      <w:r w:rsidR="00A06EC7" w:rsidRPr="0002056A">
        <w:rPr>
          <w:rFonts w:ascii="Georgia" w:hAnsi="Georgia"/>
          <w:lang w:val="en-GB"/>
        </w:rPr>
        <w:t xml:space="preserve">more developed </w:t>
      </w:r>
      <w:r w:rsidR="00F752E9" w:rsidRPr="0002056A">
        <w:rPr>
          <w:rFonts w:ascii="Georgia" w:hAnsi="Georgia"/>
          <w:lang w:val="en-GB"/>
        </w:rPr>
        <w:t>Easterners (</w:t>
      </w:r>
      <w:r w:rsidR="00F752E9" w:rsidRPr="0002056A">
        <w:rPr>
          <w:rFonts w:ascii="Georgia" w:hAnsi="Georgia"/>
          <w:i/>
          <w:iCs/>
          <w:lang w:val="en-GB"/>
        </w:rPr>
        <w:t>Slovenia, Poland, Croatia</w:t>
      </w:r>
      <w:r w:rsidR="00A06EC7" w:rsidRPr="0002056A">
        <w:rPr>
          <w:rFonts w:ascii="Georgia" w:hAnsi="Georgia"/>
          <w:i/>
          <w:iCs/>
          <w:lang w:val="en-GB"/>
        </w:rPr>
        <w:t xml:space="preserve"> </w:t>
      </w:r>
      <w:r w:rsidR="00A06EC7" w:rsidRPr="0002056A">
        <w:rPr>
          <w:rFonts w:ascii="Georgia" w:hAnsi="Georgia"/>
          <w:lang w:val="en-GB"/>
        </w:rPr>
        <w:t>and</w:t>
      </w:r>
      <w:r w:rsidR="00A06EC7" w:rsidRPr="0002056A">
        <w:rPr>
          <w:rFonts w:ascii="Georgia" w:hAnsi="Georgia"/>
          <w:i/>
          <w:iCs/>
          <w:lang w:val="en-GB"/>
        </w:rPr>
        <w:t xml:space="preserve"> Latvia</w:t>
      </w:r>
      <w:r w:rsidR="00F752E9" w:rsidRPr="0002056A">
        <w:rPr>
          <w:rFonts w:ascii="Georgia" w:hAnsi="Georgia"/>
          <w:lang w:val="en-GB"/>
        </w:rPr>
        <w:t>)</w:t>
      </w:r>
      <w:r w:rsidRPr="0002056A">
        <w:rPr>
          <w:rFonts w:ascii="Georgia" w:hAnsi="Georgia"/>
          <w:lang w:val="en-GB"/>
        </w:rPr>
        <w:t xml:space="preserve"> and </w:t>
      </w:r>
      <w:r w:rsidR="00A06EC7" w:rsidRPr="0002056A">
        <w:rPr>
          <w:rFonts w:ascii="Georgia" w:hAnsi="Georgia"/>
          <w:lang w:val="en-GB"/>
        </w:rPr>
        <w:t xml:space="preserve">a few </w:t>
      </w:r>
      <w:r w:rsidRPr="0002056A">
        <w:rPr>
          <w:rFonts w:ascii="Georgia" w:hAnsi="Georgia"/>
          <w:lang w:val="en-GB"/>
        </w:rPr>
        <w:t>Westerners, too (</w:t>
      </w:r>
      <w:r w:rsidRPr="0002056A">
        <w:rPr>
          <w:rFonts w:ascii="Georgia" w:hAnsi="Georgia"/>
          <w:i/>
          <w:iCs/>
          <w:lang w:val="en-GB"/>
        </w:rPr>
        <w:t>Switzerland, Northern Ireland</w:t>
      </w:r>
      <w:r w:rsidR="00F752E9" w:rsidRPr="0002056A">
        <w:rPr>
          <w:rFonts w:ascii="Georgia" w:hAnsi="Georgia"/>
          <w:i/>
          <w:iCs/>
          <w:lang w:val="en-GB"/>
        </w:rPr>
        <w:t>)</w:t>
      </w:r>
      <w:r w:rsidRPr="0002056A">
        <w:rPr>
          <w:rFonts w:ascii="Georgia" w:hAnsi="Georgia"/>
          <w:lang w:val="en-GB"/>
        </w:rPr>
        <w:t xml:space="preserve">. </w:t>
      </w:r>
      <w:r w:rsidR="00A06EC7" w:rsidRPr="0002056A">
        <w:rPr>
          <w:rFonts w:ascii="Georgia" w:hAnsi="Georgia"/>
          <w:lang w:val="en-GB"/>
        </w:rPr>
        <w:t>Surprisingly, generally well</w:t>
      </w:r>
      <w:r w:rsidR="00334B07" w:rsidRPr="0002056A">
        <w:rPr>
          <w:rFonts w:ascii="Georgia" w:hAnsi="Georgia"/>
          <w:lang w:val="en-GB"/>
        </w:rPr>
        <w:t>-</w:t>
      </w:r>
      <w:r w:rsidR="00A06EC7" w:rsidRPr="0002056A">
        <w:rPr>
          <w:rFonts w:ascii="Georgia" w:hAnsi="Georgia"/>
          <w:lang w:val="en-GB"/>
        </w:rPr>
        <w:t>performing other Western- or Northern</w:t>
      </w:r>
      <w:r w:rsidR="006F5F2C" w:rsidRPr="0002056A">
        <w:rPr>
          <w:rFonts w:ascii="Georgia" w:hAnsi="Georgia"/>
          <w:lang w:val="en-GB"/>
        </w:rPr>
        <w:t>-</w:t>
      </w:r>
      <w:r w:rsidR="00A06EC7" w:rsidRPr="0002056A">
        <w:rPr>
          <w:rFonts w:ascii="Georgia" w:hAnsi="Georgia"/>
          <w:lang w:val="en-GB"/>
        </w:rPr>
        <w:t>Europeans got only into the third category (</w:t>
      </w:r>
      <w:r w:rsidR="00A06EC7" w:rsidRPr="0002056A">
        <w:rPr>
          <w:rFonts w:ascii="Georgia" w:hAnsi="Georgia"/>
          <w:i/>
          <w:iCs/>
          <w:lang w:val="en-GB"/>
        </w:rPr>
        <w:t xml:space="preserve">Austria, England, the Netherlands, </w:t>
      </w:r>
      <w:r w:rsidR="00AA5069" w:rsidRPr="0002056A">
        <w:rPr>
          <w:rFonts w:ascii="Georgia" w:hAnsi="Georgia"/>
          <w:i/>
          <w:iCs/>
          <w:lang w:val="en-GB"/>
        </w:rPr>
        <w:t>Finland</w:t>
      </w:r>
      <w:r w:rsidR="00A06EC7" w:rsidRPr="0002056A">
        <w:rPr>
          <w:rFonts w:ascii="Georgia" w:hAnsi="Georgia"/>
          <w:lang w:val="en-GB"/>
        </w:rPr>
        <w:t>)</w:t>
      </w:r>
      <w:r w:rsidR="00AA5069" w:rsidRPr="0002056A">
        <w:rPr>
          <w:rFonts w:ascii="Georgia" w:hAnsi="Georgia"/>
          <w:lang w:val="en-GB"/>
        </w:rPr>
        <w:t xml:space="preserve"> as well as some of those countries that had outstanding situation analyses (</w:t>
      </w:r>
      <w:r w:rsidR="00666B4E" w:rsidRPr="0002056A">
        <w:rPr>
          <w:rFonts w:ascii="Georgia" w:hAnsi="Georgia"/>
          <w:i/>
          <w:iCs/>
          <w:lang w:val="en-GB"/>
        </w:rPr>
        <w:t>Türkiye, Hungary, Italy</w:t>
      </w:r>
      <w:r w:rsidR="00666B4E" w:rsidRPr="0002056A">
        <w:rPr>
          <w:rFonts w:ascii="Georgia" w:hAnsi="Georgia"/>
          <w:lang w:val="en-GB"/>
        </w:rPr>
        <w:t>)</w:t>
      </w:r>
      <w:r w:rsidR="00A06EC7" w:rsidRPr="0002056A">
        <w:rPr>
          <w:rFonts w:ascii="Georgia" w:hAnsi="Georgia"/>
          <w:lang w:val="en-GB"/>
        </w:rPr>
        <w:t xml:space="preserve">. </w:t>
      </w:r>
      <w:r w:rsidRPr="0002056A">
        <w:rPr>
          <w:rFonts w:ascii="Georgia" w:hAnsi="Georgia"/>
          <w:lang w:val="en-GB"/>
        </w:rPr>
        <w:t xml:space="preserve">The weakest category contains two </w:t>
      </w:r>
      <w:r w:rsidR="00A5266C" w:rsidRPr="0002056A">
        <w:rPr>
          <w:rFonts w:ascii="Georgia" w:hAnsi="Georgia"/>
          <w:lang w:val="en-GB"/>
        </w:rPr>
        <w:t xml:space="preserve">additional </w:t>
      </w:r>
      <w:r w:rsidRPr="0002056A">
        <w:rPr>
          <w:rFonts w:ascii="Georgia" w:hAnsi="Georgia"/>
          <w:lang w:val="en-GB"/>
        </w:rPr>
        <w:t>Western-European countries with entirely sectoral-orientated objective systems (</w:t>
      </w:r>
      <w:r w:rsidRPr="0002056A">
        <w:rPr>
          <w:rFonts w:ascii="Georgia" w:hAnsi="Georgia"/>
          <w:i/>
          <w:iCs/>
          <w:lang w:val="en-GB"/>
        </w:rPr>
        <w:t xml:space="preserve">Denmark </w:t>
      </w:r>
      <w:r w:rsidRPr="0002056A">
        <w:rPr>
          <w:rFonts w:ascii="Georgia" w:hAnsi="Georgia"/>
          <w:lang w:val="en-GB"/>
        </w:rPr>
        <w:t>and</w:t>
      </w:r>
      <w:r w:rsidRPr="0002056A">
        <w:rPr>
          <w:rFonts w:ascii="Georgia" w:hAnsi="Georgia"/>
          <w:i/>
          <w:iCs/>
          <w:lang w:val="en-GB"/>
        </w:rPr>
        <w:t xml:space="preserve"> Luxemburg</w:t>
      </w:r>
      <w:r w:rsidRPr="0002056A">
        <w:rPr>
          <w:rFonts w:ascii="Georgia" w:hAnsi="Georgia"/>
          <w:lang w:val="en-GB"/>
        </w:rPr>
        <w:t>) and numerous Southeastern</w:t>
      </w:r>
      <w:r w:rsidR="00A5266C" w:rsidRPr="0002056A">
        <w:rPr>
          <w:rFonts w:ascii="Georgia" w:hAnsi="Georgia"/>
          <w:lang w:val="en-GB"/>
        </w:rPr>
        <w:t>-</w:t>
      </w:r>
      <w:r w:rsidRPr="0002056A">
        <w:rPr>
          <w:rFonts w:ascii="Georgia" w:hAnsi="Georgia"/>
          <w:lang w:val="en-GB"/>
        </w:rPr>
        <w:t xml:space="preserve">European </w:t>
      </w:r>
      <w:r w:rsidR="00334B07" w:rsidRPr="0002056A">
        <w:rPr>
          <w:rFonts w:ascii="Georgia" w:hAnsi="Georgia"/>
          <w:lang w:val="en-GB"/>
        </w:rPr>
        <w:t>state</w:t>
      </w:r>
      <w:r w:rsidRPr="0002056A">
        <w:rPr>
          <w:rFonts w:ascii="Georgia" w:hAnsi="Georgia"/>
          <w:lang w:val="en-GB"/>
        </w:rPr>
        <w:t>s (</w:t>
      </w:r>
      <w:r w:rsidRPr="0002056A">
        <w:rPr>
          <w:rFonts w:ascii="Georgia" w:hAnsi="Georgia"/>
          <w:i/>
          <w:iCs/>
          <w:lang w:val="en-GB"/>
        </w:rPr>
        <w:t>Malta</w:t>
      </w:r>
      <w:r w:rsidRPr="0002056A">
        <w:rPr>
          <w:rFonts w:ascii="Georgia" w:hAnsi="Georgia"/>
          <w:lang w:val="en-GB"/>
        </w:rPr>
        <w:t xml:space="preserve">, </w:t>
      </w:r>
      <w:r w:rsidRPr="0002056A">
        <w:rPr>
          <w:rFonts w:ascii="Georgia" w:hAnsi="Georgia"/>
          <w:i/>
          <w:iCs/>
          <w:lang w:val="en-GB"/>
        </w:rPr>
        <w:t>Cyprus, Bosnia, Macedonia, Montenegro, Bulgaria</w:t>
      </w:r>
      <w:r w:rsidRPr="0002056A">
        <w:rPr>
          <w:rFonts w:ascii="Georgia" w:hAnsi="Georgia"/>
          <w:lang w:val="en-GB"/>
        </w:rPr>
        <w:t>)</w:t>
      </w:r>
      <w:r w:rsidR="000676EC" w:rsidRPr="0002056A">
        <w:rPr>
          <w:rFonts w:ascii="Georgia" w:hAnsi="Georgia"/>
          <w:lang w:val="en-GB"/>
        </w:rPr>
        <w:t xml:space="preserve"> (Figure 21)</w:t>
      </w:r>
      <w:r w:rsidRPr="0002056A">
        <w:rPr>
          <w:rFonts w:ascii="Georgia" w:hAnsi="Georgia"/>
          <w:lang w:val="en-GB"/>
        </w:rPr>
        <w:t>.</w:t>
      </w:r>
    </w:p>
    <w:p w14:paraId="41BF50A0" w14:textId="77777777" w:rsidR="00171286" w:rsidRPr="0002056A" w:rsidRDefault="00171286" w:rsidP="00171286">
      <w:pPr>
        <w:shd w:val="clear" w:color="auto" w:fill="FFFFFF" w:themeFill="background1"/>
        <w:spacing w:before="120" w:after="120"/>
        <w:jc w:val="both"/>
        <w:rPr>
          <w:rFonts w:ascii="Georgia" w:hAnsi="Georgia" w:cs="Times New Roman"/>
          <w:bCs/>
          <w:lang w:val="en-GB"/>
        </w:rPr>
      </w:pPr>
      <w:r w:rsidRPr="0002056A">
        <w:rPr>
          <w:rFonts w:ascii="Georgia" w:eastAsia="Times New Roman" w:hAnsi="Georgia" w:cs="Times New Roman"/>
          <w:bCs/>
          <w:iCs/>
          <w:lang w:val="en-GB" w:eastAsia="hu-HU"/>
        </w:rPr>
        <w:t>As for</w:t>
      </w:r>
      <w:r w:rsidRPr="0002056A">
        <w:rPr>
          <w:rFonts w:ascii="Georgia" w:eastAsia="Times New Roman" w:hAnsi="Georgia" w:cs="Times New Roman"/>
          <w:b/>
          <w:iCs/>
          <w:lang w:val="en-GB" w:eastAsia="hu-HU"/>
        </w:rPr>
        <w:t xml:space="preserve"> the basic logic of vision chapters, </w:t>
      </w:r>
      <w:r w:rsidRPr="0002056A">
        <w:rPr>
          <w:rFonts w:ascii="Georgia" w:hAnsi="Georgia" w:cs="Times New Roman"/>
          <w:bCs/>
          <w:lang w:val="en-GB"/>
        </w:rPr>
        <w:t xml:space="preserve">15 NAS documents do not contain such chapter at all; the others do but only two NASs contain elements </w:t>
      </w:r>
      <w:r w:rsidRPr="0002056A">
        <w:rPr>
          <w:rFonts w:ascii="Georgia" w:eastAsia="Times New Roman" w:hAnsi="Georgia" w:cs="Times New Roman"/>
          <w:color w:val="000000"/>
          <w:lang w:val="en-GB" w:eastAsia="hu-HU"/>
        </w:rPr>
        <w:t>dedicated for spatial aspects. The best category with spatially structured visions is totally missing. In the upper-middle category</w:t>
      </w:r>
      <w:r w:rsidRPr="0002056A">
        <w:rPr>
          <w:rFonts w:ascii="Georgia" w:hAnsi="Georgia" w:cs="Times New Roman"/>
          <w:bCs/>
          <w:lang w:val="en-GB"/>
        </w:rPr>
        <w:t xml:space="preserve"> </w:t>
      </w:r>
      <w:r w:rsidRPr="0002056A">
        <w:rPr>
          <w:rFonts w:ascii="Georgia" w:hAnsi="Georgia" w:cs="Times New Roman"/>
          <w:bCs/>
          <w:i/>
          <w:lang w:val="en-GB"/>
        </w:rPr>
        <w:t>Scotland’s</w:t>
      </w:r>
      <w:r w:rsidRPr="0002056A">
        <w:rPr>
          <w:rFonts w:ascii="Georgia" w:hAnsi="Georgia" w:cs="Times New Roman"/>
          <w:bCs/>
          <w:lang w:val="en-GB"/>
        </w:rPr>
        <w:t xml:space="preserve"> Vision is basically sectoral, but it is organised into 5 main pillars, among which one is directly ("</w:t>
      </w:r>
      <w:r w:rsidRPr="0002056A">
        <w:rPr>
          <w:rFonts w:ascii="Georgia" w:hAnsi="Georgia" w:cs="Times New Roman"/>
          <w:bCs/>
          <w:i/>
          <w:iCs/>
          <w:lang w:val="en-GB"/>
        </w:rPr>
        <w:t>Nature connects across our land, settlements, coasts and seas</w:t>
      </w:r>
      <w:r w:rsidRPr="0002056A">
        <w:rPr>
          <w:rFonts w:ascii="Georgia" w:hAnsi="Georgia" w:cs="Times New Roman"/>
          <w:bCs/>
          <w:lang w:val="en-GB"/>
        </w:rPr>
        <w:t>") and one is indirectly spatial ("</w:t>
      </w:r>
      <w:r w:rsidRPr="0002056A">
        <w:rPr>
          <w:rFonts w:ascii="Georgia" w:hAnsi="Georgia" w:cs="Times New Roman"/>
          <w:bCs/>
          <w:i/>
          <w:iCs/>
          <w:lang w:val="en-GB"/>
        </w:rPr>
        <w:t>Communities are creating climate-resilient, healthy and equitable places</w:t>
      </w:r>
      <w:r w:rsidRPr="0002056A">
        <w:rPr>
          <w:rFonts w:ascii="Georgia" w:hAnsi="Georgia" w:cs="Times New Roman"/>
          <w:bCs/>
          <w:lang w:val="en-GB"/>
        </w:rPr>
        <w:t xml:space="preserve">"). In </w:t>
      </w:r>
      <w:r w:rsidRPr="0002056A">
        <w:rPr>
          <w:rFonts w:ascii="Georgia" w:hAnsi="Georgia" w:cs="Times New Roman"/>
          <w:bCs/>
          <w:i/>
          <w:lang w:val="en-GB"/>
        </w:rPr>
        <w:t>Germany</w:t>
      </w:r>
      <w:r w:rsidRPr="0002056A">
        <w:rPr>
          <w:rFonts w:ascii="Georgia" w:hAnsi="Georgia" w:cs="Times New Roman"/>
          <w:bCs/>
          <w:lang w:val="en-GB"/>
        </w:rPr>
        <w:t xml:space="preserve"> a vision paragraph is dedicated to cities, towns and villages, but cities/towns also emerge in the impact-related paragraph, and small watercourses, rivers and peatlands in the water- energy- and raw material supply-related paragraph. </w:t>
      </w:r>
      <w:r w:rsidRPr="0002056A">
        <w:rPr>
          <w:rFonts w:ascii="Georgia" w:hAnsi="Georgia" w:cs="Times New Roman"/>
          <w:bCs/>
          <w:i/>
          <w:lang w:val="en-GB"/>
        </w:rPr>
        <w:t>Romania</w:t>
      </w:r>
      <w:r w:rsidRPr="0002056A">
        <w:rPr>
          <w:rFonts w:ascii="Georgia" w:hAnsi="Georgia" w:cs="Times New Roman"/>
          <w:bCs/>
          <w:lang w:val="en-GB"/>
        </w:rPr>
        <w:t>’s NAS vision mentions „</w:t>
      </w:r>
      <w:r w:rsidRPr="0002056A">
        <w:rPr>
          <w:rFonts w:ascii="Georgia" w:hAnsi="Georgia" w:cs="Times New Roman"/>
          <w:bCs/>
          <w:i/>
          <w:iCs/>
          <w:lang w:val="en-GB"/>
        </w:rPr>
        <w:t>areas</w:t>
      </w:r>
      <w:r w:rsidRPr="0002056A">
        <w:rPr>
          <w:rFonts w:ascii="Georgia" w:hAnsi="Georgia" w:cs="Times New Roman"/>
          <w:bCs/>
          <w:lang w:val="en-GB"/>
        </w:rPr>
        <w:t>”</w:t>
      </w:r>
      <w:r w:rsidRPr="0002056A">
        <w:rPr>
          <w:rStyle w:val="Lbjegyzet-hivatkozs"/>
          <w:rFonts w:ascii="Georgia" w:hAnsi="Georgia" w:cs="Times New Roman"/>
          <w:bCs/>
          <w:lang w:val="en-GB"/>
        </w:rPr>
        <w:footnoteReference w:id="98"/>
      </w:r>
      <w:r w:rsidRPr="0002056A">
        <w:rPr>
          <w:rFonts w:ascii="Georgia" w:hAnsi="Georgia" w:cs="Times New Roman"/>
          <w:bCs/>
          <w:lang w:val="en-GB"/>
        </w:rPr>
        <w:t xml:space="preserve"> in general. Scarce spatial hints can be detected in some parts of the vision of </w:t>
      </w:r>
      <w:r w:rsidRPr="0002056A">
        <w:rPr>
          <w:rFonts w:ascii="Georgia" w:hAnsi="Georgia" w:cs="Times New Roman"/>
          <w:bCs/>
          <w:i/>
          <w:lang w:val="en-GB"/>
        </w:rPr>
        <w:t>Wales, Bosnia</w:t>
      </w:r>
      <w:r w:rsidRPr="0002056A">
        <w:rPr>
          <w:rFonts w:ascii="Georgia" w:hAnsi="Georgia" w:cs="Times New Roman"/>
          <w:bCs/>
          <w:lang w:val="en-GB"/>
        </w:rPr>
        <w:t xml:space="preserve"> or the previous </w:t>
      </w:r>
      <w:r w:rsidRPr="0002056A">
        <w:rPr>
          <w:rFonts w:ascii="Georgia" w:hAnsi="Georgia" w:cs="Times New Roman"/>
          <w:bCs/>
          <w:i/>
          <w:lang w:val="en-GB"/>
        </w:rPr>
        <w:t>Austrian</w:t>
      </w:r>
      <w:r w:rsidRPr="0002056A">
        <w:rPr>
          <w:rFonts w:ascii="Georgia" w:hAnsi="Georgia" w:cs="Times New Roman"/>
          <w:bCs/>
          <w:lang w:val="en-GB"/>
        </w:rPr>
        <w:t xml:space="preserve"> NAS. Other countries either do not have Vision chapters or who does, does not apply spatial references. </w:t>
      </w:r>
    </w:p>
    <w:p w14:paraId="6A2E1816" w14:textId="0A0508F1" w:rsidR="00171286" w:rsidRPr="0002056A" w:rsidRDefault="00171286" w:rsidP="00171286">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
          <w:iCs/>
          <w:lang w:val="en-GB" w:eastAsia="hu-HU"/>
        </w:rPr>
        <w:t xml:space="preserve">The Visions’ spatial content </w:t>
      </w:r>
      <w:r w:rsidRPr="0002056A">
        <w:rPr>
          <w:rFonts w:ascii="Georgia" w:eastAsia="Times New Roman" w:hAnsi="Georgia" w:cs="Times New Roman"/>
          <w:bCs/>
          <w:iCs/>
          <w:lang w:val="en-GB" w:eastAsia="hu-HU"/>
        </w:rPr>
        <w:t xml:space="preserve">sub-aspect’s result </w:t>
      </w:r>
      <w:r w:rsidRPr="0002056A">
        <w:rPr>
          <w:rFonts w:ascii="Georgia" w:eastAsia="Times New Roman" w:hAnsi="Georgia" w:cs="Times New Roman"/>
          <w:bCs/>
          <w:color w:val="000000"/>
          <w:lang w:val="en-GB" w:eastAsia="hu-HU"/>
        </w:rPr>
        <w:t>is</w:t>
      </w:r>
      <w:r w:rsidRPr="0002056A">
        <w:rPr>
          <w:rFonts w:ascii="Georgia" w:eastAsia="Times New Roman" w:hAnsi="Georgia" w:cs="Times New Roman"/>
          <w:color w:val="000000"/>
          <w:lang w:val="en-GB" w:eastAsia="hu-HU"/>
        </w:rPr>
        <w:t xml:space="preserve"> very similar to the situation of the previous analytical sub-aspect. The best category is totally missing again. In the upper-middle category </w:t>
      </w:r>
      <w:r w:rsidRPr="0002056A">
        <w:rPr>
          <w:rFonts w:ascii="Georgia" w:eastAsia="Times New Roman" w:hAnsi="Georgia" w:cs="Times New Roman"/>
          <w:i/>
          <w:iCs/>
          <w:color w:val="000000"/>
          <w:lang w:val="en-GB" w:eastAsia="hu-HU"/>
        </w:rPr>
        <w:t>Germany</w:t>
      </w:r>
      <w:r w:rsidRPr="0002056A">
        <w:rPr>
          <w:rFonts w:ascii="Georgia" w:eastAsia="Times New Roman" w:hAnsi="Georgia" w:cs="Times New Roman"/>
          <w:color w:val="000000"/>
          <w:lang w:val="en-GB" w:eastAsia="hu-HU"/>
        </w:rPr>
        <w:t xml:space="preserve">’s vision mentions settlement network elements and land use (habitat) type -related vulnerability characteristics. Scotland’s vision talks about region types (coasts, seas), settlements in general, land in general and communities’ places in general as well. From the lower-middle category, </w:t>
      </w:r>
      <w:r w:rsidRPr="0002056A">
        <w:rPr>
          <w:rFonts w:ascii="Georgia" w:eastAsia="Times New Roman" w:hAnsi="Georgia" w:cs="Times New Roman"/>
          <w:i/>
          <w:color w:val="000000"/>
          <w:lang w:val="en-GB" w:eastAsia="hu-HU"/>
        </w:rPr>
        <w:t xml:space="preserve">Croatia </w:t>
      </w:r>
      <w:r w:rsidRPr="0002056A">
        <w:rPr>
          <w:rFonts w:ascii="Georgia" w:eastAsia="Times New Roman" w:hAnsi="Georgia" w:cs="Times New Roman"/>
          <w:color w:val="000000"/>
          <w:lang w:val="en-GB" w:eastAsia="hu-HU"/>
        </w:rPr>
        <w:t>(whose vision mentions multilevel</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governance implicitly),</w:t>
      </w:r>
      <w:r w:rsidRPr="0002056A">
        <w:rPr>
          <w:rFonts w:ascii="Georgia" w:eastAsia="Times New Roman" w:hAnsi="Georgia" w:cs="Times New Roman"/>
          <w:i/>
          <w:color w:val="000000"/>
          <w:lang w:val="en-GB" w:eastAsia="hu-HU"/>
        </w:rPr>
        <w:t xml:space="preserve"> the Czech Republic </w:t>
      </w:r>
      <w:r w:rsidRPr="0002056A">
        <w:rPr>
          <w:rFonts w:ascii="Georgia" w:eastAsia="Times New Roman" w:hAnsi="Georgia" w:cs="Times New Roman"/>
          <w:color w:val="000000"/>
          <w:lang w:val="en-GB" w:eastAsia="hu-HU"/>
        </w:rPr>
        <w:t>(where only landscape issues come up),</w:t>
      </w:r>
      <w:r w:rsidRPr="0002056A">
        <w:rPr>
          <w:rFonts w:ascii="Georgia" w:eastAsia="Times New Roman" w:hAnsi="Georgia" w:cs="Times New Roman"/>
          <w:i/>
          <w:color w:val="000000"/>
          <w:lang w:val="en-GB" w:eastAsia="hu-HU"/>
        </w:rPr>
        <w:t xml:space="preserve"> Latvia </w:t>
      </w:r>
      <w:r w:rsidRPr="0002056A">
        <w:rPr>
          <w:rFonts w:ascii="Georgia" w:eastAsia="Times New Roman" w:hAnsi="Georgia" w:cs="Times New Roman"/>
          <w:color w:val="000000"/>
          <w:lang w:val="en-GB" w:eastAsia="hu-HU"/>
        </w:rPr>
        <w:t>(half of one vision bullet point focuses on climate risk-oriented spatial planning and necessary changes in spatial planning are especially nominated),</w:t>
      </w:r>
      <w:r w:rsidRPr="0002056A">
        <w:rPr>
          <w:rFonts w:ascii="Georgia" w:eastAsia="Times New Roman" w:hAnsi="Georgia" w:cs="Times New Roman"/>
          <w:i/>
          <w:color w:val="000000"/>
          <w:lang w:val="en-GB" w:eastAsia="hu-HU"/>
        </w:rPr>
        <w:t xml:space="preserve"> Albania </w:t>
      </w:r>
      <w:r w:rsidRPr="0002056A">
        <w:rPr>
          <w:rFonts w:ascii="Georgia" w:eastAsia="Times New Roman" w:hAnsi="Georgia" w:cs="Times New Roman"/>
          <w:color w:val="000000"/>
          <w:lang w:val="en-GB" w:eastAsia="hu-HU"/>
        </w:rPr>
        <w:t>(the spatial idea is not really present in the Vision but it mentions the Mediterranean area, where the effects of climate change are more pronounced),</w:t>
      </w:r>
      <w:r w:rsidRPr="0002056A">
        <w:rPr>
          <w:rFonts w:ascii="Georgia" w:eastAsia="Times New Roman" w:hAnsi="Georgia" w:cs="Times New Roman"/>
          <w:i/>
          <w:color w:val="000000"/>
          <w:lang w:val="en-GB" w:eastAsia="hu-HU"/>
        </w:rPr>
        <w:t xml:space="preserve"> Northern Ireland </w:t>
      </w:r>
      <w:r w:rsidRPr="0002056A">
        <w:rPr>
          <w:rFonts w:ascii="Georgia" w:eastAsia="Times New Roman" w:hAnsi="Georgia" w:cs="Times New Roman"/>
          <w:color w:val="000000"/>
          <w:lang w:val="en-GB" w:eastAsia="hu-HU"/>
        </w:rPr>
        <w:t xml:space="preserve">(all outcome objectives, or using their other name, lower-level objectives have an introductory short sentence, serving as vision; out of these almost all are general, only NC1 mentions habitats and water bodies in general, NC2 coastal communities, and habitats, P1 communities resilient to flooding and extreme weathers - these are weak contents); </w:t>
      </w:r>
      <w:r w:rsidRPr="0002056A">
        <w:rPr>
          <w:rFonts w:ascii="Georgia" w:eastAsia="Times New Roman" w:hAnsi="Georgia" w:cs="Times New Roman"/>
          <w:i/>
          <w:color w:val="000000"/>
          <w:lang w:val="en-GB" w:eastAsia="hu-HU"/>
        </w:rPr>
        <w:t xml:space="preserve">Finland </w:t>
      </w:r>
      <w:r w:rsidRPr="0002056A">
        <w:rPr>
          <w:rFonts w:ascii="Georgia" w:eastAsia="Times New Roman" w:hAnsi="Georgia" w:cs="Times New Roman"/>
          <w:color w:val="000000"/>
          <w:lang w:val="en-GB" w:eastAsia="hu-HU"/>
        </w:rPr>
        <w:lastRenderedPageBreak/>
        <w:t>(no territorial/regional/spatial reflections can be detected, but some hints to geopolitics) and</w:t>
      </w:r>
      <w:r w:rsidRPr="0002056A">
        <w:rPr>
          <w:rFonts w:ascii="Georgia" w:eastAsia="Times New Roman" w:hAnsi="Georgia" w:cs="Times New Roman"/>
          <w:i/>
          <w:color w:val="000000"/>
          <w:lang w:val="en-GB" w:eastAsia="hu-HU"/>
        </w:rPr>
        <w:t xml:space="preserve"> Iceland </w:t>
      </w:r>
      <w:r w:rsidRPr="0002056A">
        <w:rPr>
          <w:rFonts w:ascii="Georgia" w:eastAsia="Times New Roman" w:hAnsi="Georgia" w:cs="Times New Roman"/>
          <w:color w:val="000000"/>
          <w:lang w:val="en-GB" w:eastAsia="hu-HU"/>
        </w:rPr>
        <w:t>(where the NAS “</w:t>
      </w:r>
      <w:r w:rsidRPr="0002056A">
        <w:rPr>
          <w:rFonts w:ascii="Georgia" w:eastAsia="Times New Roman" w:hAnsi="Georgia" w:cs="Times New Roman"/>
          <w:i/>
          <w:iCs/>
          <w:color w:val="000000"/>
          <w:lang w:val="en-GB" w:eastAsia="hu-HU"/>
        </w:rPr>
        <w:t>Core goals</w:t>
      </w:r>
      <w:r w:rsidRPr="0002056A">
        <w:rPr>
          <w:rFonts w:ascii="Georgia" w:eastAsia="Times New Roman" w:hAnsi="Georgia" w:cs="Times New Roman"/>
          <w:color w:val="000000"/>
          <w:lang w:val="en-GB" w:eastAsia="hu-HU"/>
        </w:rPr>
        <w:t>” chapter can be considered as vision; among its 10 points spatial references are missing, #5 refers to multilevel governance implicitly through regions and municipalities) can be mentioned. In the other countries the Vision chapter does not mention any of these aspects, or the Chapter itself is missing from the documents.</w:t>
      </w:r>
    </w:p>
    <w:p w14:paraId="507D4F47" w14:textId="77777777" w:rsidR="001F27BC" w:rsidRPr="0002056A" w:rsidRDefault="001F27BC" w:rsidP="001F27BC">
      <w:pPr>
        <w:shd w:val="clear" w:color="auto" w:fill="FFFFFF" w:themeFill="background1"/>
        <w:spacing w:before="120" w:afterLines="120" w:after="288" w:line="240" w:lineRule="auto"/>
        <w:jc w:val="both"/>
        <w:rPr>
          <w:rFonts w:ascii="Georgia" w:eastAsia="Times New Roman" w:hAnsi="Georgia" w:cs="Times New Roman"/>
          <w:color w:val="000000"/>
          <w:sz w:val="20"/>
          <w:szCs w:val="20"/>
          <w:lang w:val="en-GB" w:eastAsia="hu-HU"/>
        </w:rPr>
      </w:pPr>
      <w:r w:rsidRPr="0002056A">
        <w:rPr>
          <w:rFonts w:ascii="Georgia" w:eastAsia="Times New Roman" w:hAnsi="Georgia" w:cs="Times New Roman"/>
          <w:noProof/>
          <w:color w:val="000000"/>
          <w:sz w:val="20"/>
          <w:szCs w:val="20"/>
          <w:lang w:val="en-GB" w:eastAsia="hu-HU"/>
          <w14:ligatures w14:val="standardContextual"/>
        </w:rPr>
        <w:drawing>
          <wp:inline distT="0" distB="0" distL="0" distR="0" wp14:anchorId="1994DEA0" wp14:editId="3511B793">
            <wp:extent cx="5760720" cy="4863465"/>
            <wp:effectExtent l="19050" t="19050" r="11430" b="13335"/>
            <wp:docPr id="1660253744" name="Kép 6" descr="A képen térkép, szöveg,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53744" name="Kép 6" descr="A képen térkép, szöveg, atlasz látható&#10;&#10;Előfordulhat, hogy az AI által létrehozott tartalom helytele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725748E8" w14:textId="4A146748" w:rsidR="001F27BC" w:rsidRPr="0002056A" w:rsidRDefault="001F27BC" w:rsidP="000B29CB">
      <w:pPr>
        <w:jc w:val="center"/>
        <w:rPr>
          <w:rFonts w:ascii="Georgia" w:eastAsia="Times New Roman" w:hAnsi="Georgia" w:cs="Times New Roman"/>
          <w:color w:val="000000"/>
          <w:sz w:val="20"/>
          <w:szCs w:val="20"/>
          <w:lang w:val="en-GB" w:eastAsia="hu-HU"/>
        </w:rPr>
      </w:pPr>
      <w:r w:rsidRPr="0002056A">
        <w:rPr>
          <w:rFonts w:ascii="Georgia" w:hAnsi="Georgia"/>
          <w:b/>
          <w:bCs/>
          <w:sz w:val="18"/>
          <w:szCs w:val="18"/>
          <w:lang w:val="en-GB"/>
        </w:rPr>
        <w:t xml:space="preserve">Figure </w:t>
      </w:r>
      <w:r w:rsidR="000B29CB" w:rsidRPr="0002056A">
        <w:rPr>
          <w:rFonts w:ascii="Georgia" w:hAnsi="Georgia"/>
          <w:b/>
          <w:bCs/>
          <w:sz w:val="18"/>
          <w:szCs w:val="18"/>
          <w:lang w:val="en-GB"/>
        </w:rPr>
        <w:t>21</w:t>
      </w:r>
      <w:r w:rsidRPr="0002056A">
        <w:rPr>
          <w:rFonts w:ascii="Georgia" w:hAnsi="Georgia"/>
          <w:b/>
          <w:bCs/>
          <w:sz w:val="18"/>
          <w:szCs w:val="18"/>
          <w:lang w:val="en-GB"/>
        </w:rPr>
        <w:t xml:space="preserve">: Degree of spatial content of the NAS objective systems in the analysed countries. </w:t>
      </w:r>
      <w:r w:rsidRPr="0002056A">
        <w:rPr>
          <w:rFonts w:ascii="Georgia" w:hAnsi="Georgia"/>
          <w:i/>
          <w:iCs/>
          <w:sz w:val="18"/>
          <w:szCs w:val="18"/>
          <w:lang w:val="en-GB"/>
        </w:rPr>
        <w:t>Source: own editing.</w:t>
      </w:r>
    </w:p>
    <w:p w14:paraId="1164E640" w14:textId="7C8062C4" w:rsidR="00BD445B" w:rsidRPr="0002056A" w:rsidRDefault="00666B4E" w:rsidP="00CD5BF3">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bCs/>
          <w:iCs/>
          <w:lang w:val="en-GB" w:eastAsia="hu-HU"/>
        </w:rPr>
        <w:t>T</w:t>
      </w:r>
      <w:r w:rsidR="00BD445B" w:rsidRPr="0002056A">
        <w:rPr>
          <w:rFonts w:ascii="Georgia" w:eastAsia="Times New Roman" w:hAnsi="Georgia" w:cs="Times New Roman"/>
          <w:bCs/>
          <w:iCs/>
          <w:lang w:val="en-GB" w:eastAsia="hu-HU"/>
        </w:rPr>
        <w:t>he sub-aspect</w:t>
      </w:r>
      <w:r w:rsidR="00BD445B" w:rsidRPr="0002056A">
        <w:rPr>
          <w:rFonts w:ascii="Georgia" w:eastAsia="Times New Roman" w:hAnsi="Georgia" w:cs="Times New Roman"/>
          <w:b/>
          <w:iCs/>
          <w:lang w:val="en-GB" w:eastAsia="hu-HU"/>
        </w:rPr>
        <w:t xml:space="preserve"> “</w:t>
      </w:r>
      <w:r w:rsidR="00BD445B" w:rsidRPr="0002056A">
        <w:rPr>
          <w:rFonts w:ascii="Georgia" w:eastAsia="Times New Roman" w:hAnsi="Georgia" w:cs="Times New Roman"/>
          <w:b/>
          <w:bCs/>
          <w:color w:val="000000"/>
          <w:lang w:val="en-GB" w:eastAsia="hu-HU"/>
        </w:rPr>
        <w:t>sp</w:t>
      </w:r>
      <w:r w:rsidR="00BD445B" w:rsidRPr="0002056A">
        <w:rPr>
          <w:rFonts w:ascii="Georgia" w:eastAsia="Times New Roman" w:hAnsi="Georgia" w:cs="Times New Roman"/>
          <w:b/>
          <w:iCs/>
          <w:lang w:val="en-GB" w:eastAsia="hu-HU"/>
        </w:rPr>
        <w:t>atial content of the whole objective system</w:t>
      </w:r>
      <w:r w:rsidR="00462D48" w:rsidRPr="0002056A">
        <w:rPr>
          <w:rFonts w:ascii="Georgia" w:eastAsia="Times New Roman" w:hAnsi="Georgia" w:cs="Times New Roman"/>
          <w:b/>
          <w:iCs/>
          <w:lang w:val="en-GB" w:eastAsia="hu-HU"/>
        </w:rPr>
        <w:t>”</w:t>
      </w:r>
      <w:r w:rsidR="00BD445B" w:rsidRPr="0002056A">
        <w:rPr>
          <w:rFonts w:ascii="Georgia" w:eastAsia="Times New Roman" w:hAnsi="Georgia" w:cs="Times New Roman"/>
          <w:b/>
          <w:iCs/>
          <w:lang w:val="en-GB" w:eastAsia="hu-HU"/>
        </w:rPr>
        <w:t xml:space="preserve"> </w:t>
      </w:r>
      <w:r w:rsidR="00BD445B" w:rsidRPr="0002056A">
        <w:rPr>
          <w:rFonts w:ascii="Georgia" w:eastAsia="Times New Roman" w:hAnsi="Georgia" w:cs="Times New Roman"/>
          <w:bCs/>
          <w:iCs/>
          <w:lang w:val="en-GB" w:eastAsia="hu-HU"/>
        </w:rPr>
        <w:t>brought best performances in six</w:t>
      </w:r>
      <w:r w:rsidR="00BD445B" w:rsidRPr="0002056A">
        <w:rPr>
          <w:rFonts w:ascii="Georgia" w:eastAsia="Times New Roman" w:hAnsi="Georgia" w:cs="Times New Roman"/>
          <w:b/>
          <w:iCs/>
          <w:lang w:val="en-GB" w:eastAsia="hu-HU"/>
        </w:rPr>
        <w:t xml:space="preserve"> </w:t>
      </w:r>
      <w:r w:rsidR="00BD445B" w:rsidRPr="0002056A">
        <w:rPr>
          <w:rFonts w:ascii="Georgia" w:eastAsia="Times New Roman" w:hAnsi="Georgia" w:cs="Times New Roman"/>
          <w:color w:val="000000"/>
          <w:lang w:val="en-GB" w:eastAsia="hu-HU"/>
        </w:rPr>
        <w:t>countries</w:t>
      </w:r>
      <w:r w:rsidR="00BD445B" w:rsidRPr="0002056A">
        <w:rPr>
          <w:rFonts w:ascii="Georgia" w:eastAsia="Times New Roman" w:hAnsi="Georgia" w:cs="Times New Roman"/>
          <w:i/>
          <w:color w:val="000000"/>
          <w:lang w:val="en-GB" w:eastAsia="hu-HU"/>
        </w:rPr>
        <w:t xml:space="preserve"> (Lithuania, Poland, Türkiye, Switzerland, Germany, Scotland), </w:t>
      </w:r>
      <w:r w:rsidR="00CB38A5" w:rsidRPr="0002056A">
        <w:rPr>
          <w:rFonts w:ascii="Georgia" w:eastAsia="Times New Roman" w:hAnsi="Georgia" w:cs="Times New Roman"/>
          <w:iCs/>
          <w:color w:val="000000"/>
          <w:lang w:val="en-GB" w:eastAsia="hu-HU"/>
        </w:rPr>
        <w:t>w</w:t>
      </w:r>
      <w:r w:rsidR="00BD445B" w:rsidRPr="0002056A">
        <w:rPr>
          <w:rFonts w:ascii="Georgia" w:eastAsia="Times New Roman" w:hAnsi="Georgia" w:cs="Times New Roman"/>
          <w:iCs/>
          <w:color w:val="000000"/>
          <w:lang w:val="en-GB" w:eastAsia="hu-HU"/>
        </w:rPr>
        <w:t>here the different levels of the objectives explicitly mention</w:t>
      </w:r>
      <w:r w:rsidR="00CB38A5" w:rsidRPr="0002056A">
        <w:rPr>
          <w:rFonts w:ascii="Georgia" w:eastAsia="Times New Roman" w:hAnsi="Georgia" w:cs="Times New Roman"/>
          <w:iCs/>
          <w:color w:val="000000"/>
          <w:lang w:val="en-GB" w:eastAsia="hu-HU"/>
        </w:rPr>
        <w:t xml:space="preserve"> </w:t>
      </w:r>
      <w:r w:rsidR="00BD445B" w:rsidRPr="0002056A">
        <w:rPr>
          <w:rFonts w:ascii="Georgia" w:eastAsia="Times New Roman" w:hAnsi="Georgia" w:cs="Times New Roman"/>
          <w:iCs/>
          <w:color w:val="000000"/>
          <w:lang w:val="en-GB" w:eastAsia="hu-HU"/>
        </w:rPr>
        <w:t>special geographic areas or</w:t>
      </w:r>
      <w:r w:rsidR="00BD445B" w:rsidRPr="0002056A">
        <w:rPr>
          <w:rFonts w:ascii="Georgia" w:eastAsia="Times New Roman" w:hAnsi="Georgia" w:cs="Times New Roman"/>
          <w:color w:val="000000"/>
          <w:lang w:val="en-GB" w:eastAsia="hu-HU"/>
        </w:rPr>
        <w:t xml:space="preserve"> settlement network elements, region types or functional areas (FUAs, cross-border or macro regions), spatial vulnerability characteristics</w:t>
      </w:r>
      <w:r w:rsidR="00FF11CD" w:rsidRPr="0002056A">
        <w:rPr>
          <w:rFonts w:ascii="Georgia" w:eastAsia="Times New Roman" w:hAnsi="Georgia" w:cs="Times New Roman"/>
          <w:color w:val="000000"/>
          <w:lang w:val="en-GB" w:eastAsia="hu-HU"/>
        </w:rPr>
        <w:t xml:space="preserve"> or</w:t>
      </w:r>
      <w:r w:rsidR="00BD445B" w:rsidRPr="0002056A">
        <w:rPr>
          <w:rFonts w:ascii="Georgia" w:eastAsia="Times New Roman" w:hAnsi="Georgia" w:cs="Times New Roman"/>
          <w:color w:val="000000"/>
          <w:lang w:val="en-GB" w:eastAsia="hu-HU"/>
        </w:rPr>
        <w:t xml:space="preserve"> general spatial logic </w:t>
      </w:r>
      <w:r w:rsidR="00FF11CD" w:rsidRPr="0002056A">
        <w:rPr>
          <w:rFonts w:ascii="Georgia" w:eastAsia="Times New Roman" w:hAnsi="Georgia" w:cs="Times New Roman"/>
          <w:color w:val="000000"/>
          <w:lang w:val="en-GB" w:eastAsia="hu-HU"/>
        </w:rPr>
        <w:t xml:space="preserve">(e.g. </w:t>
      </w:r>
      <w:r w:rsidR="00BD445B" w:rsidRPr="0002056A">
        <w:rPr>
          <w:rFonts w:ascii="Georgia" w:eastAsia="Times New Roman" w:hAnsi="Georgia" w:cs="Times New Roman"/>
          <w:color w:val="000000"/>
          <w:lang w:val="en-GB" w:eastAsia="hu-HU"/>
        </w:rPr>
        <w:t>focus on spatial mapping</w:t>
      </w:r>
      <w:r w:rsidR="00FF11CD" w:rsidRPr="0002056A">
        <w:rPr>
          <w:rFonts w:ascii="Georgia" w:eastAsia="Times New Roman" w:hAnsi="Georgia" w:cs="Times New Roman"/>
          <w:color w:val="000000"/>
          <w:lang w:val="en-GB" w:eastAsia="hu-HU"/>
        </w:rPr>
        <w:t xml:space="preserve"> or</w:t>
      </w:r>
      <w:r w:rsidR="00BD445B" w:rsidRPr="0002056A">
        <w:rPr>
          <w:rFonts w:ascii="Georgia" w:eastAsia="Times New Roman" w:hAnsi="Georgia" w:cs="Times New Roman"/>
          <w:color w:val="000000"/>
          <w:lang w:val="en-GB" w:eastAsia="hu-HU"/>
        </w:rPr>
        <w:t xml:space="preserve"> spatial differences</w:t>
      </w:r>
      <w:r w:rsidR="00FF11CD" w:rsidRPr="0002056A">
        <w:rPr>
          <w:rFonts w:ascii="Georgia" w:eastAsia="Times New Roman" w:hAnsi="Georgia" w:cs="Times New Roman"/>
          <w:color w:val="000000"/>
          <w:lang w:val="en-GB" w:eastAsia="hu-HU"/>
        </w:rPr>
        <w:t>)</w:t>
      </w:r>
      <w:r w:rsidR="00BD445B" w:rsidRPr="0002056A">
        <w:rPr>
          <w:rFonts w:ascii="Georgia" w:eastAsia="Times New Roman" w:hAnsi="Georgia" w:cs="Times New Roman"/>
          <w:color w:val="000000"/>
          <w:lang w:val="en-GB" w:eastAsia="hu-HU"/>
        </w:rPr>
        <w:t xml:space="preserve">. In </w:t>
      </w:r>
      <w:r w:rsidR="00BD445B" w:rsidRPr="0002056A">
        <w:rPr>
          <w:rFonts w:ascii="Georgia" w:eastAsia="Times New Roman" w:hAnsi="Georgia" w:cs="Times New Roman"/>
          <w:i/>
          <w:color w:val="000000"/>
          <w:lang w:val="en-GB" w:eastAsia="hu-HU"/>
        </w:rPr>
        <w:t xml:space="preserve">Lithuania </w:t>
      </w:r>
      <w:r w:rsidR="00BD445B" w:rsidRPr="0002056A">
        <w:rPr>
          <w:rFonts w:ascii="Georgia" w:eastAsia="Times New Roman" w:hAnsi="Georgia" w:cs="Times New Roman"/>
          <w:color w:val="000000"/>
          <w:lang w:val="en-GB" w:eastAsia="hu-HU"/>
        </w:rPr>
        <w:t>region</w:t>
      </w:r>
      <w:r w:rsidR="00FF11CD" w:rsidRPr="0002056A">
        <w:rPr>
          <w:rFonts w:ascii="Georgia" w:eastAsia="Times New Roman" w:hAnsi="Georgia" w:cs="Times New Roman"/>
          <w:color w:val="000000"/>
          <w:lang w:val="en-GB" w:eastAsia="hu-HU"/>
        </w:rPr>
        <w:t>-</w:t>
      </w:r>
      <w:r w:rsidR="00FD5AA4" w:rsidRPr="0002056A">
        <w:rPr>
          <w:rFonts w:ascii="Georgia" w:eastAsia="Times New Roman" w:hAnsi="Georgia" w:cs="Times New Roman"/>
          <w:color w:val="000000"/>
          <w:lang w:val="en-GB" w:eastAsia="hu-HU"/>
        </w:rPr>
        <w:t xml:space="preserve"> or land use-</w:t>
      </w:r>
      <w:r w:rsidR="000E3947" w:rsidRPr="0002056A">
        <w:rPr>
          <w:rFonts w:ascii="Georgia" w:eastAsia="Times New Roman" w:hAnsi="Georgia" w:cs="Times New Roman"/>
          <w:color w:val="000000"/>
          <w:lang w:val="en-GB" w:eastAsia="hu-HU"/>
        </w:rPr>
        <w:t xml:space="preserve"> and </w:t>
      </w:r>
      <w:r w:rsidR="00BD445B" w:rsidRPr="0002056A">
        <w:rPr>
          <w:rFonts w:ascii="Georgia" w:eastAsia="Times New Roman" w:hAnsi="Georgia" w:cs="Times New Roman"/>
          <w:color w:val="000000"/>
          <w:lang w:val="en-GB" w:eastAsia="hu-HU"/>
        </w:rPr>
        <w:t>settlement</w:t>
      </w:r>
      <w:r w:rsidR="00FF11CD" w:rsidRPr="0002056A">
        <w:rPr>
          <w:rFonts w:ascii="Georgia" w:eastAsia="Times New Roman" w:hAnsi="Georgia" w:cs="Times New Roman"/>
          <w:color w:val="000000"/>
          <w:lang w:val="en-GB" w:eastAsia="hu-HU"/>
        </w:rPr>
        <w:t>-</w:t>
      </w:r>
      <w:r w:rsidR="00BD445B" w:rsidRPr="0002056A">
        <w:rPr>
          <w:rFonts w:ascii="Georgia" w:eastAsia="Times New Roman" w:hAnsi="Georgia" w:cs="Times New Roman"/>
          <w:color w:val="000000"/>
          <w:lang w:val="en-GB" w:eastAsia="hu-HU"/>
        </w:rPr>
        <w:t>types (vulnerable/urban areas</w:t>
      </w:r>
      <w:r w:rsidR="004068F5" w:rsidRPr="0002056A">
        <w:rPr>
          <w:rFonts w:ascii="Georgia" w:eastAsia="Times New Roman" w:hAnsi="Georgia" w:cs="Times New Roman"/>
          <w:color w:val="000000"/>
          <w:lang w:val="en-GB" w:eastAsia="hu-HU"/>
        </w:rPr>
        <w:t>,</w:t>
      </w:r>
      <w:r w:rsidR="00BD445B" w:rsidRPr="0002056A">
        <w:rPr>
          <w:rFonts w:ascii="Georgia" w:eastAsia="Times New Roman" w:hAnsi="Georgia" w:cs="Times New Roman"/>
          <w:color w:val="000000"/>
          <w:lang w:val="en-GB" w:eastAsia="hu-HU"/>
        </w:rPr>
        <w:t xml:space="preserve"> coastal zones, forests, swamps, deprived agrarian </w:t>
      </w:r>
      <w:r w:rsidR="00216AD0" w:rsidRPr="0002056A">
        <w:rPr>
          <w:rFonts w:ascii="Georgia" w:eastAsia="Times New Roman" w:hAnsi="Georgia" w:cs="Times New Roman"/>
          <w:color w:val="000000"/>
          <w:lang w:val="en-GB" w:eastAsia="hu-HU"/>
        </w:rPr>
        <w:t>landscapes</w:t>
      </w:r>
      <w:r w:rsidR="00BD445B" w:rsidRPr="0002056A">
        <w:rPr>
          <w:rFonts w:ascii="Georgia" w:eastAsia="Times New Roman" w:hAnsi="Georgia" w:cs="Times New Roman"/>
          <w:color w:val="000000"/>
          <w:lang w:val="en-GB" w:eastAsia="hu-HU"/>
        </w:rPr>
        <w:t xml:space="preserve"> and agricultural areas</w:t>
      </w:r>
      <w:r w:rsidR="004068F5" w:rsidRPr="0002056A">
        <w:rPr>
          <w:rFonts w:ascii="Georgia" w:eastAsia="Times New Roman" w:hAnsi="Georgia" w:cs="Times New Roman"/>
          <w:color w:val="000000"/>
          <w:lang w:val="en-GB" w:eastAsia="hu-HU"/>
        </w:rPr>
        <w:t>)</w:t>
      </w:r>
      <w:r w:rsidR="00BD445B" w:rsidRPr="0002056A">
        <w:rPr>
          <w:rFonts w:ascii="Georgia" w:eastAsia="Times New Roman" w:hAnsi="Georgia" w:cs="Times New Roman"/>
          <w:color w:val="000000"/>
          <w:lang w:val="en-GB" w:eastAsia="hu-HU"/>
        </w:rPr>
        <w:t xml:space="preserve">, as well as </w:t>
      </w:r>
      <w:r w:rsidR="000E3947" w:rsidRPr="0002056A">
        <w:rPr>
          <w:rFonts w:ascii="Georgia" w:eastAsia="Times New Roman" w:hAnsi="Georgia" w:cs="Times New Roman"/>
          <w:color w:val="000000"/>
          <w:lang w:val="en-GB" w:eastAsia="hu-HU"/>
        </w:rPr>
        <w:t>actual</w:t>
      </w:r>
      <w:r w:rsidR="00BD445B" w:rsidRPr="0002056A">
        <w:rPr>
          <w:rFonts w:ascii="Georgia" w:eastAsia="Times New Roman" w:hAnsi="Georgia" w:cs="Times New Roman"/>
          <w:color w:val="000000"/>
          <w:lang w:val="en-GB" w:eastAsia="hu-HU"/>
        </w:rPr>
        <w:t xml:space="preserve"> territories (the </w:t>
      </w:r>
      <w:r w:rsidR="00CA3CEE" w:rsidRPr="0002056A">
        <w:rPr>
          <w:rFonts w:ascii="Georgia" w:eastAsia="Times New Roman" w:hAnsi="Georgia" w:cs="Times New Roman"/>
          <w:color w:val="000000"/>
          <w:lang w:val="en-GB" w:eastAsia="hu-HU"/>
        </w:rPr>
        <w:t>Baltic Sea</w:t>
      </w:r>
      <w:r w:rsidR="00BD445B" w:rsidRPr="0002056A">
        <w:rPr>
          <w:rFonts w:ascii="Georgia" w:eastAsia="Times New Roman" w:hAnsi="Georgia" w:cs="Times New Roman"/>
          <w:color w:val="000000"/>
          <w:lang w:val="en-GB" w:eastAsia="hu-HU"/>
        </w:rPr>
        <w:t xml:space="preserve">) are mentioned. In </w:t>
      </w:r>
      <w:r w:rsidR="00BD445B" w:rsidRPr="0002056A">
        <w:rPr>
          <w:rFonts w:ascii="Georgia" w:eastAsia="Times New Roman" w:hAnsi="Georgia" w:cs="Times New Roman"/>
          <w:i/>
          <w:color w:val="000000"/>
          <w:lang w:val="en-GB" w:eastAsia="hu-HU"/>
        </w:rPr>
        <w:t xml:space="preserve">Poland </w:t>
      </w:r>
      <w:r w:rsidR="00BD445B" w:rsidRPr="0002056A">
        <w:rPr>
          <w:rFonts w:ascii="Georgia" w:eastAsia="Times New Roman" w:hAnsi="Georgia" w:cs="Times New Roman"/>
          <w:iCs/>
          <w:color w:val="000000"/>
          <w:lang w:val="en-GB" w:eastAsia="hu-HU"/>
        </w:rPr>
        <w:t>the NAS</w:t>
      </w:r>
      <w:r w:rsidR="00BD445B" w:rsidRPr="0002056A">
        <w:rPr>
          <w:rFonts w:ascii="Georgia" w:eastAsia="Times New Roman" w:hAnsi="Georgia" w:cs="Times New Roman"/>
          <w:i/>
          <w:color w:val="000000"/>
          <w:lang w:val="en-GB" w:eastAsia="hu-HU"/>
        </w:rPr>
        <w:t xml:space="preserve"> </w:t>
      </w:r>
      <w:r w:rsidR="00BD445B" w:rsidRPr="0002056A">
        <w:rPr>
          <w:rFonts w:ascii="Georgia" w:eastAsia="Times New Roman" w:hAnsi="Georgia" w:cs="Times New Roman"/>
          <w:color w:val="000000"/>
          <w:lang w:val="en-GB" w:eastAsia="hu-HU"/>
        </w:rPr>
        <w:t xml:space="preserve">mentions in general in </w:t>
      </w:r>
      <w:r w:rsidR="000E3947" w:rsidRPr="0002056A">
        <w:rPr>
          <w:rFonts w:ascii="Georgia" w:eastAsia="Times New Roman" w:hAnsi="Georgia" w:cs="Times New Roman"/>
          <w:color w:val="000000"/>
          <w:lang w:val="en-GB" w:eastAsia="hu-HU"/>
        </w:rPr>
        <w:t>its</w:t>
      </w:r>
      <w:r w:rsidR="00BD445B" w:rsidRPr="0002056A">
        <w:rPr>
          <w:rFonts w:ascii="Georgia" w:eastAsia="Times New Roman" w:hAnsi="Georgia" w:cs="Times New Roman"/>
          <w:color w:val="000000"/>
          <w:lang w:val="en-GB" w:eastAsia="hu-HU"/>
        </w:rPr>
        <w:t xml:space="preserve"> narrative sub-objective descriptions coastal areas, mountainous areas and urban zones</w:t>
      </w:r>
      <w:r w:rsidR="002E1FA1" w:rsidRPr="0002056A">
        <w:rPr>
          <w:rFonts w:ascii="Georgia" w:eastAsia="Times New Roman" w:hAnsi="Georgia" w:cs="Times New Roman"/>
          <w:color w:val="000000"/>
          <w:lang w:val="en-GB" w:eastAsia="hu-HU"/>
        </w:rPr>
        <w:t>. M</w:t>
      </w:r>
      <w:r w:rsidR="00BD445B" w:rsidRPr="0002056A">
        <w:rPr>
          <w:rFonts w:ascii="Georgia" w:eastAsia="Times New Roman" w:hAnsi="Georgia" w:cs="Times New Roman"/>
          <w:color w:val="000000"/>
          <w:lang w:val="en-GB" w:eastAsia="hu-HU"/>
        </w:rPr>
        <w:t>oreover</w:t>
      </w:r>
      <w:r w:rsidR="002E1FA1" w:rsidRPr="0002056A">
        <w:rPr>
          <w:rFonts w:ascii="Georgia" w:eastAsia="Times New Roman" w:hAnsi="Georgia" w:cs="Times New Roman"/>
          <w:color w:val="000000"/>
          <w:lang w:val="en-GB" w:eastAsia="hu-HU"/>
        </w:rPr>
        <w:t>,</w:t>
      </w:r>
      <w:r w:rsidR="00BD445B" w:rsidRPr="0002056A">
        <w:rPr>
          <w:rFonts w:ascii="Georgia" w:eastAsia="Times New Roman" w:hAnsi="Georgia" w:cs="Times New Roman"/>
          <w:color w:val="000000"/>
          <w:lang w:val="en-GB" w:eastAsia="hu-HU"/>
        </w:rPr>
        <w:t xml:space="preserve"> spatial planning also gets recurring stable emphasis. Spatial monitoring and GIS-based decision supporting tool development appear in Action line 1.5. </w:t>
      </w:r>
      <w:r w:rsidR="00BD445B" w:rsidRPr="0002056A">
        <w:rPr>
          <w:rFonts w:ascii="Georgia" w:eastAsia="Times New Roman" w:hAnsi="Georgia" w:cs="Times New Roman"/>
          <w:i/>
          <w:color w:val="000000"/>
          <w:lang w:val="en-GB" w:eastAsia="hu-HU"/>
        </w:rPr>
        <w:t xml:space="preserve">Switzerland, </w:t>
      </w:r>
      <w:r w:rsidR="00BD445B" w:rsidRPr="0002056A">
        <w:rPr>
          <w:rFonts w:ascii="Georgia" w:eastAsia="Times New Roman" w:hAnsi="Georgia" w:cs="Times New Roman"/>
          <w:color w:val="000000"/>
          <w:lang w:val="en-GB" w:eastAsia="hu-HU"/>
        </w:rPr>
        <w:t xml:space="preserve">considering its NAS structure, regards sectoral chapters as lower-level (thematic) objective fields. Within these, we can find spatial references here and there, in different </w:t>
      </w:r>
      <w:r w:rsidR="00BD445B" w:rsidRPr="0002056A">
        <w:rPr>
          <w:rFonts w:ascii="Georgia" w:eastAsia="Times New Roman" w:hAnsi="Georgia" w:cs="Times New Roman"/>
          <w:color w:val="000000"/>
          <w:lang w:val="en-GB" w:eastAsia="hu-HU"/>
        </w:rPr>
        <w:lastRenderedPageBreak/>
        <w:t>forms</w:t>
      </w:r>
      <w:r w:rsidR="00BD445B" w:rsidRPr="0002056A">
        <w:rPr>
          <w:rStyle w:val="Lbjegyzet-hivatkozs"/>
          <w:rFonts w:ascii="Georgia" w:eastAsia="Times New Roman" w:hAnsi="Georgia" w:cs="Times New Roman"/>
          <w:color w:val="000000"/>
          <w:lang w:val="en-GB" w:eastAsia="hu-HU"/>
        </w:rPr>
        <w:footnoteReference w:id="99"/>
      </w:r>
      <w:r w:rsidR="00BD445B" w:rsidRPr="0002056A">
        <w:rPr>
          <w:rFonts w:ascii="Georgia" w:eastAsia="Times New Roman" w:hAnsi="Georgia" w:cs="Times New Roman"/>
          <w:color w:val="000000"/>
          <w:lang w:val="en-GB" w:eastAsia="hu-HU"/>
        </w:rPr>
        <w:t xml:space="preserve">. </w:t>
      </w:r>
      <w:r w:rsidR="00BD445B" w:rsidRPr="0002056A">
        <w:rPr>
          <w:rFonts w:ascii="Georgia" w:eastAsia="Times New Roman" w:hAnsi="Georgia" w:cs="Times New Roman"/>
          <w:i/>
          <w:color w:val="000000"/>
          <w:lang w:val="en-GB" w:eastAsia="hu-HU"/>
        </w:rPr>
        <w:t xml:space="preserve">Scotland’s </w:t>
      </w:r>
      <w:r w:rsidR="00BD445B" w:rsidRPr="0002056A">
        <w:rPr>
          <w:rFonts w:ascii="Georgia" w:eastAsia="Times New Roman" w:hAnsi="Georgia" w:cs="Times New Roman"/>
          <w:color w:val="000000"/>
          <w:lang w:val="en-GB" w:eastAsia="hu-HU"/>
        </w:rPr>
        <w:t xml:space="preserve">objective system talks about region types, concrete </w:t>
      </w:r>
      <w:r w:rsidR="004068F5" w:rsidRPr="0002056A">
        <w:rPr>
          <w:rFonts w:ascii="Georgia" w:eastAsia="Times New Roman" w:hAnsi="Georgia" w:cs="Times New Roman"/>
          <w:color w:val="000000"/>
          <w:lang w:val="en-GB" w:eastAsia="hu-HU"/>
        </w:rPr>
        <w:t>plac</w:t>
      </w:r>
      <w:r w:rsidR="00BD445B" w:rsidRPr="0002056A">
        <w:rPr>
          <w:rFonts w:ascii="Georgia" w:eastAsia="Times New Roman" w:hAnsi="Georgia" w:cs="Times New Roman"/>
          <w:color w:val="000000"/>
          <w:lang w:val="en-GB" w:eastAsia="hu-HU"/>
        </w:rPr>
        <w:t>es, settlements (cities, city regions) and even general spatiality. The second</w:t>
      </w:r>
      <w:r w:rsidR="00A47768" w:rsidRPr="0002056A">
        <w:rPr>
          <w:rFonts w:ascii="Georgia" w:eastAsia="Times New Roman" w:hAnsi="Georgia" w:cs="Times New Roman"/>
          <w:color w:val="000000"/>
          <w:lang w:val="en-GB" w:eastAsia="hu-HU"/>
        </w:rPr>
        <w:t>, mixed</w:t>
      </w:r>
      <w:r w:rsidR="00BD445B" w:rsidRPr="0002056A">
        <w:rPr>
          <w:rFonts w:ascii="Georgia" w:eastAsia="Times New Roman" w:hAnsi="Georgia" w:cs="Times New Roman"/>
          <w:color w:val="000000"/>
          <w:lang w:val="en-GB" w:eastAsia="hu-HU"/>
        </w:rPr>
        <w:t xml:space="preserve"> group of countries (</w:t>
      </w:r>
      <w:r w:rsidR="00BD445B" w:rsidRPr="0002056A">
        <w:rPr>
          <w:rFonts w:ascii="Georgia" w:eastAsia="Times New Roman" w:hAnsi="Georgia" w:cs="Times New Roman"/>
          <w:i/>
          <w:color w:val="000000"/>
          <w:lang w:val="en-GB" w:eastAsia="hu-HU"/>
        </w:rPr>
        <w:t>Czech Republic, Latvia, Albania, Serbia, Greece, Italy, Austria, France, Northern Ireland, England, Iceland</w:t>
      </w:r>
      <w:r w:rsidR="00BD445B" w:rsidRPr="0002056A">
        <w:rPr>
          <w:rFonts w:ascii="Georgia" w:eastAsia="Times New Roman" w:hAnsi="Georgia" w:cs="Times New Roman"/>
          <w:iCs/>
          <w:color w:val="000000"/>
          <w:lang w:val="en-GB" w:eastAsia="hu-HU"/>
        </w:rPr>
        <w:t xml:space="preserve"> and</w:t>
      </w:r>
      <w:r w:rsidR="00BD445B" w:rsidRPr="0002056A">
        <w:rPr>
          <w:rFonts w:ascii="Georgia" w:eastAsia="Times New Roman" w:hAnsi="Georgia" w:cs="Times New Roman"/>
          <w:i/>
          <w:color w:val="000000"/>
          <w:lang w:val="en-GB" w:eastAsia="hu-HU"/>
        </w:rPr>
        <w:t xml:space="preserve"> Norway</w:t>
      </w:r>
      <w:r w:rsidR="00BD445B" w:rsidRPr="0002056A">
        <w:rPr>
          <w:rFonts w:ascii="Georgia" w:eastAsia="Times New Roman" w:hAnsi="Georgia" w:cs="Times New Roman"/>
          <w:color w:val="000000"/>
          <w:lang w:val="en-GB" w:eastAsia="hu-HU"/>
        </w:rPr>
        <w:t>) mention</w:t>
      </w:r>
      <w:r w:rsidR="00A47768" w:rsidRPr="0002056A">
        <w:rPr>
          <w:rFonts w:ascii="Georgia" w:eastAsia="Times New Roman" w:hAnsi="Georgia" w:cs="Times New Roman"/>
          <w:color w:val="000000"/>
          <w:lang w:val="en-GB" w:eastAsia="hu-HU"/>
        </w:rPr>
        <w:t>s</w:t>
      </w:r>
      <w:r w:rsidR="00BD445B" w:rsidRPr="0002056A">
        <w:rPr>
          <w:rFonts w:ascii="Georgia" w:eastAsia="Times New Roman" w:hAnsi="Georgia" w:cs="Times New Roman"/>
          <w:color w:val="000000"/>
          <w:lang w:val="en-GB" w:eastAsia="hu-HU"/>
        </w:rPr>
        <w:t xml:space="preserve"> only 2-3 type of the enlisted </w:t>
      </w:r>
      <w:r w:rsidR="00CE46BC" w:rsidRPr="0002056A">
        <w:rPr>
          <w:rFonts w:ascii="Georgia" w:eastAsia="Times New Roman" w:hAnsi="Georgia" w:cs="Times New Roman"/>
          <w:color w:val="000000"/>
          <w:lang w:val="en-GB" w:eastAsia="hu-HU"/>
        </w:rPr>
        <w:t xml:space="preserve">spatial </w:t>
      </w:r>
      <w:r w:rsidR="00BD445B" w:rsidRPr="0002056A">
        <w:rPr>
          <w:rFonts w:ascii="Georgia" w:eastAsia="Times New Roman" w:hAnsi="Georgia" w:cs="Times New Roman"/>
          <w:color w:val="000000"/>
          <w:lang w:val="en-GB" w:eastAsia="hu-HU"/>
        </w:rPr>
        <w:t>aspects. Majority of the</w:t>
      </w:r>
      <w:r w:rsidR="00BD445B" w:rsidRPr="0002056A">
        <w:rPr>
          <w:rFonts w:ascii="Georgia" w:eastAsia="Times New Roman" w:hAnsi="Georgia" w:cs="Times New Roman"/>
          <w:i/>
          <w:color w:val="000000"/>
          <w:lang w:val="en-GB" w:eastAsia="hu-HU"/>
        </w:rPr>
        <w:t xml:space="preserve"> </w:t>
      </w:r>
      <w:r w:rsidR="00216AD0" w:rsidRPr="0002056A">
        <w:rPr>
          <w:rFonts w:ascii="Georgia" w:eastAsia="Times New Roman" w:hAnsi="Georgia" w:cs="Times New Roman"/>
          <w:i/>
          <w:color w:val="000000"/>
          <w:lang w:val="en-GB" w:eastAsia="hu-HU"/>
        </w:rPr>
        <w:t>Central</w:t>
      </w:r>
      <w:r w:rsidR="00BD445B" w:rsidRPr="0002056A">
        <w:rPr>
          <w:rFonts w:ascii="Georgia" w:eastAsia="Times New Roman" w:hAnsi="Georgia" w:cs="Times New Roman"/>
          <w:i/>
          <w:color w:val="000000"/>
          <w:lang w:val="en-GB" w:eastAsia="hu-HU"/>
        </w:rPr>
        <w:t xml:space="preserve">-Eastern-European </w:t>
      </w:r>
      <w:r w:rsidR="00BD445B" w:rsidRPr="0002056A">
        <w:rPr>
          <w:rFonts w:ascii="Georgia" w:eastAsia="Times New Roman" w:hAnsi="Georgia" w:cs="Times New Roman"/>
          <w:iCs/>
          <w:color w:val="000000"/>
          <w:lang w:val="en-GB" w:eastAsia="hu-HU"/>
        </w:rPr>
        <w:t>and</w:t>
      </w:r>
      <w:r w:rsidR="00BD445B" w:rsidRPr="0002056A">
        <w:rPr>
          <w:rFonts w:ascii="Georgia" w:eastAsia="Times New Roman" w:hAnsi="Georgia" w:cs="Times New Roman"/>
          <w:i/>
          <w:color w:val="000000"/>
          <w:lang w:val="en-GB" w:eastAsia="hu-HU"/>
        </w:rPr>
        <w:t xml:space="preserve"> Balkan countries </w:t>
      </w:r>
      <w:r w:rsidR="00BD445B" w:rsidRPr="0002056A">
        <w:rPr>
          <w:rFonts w:ascii="Georgia" w:eastAsia="Times New Roman" w:hAnsi="Georgia" w:cs="Times New Roman"/>
          <w:color w:val="000000"/>
          <w:lang w:val="en-GB" w:eastAsia="hu-HU"/>
        </w:rPr>
        <w:t>completed with some</w:t>
      </w:r>
      <w:r w:rsidR="00BD445B" w:rsidRPr="0002056A">
        <w:rPr>
          <w:rFonts w:ascii="Georgia" w:eastAsia="Times New Roman" w:hAnsi="Georgia" w:cs="Times New Roman"/>
          <w:i/>
          <w:color w:val="000000"/>
          <w:lang w:val="en-GB" w:eastAsia="hu-HU"/>
        </w:rPr>
        <w:t xml:space="preserve"> Southern (Spain, Portugal)</w:t>
      </w:r>
      <w:r w:rsidR="00CE46BC" w:rsidRPr="0002056A">
        <w:rPr>
          <w:rFonts w:ascii="Georgia" w:eastAsia="Times New Roman" w:hAnsi="Georgia" w:cs="Times New Roman"/>
          <w:i/>
          <w:color w:val="000000"/>
          <w:lang w:val="en-GB" w:eastAsia="hu-HU"/>
        </w:rPr>
        <w:t xml:space="preserve"> </w:t>
      </w:r>
      <w:r w:rsidR="00CE46BC" w:rsidRPr="0002056A">
        <w:rPr>
          <w:rFonts w:ascii="Georgia" w:eastAsia="Times New Roman" w:hAnsi="Georgia" w:cs="Times New Roman"/>
          <w:iCs/>
          <w:color w:val="000000"/>
          <w:lang w:val="en-GB" w:eastAsia="hu-HU"/>
        </w:rPr>
        <w:t>and</w:t>
      </w:r>
      <w:r w:rsidR="00BD445B" w:rsidRPr="0002056A">
        <w:rPr>
          <w:rFonts w:ascii="Georgia" w:eastAsia="Times New Roman" w:hAnsi="Georgia" w:cs="Times New Roman"/>
          <w:i/>
          <w:color w:val="000000"/>
          <w:lang w:val="en-GB" w:eastAsia="hu-HU"/>
        </w:rPr>
        <w:t xml:space="preserve"> Northern states </w:t>
      </w:r>
      <w:r w:rsidR="00BD445B" w:rsidRPr="0002056A">
        <w:rPr>
          <w:rFonts w:ascii="Georgia" w:eastAsia="Times New Roman" w:hAnsi="Georgia" w:cs="Times New Roman"/>
          <w:iCs/>
          <w:color w:val="000000"/>
          <w:lang w:val="en-GB" w:eastAsia="hu-HU"/>
        </w:rPr>
        <w:t>and the</w:t>
      </w:r>
      <w:r w:rsidR="00BD445B" w:rsidRPr="0002056A">
        <w:rPr>
          <w:rFonts w:ascii="Georgia" w:eastAsia="Times New Roman" w:hAnsi="Georgia" w:cs="Times New Roman"/>
          <w:i/>
          <w:color w:val="000000"/>
          <w:lang w:val="en-GB" w:eastAsia="hu-HU"/>
        </w:rPr>
        <w:t xml:space="preserve"> </w:t>
      </w:r>
      <w:r w:rsidR="00A47768" w:rsidRPr="0002056A">
        <w:rPr>
          <w:rFonts w:ascii="Georgia" w:eastAsia="Times New Roman" w:hAnsi="Georgia" w:cs="Times New Roman"/>
          <w:i/>
          <w:color w:val="000000"/>
          <w:lang w:val="en-GB" w:eastAsia="hu-HU"/>
        </w:rPr>
        <w:t xml:space="preserve">three </w:t>
      </w:r>
      <w:r w:rsidR="00BD445B" w:rsidRPr="0002056A">
        <w:rPr>
          <w:rFonts w:ascii="Georgia" w:eastAsia="Times New Roman" w:hAnsi="Georgia" w:cs="Times New Roman"/>
          <w:i/>
          <w:color w:val="000000"/>
          <w:lang w:val="en-GB" w:eastAsia="hu-HU"/>
        </w:rPr>
        <w:t xml:space="preserve">Benelux countries, </w:t>
      </w:r>
      <w:r w:rsidR="00BD445B" w:rsidRPr="0002056A">
        <w:rPr>
          <w:rFonts w:ascii="Georgia" w:eastAsia="Times New Roman" w:hAnsi="Georgia" w:cs="Times New Roman"/>
          <w:color w:val="000000"/>
          <w:lang w:val="en-GB" w:eastAsia="hu-HU"/>
        </w:rPr>
        <w:t xml:space="preserve">mention only 1 type of the enlisted </w:t>
      </w:r>
      <w:r w:rsidR="00846013" w:rsidRPr="0002056A">
        <w:rPr>
          <w:rFonts w:ascii="Georgia" w:eastAsia="Times New Roman" w:hAnsi="Georgia" w:cs="Times New Roman"/>
          <w:color w:val="000000"/>
          <w:lang w:val="en-GB" w:eastAsia="hu-HU"/>
        </w:rPr>
        <w:t xml:space="preserve">spatial </w:t>
      </w:r>
      <w:r w:rsidR="00BD445B" w:rsidRPr="0002056A">
        <w:rPr>
          <w:rFonts w:ascii="Georgia" w:eastAsia="Times New Roman" w:hAnsi="Georgia" w:cs="Times New Roman"/>
          <w:color w:val="000000"/>
          <w:lang w:val="en-GB" w:eastAsia="hu-HU"/>
        </w:rPr>
        <w:t xml:space="preserve">aspects </w:t>
      </w:r>
      <w:r w:rsidR="00A47768" w:rsidRPr="0002056A">
        <w:rPr>
          <w:rFonts w:ascii="Georgia" w:eastAsia="Times New Roman" w:hAnsi="Georgia" w:cs="Times New Roman"/>
          <w:color w:val="000000"/>
          <w:lang w:val="en-GB" w:eastAsia="hu-HU"/>
        </w:rPr>
        <w:t>and</w:t>
      </w:r>
      <w:r w:rsidR="00BD445B" w:rsidRPr="0002056A">
        <w:rPr>
          <w:rFonts w:ascii="Georgia" w:eastAsia="Times New Roman" w:hAnsi="Georgia" w:cs="Times New Roman"/>
          <w:color w:val="000000"/>
          <w:lang w:val="en-GB" w:eastAsia="hu-HU"/>
        </w:rPr>
        <w:t xml:space="preserve"> only vaguely. Other countries do not mention any of these.</w:t>
      </w:r>
    </w:p>
    <w:p w14:paraId="66E1DE6B" w14:textId="772F7A60" w:rsidR="00BD445B" w:rsidRPr="0002056A" w:rsidRDefault="00BD445B" w:rsidP="00CD5BF3">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b/>
          <w:iCs/>
          <w:lang w:val="en-GB" w:eastAsia="hu-HU"/>
        </w:rPr>
        <w:t>Spatial focus of the overall / strategic objectives</w:t>
      </w:r>
      <w:r w:rsidR="00846013" w:rsidRPr="0002056A">
        <w:rPr>
          <w:rFonts w:ascii="Georgia" w:hAnsi="Georgia" w:cs="Times New Roman"/>
          <w:bCs/>
          <w:lang w:val="en-GB"/>
        </w:rPr>
        <w:t xml:space="preserve"> varied </w:t>
      </w:r>
      <w:r w:rsidRPr="0002056A">
        <w:rPr>
          <w:rFonts w:ascii="Georgia" w:hAnsi="Georgia" w:cs="Times New Roman"/>
          <w:bCs/>
          <w:lang w:val="en-GB"/>
        </w:rPr>
        <w:t>high</w:t>
      </w:r>
      <w:r w:rsidR="00846013" w:rsidRPr="0002056A">
        <w:rPr>
          <w:rFonts w:ascii="Georgia" w:hAnsi="Georgia" w:cs="Times New Roman"/>
          <w:bCs/>
          <w:lang w:val="en-GB"/>
        </w:rPr>
        <w:t>l</w:t>
      </w:r>
      <w:r w:rsidRPr="0002056A">
        <w:rPr>
          <w:rFonts w:ascii="Georgia" w:hAnsi="Georgia" w:cs="Times New Roman"/>
          <w:bCs/>
          <w:lang w:val="en-GB"/>
        </w:rPr>
        <w:t>y. The</w:t>
      </w:r>
      <w:r w:rsidRPr="0002056A">
        <w:rPr>
          <w:rFonts w:ascii="Georgia" w:eastAsia="Times New Roman" w:hAnsi="Georgia" w:cs="Times New Roman"/>
          <w:b/>
          <w:i/>
          <w:color w:val="4472C4" w:themeColor="accent1"/>
          <w:lang w:val="en-GB" w:eastAsia="hu-HU"/>
        </w:rPr>
        <w:t xml:space="preserve"> </w:t>
      </w:r>
      <w:r w:rsidRPr="0002056A">
        <w:rPr>
          <w:rFonts w:ascii="Georgia" w:hAnsi="Georgia" w:cs="Times New Roman"/>
          <w:bCs/>
          <w:i/>
          <w:lang w:val="en-GB"/>
        </w:rPr>
        <w:t>overall objectives</w:t>
      </w:r>
      <w:r w:rsidRPr="0002056A">
        <w:rPr>
          <w:rFonts w:ascii="Georgia" w:hAnsi="Georgia" w:cs="Times New Roman"/>
          <w:bCs/>
          <w:lang w:val="en-GB"/>
        </w:rPr>
        <w:t xml:space="preserve"> are almost always thematic (only </w:t>
      </w:r>
      <w:r w:rsidRPr="0002056A">
        <w:rPr>
          <w:rFonts w:ascii="Georgia" w:hAnsi="Georgia" w:cs="Times New Roman"/>
          <w:bCs/>
          <w:i/>
          <w:lang w:val="en-GB"/>
        </w:rPr>
        <w:t>Estonia</w:t>
      </w:r>
      <w:r w:rsidRPr="0002056A">
        <w:rPr>
          <w:rFonts w:ascii="Georgia" w:hAnsi="Georgia" w:cs="Times New Roman"/>
          <w:bCs/>
          <w:lang w:val="en-GB"/>
        </w:rPr>
        <w:t xml:space="preserve">’s overall objective mentions explicitly regional and local levels, meanwhile </w:t>
      </w:r>
      <w:r w:rsidRPr="0002056A">
        <w:rPr>
          <w:rFonts w:ascii="Georgia" w:hAnsi="Georgia" w:cs="Times New Roman"/>
          <w:bCs/>
          <w:i/>
          <w:lang w:val="en-GB"/>
        </w:rPr>
        <w:t>France</w:t>
      </w:r>
      <w:r w:rsidRPr="0002056A">
        <w:rPr>
          <w:rFonts w:ascii="Georgia" w:hAnsi="Georgia" w:cs="Times New Roman"/>
          <w:bCs/>
          <w:lang w:val="en-GB"/>
        </w:rPr>
        <w:t>’s NAS (PNACC-3) overall objective a</w:t>
      </w:r>
      <w:r w:rsidR="00846013" w:rsidRPr="0002056A">
        <w:rPr>
          <w:rFonts w:ascii="Georgia" w:hAnsi="Georgia" w:cs="Times New Roman"/>
          <w:bCs/>
          <w:lang w:val="en-GB"/>
        </w:rPr>
        <w:t>im</w:t>
      </w:r>
      <w:r w:rsidRPr="0002056A">
        <w:rPr>
          <w:rFonts w:ascii="Georgia" w:hAnsi="Georgia" w:cs="Times New Roman"/>
          <w:bCs/>
          <w:lang w:val="en-GB"/>
        </w:rPr>
        <w:t>s "</w:t>
      </w:r>
      <w:r w:rsidRPr="0002056A">
        <w:rPr>
          <w:rFonts w:ascii="Georgia" w:hAnsi="Georgia" w:cs="Times New Roman"/>
          <w:bCs/>
          <w:i/>
          <w:iCs/>
          <w:lang w:val="en-GB"/>
        </w:rPr>
        <w:t>protecting the population, ensuring resilience of our territories, adapting our economy, preserving our heritage, mobilising society</w:t>
      </w:r>
      <w:r w:rsidRPr="0002056A">
        <w:rPr>
          <w:rFonts w:ascii="Georgia" w:hAnsi="Georgia" w:cs="Times New Roman"/>
          <w:bCs/>
          <w:lang w:val="en-GB"/>
        </w:rPr>
        <w:t>". T</w:t>
      </w:r>
      <w:r w:rsidRPr="0002056A">
        <w:rPr>
          <w:rFonts w:ascii="Georgia" w:eastAsia="Times New Roman" w:hAnsi="Georgia" w:cs="Times New Roman"/>
          <w:color w:val="000000"/>
          <w:lang w:val="en-GB" w:eastAsia="hu-HU"/>
        </w:rPr>
        <w:t>he overall objective in</w:t>
      </w:r>
      <w:r w:rsidRPr="0002056A">
        <w:rPr>
          <w:rFonts w:ascii="Georgia" w:eastAsia="Times New Roman" w:hAnsi="Georgia" w:cs="Times New Roman"/>
          <w:i/>
          <w:color w:val="000000"/>
          <w:lang w:val="en-GB" w:eastAsia="hu-HU"/>
        </w:rPr>
        <w:t xml:space="preserve"> Austria’s </w:t>
      </w:r>
      <w:r w:rsidRPr="0002056A">
        <w:rPr>
          <w:rFonts w:ascii="Georgia" w:eastAsia="Times New Roman" w:hAnsi="Georgia" w:cs="Times New Roman"/>
          <w:color w:val="000000"/>
          <w:lang w:val="en-GB" w:eastAsia="hu-HU"/>
        </w:rPr>
        <w:t>NAS is again general but mentions the levels of “</w:t>
      </w:r>
      <w:r w:rsidRPr="0002056A">
        <w:rPr>
          <w:rFonts w:ascii="Georgia" w:eastAsia="Times New Roman" w:hAnsi="Georgia" w:cs="Times New Roman"/>
          <w:i/>
          <w:iCs/>
          <w:color w:val="000000"/>
          <w:lang w:val="en-GB" w:eastAsia="hu-HU"/>
        </w:rPr>
        <w:t>Bund</w:t>
      </w:r>
      <w:r w:rsidRPr="0002056A">
        <w:rPr>
          <w:rFonts w:ascii="Georgia" w:eastAsia="Times New Roman" w:hAnsi="Georgia" w:cs="Times New Roman"/>
          <w:color w:val="000000"/>
          <w:lang w:val="en-GB" w:eastAsia="hu-HU"/>
        </w:rPr>
        <w:t>” und “</w:t>
      </w:r>
      <w:r w:rsidRPr="0002056A">
        <w:rPr>
          <w:rFonts w:ascii="Georgia" w:eastAsia="Times New Roman" w:hAnsi="Georgia" w:cs="Times New Roman"/>
          <w:i/>
          <w:iCs/>
          <w:color w:val="000000"/>
          <w:lang w:val="en-GB" w:eastAsia="hu-HU"/>
        </w:rPr>
        <w:t>Ländern</w:t>
      </w:r>
      <w:r w:rsidRPr="0002056A">
        <w:rPr>
          <w:rFonts w:ascii="Georgia" w:eastAsia="Times New Roman" w:hAnsi="Georgia" w:cs="Times New Roman"/>
          <w:color w:val="000000"/>
          <w:lang w:val="en-GB" w:eastAsia="hu-HU"/>
        </w:rPr>
        <w:t xml:space="preserve">”. </w:t>
      </w:r>
      <w:r w:rsidRPr="0002056A">
        <w:rPr>
          <w:rFonts w:ascii="Georgia" w:hAnsi="Georgia" w:cs="Times New Roman"/>
          <w:bCs/>
          <w:lang w:val="en-GB"/>
        </w:rPr>
        <w:t xml:space="preserve">The specific objectives </w:t>
      </w:r>
      <w:r w:rsidR="00923801" w:rsidRPr="0002056A">
        <w:rPr>
          <w:rFonts w:ascii="Georgia" w:hAnsi="Georgia" w:cs="Times New Roman"/>
          <w:bCs/>
          <w:lang w:val="en-GB"/>
        </w:rPr>
        <w:t xml:space="preserve">in the NAS documents </w:t>
      </w:r>
      <w:r w:rsidRPr="0002056A">
        <w:rPr>
          <w:rFonts w:ascii="Georgia" w:hAnsi="Georgia" w:cs="Times New Roman"/>
          <w:bCs/>
          <w:lang w:val="en-GB"/>
        </w:rPr>
        <w:t xml:space="preserve">are usually thematic - the exclusions are </w:t>
      </w:r>
      <w:r w:rsidRPr="0002056A">
        <w:rPr>
          <w:rFonts w:ascii="Georgia" w:hAnsi="Georgia" w:cs="Times New Roman"/>
          <w:bCs/>
          <w:i/>
          <w:lang w:val="en-GB"/>
        </w:rPr>
        <w:t xml:space="preserve">Croatia, Poland, Romania, Estonia, Spain, Austria, France </w:t>
      </w:r>
      <w:r w:rsidRPr="0002056A">
        <w:rPr>
          <w:rFonts w:ascii="Georgia" w:hAnsi="Georgia" w:cs="Times New Roman"/>
          <w:bCs/>
          <w:lang w:val="en-GB"/>
        </w:rPr>
        <w:t>and</w:t>
      </w:r>
      <w:r w:rsidRPr="0002056A">
        <w:rPr>
          <w:rFonts w:ascii="Georgia" w:hAnsi="Georgia" w:cs="Times New Roman"/>
          <w:bCs/>
          <w:i/>
          <w:lang w:val="en-GB"/>
        </w:rPr>
        <w:t xml:space="preserve"> Norway</w:t>
      </w:r>
      <w:r w:rsidRPr="0002056A">
        <w:rPr>
          <w:rFonts w:ascii="Georgia" w:hAnsi="Georgia" w:cs="Times New Roman"/>
          <w:bCs/>
          <w:lang w:val="en-GB"/>
        </w:rPr>
        <w:t xml:space="preserve">. Seeing these examples in detail, </w:t>
      </w:r>
      <w:r w:rsidRPr="0002056A">
        <w:rPr>
          <w:rFonts w:ascii="Georgia" w:hAnsi="Georgia" w:cs="Times New Roman"/>
          <w:bCs/>
          <w:i/>
          <w:lang w:val="en-GB"/>
        </w:rPr>
        <w:t>Croatia’s</w:t>
      </w:r>
      <w:r w:rsidRPr="0002056A">
        <w:rPr>
          <w:rFonts w:ascii="Georgia" w:hAnsi="Georgia" w:cs="Times New Roman"/>
          <w:bCs/>
          <w:lang w:val="en-GB"/>
        </w:rPr>
        <w:t xml:space="preserve"> objective system</w:t>
      </w:r>
      <w:r w:rsidR="004D283B" w:rsidRPr="0002056A">
        <w:rPr>
          <w:rStyle w:val="Lbjegyzet-hivatkozs"/>
          <w:rFonts w:ascii="Georgia" w:hAnsi="Georgia" w:cs="Times New Roman"/>
          <w:bCs/>
          <w:lang w:val="en-GB"/>
        </w:rPr>
        <w:footnoteReference w:id="100"/>
      </w:r>
      <w:r w:rsidRPr="0002056A">
        <w:rPr>
          <w:rFonts w:ascii="Georgia" w:hAnsi="Georgia" w:cs="Times New Roman"/>
          <w:bCs/>
          <w:lang w:val="en-GB"/>
        </w:rPr>
        <w:t xml:space="preserve"> is a mixture of sectoral and </w:t>
      </w:r>
      <w:r w:rsidR="00923801" w:rsidRPr="0002056A">
        <w:rPr>
          <w:rFonts w:ascii="Georgia" w:hAnsi="Georgia" w:cs="Times New Roman"/>
          <w:bCs/>
          <w:lang w:val="en-GB"/>
        </w:rPr>
        <w:t>spat</w:t>
      </w:r>
      <w:r w:rsidRPr="0002056A">
        <w:rPr>
          <w:rFonts w:ascii="Georgia" w:hAnsi="Georgia" w:cs="Times New Roman"/>
          <w:bCs/>
          <w:lang w:val="en-GB"/>
        </w:rPr>
        <w:t xml:space="preserve">ial specific objectives. </w:t>
      </w:r>
      <w:r w:rsidRPr="0002056A">
        <w:rPr>
          <w:rFonts w:ascii="Georgia" w:hAnsi="Georgia" w:cs="Times New Roman"/>
          <w:bCs/>
          <w:i/>
          <w:lang w:val="en-GB"/>
        </w:rPr>
        <w:t>Poland</w:t>
      </w:r>
      <w:r w:rsidRPr="0002056A">
        <w:rPr>
          <w:rFonts w:ascii="Georgia" w:hAnsi="Georgia" w:cs="Times New Roman"/>
          <w:bCs/>
          <w:lang w:val="en-GB"/>
        </w:rPr>
        <w:t xml:space="preserve"> also applies mixed types of objectives, out of which two („</w:t>
      </w:r>
      <w:r w:rsidRPr="0002056A">
        <w:rPr>
          <w:rFonts w:ascii="Georgia" w:hAnsi="Georgia" w:cs="Times New Roman"/>
          <w:bCs/>
          <w:i/>
          <w:iCs/>
          <w:lang w:val="en-GB"/>
        </w:rPr>
        <w:t>Efficient adaptation in rural areas</w:t>
      </w:r>
      <w:r w:rsidRPr="0002056A">
        <w:rPr>
          <w:rFonts w:ascii="Georgia" w:hAnsi="Georgia" w:cs="Times New Roman"/>
          <w:bCs/>
          <w:lang w:val="en-GB"/>
        </w:rPr>
        <w:t>”; „</w:t>
      </w:r>
      <w:r w:rsidRPr="0002056A">
        <w:rPr>
          <w:rFonts w:ascii="Georgia" w:hAnsi="Georgia" w:cs="Times New Roman"/>
          <w:bCs/>
          <w:i/>
          <w:iCs/>
          <w:lang w:val="en-GB"/>
        </w:rPr>
        <w:t>Sustainable regional and local development</w:t>
      </w:r>
      <w:r w:rsidRPr="0002056A">
        <w:rPr>
          <w:rFonts w:ascii="Georgia" w:hAnsi="Georgia" w:cs="Times New Roman"/>
          <w:bCs/>
          <w:lang w:val="en-GB"/>
        </w:rPr>
        <w:t>”) are typical</w:t>
      </w:r>
      <w:r w:rsidR="00FC2A2A" w:rsidRPr="0002056A">
        <w:rPr>
          <w:rFonts w:ascii="Georgia" w:hAnsi="Georgia" w:cs="Times New Roman"/>
          <w:bCs/>
          <w:lang w:val="en-GB"/>
        </w:rPr>
        <w:t>ly</w:t>
      </w:r>
      <w:r w:rsidRPr="0002056A">
        <w:rPr>
          <w:rFonts w:ascii="Georgia" w:hAnsi="Georgia" w:cs="Times New Roman"/>
          <w:bCs/>
          <w:lang w:val="en-GB"/>
        </w:rPr>
        <w:t xml:space="preserve"> spatial. </w:t>
      </w:r>
      <w:r w:rsidRPr="0002056A">
        <w:rPr>
          <w:rFonts w:ascii="Georgia" w:hAnsi="Georgia" w:cs="Times New Roman"/>
          <w:bCs/>
          <w:i/>
          <w:lang w:val="en-GB"/>
        </w:rPr>
        <w:t>Estonia</w:t>
      </w:r>
      <w:r w:rsidRPr="0002056A">
        <w:rPr>
          <w:rFonts w:ascii="Georgia" w:hAnsi="Georgia" w:cs="Times New Roman"/>
          <w:bCs/>
          <w:lang w:val="en-GB"/>
        </w:rPr>
        <w:t xml:space="preserve">’ subgoals (=specific goals) are basically thematic, but one subgoal deals with regional types - and this subgoal at least directly. </w:t>
      </w:r>
      <w:r w:rsidRPr="0002056A">
        <w:rPr>
          <w:rFonts w:ascii="Georgia" w:eastAsia="Times New Roman" w:hAnsi="Georgia" w:cs="Times New Roman"/>
          <w:i/>
          <w:color w:val="000000"/>
          <w:lang w:val="en-GB" w:eastAsia="hu-HU"/>
        </w:rPr>
        <w:t>Norway</w:t>
      </w:r>
      <w:r w:rsidRPr="0002056A">
        <w:rPr>
          <w:rFonts w:ascii="Georgia" w:eastAsia="Times New Roman" w:hAnsi="Georgia" w:cs="Times New Roman"/>
          <w:color w:val="000000"/>
          <w:lang w:val="en-GB" w:eastAsia="hu-HU"/>
        </w:rPr>
        <w:t>’s NAS overall objective is basically thematic, and it is followed by no specific goals but 8 lower</w:t>
      </w:r>
      <w:r w:rsidR="00CA3CEE"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level objectives, out of these 2 are spatial (1 for sea level rise in coastal areas, 1 for Sami territories</w:t>
      </w:r>
      <w:r w:rsidR="00CD4ED6"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In </w:t>
      </w:r>
      <w:r w:rsidRPr="0002056A">
        <w:rPr>
          <w:rFonts w:ascii="Georgia" w:eastAsia="Times New Roman" w:hAnsi="Georgia" w:cs="Times New Roman"/>
          <w:i/>
          <w:iCs/>
          <w:color w:val="000000"/>
          <w:lang w:val="en-GB" w:eastAsia="hu-HU"/>
        </w:rPr>
        <w:t xml:space="preserve">France </w:t>
      </w:r>
      <w:r w:rsidRPr="0002056A">
        <w:rPr>
          <w:rFonts w:ascii="Georgia" w:eastAsia="Times New Roman" w:hAnsi="Georgia" w:cs="Times New Roman"/>
          <w:color w:val="000000"/>
          <w:lang w:val="en-GB" w:eastAsia="hu-HU"/>
        </w:rPr>
        <w:t>out of 5 specific objectives 2 indirectly and one directly are spatial, the latter is Axis #2 (</w:t>
      </w:r>
      <w:r w:rsidRPr="0002056A">
        <w:rPr>
          <w:rFonts w:ascii="Georgia" w:eastAsia="Times New Roman" w:hAnsi="Georgia" w:cs="Times New Roman"/>
          <w:i/>
          <w:color w:val="000000"/>
          <w:lang w:val="en-GB" w:eastAsia="hu-HU"/>
        </w:rPr>
        <w:t>Ensuring the resilience of territories, infrastructure and essential services</w:t>
      </w:r>
      <w:r w:rsidR="00FC2A2A" w:rsidRPr="0002056A">
        <w:rPr>
          <w:rFonts w:ascii="Georgia" w:eastAsia="Times New Roman" w:hAnsi="Georgia" w:cs="Times New Roman"/>
          <w:iCs/>
          <w:color w:val="000000"/>
          <w:lang w:val="en-GB" w:eastAsia="hu-HU"/>
        </w:rPr>
        <w:t>)</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In</w:t>
      </w:r>
      <w:r w:rsidRPr="0002056A">
        <w:rPr>
          <w:rFonts w:ascii="Georgia" w:eastAsia="Times New Roman" w:hAnsi="Georgia" w:cs="Times New Roman"/>
          <w:i/>
          <w:color w:val="000000"/>
          <w:lang w:val="en-GB" w:eastAsia="hu-HU"/>
        </w:rPr>
        <w:t xml:space="preserve"> Austria </w:t>
      </w:r>
      <w:r w:rsidRPr="0002056A">
        <w:rPr>
          <w:rFonts w:ascii="Georgia" w:eastAsia="Times New Roman" w:hAnsi="Georgia" w:cs="Times New Roman"/>
          <w:color w:val="000000"/>
          <w:lang w:val="en-GB" w:eastAsia="hu-HU"/>
        </w:rPr>
        <w:t>the strategic objective level is basically thematic, going through 6</w:t>
      </w:r>
      <w:r w:rsidR="00CA16BC"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 xml:space="preserve">thematic paragraphs (quasi specific objectives) and 15 sectoral fields, only the latter contain </w:t>
      </w:r>
      <w:r w:rsidR="00CA16BC" w:rsidRPr="0002056A">
        <w:rPr>
          <w:rFonts w:ascii="Georgia" w:eastAsia="Times New Roman" w:hAnsi="Georgia" w:cs="Times New Roman"/>
          <w:color w:val="000000"/>
          <w:lang w:val="en-GB" w:eastAsia="hu-HU"/>
        </w:rPr>
        <w:t>one</w:t>
      </w:r>
      <w:r w:rsidRPr="0002056A">
        <w:rPr>
          <w:rFonts w:ascii="Georgia" w:eastAsia="Times New Roman" w:hAnsi="Georgia" w:cs="Times New Roman"/>
          <w:color w:val="000000"/>
          <w:lang w:val="en-GB" w:eastAsia="hu-HU"/>
        </w:rPr>
        <w:t xml:space="preserve"> settlement(network)</w:t>
      </w:r>
      <w:r w:rsidR="004053F4"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and one spatial planning</w:t>
      </w:r>
      <w:r w:rsidR="004053F4"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related chapter. </w:t>
      </w:r>
      <w:r w:rsidRPr="0002056A">
        <w:rPr>
          <w:rFonts w:ascii="Georgia" w:eastAsia="Times New Roman" w:hAnsi="Georgia" w:cs="Times New Roman"/>
          <w:i/>
          <w:color w:val="000000"/>
          <w:lang w:val="en-GB" w:eastAsia="hu-HU"/>
        </w:rPr>
        <w:t xml:space="preserve">Spain’s </w:t>
      </w:r>
      <w:r w:rsidR="004053F4" w:rsidRPr="0002056A">
        <w:rPr>
          <w:rFonts w:ascii="Georgia" w:eastAsia="Times New Roman" w:hAnsi="Georgia" w:cs="Times New Roman"/>
          <w:color w:val="000000"/>
          <w:lang w:val="en-GB" w:eastAsia="hu-HU"/>
        </w:rPr>
        <w:t>ov</w:t>
      </w:r>
      <w:r w:rsidRPr="0002056A">
        <w:rPr>
          <w:rFonts w:ascii="Georgia" w:eastAsia="Times New Roman" w:hAnsi="Georgia" w:cs="Times New Roman"/>
          <w:color w:val="000000"/>
          <w:lang w:val="en-GB" w:eastAsia="hu-HU"/>
        </w:rPr>
        <w:t>eral</w:t>
      </w:r>
      <w:r w:rsidR="004053F4" w:rsidRPr="0002056A">
        <w:rPr>
          <w:rFonts w:ascii="Georgia" w:eastAsia="Times New Roman" w:hAnsi="Georgia" w:cs="Times New Roman"/>
          <w:color w:val="000000"/>
          <w:lang w:val="en-GB" w:eastAsia="hu-HU"/>
        </w:rPr>
        <w:t>l</w:t>
      </w:r>
      <w:r w:rsidRPr="0002056A">
        <w:rPr>
          <w:rFonts w:ascii="Georgia" w:eastAsia="Times New Roman" w:hAnsi="Georgia" w:cs="Times New Roman"/>
          <w:color w:val="000000"/>
          <w:lang w:val="en-GB" w:eastAsia="hu-HU"/>
        </w:rPr>
        <w:t xml:space="preserve"> objective</w:t>
      </w:r>
      <w:r w:rsidRPr="0002056A">
        <w:rPr>
          <w:rStyle w:val="Lbjegyzet-hivatkozs"/>
          <w:rFonts w:ascii="Georgia" w:eastAsia="Times New Roman" w:hAnsi="Georgia" w:cs="Times New Roman"/>
          <w:color w:val="000000"/>
          <w:lang w:val="en-GB" w:eastAsia="hu-HU"/>
        </w:rPr>
        <w:footnoteReference w:id="101"/>
      </w:r>
      <w:r w:rsidRPr="0002056A">
        <w:rPr>
          <w:rFonts w:ascii="Georgia" w:eastAsia="Times New Roman" w:hAnsi="Georgia" w:cs="Times New Roman"/>
          <w:color w:val="000000"/>
          <w:lang w:val="en-GB" w:eastAsia="hu-HU"/>
        </w:rPr>
        <w:t xml:space="preserve"> is quite general. To achieve this goal, 9 specific objective</w:t>
      </w:r>
      <w:r w:rsidR="00CA16BC" w:rsidRPr="0002056A">
        <w:rPr>
          <w:rFonts w:ascii="Georgia" w:eastAsia="Times New Roman" w:hAnsi="Georgia" w:cs="Times New Roman"/>
          <w:color w:val="000000"/>
          <w:lang w:val="en-GB" w:eastAsia="hu-HU"/>
        </w:rPr>
        <w:t>s and</w:t>
      </w:r>
      <w:r w:rsidRPr="0002056A">
        <w:rPr>
          <w:rFonts w:ascii="Georgia" w:eastAsia="Times New Roman" w:hAnsi="Georgia" w:cs="Times New Roman"/>
          <w:color w:val="000000"/>
          <w:lang w:val="en-GB" w:eastAsia="hu-HU"/>
        </w:rPr>
        <w:t xml:space="preserve"> 19+7 lower</w:t>
      </w:r>
      <w:r w:rsidR="00CA3CEE"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level objectives have been defined. The first specific objective promotes regionalised climate projections; the second knowledge generation but without spatiality; the sixth involvement of all territorial levels in adaptation - multilevel governance emerges here implicitly; the eighth the </w:t>
      </w:r>
      <w:r w:rsidR="009771FE" w:rsidRPr="0002056A">
        <w:rPr>
          <w:rFonts w:ascii="Georgia" w:eastAsia="Times New Roman" w:hAnsi="Georgia" w:cs="Times New Roman"/>
          <w:color w:val="000000"/>
          <w:lang w:val="en-GB" w:eastAsia="hu-HU"/>
        </w:rPr>
        <w:t xml:space="preserve">importance of </w:t>
      </w:r>
      <w:r w:rsidRPr="0002056A">
        <w:rPr>
          <w:rFonts w:ascii="Georgia" w:eastAsia="Times New Roman" w:hAnsi="Georgia" w:cs="Times New Roman"/>
          <w:color w:val="000000"/>
          <w:lang w:val="en-GB" w:eastAsia="hu-HU"/>
        </w:rPr>
        <w:t>international cooperati</w:t>
      </w:r>
      <w:r w:rsidR="009771FE" w:rsidRPr="0002056A">
        <w:rPr>
          <w:rFonts w:ascii="Georgia" w:eastAsia="Times New Roman" w:hAnsi="Georgia" w:cs="Times New Roman"/>
          <w:color w:val="000000"/>
          <w:lang w:val="en-GB" w:eastAsia="hu-HU"/>
        </w:rPr>
        <w:t>on</w:t>
      </w:r>
      <w:r w:rsidRPr="0002056A">
        <w:rPr>
          <w:rFonts w:ascii="Georgia" w:eastAsia="Times New Roman" w:hAnsi="Georgia" w:cs="Times New Roman"/>
          <w:color w:val="000000"/>
          <w:lang w:val="en-GB" w:eastAsia="hu-HU"/>
        </w:rPr>
        <w:t xml:space="preserve"> and the ninth </w:t>
      </w:r>
      <w:r w:rsidR="004053F4" w:rsidRPr="0002056A">
        <w:rPr>
          <w:rFonts w:ascii="Georgia" w:eastAsia="Times New Roman" w:hAnsi="Georgia" w:cs="Times New Roman"/>
          <w:color w:val="000000"/>
          <w:lang w:val="en-GB" w:eastAsia="hu-HU"/>
        </w:rPr>
        <w:t xml:space="preserve">the </w:t>
      </w:r>
      <w:r w:rsidRPr="0002056A">
        <w:rPr>
          <w:rFonts w:ascii="Georgia" w:eastAsia="Times New Roman" w:hAnsi="Georgia" w:cs="Times New Roman"/>
          <w:color w:val="000000"/>
          <w:lang w:val="en-GB" w:eastAsia="hu-HU"/>
        </w:rPr>
        <w:t>adaptation MRE activities but without spatial hints. Among the 19 “</w:t>
      </w:r>
      <w:r w:rsidRPr="0002056A">
        <w:rPr>
          <w:rFonts w:ascii="Georgia" w:eastAsia="Times New Roman" w:hAnsi="Georgia" w:cs="Times New Roman"/>
          <w:i/>
          <w:iCs/>
          <w:color w:val="000000"/>
          <w:lang w:val="en-GB" w:eastAsia="hu-HU"/>
        </w:rPr>
        <w:t>areas of work</w:t>
      </w:r>
      <w:r w:rsidRPr="0002056A">
        <w:rPr>
          <w:rFonts w:ascii="Georgia" w:eastAsia="Times New Roman" w:hAnsi="Georgia" w:cs="Times New Roman"/>
          <w:color w:val="000000"/>
          <w:lang w:val="en-GB" w:eastAsia="hu-HU"/>
        </w:rPr>
        <w:t>” one is for cities, one for coastal areas</w:t>
      </w:r>
      <w:r w:rsidR="003B56DC" w:rsidRPr="0002056A">
        <w:rPr>
          <w:rFonts w:ascii="Georgia" w:eastAsia="Times New Roman" w:hAnsi="Georgia" w:cs="Times New Roman"/>
          <w:color w:val="000000"/>
          <w:lang w:val="en-GB" w:eastAsia="hu-HU"/>
        </w:rPr>
        <w:t xml:space="preserve"> already in their very names</w:t>
      </w:r>
      <w:r w:rsidRPr="0002056A">
        <w:rPr>
          <w:rFonts w:ascii="Georgia" w:eastAsia="Times New Roman" w:hAnsi="Georgia" w:cs="Times New Roman"/>
          <w:color w:val="000000"/>
          <w:lang w:val="en-GB" w:eastAsia="hu-HU"/>
        </w:rPr>
        <w:t xml:space="preserve">; and out of the 7 transversal issues one is </w:t>
      </w:r>
      <w:r w:rsidR="00550C66" w:rsidRPr="0002056A">
        <w:rPr>
          <w:rFonts w:ascii="Georgia" w:eastAsia="Times New Roman" w:hAnsi="Georgia" w:cs="Times New Roman"/>
          <w:color w:val="000000"/>
          <w:lang w:val="en-GB" w:eastAsia="hu-HU"/>
        </w:rPr>
        <w:t xml:space="preserve">explicitly </w:t>
      </w:r>
      <w:r w:rsidRPr="0002056A">
        <w:rPr>
          <w:rFonts w:ascii="Georgia" w:eastAsia="Times New Roman" w:hAnsi="Georgia" w:cs="Times New Roman"/>
          <w:color w:val="000000"/>
          <w:lang w:val="en-GB" w:eastAsia="hu-HU"/>
        </w:rPr>
        <w:t>for spatiality and one for cross-border issues directly.</w:t>
      </w:r>
    </w:p>
    <w:p w14:paraId="05543BB1" w14:textId="3B964C2F" w:rsidR="002074BF" w:rsidRPr="0002056A" w:rsidRDefault="002074BF" w:rsidP="00BD445B">
      <w:pPr>
        <w:shd w:val="clear" w:color="auto" w:fill="FFFFFF" w:themeFill="background1"/>
        <w:spacing w:before="120" w:after="120" w:line="240" w:lineRule="auto"/>
        <w:jc w:val="both"/>
        <w:rPr>
          <w:lang w:val="en-GB"/>
        </w:rPr>
      </w:pPr>
      <w:r w:rsidRPr="0002056A">
        <w:rPr>
          <w:noProof/>
          <w:lang w:val="en-GB"/>
          <w14:ligatures w14:val="standardContextual"/>
        </w:rPr>
        <w:lastRenderedPageBreak/>
        <w:drawing>
          <wp:inline distT="0" distB="0" distL="0" distR="0" wp14:anchorId="0FF57561" wp14:editId="1ADF9497">
            <wp:extent cx="5760720" cy="2095500"/>
            <wp:effectExtent l="0" t="0" r="11430" b="0"/>
            <wp:docPr id="1857597725" name="Diagram 1">
              <a:extLst xmlns:a="http://schemas.openxmlformats.org/drawingml/2006/main">
                <a:ext uri="{FF2B5EF4-FFF2-40B4-BE49-F238E27FC236}">
                  <a16:creationId xmlns:a16="http://schemas.microsoft.com/office/drawing/2014/main" id="{0861C9AD-51C0-92E8-9068-04D926B227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25C697" w14:textId="018B7E38" w:rsidR="00287B4C" w:rsidRPr="0002056A" w:rsidRDefault="00287B4C" w:rsidP="00893D99">
      <w:pPr>
        <w:shd w:val="clear" w:color="auto" w:fill="FFFFFF" w:themeFill="background1"/>
        <w:spacing w:before="120" w:after="120" w:line="240" w:lineRule="auto"/>
        <w:jc w:val="center"/>
        <w:rPr>
          <w:rFonts w:ascii="Georgia" w:eastAsia="Times New Roman" w:hAnsi="Georgia" w:cs="Times New Roman"/>
          <w:bCs/>
          <w:i/>
          <w:sz w:val="18"/>
          <w:szCs w:val="18"/>
          <w:lang w:val="en-GB" w:eastAsia="hu-HU"/>
        </w:rPr>
      </w:pPr>
      <w:r w:rsidRPr="0002056A">
        <w:rPr>
          <w:rFonts w:ascii="Georgia" w:eastAsia="Times New Roman" w:hAnsi="Georgia" w:cs="Times New Roman"/>
          <w:b/>
          <w:iCs/>
          <w:sz w:val="18"/>
          <w:szCs w:val="18"/>
          <w:lang w:val="en-GB" w:eastAsia="hu-HU"/>
        </w:rPr>
        <w:t xml:space="preserve">Figure </w:t>
      </w:r>
      <w:r w:rsidR="00893D99" w:rsidRPr="0002056A">
        <w:rPr>
          <w:rFonts w:ascii="Georgia" w:eastAsia="Times New Roman" w:hAnsi="Georgia" w:cs="Times New Roman"/>
          <w:b/>
          <w:iCs/>
          <w:sz w:val="18"/>
          <w:szCs w:val="18"/>
          <w:lang w:val="en-GB" w:eastAsia="hu-HU"/>
        </w:rPr>
        <w:t>22</w:t>
      </w:r>
      <w:r w:rsidRPr="0002056A">
        <w:rPr>
          <w:rFonts w:ascii="Georgia" w:eastAsia="Times New Roman" w:hAnsi="Georgia" w:cs="Times New Roman"/>
          <w:b/>
          <w:iCs/>
          <w:sz w:val="18"/>
          <w:szCs w:val="18"/>
          <w:lang w:val="en-GB" w:eastAsia="hu-HU"/>
        </w:rPr>
        <w:t xml:space="preserve">: Proportion of lower-level </w:t>
      </w:r>
      <w:r w:rsidR="003B56DC" w:rsidRPr="0002056A">
        <w:rPr>
          <w:rFonts w:ascii="Georgia" w:eastAsia="Times New Roman" w:hAnsi="Georgia" w:cs="Times New Roman"/>
          <w:b/>
          <w:iCs/>
          <w:sz w:val="18"/>
          <w:szCs w:val="18"/>
          <w:lang w:val="en-GB" w:eastAsia="hu-HU"/>
        </w:rPr>
        <w:t>NAS-</w:t>
      </w:r>
      <w:r w:rsidRPr="0002056A">
        <w:rPr>
          <w:rFonts w:ascii="Georgia" w:eastAsia="Times New Roman" w:hAnsi="Georgia" w:cs="Times New Roman"/>
          <w:b/>
          <w:iCs/>
          <w:sz w:val="18"/>
          <w:szCs w:val="18"/>
          <w:lang w:val="en-GB" w:eastAsia="hu-HU"/>
        </w:rPr>
        <w:t xml:space="preserve">objectives consisting of spatial references. </w:t>
      </w:r>
      <w:r w:rsidRPr="0002056A">
        <w:rPr>
          <w:rFonts w:ascii="Georgia" w:eastAsia="Times New Roman" w:hAnsi="Georgia" w:cs="Times New Roman"/>
          <w:bCs/>
          <w:i/>
          <w:sz w:val="18"/>
          <w:szCs w:val="18"/>
          <w:lang w:val="en-GB" w:eastAsia="hu-HU"/>
        </w:rPr>
        <w:t>Source: own editing.</w:t>
      </w:r>
    </w:p>
    <w:p w14:paraId="021E9F6B" w14:textId="7C59073E" w:rsidR="00BD445B" w:rsidRPr="0002056A" w:rsidRDefault="00BD445B" w:rsidP="00CD5BF3">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b/>
          <w:iCs/>
          <w:lang w:val="en-GB" w:eastAsia="hu-HU"/>
        </w:rPr>
        <w:t xml:space="preserve">The proportion of </w:t>
      </w:r>
      <w:r w:rsidR="00843C3F" w:rsidRPr="0002056A">
        <w:rPr>
          <w:rFonts w:ascii="Georgia" w:eastAsia="Times New Roman" w:hAnsi="Georgia" w:cs="Times New Roman"/>
          <w:b/>
          <w:iCs/>
          <w:lang w:val="en-GB" w:eastAsia="hu-HU"/>
        </w:rPr>
        <w:t>lower-</w:t>
      </w:r>
      <w:r w:rsidRPr="0002056A">
        <w:rPr>
          <w:rFonts w:ascii="Georgia" w:eastAsia="Times New Roman" w:hAnsi="Georgia" w:cs="Times New Roman"/>
          <w:b/>
          <w:iCs/>
          <w:lang w:val="en-GB" w:eastAsia="hu-HU"/>
        </w:rPr>
        <w:t xml:space="preserve">level objectives with spatial content </w:t>
      </w:r>
      <w:r w:rsidRPr="0002056A">
        <w:rPr>
          <w:rFonts w:ascii="Georgia" w:eastAsia="Times New Roman" w:hAnsi="Georgia" w:cs="Times New Roman"/>
          <w:bCs/>
          <w:iCs/>
          <w:lang w:val="en-GB" w:eastAsia="hu-HU"/>
        </w:rPr>
        <w:t>brought basically expected outcomes</w:t>
      </w:r>
      <w:r w:rsidR="003B56DC" w:rsidRPr="0002056A">
        <w:rPr>
          <w:rFonts w:ascii="Georgia" w:eastAsia="Times New Roman" w:hAnsi="Georgia" w:cs="Times New Roman"/>
          <w:bCs/>
          <w:iCs/>
          <w:lang w:val="en-GB" w:eastAsia="hu-HU"/>
        </w:rPr>
        <w:t xml:space="preserve"> but also some surprising ones, too</w:t>
      </w:r>
      <w:r w:rsidR="00550C66" w:rsidRPr="0002056A">
        <w:rPr>
          <w:rFonts w:ascii="Georgia" w:eastAsia="Times New Roman" w:hAnsi="Georgia" w:cs="Times New Roman"/>
          <w:bCs/>
          <w:iCs/>
          <w:lang w:val="en-GB" w:eastAsia="hu-HU"/>
        </w:rPr>
        <w:t xml:space="preserve"> (Figure 22)</w:t>
      </w:r>
      <w:r w:rsidRPr="0002056A">
        <w:rPr>
          <w:rFonts w:ascii="Georgia" w:eastAsia="Times New Roman" w:hAnsi="Georgia" w:cs="Times New Roman"/>
          <w:bCs/>
          <w:iCs/>
          <w:lang w:val="en-GB" w:eastAsia="hu-HU"/>
        </w:rPr>
        <w:t xml:space="preserve">. The </w:t>
      </w:r>
      <w:r w:rsidRPr="0002056A">
        <w:rPr>
          <w:rFonts w:ascii="Georgia" w:eastAsia="Times New Roman" w:hAnsi="Georgia" w:cs="Times New Roman"/>
          <w:color w:val="000000"/>
          <w:lang w:val="en-GB" w:eastAsia="hu-HU"/>
        </w:rPr>
        <w:t xml:space="preserve">best performances </w:t>
      </w:r>
      <w:r w:rsidR="002F0754" w:rsidRPr="0002056A">
        <w:rPr>
          <w:rFonts w:ascii="Georgia" w:eastAsia="Times New Roman" w:hAnsi="Georgia" w:cs="Times New Roman"/>
          <w:color w:val="000000"/>
          <w:lang w:val="en-GB" w:eastAsia="hu-HU"/>
        </w:rPr>
        <w:t>were</w:t>
      </w:r>
      <w:r w:rsidRPr="0002056A">
        <w:rPr>
          <w:rFonts w:ascii="Georgia" w:eastAsia="Times New Roman" w:hAnsi="Georgia" w:cs="Times New Roman"/>
          <w:color w:val="000000"/>
          <w:lang w:val="en-GB" w:eastAsia="hu-HU"/>
        </w:rPr>
        <w:t xml:space="preserve"> detected in the traditional strategic spatial and adaptation planner countries (</w:t>
      </w:r>
      <w:r w:rsidR="00140DBA" w:rsidRPr="0002056A">
        <w:rPr>
          <w:rFonts w:ascii="Georgia" w:eastAsia="Times New Roman" w:hAnsi="Georgia" w:cs="Times New Roman"/>
          <w:i/>
          <w:iCs/>
          <w:color w:val="000000"/>
          <w:lang w:val="en-GB" w:eastAsia="hu-HU"/>
        </w:rPr>
        <w:t>t</w:t>
      </w:r>
      <w:r w:rsidRPr="0002056A">
        <w:rPr>
          <w:rFonts w:ascii="Georgia" w:eastAsia="Times New Roman" w:hAnsi="Georgia" w:cs="Times New Roman"/>
          <w:i/>
          <w:iCs/>
          <w:color w:val="000000"/>
          <w:lang w:val="en-GB" w:eastAsia="hu-HU"/>
        </w:rPr>
        <w:t>he Netherlands, France, Norway, Finland, Northern Ireland</w:t>
      </w:r>
      <w:r w:rsidRPr="0002056A">
        <w:rPr>
          <w:rFonts w:ascii="Georgia" w:eastAsia="Times New Roman" w:hAnsi="Georgia" w:cs="Times New Roman"/>
          <w:color w:val="000000"/>
          <w:lang w:val="en-GB" w:eastAsia="hu-HU"/>
        </w:rPr>
        <w:t xml:space="preserve">) with some surprising odd-one outs (like </w:t>
      </w:r>
      <w:r w:rsidRPr="0002056A">
        <w:rPr>
          <w:rFonts w:ascii="Georgia" w:eastAsia="Times New Roman" w:hAnsi="Georgia" w:cs="Times New Roman"/>
          <w:i/>
          <w:color w:val="000000"/>
          <w:lang w:val="en-GB" w:eastAsia="hu-HU"/>
        </w:rPr>
        <w:t>Kosovo</w:t>
      </w:r>
      <w:r w:rsidR="00376DBF" w:rsidRPr="0002056A">
        <w:rPr>
          <w:rFonts w:ascii="Georgia" w:eastAsia="Times New Roman" w:hAnsi="Georgia" w:cs="Times New Roman"/>
          <w:iCs/>
          <w:color w:val="000000"/>
          <w:lang w:val="en-GB" w:eastAsia="hu-HU"/>
        </w:rPr>
        <w:t xml:space="preserve"> or </w:t>
      </w:r>
      <w:r w:rsidR="00376DBF" w:rsidRPr="0002056A">
        <w:rPr>
          <w:rFonts w:ascii="Georgia" w:eastAsia="Times New Roman" w:hAnsi="Georgia" w:cs="Times New Roman"/>
          <w:i/>
          <w:color w:val="000000"/>
          <w:lang w:val="en-GB" w:eastAsia="hu-HU"/>
        </w:rPr>
        <w:t>Slovenia</w:t>
      </w:r>
      <w:r w:rsidRPr="0002056A">
        <w:rPr>
          <w:rFonts w:ascii="Georgia" w:eastAsia="Times New Roman" w:hAnsi="Georgia" w:cs="Times New Roman"/>
          <w:color w:val="000000"/>
          <w:lang w:val="en-GB" w:eastAsia="hu-HU"/>
        </w:rPr>
        <w:t>)</w:t>
      </w:r>
      <w:r w:rsidR="002F0754"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among the best categories</w:t>
      </w:r>
      <w:r w:rsidR="002F0754" w:rsidRPr="0002056A">
        <w:rPr>
          <w:rFonts w:ascii="Georgia" w:eastAsia="Times New Roman" w:hAnsi="Georgia" w:cs="Times New Roman"/>
          <w:color w:val="000000"/>
          <w:lang w:val="en-GB" w:eastAsia="hu-HU"/>
        </w:rPr>
        <w:t>, where m</w:t>
      </w:r>
      <w:r w:rsidRPr="0002056A">
        <w:rPr>
          <w:rFonts w:ascii="Georgia" w:eastAsia="Times New Roman" w:hAnsi="Georgia" w:cs="Times New Roman"/>
          <w:color w:val="000000"/>
          <w:lang w:val="en-GB" w:eastAsia="hu-HU"/>
        </w:rPr>
        <w:t xml:space="preserve">ore than 40% of the </w:t>
      </w:r>
      <w:r w:rsidR="006043E2" w:rsidRPr="0002056A">
        <w:rPr>
          <w:rFonts w:ascii="Georgia" w:eastAsia="Times New Roman" w:hAnsi="Georgia" w:cs="Times New Roman"/>
          <w:color w:val="000000"/>
          <w:lang w:val="en-GB" w:eastAsia="hu-HU"/>
        </w:rPr>
        <w:t xml:space="preserve">lower-level </w:t>
      </w:r>
      <w:r w:rsidRPr="0002056A">
        <w:rPr>
          <w:rFonts w:ascii="Georgia" w:eastAsia="Times New Roman" w:hAnsi="Georgia" w:cs="Times New Roman"/>
          <w:color w:val="000000"/>
          <w:lang w:val="en-GB" w:eastAsia="hu-HU"/>
        </w:rPr>
        <w:t>objectives comprises spatial references in their title or in their detailed description. The above listed states and from the second</w:t>
      </w:r>
      <w:r w:rsidR="002F0754"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best category (between 20-35%) </w:t>
      </w:r>
      <w:r w:rsidRPr="0002056A">
        <w:rPr>
          <w:rFonts w:ascii="Georgia" w:eastAsia="Times New Roman" w:hAnsi="Georgia" w:cs="Times New Roman"/>
          <w:i/>
          <w:color w:val="000000"/>
          <w:lang w:val="en-GB" w:eastAsia="hu-HU"/>
        </w:rPr>
        <w:t>Switzerland, Sweden, Scotland</w:t>
      </w:r>
      <w:r w:rsidRPr="0002056A">
        <w:rPr>
          <w:rFonts w:ascii="Georgia" w:eastAsia="Times New Roman" w:hAnsi="Georgia" w:cs="Times New Roman"/>
          <w:color w:val="000000"/>
          <w:lang w:val="en-GB" w:eastAsia="hu-HU"/>
        </w:rPr>
        <w:t xml:space="preserve"> are those </w:t>
      </w:r>
      <w:r w:rsidRPr="0002056A">
        <w:rPr>
          <w:rFonts w:ascii="Georgia" w:eastAsia="Times New Roman" w:hAnsi="Georgia" w:cs="Times New Roman"/>
          <w:i/>
          <w:color w:val="000000"/>
          <w:lang w:val="en-GB" w:eastAsia="hu-HU"/>
        </w:rPr>
        <w:t xml:space="preserve">North-Western European states </w:t>
      </w:r>
      <w:r w:rsidRPr="0002056A">
        <w:rPr>
          <w:rFonts w:ascii="Georgia" w:eastAsia="Times New Roman" w:hAnsi="Georgia" w:cs="Times New Roman"/>
          <w:color w:val="000000"/>
          <w:lang w:val="en-GB" w:eastAsia="hu-HU"/>
        </w:rPr>
        <w:t xml:space="preserve">where spatial planning has great traditions and adaptation planning has already seen 2-3 cycles so far. </w:t>
      </w:r>
      <w:r w:rsidRPr="0002056A">
        <w:rPr>
          <w:rFonts w:ascii="Georgia" w:eastAsia="Times New Roman" w:hAnsi="Georgia" w:cs="Times New Roman"/>
          <w:i/>
          <w:iCs/>
          <w:color w:val="000000"/>
          <w:lang w:val="en-GB" w:eastAsia="hu-HU"/>
        </w:rPr>
        <w:t>Slovenia</w:t>
      </w:r>
      <w:r w:rsidRPr="0002056A">
        <w:rPr>
          <w:rFonts w:ascii="Georgia" w:eastAsia="Times New Roman" w:hAnsi="Georgia" w:cs="Times New Roman"/>
          <w:color w:val="000000"/>
          <w:lang w:val="en-GB" w:eastAsia="hu-HU"/>
        </w:rPr>
        <w:t xml:space="preserve"> in the best and some other, basically well-performing </w:t>
      </w:r>
      <w:r w:rsidRPr="0002056A">
        <w:rPr>
          <w:rFonts w:ascii="Georgia" w:eastAsia="Times New Roman" w:hAnsi="Georgia" w:cs="Times New Roman"/>
          <w:i/>
          <w:color w:val="000000"/>
          <w:lang w:val="en-GB" w:eastAsia="hu-HU"/>
        </w:rPr>
        <w:t xml:space="preserve">Central-Eastern European countries </w:t>
      </w:r>
      <w:r w:rsidRPr="0002056A">
        <w:rPr>
          <w:rFonts w:ascii="Georgia" w:eastAsia="Times New Roman" w:hAnsi="Georgia" w:cs="Times New Roman"/>
          <w:color w:val="000000"/>
          <w:lang w:val="en-GB" w:eastAsia="hu-HU"/>
        </w:rPr>
        <w:t>(</w:t>
      </w:r>
      <w:r w:rsidRPr="0002056A">
        <w:rPr>
          <w:rFonts w:ascii="Georgia" w:eastAsia="Times New Roman" w:hAnsi="Georgia" w:cs="Times New Roman"/>
          <w:i/>
          <w:color w:val="000000"/>
          <w:lang w:val="en-GB" w:eastAsia="hu-HU"/>
        </w:rPr>
        <w:t>Poland, Slovakia, Hungary</w:t>
      </w:r>
      <w:r w:rsidRPr="0002056A">
        <w:rPr>
          <w:rFonts w:ascii="Georgia" w:eastAsia="Times New Roman" w:hAnsi="Georgia" w:cs="Times New Roman"/>
          <w:color w:val="000000"/>
          <w:lang w:val="en-GB" w:eastAsia="hu-HU"/>
        </w:rPr>
        <w:t xml:space="preserve"> and the </w:t>
      </w:r>
      <w:r w:rsidRPr="0002056A">
        <w:rPr>
          <w:rFonts w:ascii="Georgia" w:eastAsia="Times New Roman" w:hAnsi="Georgia" w:cs="Times New Roman"/>
          <w:i/>
          <w:color w:val="000000"/>
          <w:lang w:val="en-GB" w:eastAsia="hu-HU"/>
        </w:rPr>
        <w:t>Baltic states</w:t>
      </w:r>
      <w:r w:rsidRPr="0002056A">
        <w:rPr>
          <w:rFonts w:ascii="Georgia" w:eastAsia="Times New Roman" w:hAnsi="Georgia" w:cs="Times New Roman"/>
          <w:color w:val="000000"/>
          <w:lang w:val="en-GB" w:eastAsia="hu-HU"/>
        </w:rPr>
        <w:t>) in the second</w:t>
      </w:r>
      <w:r w:rsidR="00713677"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best category are those that are catching up in this field</w:t>
      </w:r>
      <w:r w:rsidR="00090077" w:rsidRPr="0002056A">
        <w:rPr>
          <w:rFonts w:ascii="Georgia" w:eastAsia="Times New Roman" w:hAnsi="Georgia" w:cs="Times New Roman"/>
          <w:color w:val="000000"/>
          <w:lang w:val="en-GB" w:eastAsia="hu-HU"/>
        </w:rPr>
        <w:t xml:space="preserve"> (i.e. adaptation planning)</w:t>
      </w:r>
      <w:r w:rsidRPr="0002056A">
        <w:rPr>
          <w:rFonts w:ascii="Georgia" w:eastAsia="Times New Roman" w:hAnsi="Georgia" w:cs="Times New Roman"/>
          <w:color w:val="000000"/>
          <w:lang w:val="en-GB" w:eastAsia="hu-HU"/>
        </w:rPr>
        <w:t xml:space="preserve">. Surprisingly, other great spatial planners, like </w:t>
      </w:r>
      <w:r w:rsidRPr="0002056A">
        <w:rPr>
          <w:rFonts w:ascii="Georgia" w:eastAsia="Times New Roman" w:hAnsi="Georgia" w:cs="Times New Roman"/>
          <w:i/>
          <w:color w:val="000000"/>
          <w:lang w:val="en-GB" w:eastAsia="hu-HU"/>
        </w:rPr>
        <w:t xml:space="preserve">Germany, England, Austria </w:t>
      </w:r>
      <w:r w:rsidRPr="0002056A">
        <w:rPr>
          <w:rFonts w:ascii="Georgia" w:eastAsia="Times New Roman" w:hAnsi="Georgia" w:cs="Times New Roman"/>
          <w:color w:val="000000"/>
          <w:lang w:val="en-GB" w:eastAsia="hu-HU"/>
        </w:rPr>
        <w:t xml:space="preserve">and </w:t>
      </w:r>
      <w:r w:rsidRPr="0002056A">
        <w:rPr>
          <w:rFonts w:ascii="Georgia" w:eastAsia="Times New Roman" w:hAnsi="Georgia" w:cs="Times New Roman"/>
          <w:i/>
          <w:color w:val="000000"/>
          <w:lang w:val="en-GB" w:eastAsia="hu-HU"/>
        </w:rPr>
        <w:t>Belgium</w:t>
      </w:r>
      <w:r w:rsidRPr="0002056A">
        <w:rPr>
          <w:rFonts w:ascii="Georgia" w:eastAsia="Times New Roman" w:hAnsi="Georgia" w:cs="Times New Roman"/>
          <w:color w:val="000000"/>
          <w:lang w:val="en-GB" w:eastAsia="hu-HU"/>
        </w:rPr>
        <w:t xml:space="preserve"> emerge only in the third category (5-20%) - in their cases strategic planning is still strong, but their spatial </w:t>
      </w:r>
      <w:r w:rsidR="00F679E8" w:rsidRPr="0002056A">
        <w:rPr>
          <w:rFonts w:ascii="Georgia" w:eastAsia="Times New Roman" w:hAnsi="Georgia" w:cs="Times New Roman"/>
          <w:color w:val="000000"/>
          <w:lang w:val="en-GB" w:eastAsia="hu-HU"/>
        </w:rPr>
        <w:t>emphasis</w:t>
      </w:r>
      <w:r w:rsidRPr="0002056A">
        <w:rPr>
          <w:rFonts w:ascii="Georgia" w:eastAsia="Times New Roman" w:hAnsi="Georgia" w:cs="Times New Roman"/>
          <w:color w:val="000000"/>
          <w:lang w:val="en-GB" w:eastAsia="hu-HU"/>
        </w:rPr>
        <w:t xml:space="preserve"> is not so much in adaptation planning, at least at national level. </w:t>
      </w:r>
    </w:p>
    <w:p w14:paraId="6BD6789A" w14:textId="627FE1E3" w:rsidR="00BD445B" w:rsidRPr="0002056A" w:rsidRDefault="00BD445B" w:rsidP="00CD5BF3">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hAnsi="Georgia" w:cs="Times New Roman"/>
          <w:bCs/>
          <w:iCs/>
          <w:lang w:val="en-GB"/>
        </w:rPr>
        <w:t>Regarding the</w:t>
      </w:r>
      <w:r w:rsidRPr="0002056A">
        <w:rPr>
          <w:rFonts w:ascii="Georgia" w:hAnsi="Georgia" w:cs="Times New Roman"/>
          <w:b/>
          <w:iCs/>
          <w:lang w:val="en-GB"/>
        </w:rPr>
        <w:t xml:space="preserve"> spatiality of horizontal objectives, </w:t>
      </w:r>
      <w:r w:rsidRPr="0002056A">
        <w:rPr>
          <w:rFonts w:ascii="Georgia" w:hAnsi="Georgia" w:cs="Times New Roman"/>
          <w:bCs/>
          <w:iCs/>
          <w:lang w:val="en-GB"/>
        </w:rPr>
        <w:t>the picture is basically weak. Real horizontal objectives</w:t>
      </w:r>
      <w:r w:rsidRPr="0002056A">
        <w:rPr>
          <w:rFonts w:ascii="Georgia" w:hAnsi="Georgia" w:cs="Times New Roman"/>
          <w:bCs/>
          <w:lang w:val="en-GB"/>
        </w:rPr>
        <w:t xml:space="preserve"> are missing from the majority of documents: in these cases, we analysed the horizontal principles identified in </w:t>
      </w:r>
      <w:r w:rsidR="00090077" w:rsidRPr="0002056A">
        <w:rPr>
          <w:rFonts w:ascii="Georgia" w:hAnsi="Georgia" w:cs="Times New Roman"/>
          <w:bCs/>
          <w:lang w:val="en-GB"/>
        </w:rPr>
        <w:t>several</w:t>
      </w:r>
      <w:r w:rsidRPr="0002056A">
        <w:rPr>
          <w:rFonts w:ascii="Georgia" w:hAnsi="Georgia" w:cs="Times New Roman"/>
          <w:bCs/>
          <w:lang w:val="en-GB"/>
        </w:rPr>
        <w:t xml:space="preserve"> NAS documents. Five</w:t>
      </w:r>
      <w:r w:rsidRPr="0002056A">
        <w:rPr>
          <w:rFonts w:ascii="Georgia" w:eastAsia="Times New Roman" w:hAnsi="Georgia" w:cs="Times New Roman"/>
          <w:color w:val="000000"/>
          <w:lang w:val="en-GB" w:eastAsia="hu-HU"/>
        </w:rPr>
        <w:t xml:space="preserve"> countries have more special horizontal goals</w:t>
      </w:r>
      <w:r w:rsidR="00F679E8" w:rsidRPr="0002056A">
        <w:rPr>
          <w:rFonts w:ascii="Georgia" w:eastAsia="Times New Roman" w:hAnsi="Georgia" w:cs="Times New Roman"/>
          <w:color w:val="000000"/>
          <w:lang w:val="en-GB" w:eastAsia="hu-HU"/>
        </w:rPr>
        <w:t>/principles</w:t>
      </w:r>
      <w:r w:rsidRPr="0002056A">
        <w:rPr>
          <w:rFonts w:ascii="Georgia" w:eastAsia="Times New Roman" w:hAnsi="Georgia" w:cs="Times New Roman"/>
          <w:color w:val="000000"/>
          <w:lang w:val="en-GB" w:eastAsia="hu-HU"/>
        </w:rPr>
        <w:t xml:space="preserve"> deal</w:t>
      </w:r>
      <w:r w:rsidR="00090077" w:rsidRPr="0002056A">
        <w:rPr>
          <w:rFonts w:ascii="Georgia" w:eastAsia="Times New Roman" w:hAnsi="Georgia" w:cs="Times New Roman"/>
          <w:color w:val="000000"/>
          <w:lang w:val="en-GB" w:eastAsia="hu-HU"/>
        </w:rPr>
        <w:t>ing</w:t>
      </w:r>
      <w:r w:rsidRPr="0002056A">
        <w:rPr>
          <w:rFonts w:ascii="Georgia" w:eastAsia="Times New Roman" w:hAnsi="Georgia" w:cs="Times New Roman"/>
          <w:color w:val="000000"/>
          <w:lang w:val="en-GB" w:eastAsia="hu-HU"/>
        </w:rPr>
        <w:t xml:space="preserve"> directly/nominally with spatial/territorial issues. </w:t>
      </w:r>
      <w:r w:rsidRPr="0002056A">
        <w:rPr>
          <w:rFonts w:ascii="Georgia" w:eastAsia="Times New Roman" w:hAnsi="Georgia" w:cs="Times New Roman"/>
          <w:i/>
          <w:color w:val="000000"/>
          <w:lang w:val="en-GB" w:eastAsia="hu-HU"/>
        </w:rPr>
        <w:t xml:space="preserve">Lithuania’s </w:t>
      </w:r>
      <w:r w:rsidRPr="0002056A">
        <w:rPr>
          <w:rFonts w:ascii="Georgia" w:eastAsia="Times New Roman" w:hAnsi="Georgia" w:cs="Times New Roman"/>
          <w:color w:val="000000"/>
          <w:lang w:val="en-GB" w:eastAsia="hu-HU"/>
        </w:rPr>
        <w:t xml:space="preserve">NAS </w:t>
      </w:r>
      <w:r w:rsidRPr="0002056A">
        <w:rPr>
          <w:rFonts w:ascii="Georgia" w:hAnsi="Georgia" w:cs="Times New Roman"/>
          <w:bCs/>
          <w:lang w:val="en-GB"/>
        </w:rPr>
        <w:t xml:space="preserve">nominates in its </w:t>
      </w:r>
      <w:r w:rsidRPr="0002056A">
        <w:rPr>
          <w:rFonts w:ascii="Georgia" w:eastAsia="Times New Roman" w:hAnsi="Georgia" w:cs="Times New Roman"/>
          <w:color w:val="000000"/>
          <w:lang w:val="en-GB" w:eastAsia="hu-HU"/>
        </w:rPr>
        <w:t xml:space="preserve">37.8. subgoal spatial equality and the </w:t>
      </w:r>
      <w:r w:rsidR="00216AD0" w:rsidRPr="0002056A">
        <w:rPr>
          <w:rFonts w:ascii="Georgia" w:eastAsia="Times New Roman" w:hAnsi="Georgia" w:cs="Times New Roman"/>
          <w:color w:val="000000"/>
          <w:lang w:val="en-GB" w:eastAsia="hu-HU"/>
        </w:rPr>
        <w:t>coordination</w:t>
      </w:r>
      <w:r w:rsidRPr="0002056A">
        <w:rPr>
          <w:rFonts w:ascii="Georgia" w:eastAsia="Times New Roman" w:hAnsi="Georgia" w:cs="Times New Roman"/>
          <w:color w:val="000000"/>
          <w:lang w:val="en-GB" w:eastAsia="hu-HU"/>
        </w:rPr>
        <w:t xml:space="preserve"> of national/regional/local authorities' works; in its 37.11 subgoal geopolitics-related issues of climate policy. </w:t>
      </w:r>
      <w:r w:rsidRPr="0002056A">
        <w:rPr>
          <w:rFonts w:ascii="Georgia" w:eastAsia="Times New Roman" w:hAnsi="Georgia" w:cs="Times New Roman"/>
          <w:i/>
          <w:color w:val="000000"/>
          <w:lang w:val="en-GB" w:eastAsia="hu-HU"/>
        </w:rPr>
        <w:t>Portugal</w:t>
      </w:r>
      <w:r w:rsidRPr="0002056A">
        <w:rPr>
          <w:rFonts w:ascii="Georgia" w:eastAsia="Times New Roman" w:hAnsi="Georgia" w:cs="Times New Roman"/>
          <w:color w:val="000000"/>
          <w:lang w:val="en-GB" w:eastAsia="hu-HU"/>
        </w:rPr>
        <w:t xml:space="preserve">’s NAS declares six thematic, horizontal areas </w:t>
      </w:r>
      <w:r w:rsidR="00216AD0" w:rsidRPr="0002056A">
        <w:rPr>
          <w:rFonts w:ascii="Georgia" w:eastAsia="Times New Roman" w:hAnsi="Georgia" w:cs="Times New Roman"/>
          <w:color w:val="000000"/>
          <w:lang w:val="en-GB" w:eastAsia="hu-HU"/>
        </w:rPr>
        <w:t>within</w:t>
      </w:r>
      <w:r w:rsidRPr="0002056A">
        <w:rPr>
          <w:rFonts w:ascii="Georgia" w:eastAsia="Times New Roman" w:hAnsi="Georgia" w:cs="Times New Roman"/>
          <w:color w:val="000000"/>
          <w:lang w:val="en-GB" w:eastAsia="hu-HU"/>
        </w:rPr>
        <w:t xml:space="preserve"> the objective system. Out of these, </w:t>
      </w:r>
      <w:r w:rsidR="00090077" w:rsidRPr="0002056A">
        <w:rPr>
          <w:rFonts w:ascii="Georgia" w:eastAsia="Times New Roman" w:hAnsi="Georgia" w:cs="Times New Roman"/>
          <w:color w:val="000000"/>
          <w:lang w:val="en-GB" w:eastAsia="hu-HU"/>
        </w:rPr>
        <w:t>#4</w:t>
      </w:r>
      <w:r w:rsidRPr="0002056A">
        <w:rPr>
          <w:rFonts w:ascii="Georgia" w:eastAsia="Times New Roman" w:hAnsi="Georgia" w:cs="Times New Roman"/>
          <w:color w:val="000000"/>
          <w:lang w:val="en-GB" w:eastAsia="hu-HU"/>
        </w:rPr>
        <w:t xml:space="preserve"> concentrate</w:t>
      </w:r>
      <w:r w:rsidR="00090077"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a</w:t>
      </w:r>
      <w:r w:rsidR="00244524" w:rsidRPr="0002056A">
        <w:rPr>
          <w:rFonts w:ascii="Georgia" w:eastAsia="Times New Roman" w:hAnsi="Georgia" w:cs="Times New Roman"/>
          <w:color w:val="000000"/>
          <w:lang w:val="en-GB" w:eastAsia="hu-HU"/>
        </w:rPr>
        <w:t>mong other things</w:t>
      </w:r>
      <w:r w:rsidRPr="0002056A">
        <w:rPr>
          <w:rFonts w:ascii="Georgia" w:eastAsia="Times New Roman" w:hAnsi="Georgia" w:cs="Times New Roman"/>
          <w:color w:val="000000"/>
          <w:lang w:val="en-GB" w:eastAsia="hu-HU"/>
        </w:rPr>
        <w:t xml:space="preserve"> on GIS-based National Adaptation Platform development; #5 urges the connection with spatial planning and adaptation </w:t>
      </w:r>
      <w:r w:rsidR="00216AD0" w:rsidRPr="0002056A">
        <w:rPr>
          <w:rFonts w:ascii="Georgia" w:eastAsia="Times New Roman" w:hAnsi="Georgia" w:cs="Times New Roman"/>
          <w:color w:val="000000"/>
          <w:lang w:val="en-GB" w:eastAsia="hu-HU"/>
        </w:rPr>
        <w:t>activities</w:t>
      </w:r>
      <w:r w:rsidRPr="0002056A">
        <w:rPr>
          <w:rFonts w:ascii="Georgia" w:eastAsia="Times New Roman" w:hAnsi="Georgia" w:cs="Times New Roman"/>
          <w:color w:val="000000"/>
          <w:lang w:val="en-GB" w:eastAsia="hu-HU"/>
        </w:rPr>
        <w:t xml:space="preserve"> taking into consideration local/regional specifities; #6 </w:t>
      </w:r>
      <w:r w:rsidR="00DB3302" w:rsidRPr="0002056A">
        <w:rPr>
          <w:rFonts w:ascii="Georgia" w:eastAsia="Times New Roman" w:hAnsi="Georgia" w:cs="Times New Roman"/>
          <w:color w:val="000000"/>
          <w:lang w:val="en-GB" w:eastAsia="hu-HU"/>
        </w:rPr>
        <w:t>emphasises</w:t>
      </w:r>
      <w:r w:rsidRPr="0002056A">
        <w:rPr>
          <w:rFonts w:ascii="Georgia" w:eastAsia="Times New Roman" w:hAnsi="Georgia" w:cs="Times New Roman"/>
          <w:color w:val="000000"/>
          <w:lang w:val="en-GB" w:eastAsia="hu-HU"/>
        </w:rPr>
        <w:t xml:space="preserve"> </w:t>
      </w:r>
      <w:r w:rsidR="00D54A8F" w:rsidRPr="0002056A">
        <w:rPr>
          <w:rFonts w:ascii="Georgia" w:eastAsia="Times New Roman" w:hAnsi="Georgia" w:cs="Times New Roman"/>
          <w:color w:val="000000"/>
          <w:lang w:val="en-GB" w:eastAsia="hu-HU"/>
        </w:rPr>
        <w:t>the</w:t>
      </w:r>
      <w:r w:rsidRPr="0002056A">
        <w:rPr>
          <w:rFonts w:ascii="Georgia" w:eastAsia="Times New Roman" w:hAnsi="Georgia" w:cs="Times New Roman"/>
          <w:color w:val="000000"/>
          <w:lang w:val="en-GB" w:eastAsia="hu-HU"/>
        </w:rPr>
        <w:t xml:space="preserve"> consideration </w:t>
      </w:r>
      <w:r w:rsidR="00D54A8F" w:rsidRPr="0002056A">
        <w:rPr>
          <w:rFonts w:ascii="Georgia" w:eastAsia="Times New Roman" w:hAnsi="Georgia" w:cs="Times New Roman"/>
          <w:color w:val="000000"/>
          <w:lang w:val="en-GB" w:eastAsia="hu-HU"/>
        </w:rPr>
        <w:t xml:space="preserve">of </w:t>
      </w:r>
      <w:r w:rsidRPr="0002056A">
        <w:rPr>
          <w:rFonts w:ascii="Georgia" w:eastAsia="Times New Roman" w:hAnsi="Georgia" w:cs="Times New Roman"/>
          <w:color w:val="000000"/>
          <w:lang w:val="en-GB" w:eastAsia="hu-HU"/>
        </w:rPr>
        <w:t xml:space="preserve">local/regional/river basin-level specialities in water resource management and monitoring. In </w:t>
      </w:r>
      <w:r w:rsidRPr="0002056A">
        <w:rPr>
          <w:rFonts w:ascii="Georgia" w:eastAsia="Times New Roman" w:hAnsi="Georgia" w:cs="Times New Roman"/>
          <w:i/>
          <w:color w:val="000000"/>
          <w:lang w:val="en-GB" w:eastAsia="hu-HU"/>
        </w:rPr>
        <w:t xml:space="preserve">Spain </w:t>
      </w:r>
      <w:r w:rsidRPr="0002056A">
        <w:rPr>
          <w:rFonts w:ascii="Georgia" w:eastAsia="Times New Roman" w:hAnsi="Georgia" w:cs="Times New Roman"/>
          <w:color w:val="000000"/>
          <w:lang w:val="en-GB" w:eastAsia="hu-HU"/>
        </w:rPr>
        <w:t xml:space="preserve">the NAS sets out a number of guiding principles (Chapter 5). These contain among other things the consideration of social and territorial dimension (social components of exposure and vulnerability, as well as their geographical distribution, should be taken into account in climate risk analyses and in the </w:t>
      </w:r>
      <w:r w:rsidR="006209D4" w:rsidRPr="0002056A">
        <w:rPr>
          <w:rFonts w:ascii="Georgia" w:eastAsia="Times New Roman" w:hAnsi="Georgia" w:cs="Times New Roman"/>
          <w:color w:val="000000"/>
          <w:lang w:val="en-GB" w:eastAsia="hu-HU"/>
        </w:rPr>
        <w:t>planning</w:t>
      </w:r>
      <w:r w:rsidRPr="0002056A">
        <w:rPr>
          <w:rFonts w:ascii="Georgia" w:eastAsia="Times New Roman" w:hAnsi="Georgia" w:cs="Times New Roman"/>
          <w:color w:val="000000"/>
          <w:lang w:val="en-GB" w:eastAsia="hu-HU"/>
        </w:rPr>
        <w:t xml:space="preserve"> of adaptation initiative</w:t>
      </w:r>
      <w:r w:rsidR="00DB3302" w:rsidRPr="0002056A">
        <w:rPr>
          <w:rFonts w:ascii="Georgia" w:eastAsia="Times New Roman" w:hAnsi="Georgia" w:cs="Times New Roman"/>
          <w:color w:val="000000"/>
          <w:lang w:val="en-GB" w:eastAsia="hu-HU"/>
        </w:rPr>
        <w:t>s according to the NAS</w:t>
      </w:r>
      <w:r w:rsidRPr="0002056A">
        <w:rPr>
          <w:rFonts w:ascii="Georgia" w:eastAsia="Times New Roman" w:hAnsi="Georgia" w:cs="Times New Roman"/>
          <w:color w:val="000000"/>
          <w:lang w:val="en-GB" w:eastAsia="hu-HU"/>
        </w:rPr>
        <w:t xml:space="preserve">). As a complement to the sectoral actions, the </w:t>
      </w:r>
      <w:r w:rsidR="006209D4" w:rsidRPr="0002056A">
        <w:rPr>
          <w:rFonts w:ascii="Georgia" w:eastAsia="Times New Roman" w:hAnsi="Georgia" w:cs="Times New Roman"/>
          <w:color w:val="000000"/>
          <w:lang w:val="en-GB" w:eastAsia="hu-HU"/>
        </w:rPr>
        <w:t xml:space="preserve">Spanish </w:t>
      </w:r>
      <w:r w:rsidRPr="0002056A">
        <w:rPr>
          <w:rFonts w:ascii="Georgia" w:eastAsia="Times New Roman" w:hAnsi="Georgia" w:cs="Times New Roman"/>
          <w:color w:val="000000"/>
          <w:lang w:val="en-GB" w:eastAsia="hu-HU"/>
        </w:rPr>
        <w:t xml:space="preserve">NAS defines 7 transversal aspects (Chapter 8), which must be promoted in the different areas of work: among these </w:t>
      </w:r>
      <w:r w:rsidR="006209D4" w:rsidRPr="0002056A">
        <w:rPr>
          <w:rFonts w:ascii="Georgia" w:eastAsia="Times New Roman" w:hAnsi="Georgia" w:cs="Times New Roman"/>
          <w:color w:val="000000"/>
          <w:lang w:val="en-GB" w:eastAsia="hu-HU"/>
        </w:rPr>
        <w:t xml:space="preserve">aspects </w:t>
      </w:r>
      <w:r w:rsidRPr="0002056A">
        <w:rPr>
          <w:rFonts w:ascii="Georgia" w:eastAsia="Times New Roman" w:hAnsi="Georgia" w:cs="Times New Roman"/>
          <w:color w:val="000000"/>
          <w:lang w:val="en-GB" w:eastAsia="hu-HU"/>
        </w:rPr>
        <w:t xml:space="preserve">the first is focusing again on the deepening of the geographical and social components of vulnerability to </w:t>
      </w:r>
      <w:r w:rsidRPr="0002056A">
        <w:rPr>
          <w:rFonts w:ascii="Georgia" w:eastAsia="Times New Roman" w:hAnsi="Georgia" w:cs="Times New Roman"/>
          <w:color w:val="000000"/>
          <w:lang w:val="en-GB" w:eastAsia="hu-HU"/>
        </w:rPr>
        <w:lastRenderedPageBreak/>
        <w:t>climate change; the third is on the analysis of cross-border effects</w:t>
      </w:r>
      <w:r w:rsidRPr="0002056A">
        <w:rPr>
          <w:rStyle w:val="Lbjegyzet-hivatkozs"/>
          <w:rFonts w:ascii="Georgia" w:eastAsia="Times New Roman" w:hAnsi="Georgia" w:cs="Times New Roman"/>
          <w:color w:val="000000"/>
          <w:lang w:val="en-GB" w:eastAsia="hu-HU"/>
        </w:rPr>
        <w:footnoteReference w:id="102"/>
      </w:r>
      <w:r w:rsidRPr="0002056A">
        <w:rPr>
          <w:rFonts w:ascii="Georgia" w:eastAsia="Times New Roman" w:hAnsi="Georgia" w:cs="Times New Roman"/>
          <w:color w:val="000000"/>
          <w:lang w:val="en-GB" w:eastAsia="hu-HU"/>
        </w:rPr>
        <w:t xml:space="preserve">. </w:t>
      </w:r>
      <w:r w:rsidR="00DB3302" w:rsidRPr="0002056A">
        <w:rPr>
          <w:rFonts w:ascii="Georgia" w:eastAsia="Times New Roman" w:hAnsi="Georgia" w:cs="Times New Roman"/>
          <w:color w:val="000000"/>
          <w:lang w:val="en-GB" w:eastAsia="hu-HU"/>
        </w:rPr>
        <w:t>Altogether</w:t>
      </w:r>
      <w:r w:rsidRPr="0002056A">
        <w:rPr>
          <w:rFonts w:ascii="Georgia" w:eastAsia="Times New Roman" w:hAnsi="Georgia" w:cs="Times New Roman"/>
          <w:color w:val="000000"/>
          <w:lang w:val="en-GB" w:eastAsia="hu-HU"/>
        </w:rPr>
        <w:t xml:space="preserve">, the NAS urges incorporation of spatial analyses and identification of high-risk-areas </w:t>
      </w:r>
      <w:r w:rsidR="004E1645" w:rsidRPr="0002056A">
        <w:rPr>
          <w:rFonts w:ascii="Georgia" w:eastAsia="Times New Roman" w:hAnsi="Georgia" w:cs="Times New Roman"/>
          <w:color w:val="000000"/>
          <w:lang w:val="en-GB" w:eastAsia="hu-HU"/>
        </w:rPr>
        <w:t xml:space="preserve">into adaptation planning </w:t>
      </w:r>
      <w:r w:rsidRPr="0002056A">
        <w:rPr>
          <w:rFonts w:ascii="Georgia" w:eastAsia="Times New Roman" w:hAnsi="Georgia" w:cs="Times New Roman"/>
          <w:color w:val="000000"/>
          <w:lang w:val="en-GB" w:eastAsia="hu-HU"/>
        </w:rPr>
        <w:t xml:space="preserve">and calls the attention to climate change’s different forms in different </w:t>
      </w:r>
      <w:r w:rsidR="002D1785" w:rsidRPr="0002056A">
        <w:rPr>
          <w:rFonts w:ascii="Georgia" w:eastAsia="Times New Roman" w:hAnsi="Georgia" w:cs="Times New Roman"/>
          <w:color w:val="000000"/>
          <w:lang w:val="en-GB" w:eastAsia="hu-HU"/>
        </w:rPr>
        <w:t>geographical areas</w:t>
      </w:r>
      <w:r w:rsidRPr="0002056A">
        <w:rPr>
          <w:rFonts w:ascii="Georgia" w:eastAsia="Times New Roman" w:hAnsi="Georgia" w:cs="Times New Roman"/>
          <w:color w:val="000000"/>
          <w:lang w:val="en-GB" w:eastAsia="hu-HU"/>
        </w:rPr>
        <w:t xml:space="preserve">, like mountains, rural areas and islands. </w:t>
      </w:r>
      <w:r w:rsidRPr="0002056A">
        <w:rPr>
          <w:rFonts w:ascii="Georgia" w:eastAsia="Times New Roman" w:hAnsi="Georgia" w:cs="Times New Roman"/>
          <w:i/>
          <w:iCs/>
          <w:color w:val="000000"/>
          <w:lang w:val="en-GB" w:eastAsia="hu-HU"/>
        </w:rPr>
        <w:t>F</w:t>
      </w:r>
      <w:r w:rsidRPr="0002056A">
        <w:rPr>
          <w:rFonts w:ascii="Georgia" w:eastAsia="Times New Roman" w:hAnsi="Georgia" w:cs="Times New Roman"/>
          <w:i/>
          <w:color w:val="000000"/>
          <w:lang w:val="en-GB" w:eastAsia="hu-HU"/>
        </w:rPr>
        <w:t>rance</w:t>
      </w:r>
      <w:r w:rsidRPr="0002056A">
        <w:rPr>
          <w:rFonts w:ascii="Georgia" w:eastAsia="Times New Roman" w:hAnsi="Georgia" w:cs="Times New Roman"/>
          <w:color w:val="000000"/>
          <w:lang w:val="en-GB" w:eastAsia="hu-HU"/>
        </w:rPr>
        <w:t>’s NAS Chapter 2 introduces 6 main strategic principle</w:t>
      </w:r>
      <w:r w:rsidR="002D1785" w:rsidRPr="0002056A">
        <w:rPr>
          <w:rFonts w:ascii="Georgia" w:eastAsia="Times New Roman" w:hAnsi="Georgia" w:cs="Times New Roman"/>
          <w:color w:val="000000"/>
          <w:lang w:val="en-GB" w:eastAsia="hu-HU"/>
        </w:rPr>
        <w:t>s</w:t>
      </w:r>
      <w:r w:rsidR="00C7419E" w:rsidRPr="0002056A">
        <w:rPr>
          <w:rFonts w:ascii="Georgia" w:eastAsia="Times New Roman" w:hAnsi="Georgia" w:cs="Times New Roman"/>
          <w:color w:val="000000"/>
          <w:lang w:val="en-GB" w:eastAsia="hu-HU"/>
        </w:rPr>
        <w:t>,</w:t>
      </w:r>
      <w:r w:rsidR="002D1785" w:rsidRPr="0002056A">
        <w:rPr>
          <w:rFonts w:ascii="Georgia" w:eastAsia="Times New Roman" w:hAnsi="Georgia" w:cs="Times New Roman"/>
          <w:color w:val="000000"/>
          <w:lang w:val="en-GB" w:eastAsia="hu-HU"/>
        </w:rPr>
        <w:t xml:space="preserve"> among them</w:t>
      </w:r>
      <w:r w:rsidRPr="0002056A">
        <w:rPr>
          <w:rFonts w:ascii="Georgia" w:eastAsia="Times New Roman" w:hAnsi="Georgia" w:cs="Times New Roman"/>
          <w:color w:val="000000"/>
          <w:lang w:val="en-GB" w:eastAsia="hu-HU"/>
        </w:rPr>
        <w:t xml:space="preserve"> the directly spatial “</w:t>
      </w:r>
      <w:r w:rsidRPr="0002056A">
        <w:rPr>
          <w:rFonts w:ascii="Georgia" w:eastAsia="Times New Roman" w:hAnsi="Georgia" w:cs="Times New Roman"/>
          <w:i/>
          <w:iCs/>
          <w:color w:val="000000"/>
          <w:lang w:val="en-GB" w:eastAsia="hu-HU"/>
        </w:rPr>
        <w:t>Differentiation: derivation the national strategy at territorial level</w:t>
      </w:r>
      <w:r w:rsidRPr="0002056A">
        <w:rPr>
          <w:rFonts w:ascii="Georgia" w:eastAsia="Times New Roman" w:hAnsi="Georgia" w:cs="Times New Roman"/>
          <w:color w:val="000000"/>
          <w:lang w:val="en-GB" w:eastAsia="hu-HU"/>
        </w:rPr>
        <w:t xml:space="preserve">”. Furthermore, there are </w:t>
      </w:r>
      <w:r w:rsidR="00B53AEC" w:rsidRPr="0002056A">
        <w:rPr>
          <w:rFonts w:ascii="Georgia" w:eastAsia="Times New Roman" w:hAnsi="Georgia" w:cs="Times New Roman"/>
          <w:color w:val="000000"/>
          <w:lang w:val="en-GB" w:eastAsia="hu-HU"/>
        </w:rPr>
        <w:t xml:space="preserve">three </w:t>
      </w:r>
      <w:r w:rsidRPr="0002056A">
        <w:rPr>
          <w:rFonts w:ascii="Georgia" w:eastAsia="Times New Roman" w:hAnsi="Georgia" w:cs="Times New Roman"/>
          <w:color w:val="000000"/>
          <w:lang w:val="en-GB" w:eastAsia="hu-HU"/>
        </w:rPr>
        <w:t>horizontal objectives after the 5 main axis (specific objectives): out of these,</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w:t>
      </w:r>
      <w:r w:rsidRPr="0002056A">
        <w:rPr>
          <w:rFonts w:ascii="Georgia" w:eastAsia="Times New Roman" w:hAnsi="Georgia" w:cs="Times New Roman"/>
          <w:i/>
          <w:iCs/>
          <w:color w:val="000000"/>
          <w:lang w:val="en-GB" w:eastAsia="hu-HU"/>
        </w:rPr>
        <w:t xml:space="preserve">Taking into account the </w:t>
      </w:r>
      <w:r w:rsidR="00216AD0" w:rsidRPr="0002056A">
        <w:rPr>
          <w:rFonts w:ascii="Georgia" w:eastAsia="Times New Roman" w:hAnsi="Georgia" w:cs="Times New Roman"/>
          <w:i/>
          <w:iCs/>
          <w:color w:val="000000"/>
          <w:lang w:val="en-GB" w:eastAsia="hu-HU"/>
        </w:rPr>
        <w:t>specificity</w:t>
      </w:r>
      <w:r w:rsidRPr="0002056A">
        <w:rPr>
          <w:rFonts w:ascii="Georgia" w:eastAsia="Times New Roman" w:hAnsi="Georgia" w:cs="Times New Roman"/>
          <w:i/>
          <w:iCs/>
          <w:color w:val="000000"/>
          <w:lang w:val="en-GB" w:eastAsia="hu-HU"/>
        </w:rPr>
        <w:t xml:space="preserve"> of our Overseas territories in the face of the challenge of adaptation</w:t>
      </w:r>
      <w:r w:rsidRPr="0002056A">
        <w:rPr>
          <w:rFonts w:ascii="Georgia" w:eastAsia="Times New Roman" w:hAnsi="Georgia" w:cs="Times New Roman"/>
          <w:color w:val="000000"/>
          <w:lang w:val="en-GB" w:eastAsia="hu-HU"/>
        </w:rPr>
        <w:t xml:space="preserve">" is directly spatial. Moreover, the </w:t>
      </w:r>
      <w:r w:rsidR="002D1785" w:rsidRPr="0002056A">
        <w:rPr>
          <w:rFonts w:ascii="Georgia" w:eastAsia="Times New Roman" w:hAnsi="Georgia" w:cs="Times New Roman"/>
          <w:color w:val="000000"/>
          <w:lang w:val="en-GB" w:eastAsia="hu-HU"/>
        </w:rPr>
        <w:t>“</w:t>
      </w:r>
      <w:r w:rsidRPr="0002056A">
        <w:rPr>
          <w:rFonts w:ascii="Georgia" w:eastAsia="Times New Roman" w:hAnsi="Georgia" w:cs="Times New Roman"/>
          <w:i/>
          <w:iCs/>
          <w:color w:val="000000"/>
          <w:lang w:val="en-GB" w:eastAsia="hu-HU"/>
        </w:rPr>
        <w:t xml:space="preserve">Zoom on Transversal </w:t>
      </w:r>
      <w:r w:rsidR="002D1785" w:rsidRPr="0002056A">
        <w:rPr>
          <w:rFonts w:ascii="Georgia" w:eastAsia="Times New Roman" w:hAnsi="Georgia" w:cs="Times New Roman"/>
          <w:i/>
          <w:iCs/>
          <w:color w:val="000000"/>
          <w:lang w:val="en-GB" w:eastAsia="hu-HU"/>
        </w:rPr>
        <w:t>I</w:t>
      </w:r>
      <w:r w:rsidRPr="0002056A">
        <w:rPr>
          <w:rFonts w:ascii="Georgia" w:eastAsia="Times New Roman" w:hAnsi="Georgia" w:cs="Times New Roman"/>
          <w:i/>
          <w:iCs/>
          <w:color w:val="000000"/>
          <w:lang w:val="en-GB" w:eastAsia="hu-HU"/>
        </w:rPr>
        <w:t>ssues</w:t>
      </w:r>
      <w:r w:rsidR="002D1785"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chapter introduces </w:t>
      </w:r>
      <w:r w:rsidR="00B53AEC" w:rsidRPr="0002056A">
        <w:rPr>
          <w:rFonts w:ascii="Georgia" w:eastAsia="Times New Roman" w:hAnsi="Georgia" w:cs="Times New Roman"/>
          <w:color w:val="000000"/>
          <w:lang w:val="en-GB" w:eastAsia="hu-HU"/>
        </w:rPr>
        <w:t>three</w:t>
      </w:r>
      <w:r w:rsidRPr="0002056A">
        <w:rPr>
          <w:rFonts w:ascii="Georgia" w:eastAsia="Times New Roman" w:hAnsi="Georgia" w:cs="Times New Roman"/>
          <w:color w:val="000000"/>
          <w:lang w:val="en-GB" w:eastAsia="hu-HU"/>
        </w:rPr>
        <w:t xml:space="preserve"> additional horizontal issues: again “</w:t>
      </w:r>
      <w:r w:rsidRPr="0002056A">
        <w:rPr>
          <w:rFonts w:ascii="Georgia" w:eastAsia="Times New Roman" w:hAnsi="Georgia" w:cs="Times New Roman"/>
          <w:i/>
          <w:color w:val="000000"/>
          <w:lang w:val="en-GB" w:eastAsia="hu-HU"/>
        </w:rPr>
        <w:t xml:space="preserve">Overseas”; “Research”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“Europe and international” (context). </w:t>
      </w:r>
      <w:r w:rsidRPr="0002056A">
        <w:rPr>
          <w:rFonts w:ascii="Georgia" w:eastAsia="Times New Roman" w:hAnsi="Georgia" w:cs="Times New Roman"/>
          <w:iCs/>
          <w:color w:val="000000"/>
          <w:lang w:val="en-GB" w:eastAsia="hu-HU"/>
        </w:rPr>
        <w:t xml:space="preserve">Out of these the first </w:t>
      </w:r>
      <w:r w:rsidR="00E13C51" w:rsidRPr="0002056A">
        <w:rPr>
          <w:rFonts w:ascii="Georgia" w:eastAsia="Times New Roman" w:hAnsi="Georgia" w:cs="Times New Roman"/>
          <w:iCs/>
          <w:color w:val="000000"/>
          <w:lang w:val="en-GB" w:eastAsia="hu-HU"/>
        </w:rPr>
        <w:t xml:space="preserve">is </w:t>
      </w:r>
      <w:r w:rsidRPr="0002056A">
        <w:rPr>
          <w:rFonts w:ascii="Georgia" w:eastAsia="Times New Roman" w:hAnsi="Georgia" w:cs="Times New Roman"/>
          <w:iCs/>
          <w:color w:val="000000"/>
          <w:lang w:val="en-GB" w:eastAsia="hu-HU"/>
        </w:rPr>
        <w:t xml:space="preserve">directly, the third </w:t>
      </w:r>
      <w:r w:rsidR="00E13C51" w:rsidRPr="0002056A">
        <w:rPr>
          <w:rFonts w:ascii="Georgia" w:eastAsia="Times New Roman" w:hAnsi="Georgia" w:cs="Times New Roman"/>
          <w:iCs/>
          <w:color w:val="000000"/>
          <w:lang w:val="en-GB" w:eastAsia="hu-HU"/>
        </w:rPr>
        <w:t xml:space="preserve">is </w:t>
      </w:r>
      <w:r w:rsidRPr="0002056A">
        <w:rPr>
          <w:rFonts w:ascii="Georgia" w:eastAsia="Times New Roman" w:hAnsi="Georgia" w:cs="Times New Roman"/>
          <w:iCs/>
          <w:color w:val="000000"/>
          <w:lang w:val="en-GB" w:eastAsia="hu-HU"/>
        </w:rPr>
        <w:t xml:space="preserve">indirectly spatial-minded. The </w:t>
      </w:r>
      <w:r w:rsidRPr="0002056A">
        <w:rPr>
          <w:rFonts w:ascii="Georgia" w:eastAsia="Times New Roman" w:hAnsi="Georgia" w:cs="Times New Roman"/>
          <w:i/>
          <w:color w:val="000000"/>
          <w:lang w:val="en-GB" w:eastAsia="hu-HU"/>
        </w:rPr>
        <w:t xml:space="preserve">Belgian </w:t>
      </w:r>
      <w:r w:rsidRPr="0002056A">
        <w:rPr>
          <w:rFonts w:ascii="Georgia" w:eastAsia="Times New Roman" w:hAnsi="Georgia" w:cs="Times New Roman"/>
          <w:color w:val="000000"/>
          <w:lang w:val="en-GB" w:eastAsia="hu-HU"/>
        </w:rPr>
        <w:t>NAS’s Chapter 5 (</w:t>
      </w:r>
      <w:r w:rsidR="00550218" w:rsidRPr="0002056A">
        <w:rPr>
          <w:rFonts w:ascii="Georgia" w:eastAsia="Times New Roman" w:hAnsi="Georgia" w:cs="Times New Roman"/>
          <w:color w:val="000000"/>
          <w:lang w:val="en-GB" w:eastAsia="hu-HU"/>
        </w:rPr>
        <w:t>“</w:t>
      </w:r>
      <w:r w:rsidRPr="0002056A">
        <w:rPr>
          <w:rFonts w:ascii="Georgia" w:eastAsia="Times New Roman" w:hAnsi="Georgia" w:cs="Times New Roman"/>
          <w:i/>
          <w:iCs/>
          <w:color w:val="000000"/>
          <w:lang w:val="en-GB" w:eastAsia="hu-HU"/>
        </w:rPr>
        <w:t>Strategy</w:t>
      </w:r>
      <w:r w:rsidR="00550218" w:rsidRPr="0002056A">
        <w:rPr>
          <w:rFonts w:ascii="Georgia" w:eastAsia="Times New Roman" w:hAnsi="Georgia" w:cs="Times New Roman"/>
          <w:i/>
          <w:iCs/>
          <w:color w:val="000000"/>
          <w:lang w:val="en-GB" w:eastAsia="hu-HU"/>
        </w:rPr>
        <w:t>”</w:t>
      </w:r>
      <w:r w:rsidRPr="0002056A">
        <w:rPr>
          <w:rFonts w:ascii="Georgia" w:eastAsia="Times New Roman" w:hAnsi="Georgia" w:cs="Times New Roman"/>
          <w:color w:val="000000"/>
          <w:lang w:val="en-GB" w:eastAsia="hu-HU"/>
        </w:rPr>
        <w:t xml:space="preserve">) in its </w:t>
      </w:r>
      <w:r w:rsidR="00E13C51" w:rsidRPr="0002056A">
        <w:rPr>
          <w:rFonts w:ascii="Georgia" w:eastAsia="Times New Roman" w:hAnsi="Georgia" w:cs="Times New Roman"/>
          <w:color w:val="000000"/>
          <w:lang w:val="en-GB" w:eastAsia="hu-HU"/>
        </w:rPr>
        <w:t>“</w:t>
      </w:r>
      <w:r w:rsidRPr="0002056A">
        <w:rPr>
          <w:rFonts w:ascii="Georgia" w:eastAsia="Times New Roman" w:hAnsi="Georgia" w:cs="Times New Roman"/>
          <w:i/>
          <w:iCs/>
          <w:color w:val="000000"/>
          <w:lang w:val="en-GB" w:eastAsia="hu-HU"/>
        </w:rPr>
        <w:t>Principles</w:t>
      </w:r>
      <w:r w:rsidR="00E13C51"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subchapter mentions several </w:t>
      </w:r>
      <w:r w:rsidR="00550218" w:rsidRPr="0002056A">
        <w:rPr>
          <w:rFonts w:ascii="Georgia" w:eastAsia="Times New Roman" w:hAnsi="Georgia" w:cs="Times New Roman"/>
          <w:color w:val="000000"/>
          <w:lang w:val="en-GB" w:eastAsia="hu-HU"/>
        </w:rPr>
        <w:t>relevant</w:t>
      </w:r>
      <w:r w:rsidRPr="0002056A">
        <w:rPr>
          <w:rFonts w:ascii="Georgia" w:eastAsia="Times New Roman" w:hAnsi="Georgia" w:cs="Times New Roman"/>
          <w:color w:val="000000"/>
          <w:lang w:val="en-GB" w:eastAsia="hu-HU"/>
        </w:rPr>
        <w:t xml:space="preserve"> points</w:t>
      </w:r>
      <w:r w:rsidRPr="0002056A">
        <w:rPr>
          <w:rStyle w:val="Lbjegyzet-hivatkozs"/>
          <w:rFonts w:ascii="Georgia" w:eastAsia="Times New Roman" w:hAnsi="Georgia" w:cs="Times New Roman"/>
          <w:color w:val="000000"/>
          <w:lang w:val="en-GB" w:eastAsia="hu-HU"/>
        </w:rPr>
        <w:footnoteReference w:id="103"/>
      </w:r>
      <w:r w:rsidRPr="0002056A">
        <w:rPr>
          <w:rFonts w:ascii="Georgia" w:eastAsia="Times New Roman" w:hAnsi="Georgia" w:cs="Times New Roman"/>
          <w:color w:val="000000"/>
          <w:lang w:val="en-GB" w:eastAsia="hu-HU"/>
        </w:rPr>
        <w:t xml:space="preserve">. </w:t>
      </w:r>
      <w:r w:rsidRPr="0002056A">
        <w:rPr>
          <w:rFonts w:ascii="Georgia" w:hAnsi="Georgia" w:cs="Times New Roman"/>
          <w:bCs/>
          <w:lang w:val="en-GB"/>
        </w:rPr>
        <w:t>In other national NAS documents o</w:t>
      </w:r>
      <w:r w:rsidRPr="0002056A">
        <w:rPr>
          <w:rFonts w:ascii="Georgia" w:eastAsia="Times New Roman" w:hAnsi="Georgia" w:cs="Times New Roman"/>
          <w:color w:val="000000"/>
          <w:lang w:val="en-GB" w:eastAsia="hu-HU"/>
        </w:rPr>
        <w:t xml:space="preserve">nly one special horizontal goal deals with </w:t>
      </w:r>
      <w:r w:rsidR="00550218" w:rsidRPr="0002056A">
        <w:rPr>
          <w:rFonts w:ascii="Georgia" w:eastAsia="Times New Roman" w:hAnsi="Georgia" w:cs="Times New Roman"/>
          <w:color w:val="000000"/>
          <w:lang w:val="en-GB" w:eastAsia="hu-HU"/>
        </w:rPr>
        <w:t>spatial/</w:t>
      </w:r>
      <w:r w:rsidRPr="0002056A">
        <w:rPr>
          <w:rFonts w:ascii="Georgia" w:eastAsia="Times New Roman" w:hAnsi="Georgia" w:cs="Times New Roman"/>
          <w:color w:val="000000"/>
          <w:lang w:val="en-GB" w:eastAsia="hu-HU"/>
        </w:rPr>
        <w:t>territorial issues explicitly (</w:t>
      </w:r>
      <w:r w:rsidRPr="0002056A">
        <w:rPr>
          <w:rFonts w:ascii="Georgia" w:hAnsi="Georgia" w:cs="Times New Roman"/>
          <w:bCs/>
          <w:i/>
          <w:lang w:val="en-GB"/>
        </w:rPr>
        <w:t>Croatia</w:t>
      </w:r>
      <w:r w:rsidRPr="0002056A">
        <w:rPr>
          <w:rFonts w:ascii="Georgia" w:hAnsi="Georgia" w:cs="Times New Roman"/>
          <w:bCs/>
          <w:lang w:val="en-GB"/>
        </w:rPr>
        <w:t xml:space="preserve">’s and </w:t>
      </w:r>
      <w:r w:rsidRPr="0002056A">
        <w:rPr>
          <w:rFonts w:ascii="Georgia" w:hAnsi="Georgia" w:cs="Times New Roman"/>
          <w:bCs/>
          <w:i/>
          <w:lang w:val="en-GB"/>
        </w:rPr>
        <w:t>Slovenia</w:t>
      </w:r>
      <w:r w:rsidRPr="0002056A">
        <w:rPr>
          <w:rFonts w:ascii="Georgia" w:hAnsi="Georgia" w:cs="Times New Roman"/>
          <w:bCs/>
          <w:lang w:val="en-GB"/>
        </w:rPr>
        <w:t xml:space="preserve">’s NAS mention the importance of spatial planning/regional development, </w:t>
      </w:r>
      <w:r w:rsidRPr="0002056A">
        <w:rPr>
          <w:rFonts w:ascii="Georgia" w:hAnsi="Georgia" w:cs="Times New Roman"/>
          <w:bCs/>
          <w:i/>
          <w:lang w:val="en-GB"/>
        </w:rPr>
        <w:t>Norway</w:t>
      </w:r>
      <w:r w:rsidRPr="0002056A">
        <w:rPr>
          <w:rFonts w:ascii="Georgia" w:hAnsi="Georgia" w:cs="Times New Roman"/>
          <w:bCs/>
          <w:lang w:val="en-GB"/>
        </w:rPr>
        <w:t xml:space="preserve">’s national document the </w:t>
      </w:r>
      <w:r w:rsidR="004E1645" w:rsidRPr="0002056A">
        <w:rPr>
          <w:rFonts w:ascii="Georgia" w:hAnsi="Georgia" w:cs="Times New Roman"/>
          <w:bCs/>
          <w:lang w:val="en-GB"/>
        </w:rPr>
        <w:t xml:space="preserve">essential role of </w:t>
      </w:r>
      <w:r w:rsidRPr="0002056A">
        <w:rPr>
          <w:rFonts w:ascii="Georgia" w:hAnsi="Georgia" w:cs="Times New Roman"/>
          <w:bCs/>
          <w:lang w:val="en-GB"/>
        </w:rPr>
        <w:t>spatial or territorial level reflections, emphasising the role of local actors). However, beyond these instances, t</w:t>
      </w:r>
      <w:r w:rsidRPr="0002056A">
        <w:rPr>
          <w:rFonts w:ascii="Georgia" w:eastAsia="Times New Roman" w:hAnsi="Georgia" w:cs="Times New Roman"/>
          <w:color w:val="000000"/>
          <w:lang w:val="en-GB" w:eastAsia="hu-HU"/>
        </w:rPr>
        <w:t>he vast majority of the countries shows weaker performance. 15 NAS documents mention only related principles (</w:t>
      </w:r>
      <w:r w:rsidR="00C20F4D" w:rsidRPr="0002056A">
        <w:rPr>
          <w:rFonts w:ascii="Georgia" w:eastAsia="Times New Roman" w:hAnsi="Georgia" w:cs="Times New Roman"/>
          <w:color w:val="000000"/>
          <w:lang w:val="en-GB" w:eastAsia="hu-HU"/>
        </w:rPr>
        <w:t xml:space="preserve">e.g. </w:t>
      </w:r>
      <w:r w:rsidRPr="0002056A">
        <w:rPr>
          <w:rFonts w:ascii="Georgia" w:eastAsia="Times New Roman" w:hAnsi="Georgia" w:cs="Times New Roman"/>
          <w:color w:val="000000"/>
          <w:lang w:val="en-GB" w:eastAsia="hu-HU"/>
        </w:rPr>
        <w:t xml:space="preserve">subsidiarity, decentralization, </w:t>
      </w:r>
      <w:r w:rsidR="00216AD0" w:rsidRPr="0002056A">
        <w:rPr>
          <w:rFonts w:ascii="Georgia" w:eastAsia="Times New Roman" w:hAnsi="Georgia" w:cs="Times New Roman"/>
          <w:color w:val="000000"/>
          <w:lang w:val="en-GB" w:eastAsia="hu-HU"/>
        </w:rPr>
        <w:t>governance</w:t>
      </w:r>
      <w:r w:rsidRPr="0002056A">
        <w:rPr>
          <w:rFonts w:ascii="Georgia" w:eastAsia="Times New Roman" w:hAnsi="Georgia" w:cs="Times New Roman"/>
          <w:color w:val="000000"/>
          <w:lang w:val="en-GB" w:eastAsia="hu-HU"/>
        </w:rPr>
        <w:t>, etc.) and in 5 NAS documents no horizontal goal deals with the above</w:t>
      </w:r>
      <w:r w:rsidR="005F6E16" w:rsidRPr="0002056A">
        <w:rPr>
          <w:rFonts w:ascii="Georgia" w:eastAsia="Times New Roman" w:hAnsi="Georgia" w:cs="Times New Roman"/>
          <w:color w:val="000000"/>
          <w:lang w:val="en-GB" w:eastAsia="hu-HU"/>
        </w:rPr>
        <w:t>-mentioned</w:t>
      </w:r>
      <w:r w:rsidRPr="0002056A">
        <w:rPr>
          <w:rFonts w:ascii="Georgia" w:eastAsia="Times New Roman" w:hAnsi="Georgia" w:cs="Times New Roman"/>
          <w:color w:val="000000"/>
          <w:lang w:val="en-GB" w:eastAsia="hu-HU"/>
        </w:rPr>
        <w:t xml:space="preserve"> topics. 13 more documents do not use horizontal goals/principles at all.</w:t>
      </w:r>
    </w:p>
    <w:p w14:paraId="1DDD96A6" w14:textId="0123DBDE" w:rsidR="00BD445B" w:rsidRPr="0002056A" w:rsidRDefault="00BD445B" w:rsidP="00CD5BF3">
      <w:pPr>
        <w:shd w:val="clear" w:color="auto" w:fill="FFFFFF" w:themeFill="background1"/>
        <w:spacing w:before="120" w:after="120"/>
        <w:jc w:val="both"/>
        <w:rPr>
          <w:rFonts w:ascii="Georgia" w:eastAsia="Times New Roman" w:hAnsi="Georgia" w:cs="Times New Roman"/>
          <w:b/>
          <w:color w:val="000000"/>
          <w:lang w:val="en-GB" w:eastAsia="hu-HU"/>
        </w:rPr>
      </w:pPr>
      <w:r w:rsidRPr="0002056A">
        <w:rPr>
          <w:rFonts w:ascii="Georgia" w:eastAsia="Times New Roman" w:hAnsi="Georgia" w:cs="Times New Roman"/>
          <w:b/>
          <w:iCs/>
          <w:lang w:val="en-GB" w:eastAsia="hu-HU"/>
        </w:rPr>
        <w:t xml:space="preserve">Spatial MRE focus of objective system- and vison-planning </w:t>
      </w:r>
      <w:r w:rsidRPr="0002056A">
        <w:rPr>
          <w:rFonts w:ascii="Georgia" w:eastAsia="Times New Roman" w:hAnsi="Georgia" w:cs="Times New Roman"/>
          <w:bCs/>
          <w:iCs/>
          <w:lang w:val="en-GB" w:eastAsia="hu-HU"/>
        </w:rPr>
        <w:t>is not so strong, either, with the exclusion of a few good examples.</w:t>
      </w:r>
      <w:r w:rsidRPr="0002056A">
        <w:rPr>
          <w:rFonts w:ascii="Georgia" w:eastAsia="Times New Roman" w:hAnsi="Georgia" w:cs="Times New Roman"/>
          <w:b/>
          <w:iCs/>
          <w:lang w:val="en-GB" w:eastAsia="hu-HU"/>
        </w:rPr>
        <w:t xml:space="preserve"> </w:t>
      </w:r>
      <w:r w:rsidRPr="0002056A">
        <w:rPr>
          <w:rFonts w:ascii="Georgia" w:eastAsia="Times New Roman" w:hAnsi="Georgia" w:cs="Times New Roman"/>
          <w:bCs/>
          <w:iCs/>
          <w:lang w:val="en-GB" w:eastAsia="hu-HU"/>
        </w:rPr>
        <w:t>Altogether six</w:t>
      </w:r>
      <w:r w:rsidRPr="0002056A">
        <w:rPr>
          <w:rFonts w:ascii="Georgia" w:hAnsi="Georgia" w:cs="Times New Roman"/>
          <w:bCs/>
          <w:lang w:val="en-GB"/>
        </w:rPr>
        <w:t xml:space="preserve"> countries </w:t>
      </w:r>
      <w:r w:rsidRPr="0002056A">
        <w:rPr>
          <w:rFonts w:ascii="Georgia" w:eastAsia="Times New Roman" w:hAnsi="Georgia" w:cs="Times New Roman"/>
          <w:bCs/>
          <w:color w:val="000000"/>
          <w:lang w:val="en-GB" w:eastAsia="hu-HU"/>
        </w:rPr>
        <w:t>(</w:t>
      </w:r>
      <w:r w:rsidRPr="0002056A">
        <w:rPr>
          <w:rFonts w:ascii="Georgia" w:hAnsi="Georgia" w:cs="Times New Roman"/>
          <w:bCs/>
          <w:i/>
          <w:lang w:val="en-GB"/>
        </w:rPr>
        <w:t>Croatia, Hungary, Latvia</w:t>
      </w:r>
      <w:r w:rsidRPr="0002056A">
        <w:rPr>
          <w:rFonts w:ascii="Georgia" w:hAnsi="Georgia" w:cs="Times New Roman"/>
          <w:bCs/>
          <w:lang w:val="en-GB"/>
        </w:rPr>
        <w:t xml:space="preserve">, </w:t>
      </w:r>
      <w:r w:rsidRPr="0002056A">
        <w:rPr>
          <w:rFonts w:ascii="Georgia" w:hAnsi="Georgia" w:cs="Times New Roman"/>
          <w:bCs/>
          <w:i/>
          <w:lang w:val="en-GB"/>
        </w:rPr>
        <w:t xml:space="preserve">Slovakia, Portugal </w:t>
      </w:r>
      <w:r w:rsidRPr="0002056A">
        <w:rPr>
          <w:rFonts w:ascii="Georgia" w:hAnsi="Georgia" w:cs="Times New Roman"/>
          <w:bCs/>
          <w:iCs/>
          <w:lang w:val="en-GB"/>
        </w:rPr>
        <w:t>and</w:t>
      </w:r>
      <w:r w:rsidRPr="0002056A">
        <w:rPr>
          <w:rFonts w:ascii="Georgia" w:hAnsi="Georgia" w:cs="Times New Roman"/>
          <w:bCs/>
          <w:lang w:val="en-GB"/>
        </w:rPr>
        <w:t xml:space="preserve"> </w:t>
      </w:r>
      <w:r w:rsidRPr="0002056A">
        <w:rPr>
          <w:rFonts w:ascii="Georgia" w:hAnsi="Georgia" w:cs="Times New Roman"/>
          <w:bCs/>
          <w:i/>
          <w:lang w:val="en-GB"/>
        </w:rPr>
        <w:t xml:space="preserve">England) </w:t>
      </w:r>
      <w:r w:rsidRPr="0002056A">
        <w:rPr>
          <w:rFonts w:ascii="Georgia" w:hAnsi="Georgia" w:cs="Times New Roman"/>
          <w:bCs/>
          <w:lang w:val="en-GB"/>
        </w:rPr>
        <w:t xml:space="preserve">got into the best category, where </w:t>
      </w:r>
      <w:r w:rsidRPr="0002056A">
        <w:rPr>
          <w:rFonts w:ascii="Georgia" w:eastAsia="Times New Roman" w:hAnsi="Georgia" w:cs="Times New Roman"/>
          <w:bCs/>
          <w:color w:val="000000"/>
          <w:lang w:val="en-GB" w:eastAsia="hu-HU"/>
        </w:rPr>
        <w:t>among the NAS objectives and/or vision paragraphs a higher-level objective and/or a Vision paragraph nominat</w:t>
      </w:r>
      <w:r w:rsidR="001F27BC" w:rsidRPr="0002056A">
        <w:rPr>
          <w:rFonts w:ascii="Georgia" w:eastAsia="Times New Roman" w:hAnsi="Georgia" w:cs="Times New Roman"/>
          <w:bCs/>
          <w:color w:val="000000"/>
          <w:lang w:val="en-GB" w:eastAsia="hu-HU"/>
        </w:rPr>
        <w:t>es</w:t>
      </w:r>
      <w:r w:rsidRPr="0002056A">
        <w:rPr>
          <w:rFonts w:ascii="Georgia" w:eastAsia="Times New Roman" w:hAnsi="Georgia" w:cs="Times New Roman"/>
          <w:bCs/>
          <w:color w:val="000000"/>
          <w:lang w:val="en-GB" w:eastAsia="hu-HU"/>
        </w:rPr>
        <w:t xml:space="preserve"> the importance of national or regional MRE development in adaptation</w:t>
      </w:r>
      <w:r w:rsidRPr="0002056A">
        <w:rPr>
          <w:rFonts w:ascii="Georgia" w:hAnsi="Georgia" w:cs="Times New Roman"/>
          <w:bCs/>
          <w:lang w:val="en-GB"/>
        </w:rPr>
        <w:t xml:space="preserve">. Eight </w:t>
      </w:r>
      <w:r w:rsidRPr="0002056A">
        <w:rPr>
          <w:rFonts w:ascii="Georgia" w:eastAsia="Times New Roman" w:hAnsi="Georgia" w:cs="Times New Roman"/>
          <w:color w:val="000000"/>
          <w:lang w:val="en-GB" w:eastAsia="hu-HU"/>
        </w:rPr>
        <w:t>further countries dedicated at least one lower</w:t>
      </w:r>
      <w:r w:rsidR="007C2F0F"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level objective/one vision sentence to the topic of MRE aspects</w:t>
      </w:r>
      <w:r w:rsidRPr="0002056A">
        <w:rPr>
          <w:rFonts w:ascii="Georgia" w:eastAsia="Times New Roman" w:hAnsi="Georgia" w:cs="Times New Roman"/>
          <w:i/>
          <w:color w:val="000000"/>
          <w:lang w:val="en-GB" w:eastAsia="hu-HU"/>
        </w:rPr>
        <w:t xml:space="preserve"> (Lithuania, Poland, Slovenia, Switzerland, France, Germany, the Netherlands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Norway). </w:t>
      </w:r>
      <w:r w:rsidRPr="0002056A">
        <w:rPr>
          <w:rFonts w:ascii="Georgia" w:eastAsia="Times New Roman" w:hAnsi="Georgia" w:cs="Times New Roman"/>
          <w:iCs/>
          <w:color w:val="000000"/>
          <w:lang w:val="en-GB" w:eastAsia="hu-HU"/>
        </w:rPr>
        <w:t>In the</w:t>
      </w:r>
      <w:r w:rsidRPr="0002056A">
        <w:rPr>
          <w:rFonts w:ascii="Georgia" w:eastAsia="Times New Roman" w:hAnsi="Georgia" w:cs="Times New Roman"/>
          <w:color w:val="000000"/>
          <w:lang w:val="en-GB" w:eastAsia="hu-HU"/>
        </w:rPr>
        <w:t xml:space="preserve"> overwhelming majority of the countries, however, only weak references emerge to </w:t>
      </w:r>
      <w:r w:rsidR="001F27BC" w:rsidRPr="0002056A">
        <w:rPr>
          <w:rFonts w:ascii="Georgia" w:eastAsia="Times New Roman" w:hAnsi="Georgia" w:cs="Times New Roman"/>
          <w:color w:val="000000"/>
          <w:lang w:val="en-GB" w:eastAsia="hu-HU"/>
        </w:rPr>
        <w:t xml:space="preserve">adaptation-related </w:t>
      </w:r>
      <w:r w:rsidRPr="0002056A">
        <w:rPr>
          <w:rFonts w:ascii="Georgia" w:eastAsia="Times New Roman" w:hAnsi="Georgia" w:cs="Times New Roman"/>
          <w:color w:val="000000"/>
          <w:lang w:val="en-GB" w:eastAsia="hu-HU"/>
        </w:rPr>
        <w:t>sectoral MRE issues in the text</w:t>
      </w:r>
      <w:r w:rsidR="005C6B05" w:rsidRPr="0002056A">
        <w:rPr>
          <w:rFonts w:ascii="Georgia" w:eastAsia="Times New Roman" w:hAnsi="Georgia" w:cs="Times New Roman"/>
          <w:color w:val="000000"/>
          <w:lang w:val="en-GB" w:eastAsia="hu-HU"/>
        </w:rPr>
        <w:t>ual part</w:t>
      </w:r>
      <w:r w:rsidRPr="0002056A">
        <w:rPr>
          <w:rFonts w:ascii="Georgia" w:eastAsia="Times New Roman" w:hAnsi="Georgia" w:cs="Times New Roman"/>
          <w:color w:val="000000"/>
          <w:lang w:val="en-GB" w:eastAsia="hu-HU"/>
        </w:rPr>
        <w:t xml:space="preserve">s of the </w:t>
      </w:r>
      <w:r w:rsidR="00AC5238" w:rsidRPr="0002056A">
        <w:rPr>
          <w:rFonts w:ascii="Georgia" w:eastAsia="Times New Roman" w:hAnsi="Georgia" w:cs="Times New Roman"/>
          <w:color w:val="000000"/>
          <w:lang w:val="en-GB" w:eastAsia="hu-HU"/>
        </w:rPr>
        <w:t>objectives,</w:t>
      </w:r>
      <w:r w:rsidRPr="0002056A">
        <w:rPr>
          <w:rFonts w:ascii="Georgia" w:eastAsia="Times New Roman" w:hAnsi="Georgia" w:cs="Times New Roman"/>
          <w:color w:val="000000"/>
          <w:lang w:val="en-GB" w:eastAsia="hu-HU"/>
        </w:rPr>
        <w:t xml:space="preserve"> or they do not mention </w:t>
      </w:r>
      <w:r w:rsidR="001F27BC" w:rsidRPr="0002056A">
        <w:rPr>
          <w:rFonts w:ascii="Georgia" w:eastAsia="Times New Roman" w:hAnsi="Georgia" w:cs="Times New Roman"/>
          <w:color w:val="000000"/>
          <w:lang w:val="en-GB" w:eastAsia="hu-HU"/>
        </w:rPr>
        <w:t>the topic anyway</w:t>
      </w:r>
      <w:r w:rsidRPr="0002056A">
        <w:rPr>
          <w:rFonts w:ascii="Georgia" w:eastAsia="Times New Roman" w:hAnsi="Georgia" w:cs="Times New Roman"/>
          <w:color w:val="000000"/>
          <w:lang w:val="en-GB" w:eastAsia="hu-HU"/>
        </w:rPr>
        <w:t>.</w:t>
      </w:r>
    </w:p>
    <w:p w14:paraId="58E91BAB" w14:textId="04C2C1F8" w:rsidR="00171286" w:rsidRPr="0002056A" w:rsidRDefault="00BD445B" w:rsidP="00CD5BF3">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b/>
          <w:iCs/>
          <w:lang w:val="en-GB" w:eastAsia="hu-HU"/>
        </w:rPr>
        <w:t xml:space="preserve">Spatial visualization of the vision /objective system is absolutely weak. </w:t>
      </w:r>
      <w:r w:rsidRPr="0002056A">
        <w:rPr>
          <w:rFonts w:ascii="Georgia" w:eastAsia="Times New Roman" w:hAnsi="Georgia" w:cs="Times New Roman"/>
          <w:bCs/>
          <w:lang w:val="en-GB" w:eastAsia="hu-HU"/>
        </w:rPr>
        <w:t>None of the countries apply any visual</w:t>
      </w:r>
      <w:r w:rsidRPr="0002056A">
        <w:rPr>
          <w:rFonts w:ascii="Georgia" w:eastAsia="Times New Roman" w:hAnsi="Georgia" w:cs="Times New Roman"/>
          <w:lang w:val="en-GB" w:eastAsia="hu-HU"/>
        </w:rPr>
        <w:t xml:space="preserve"> </w:t>
      </w:r>
      <w:r w:rsidRPr="0002056A">
        <w:rPr>
          <w:rFonts w:ascii="Georgia" w:eastAsia="Times New Roman" w:hAnsi="Georgia" w:cs="Times New Roman"/>
          <w:color w:val="000000"/>
          <w:lang w:val="en-GB" w:eastAsia="hu-HU"/>
        </w:rPr>
        <w:t>solutions, with the exclusion of Denmark, but even that country does it without any spatial consideration. Altogether this sub-aspect’s uniformly weak results indicate a missed opportunity in European nations’ adaptation planning.</w:t>
      </w:r>
    </w:p>
    <w:p w14:paraId="3E97F699" w14:textId="77777777" w:rsidR="00171286" w:rsidRPr="0002056A" w:rsidRDefault="00171286">
      <w:pPr>
        <w:spacing w:after="160" w:line="259" w:lineRule="auto"/>
        <w:rPr>
          <w:rFonts w:ascii="Georgia" w:eastAsia="Times New Roman" w:hAnsi="Georgia" w:cs="Times New Roman"/>
          <w:color w:val="000000"/>
          <w:lang w:val="en-GB" w:eastAsia="hu-HU"/>
        </w:rPr>
      </w:pPr>
      <w:r w:rsidRPr="0002056A">
        <w:rPr>
          <w:rFonts w:ascii="Georgia" w:eastAsia="Times New Roman" w:hAnsi="Georgia" w:cs="Times New Roman"/>
          <w:color w:val="000000"/>
          <w:lang w:val="en-GB" w:eastAsia="hu-HU"/>
        </w:rPr>
        <w:br w:type="page"/>
      </w:r>
    </w:p>
    <w:p w14:paraId="49C77AE7" w14:textId="77777777" w:rsidR="00BD445B" w:rsidRPr="0002056A" w:rsidRDefault="00BD445B" w:rsidP="00CD5BF3">
      <w:pPr>
        <w:shd w:val="clear" w:color="auto" w:fill="FFFFFF" w:themeFill="background1"/>
        <w:spacing w:before="120" w:after="120"/>
        <w:jc w:val="both"/>
        <w:rPr>
          <w:rFonts w:ascii="Georgia" w:hAnsi="Georgia"/>
          <w:lang w:val="en-GB"/>
        </w:rPr>
      </w:pPr>
    </w:p>
    <w:p w14:paraId="33FE0C0D" w14:textId="46471E83" w:rsidR="00FA2E2A" w:rsidRPr="0002056A" w:rsidRDefault="00FA2E2A" w:rsidP="00214BD9">
      <w:pPr>
        <w:pStyle w:val="Cmsor3"/>
        <w:numPr>
          <w:ilvl w:val="2"/>
          <w:numId w:val="4"/>
        </w:numPr>
        <w:rPr>
          <w:lang w:val="en-GB"/>
        </w:rPr>
      </w:pPr>
      <w:bookmarkStart w:id="42" w:name="_Toc225578859"/>
      <w:r w:rsidRPr="0002056A">
        <w:rPr>
          <w:lang w:val="en-GB"/>
        </w:rPr>
        <w:t>Spatial aspects in adaptation actions</w:t>
      </w:r>
      <w:bookmarkEnd w:id="42"/>
    </w:p>
    <w:p w14:paraId="34211275" w14:textId="30F207C3" w:rsidR="00FA2E2A" w:rsidRPr="0002056A" w:rsidRDefault="00FA2E2A" w:rsidP="00596939">
      <w:pPr>
        <w:pBdr>
          <w:top w:val="single" w:sz="4" w:space="1" w:color="auto"/>
          <w:left w:val="single" w:sz="4" w:space="4" w:color="auto"/>
          <w:bottom w:val="single" w:sz="4" w:space="1" w:color="auto"/>
          <w:right w:val="single" w:sz="4" w:space="4" w:color="auto"/>
        </w:pBd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hAnsi="Georgia"/>
          <w:lang w:val="en-GB"/>
        </w:rPr>
        <w:t>At the operational level NAP documents</w:t>
      </w:r>
      <w:r w:rsidR="00D32D52" w:rsidRPr="0002056A">
        <w:rPr>
          <w:rFonts w:ascii="Georgia" w:hAnsi="Georgia"/>
          <w:lang w:val="en-GB"/>
        </w:rPr>
        <w:t>’</w:t>
      </w:r>
      <w:r w:rsidRPr="0002056A">
        <w:rPr>
          <w:rFonts w:ascii="Georgia" w:hAnsi="Georgia"/>
          <w:lang w:val="en-GB"/>
        </w:rPr>
        <w:t xml:space="preserve"> </w:t>
      </w:r>
      <w:r w:rsidR="00D32D52" w:rsidRPr="0002056A">
        <w:rPr>
          <w:rFonts w:ascii="Georgia" w:hAnsi="Georgia"/>
          <w:lang w:val="en-GB"/>
        </w:rPr>
        <w:t>measure sets or NAS documents’ action line</w:t>
      </w:r>
      <w:r w:rsidRPr="0002056A">
        <w:rPr>
          <w:rFonts w:ascii="Georgia" w:hAnsi="Georgia"/>
          <w:lang w:val="en-GB"/>
        </w:rPr>
        <w:t xml:space="preserve">s were analysed from </w:t>
      </w:r>
      <w:r w:rsidR="00C67E1E" w:rsidRPr="0002056A">
        <w:rPr>
          <w:rFonts w:ascii="Georgia" w:hAnsi="Georgia"/>
          <w:lang w:val="en-GB"/>
        </w:rPr>
        <w:t>a</w:t>
      </w:r>
      <w:r w:rsidRPr="0002056A">
        <w:rPr>
          <w:rFonts w:ascii="Georgia" w:hAnsi="Georgia"/>
          <w:lang w:val="en-GB"/>
        </w:rPr>
        <w:t xml:space="preserve"> spatial content-wise point of view. Here we applied </w:t>
      </w:r>
      <w:r w:rsidR="00443579" w:rsidRPr="0002056A">
        <w:rPr>
          <w:rFonts w:ascii="Georgia" w:hAnsi="Georgia"/>
          <w:lang w:val="en-GB"/>
        </w:rPr>
        <w:t xml:space="preserve">a </w:t>
      </w:r>
      <w:r w:rsidRPr="0002056A">
        <w:rPr>
          <w:rFonts w:ascii="Georgia" w:hAnsi="Georgia"/>
          <w:lang w:val="en-GB"/>
        </w:rPr>
        <w:t>quasi</w:t>
      </w:r>
      <w:r w:rsidR="00100106" w:rsidRPr="0002056A">
        <w:rPr>
          <w:rFonts w:ascii="Georgia" w:hAnsi="Georgia"/>
          <w:lang w:val="en-GB"/>
        </w:rPr>
        <w:t>-</w:t>
      </w:r>
      <w:r w:rsidRPr="0002056A">
        <w:rPr>
          <w:rFonts w:ascii="Georgia" w:hAnsi="Georgia"/>
          <w:lang w:val="en-GB"/>
        </w:rPr>
        <w:t xml:space="preserve">quantitative solution, measuring the proportion of actions with general or </w:t>
      </w:r>
      <w:r w:rsidR="00C67E1E" w:rsidRPr="0002056A">
        <w:rPr>
          <w:rFonts w:ascii="Georgia" w:hAnsi="Georgia"/>
          <w:lang w:val="en-GB"/>
        </w:rPr>
        <w:t>actual</w:t>
      </w:r>
      <w:r w:rsidRPr="0002056A">
        <w:rPr>
          <w:rFonts w:ascii="Georgia" w:hAnsi="Georgia"/>
          <w:lang w:val="en-GB"/>
        </w:rPr>
        <w:t xml:space="preserve"> spatial content</w:t>
      </w:r>
      <w:r w:rsidR="00443579" w:rsidRPr="0002056A">
        <w:rPr>
          <w:rFonts w:ascii="Georgia" w:hAnsi="Georgia"/>
          <w:lang w:val="en-GB"/>
        </w:rPr>
        <w:t xml:space="preserve">; actions </w:t>
      </w:r>
      <w:r w:rsidR="00C67E1E" w:rsidRPr="0002056A">
        <w:rPr>
          <w:rFonts w:ascii="Georgia" w:hAnsi="Georgia"/>
          <w:lang w:val="en-GB"/>
        </w:rPr>
        <w:t>with</w:t>
      </w:r>
      <w:r w:rsidRPr="0002056A">
        <w:rPr>
          <w:rFonts w:ascii="Georgia" w:hAnsi="Georgia"/>
          <w:lang w:val="en-GB"/>
        </w:rPr>
        <w:t xml:space="preserve"> spatial planning- or </w:t>
      </w:r>
      <w:r w:rsidR="00443579" w:rsidRPr="0002056A">
        <w:rPr>
          <w:rFonts w:ascii="Georgia" w:hAnsi="Georgia"/>
          <w:lang w:val="en-GB"/>
        </w:rPr>
        <w:t xml:space="preserve">actions with </w:t>
      </w:r>
      <w:r w:rsidRPr="0002056A">
        <w:rPr>
          <w:rFonts w:ascii="Georgia" w:hAnsi="Georgia"/>
          <w:lang w:val="en-GB"/>
        </w:rPr>
        <w:t xml:space="preserve">spatial MRE-related elements. The best performing state </w:t>
      </w:r>
      <w:r w:rsidR="00443579" w:rsidRPr="0002056A">
        <w:rPr>
          <w:rFonts w:ascii="Georgia" w:hAnsi="Georgia"/>
          <w:lang w:val="en-GB"/>
        </w:rPr>
        <w:t>w</w:t>
      </w:r>
      <w:r w:rsidRPr="0002056A">
        <w:rPr>
          <w:rFonts w:ascii="Georgia" w:hAnsi="Georgia"/>
          <w:lang w:val="en-GB"/>
        </w:rPr>
        <w:t xml:space="preserve">as </w:t>
      </w:r>
      <w:r w:rsidRPr="0002056A">
        <w:rPr>
          <w:rFonts w:ascii="Georgia" w:hAnsi="Georgia"/>
          <w:i/>
          <w:iCs/>
          <w:lang w:val="en-GB"/>
        </w:rPr>
        <w:t>Austria</w:t>
      </w:r>
      <w:r w:rsidRPr="0002056A">
        <w:rPr>
          <w:rFonts w:ascii="Georgia" w:hAnsi="Georgia"/>
          <w:lang w:val="en-GB"/>
        </w:rPr>
        <w:t xml:space="preserve"> with 13 points out of the maximum available 15. The group of followers </w:t>
      </w:r>
      <w:r w:rsidR="00C67E1E" w:rsidRPr="0002056A">
        <w:rPr>
          <w:rFonts w:ascii="Georgia" w:hAnsi="Georgia"/>
          <w:lang w:val="en-GB"/>
        </w:rPr>
        <w:t>we</w:t>
      </w:r>
      <w:r w:rsidRPr="0002056A">
        <w:rPr>
          <w:rFonts w:ascii="Georgia" w:hAnsi="Georgia"/>
          <w:lang w:val="en-GB"/>
        </w:rPr>
        <w:t xml:space="preserve">re composed mostly by </w:t>
      </w:r>
      <w:r w:rsidR="00E02E34" w:rsidRPr="0002056A">
        <w:rPr>
          <w:rFonts w:ascii="Georgia" w:hAnsi="Georgia"/>
          <w:i/>
          <w:iCs/>
          <w:lang w:val="en-GB"/>
        </w:rPr>
        <w:t>North-</w:t>
      </w:r>
      <w:r w:rsidRPr="0002056A">
        <w:rPr>
          <w:rFonts w:ascii="Georgia" w:hAnsi="Georgia"/>
          <w:i/>
          <w:iCs/>
          <w:lang w:val="en-GB"/>
        </w:rPr>
        <w:t>Westerners</w:t>
      </w:r>
      <w:r w:rsidRPr="0002056A">
        <w:rPr>
          <w:rFonts w:ascii="Georgia" w:hAnsi="Georgia"/>
          <w:lang w:val="en-GB"/>
        </w:rPr>
        <w:t xml:space="preserve"> (</w:t>
      </w:r>
      <w:r w:rsidRPr="0002056A">
        <w:rPr>
          <w:rFonts w:ascii="Georgia" w:hAnsi="Georgia"/>
          <w:i/>
          <w:iCs/>
          <w:lang w:val="en-GB"/>
        </w:rPr>
        <w:t xml:space="preserve">France, the Netherlands, Switzerland, Northern Ireland, Finland </w:t>
      </w:r>
      <w:r w:rsidRPr="0002056A">
        <w:rPr>
          <w:rFonts w:ascii="Georgia" w:hAnsi="Georgia"/>
          <w:lang w:val="en-GB"/>
        </w:rPr>
        <w:t>and</w:t>
      </w:r>
      <w:r w:rsidRPr="0002056A">
        <w:rPr>
          <w:rFonts w:ascii="Georgia" w:hAnsi="Georgia"/>
          <w:i/>
          <w:iCs/>
          <w:lang w:val="en-GB"/>
        </w:rPr>
        <w:t xml:space="preserve"> Norway</w:t>
      </w:r>
      <w:r w:rsidRPr="0002056A">
        <w:rPr>
          <w:rFonts w:ascii="Georgia" w:hAnsi="Georgia"/>
          <w:lang w:val="en-GB"/>
        </w:rPr>
        <w:t xml:space="preserve">, completed with </w:t>
      </w:r>
      <w:r w:rsidRPr="0002056A">
        <w:rPr>
          <w:rFonts w:ascii="Georgia" w:hAnsi="Georgia"/>
          <w:i/>
          <w:iCs/>
          <w:lang w:val="en-GB"/>
        </w:rPr>
        <w:t>Poland</w:t>
      </w:r>
      <w:r w:rsidRPr="0002056A">
        <w:rPr>
          <w:rFonts w:ascii="Georgia" w:hAnsi="Georgia"/>
          <w:lang w:val="en-GB"/>
        </w:rPr>
        <w:t xml:space="preserve"> and some </w:t>
      </w:r>
      <w:r w:rsidRPr="0002056A">
        <w:rPr>
          <w:rFonts w:ascii="Georgia" w:hAnsi="Georgia"/>
          <w:i/>
          <w:iCs/>
          <w:lang w:val="en-GB"/>
        </w:rPr>
        <w:t xml:space="preserve">Southern </w:t>
      </w:r>
      <w:r w:rsidRPr="0002056A">
        <w:rPr>
          <w:rFonts w:ascii="Georgia" w:hAnsi="Georgia"/>
          <w:lang w:val="en-GB"/>
        </w:rPr>
        <w:t>or</w:t>
      </w:r>
      <w:r w:rsidRPr="0002056A">
        <w:rPr>
          <w:rFonts w:ascii="Georgia" w:hAnsi="Georgia"/>
          <w:i/>
          <w:iCs/>
          <w:lang w:val="en-GB"/>
        </w:rPr>
        <w:t xml:space="preserve"> South-Eastern European ones</w:t>
      </w:r>
      <w:r w:rsidRPr="0002056A">
        <w:rPr>
          <w:rFonts w:ascii="Georgia" w:hAnsi="Georgia"/>
          <w:lang w:val="en-GB"/>
        </w:rPr>
        <w:t>, between 6-10 points. However, the overwhelming</w:t>
      </w:r>
      <w:r w:rsidRPr="0002056A">
        <w:rPr>
          <w:rFonts w:ascii="Georgia" w:eastAsia="Times New Roman" w:hAnsi="Georgia" w:cs="Times New Roman"/>
          <w:b/>
          <w:bCs/>
          <w:color w:val="000000"/>
          <w:lang w:val="en-GB" w:eastAsia="hu-HU"/>
        </w:rPr>
        <w:t xml:space="preserve"> </w:t>
      </w:r>
      <w:r w:rsidRPr="0002056A">
        <w:rPr>
          <w:rFonts w:ascii="Georgia" w:eastAsia="Times New Roman" w:hAnsi="Georgia" w:cs="Times New Roman"/>
          <w:color w:val="000000"/>
          <w:lang w:val="en-GB" w:eastAsia="hu-HU"/>
        </w:rPr>
        <w:t xml:space="preserve">majority performed between 3-5 </w:t>
      </w:r>
      <w:r w:rsidR="00E02E34" w:rsidRPr="0002056A">
        <w:rPr>
          <w:rFonts w:ascii="Georgia" w:eastAsia="Times New Roman" w:hAnsi="Georgia" w:cs="Times New Roman"/>
          <w:color w:val="000000"/>
          <w:lang w:val="en-GB" w:eastAsia="hu-HU"/>
        </w:rPr>
        <w:t>and</w:t>
      </w:r>
      <w:r w:rsidRPr="0002056A">
        <w:rPr>
          <w:rFonts w:ascii="Georgia" w:eastAsia="Times New Roman" w:hAnsi="Georgia" w:cs="Times New Roman"/>
          <w:color w:val="000000"/>
          <w:lang w:val="en-GB" w:eastAsia="hu-HU"/>
        </w:rPr>
        <w:t xml:space="preserve"> 1-2 points (</w:t>
      </w:r>
      <w:r w:rsidRPr="0002056A">
        <w:rPr>
          <w:rFonts w:ascii="Georgia" w:eastAsia="Times New Roman" w:hAnsi="Georgia" w:cs="Times New Roman"/>
          <w:i/>
          <w:iCs/>
          <w:color w:val="000000"/>
          <w:lang w:val="en-GB" w:eastAsia="hu-HU"/>
        </w:rPr>
        <w:t>Montenegro</w:t>
      </w:r>
      <w:r w:rsidRPr="0002056A">
        <w:rPr>
          <w:rFonts w:ascii="Georgia" w:eastAsia="Times New Roman" w:hAnsi="Georgia" w:cs="Times New Roman"/>
          <w:color w:val="000000"/>
          <w:lang w:val="en-GB" w:eastAsia="hu-HU"/>
        </w:rPr>
        <w:t xml:space="preserve"> is the only one with 0 point)</w:t>
      </w:r>
      <w:r w:rsidR="00E02E34" w:rsidRPr="0002056A">
        <w:rPr>
          <w:rFonts w:ascii="Georgia" w:eastAsia="Times New Roman" w:hAnsi="Georgia" w:cs="Times New Roman"/>
          <w:color w:val="000000"/>
          <w:lang w:val="en-GB" w:eastAsia="hu-HU"/>
        </w:rPr>
        <w:t>, indicating that spatial considerations during action planning</w:t>
      </w:r>
      <w:r w:rsidR="00627F9A" w:rsidRPr="0002056A">
        <w:rPr>
          <w:rFonts w:ascii="Georgia" w:eastAsia="Times New Roman" w:hAnsi="Georgia" w:cs="Times New Roman"/>
          <w:color w:val="000000"/>
          <w:lang w:val="en-GB" w:eastAsia="hu-HU"/>
        </w:rPr>
        <w:t xml:space="preserve"> is still not mainstream</w:t>
      </w:r>
      <w:r w:rsidR="00B85B0F" w:rsidRPr="0002056A">
        <w:rPr>
          <w:rFonts w:ascii="Georgia" w:eastAsia="Times New Roman" w:hAnsi="Georgia" w:cs="Times New Roman"/>
          <w:color w:val="000000"/>
          <w:lang w:val="en-GB" w:eastAsia="hu-HU"/>
        </w:rPr>
        <w:t xml:space="preserve"> (Figure 23)</w:t>
      </w:r>
      <w:r w:rsidRPr="0002056A">
        <w:rPr>
          <w:rFonts w:ascii="Georgia" w:eastAsia="Times New Roman" w:hAnsi="Georgia" w:cs="Times New Roman"/>
          <w:color w:val="000000"/>
          <w:lang w:val="en-GB" w:eastAsia="hu-HU"/>
        </w:rPr>
        <w:t xml:space="preserve">. </w:t>
      </w:r>
    </w:p>
    <w:p w14:paraId="1918B906" w14:textId="77777777" w:rsidR="003F6895" w:rsidRPr="0002056A" w:rsidRDefault="003F6895" w:rsidP="003F6895">
      <w:pPr>
        <w:shd w:val="clear" w:color="auto" w:fill="FFFFFF" w:themeFill="background1"/>
        <w:rPr>
          <w:rFonts w:ascii="Times New Roman" w:hAnsi="Times New Roman" w:cs="Times New Roman"/>
          <w:bCs/>
          <w:sz w:val="24"/>
          <w:szCs w:val="24"/>
          <w:lang w:val="en-GB"/>
        </w:rPr>
      </w:pPr>
      <w:r w:rsidRPr="0002056A">
        <w:rPr>
          <w:rFonts w:ascii="Times New Roman" w:hAnsi="Times New Roman" w:cs="Times New Roman"/>
          <w:bCs/>
          <w:noProof/>
          <w:sz w:val="24"/>
          <w:szCs w:val="24"/>
          <w:lang w:val="en-GB"/>
          <w14:ligatures w14:val="standardContextual"/>
        </w:rPr>
        <w:drawing>
          <wp:inline distT="0" distB="0" distL="0" distR="0" wp14:anchorId="73150ECF" wp14:editId="24112E03">
            <wp:extent cx="5760720" cy="4863465"/>
            <wp:effectExtent l="19050" t="19050" r="11430" b="13335"/>
            <wp:docPr id="984547107" name="Kép 7" descr="A képen térkép, atlasz, szöveg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47107" name="Kép 7" descr="A képen térkép, atlasz, szöveg látható&#10;&#10;Előfordulhat, hogy az AI által létrehozott tartalom helytele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647EE49C" w14:textId="46E37B0F" w:rsidR="003F6895" w:rsidRPr="0002056A" w:rsidRDefault="003F6895" w:rsidP="003074CB">
      <w:pPr>
        <w:jc w:val="center"/>
        <w:rPr>
          <w:rFonts w:ascii="Georgia" w:hAnsi="Georgia"/>
          <w:i/>
          <w:iCs/>
          <w:sz w:val="18"/>
          <w:szCs w:val="18"/>
          <w:lang w:val="en-GB"/>
        </w:rPr>
      </w:pPr>
      <w:r w:rsidRPr="0002056A">
        <w:rPr>
          <w:rFonts w:ascii="Georgia" w:hAnsi="Georgia"/>
          <w:b/>
          <w:bCs/>
          <w:sz w:val="18"/>
          <w:szCs w:val="18"/>
          <w:lang w:val="en-GB"/>
        </w:rPr>
        <w:t xml:space="preserve">Figure </w:t>
      </w:r>
      <w:r w:rsidR="003074CB" w:rsidRPr="0002056A">
        <w:rPr>
          <w:rFonts w:ascii="Georgia" w:hAnsi="Georgia"/>
          <w:b/>
          <w:bCs/>
          <w:sz w:val="18"/>
          <w:szCs w:val="18"/>
          <w:lang w:val="en-GB"/>
        </w:rPr>
        <w:t>23</w:t>
      </w:r>
      <w:r w:rsidRPr="0002056A">
        <w:rPr>
          <w:rFonts w:ascii="Georgia" w:hAnsi="Georgia"/>
          <w:b/>
          <w:bCs/>
          <w:sz w:val="18"/>
          <w:szCs w:val="18"/>
          <w:lang w:val="en-GB"/>
        </w:rPr>
        <w:t xml:space="preserve">: Spatial content of the NAP actions in the analysed countries. </w:t>
      </w:r>
      <w:r w:rsidRPr="0002056A">
        <w:rPr>
          <w:rFonts w:ascii="Georgia" w:hAnsi="Georgia"/>
          <w:i/>
          <w:iCs/>
          <w:sz w:val="18"/>
          <w:szCs w:val="18"/>
          <w:lang w:val="en-GB"/>
        </w:rPr>
        <w:t>Source: own editing.</w:t>
      </w:r>
    </w:p>
    <w:p w14:paraId="73CDF422" w14:textId="3831E0B3" w:rsidR="00FA2E2A" w:rsidRPr="0002056A" w:rsidRDefault="00FA2E2A" w:rsidP="00596939">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iCs/>
          <w:lang w:val="en-GB" w:eastAsia="hu-HU"/>
        </w:rPr>
        <w:t>To see the details,</w:t>
      </w:r>
      <w:r w:rsidRPr="0002056A">
        <w:rPr>
          <w:rFonts w:ascii="Georgia" w:eastAsia="Times New Roman" w:hAnsi="Georgia" w:cs="Times New Roman"/>
          <w:b/>
          <w:iCs/>
          <w:lang w:val="en-GB" w:eastAsia="hu-HU"/>
        </w:rPr>
        <w:t xml:space="preserve"> proportion of </w:t>
      </w:r>
      <w:r w:rsidR="00627F9A" w:rsidRPr="0002056A">
        <w:rPr>
          <w:rFonts w:ascii="Georgia" w:eastAsia="Times New Roman" w:hAnsi="Georgia" w:cs="Times New Roman"/>
          <w:b/>
          <w:iCs/>
          <w:lang w:val="en-GB" w:eastAsia="hu-HU"/>
        </w:rPr>
        <w:t xml:space="preserve">NAP </w:t>
      </w:r>
      <w:r w:rsidRPr="0002056A">
        <w:rPr>
          <w:rFonts w:ascii="Georgia" w:eastAsia="Times New Roman" w:hAnsi="Georgia" w:cs="Times New Roman"/>
          <w:b/>
          <w:iCs/>
          <w:lang w:val="en-GB" w:eastAsia="hu-HU"/>
        </w:rPr>
        <w:t xml:space="preserve">measures with spatial content </w:t>
      </w:r>
      <w:r w:rsidRPr="0002056A">
        <w:rPr>
          <w:rFonts w:ascii="Georgia" w:eastAsia="Times New Roman" w:hAnsi="Georgia" w:cs="Times New Roman"/>
          <w:bCs/>
          <w:iCs/>
          <w:lang w:val="en-GB" w:eastAsia="hu-HU"/>
        </w:rPr>
        <w:t>is the highest in a</w:t>
      </w:r>
      <w:r w:rsidRPr="0002056A">
        <w:rPr>
          <w:rFonts w:ascii="Georgia" w:eastAsia="Times New Roman" w:hAnsi="Georgia" w:cs="Times New Roman"/>
          <w:color w:val="000000"/>
          <w:lang w:val="en-GB" w:eastAsia="hu-HU"/>
        </w:rPr>
        <w:t xml:space="preserve"> strong group of countries from mainly </w:t>
      </w:r>
      <w:r w:rsidRPr="0002056A">
        <w:rPr>
          <w:rFonts w:ascii="Georgia" w:eastAsia="Times New Roman" w:hAnsi="Georgia" w:cs="Times New Roman"/>
          <w:i/>
          <w:iCs/>
          <w:color w:val="000000"/>
          <w:lang w:val="en-GB" w:eastAsia="hu-HU"/>
        </w:rPr>
        <w:t>North-Western Europe</w:t>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i/>
          <w:color w:val="000000"/>
          <w:lang w:val="en-GB" w:eastAsia="hu-HU"/>
        </w:rPr>
        <w:t>Austria, the Netherlands, Switzerland, France, Denmark, Norway</w:t>
      </w:r>
      <w:r w:rsidRPr="0002056A">
        <w:rPr>
          <w:rFonts w:ascii="Georgia" w:eastAsia="Times New Roman" w:hAnsi="Georgia" w:cs="Times New Roman"/>
          <w:color w:val="000000"/>
          <w:lang w:val="en-GB" w:eastAsia="hu-HU"/>
        </w:rPr>
        <w:t>)</w:t>
      </w:r>
      <w:r w:rsidR="00450D5E" w:rsidRPr="0002056A">
        <w:rPr>
          <w:rFonts w:ascii="Georgia" w:eastAsia="Times New Roman" w:hAnsi="Georgia" w:cs="Times New Roman"/>
          <w:color w:val="000000"/>
          <w:lang w:val="en-GB" w:eastAsia="hu-HU"/>
        </w:rPr>
        <w:t xml:space="preserve">. </w:t>
      </w:r>
      <w:r w:rsidR="00164C5D" w:rsidRPr="0002056A">
        <w:rPr>
          <w:rFonts w:ascii="Georgia" w:eastAsia="Times New Roman" w:hAnsi="Georgia" w:cs="Times New Roman"/>
          <w:i/>
          <w:iCs/>
          <w:color w:val="000000"/>
          <w:lang w:val="en-GB" w:eastAsia="hu-HU"/>
        </w:rPr>
        <w:t>The Netherlands</w:t>
      </w:r>
      <w:r w:rsidR="00164C5D" w:rsidRPr="0002056A">
        <w:rPr>
          <w:rFonts w:ascii="Georgia" w:eastAsia="Times New Roman" w:hAnsi="Georgia" w:cs="Times New Roman"/>
          <w:color w:val="000000"/>
          <w:lang w:val="en-GB" w:eastAsia="hu-HU"/>
        </w:rPr>
        <w:t xml:space="preserve"> is especially outstanding, more than 70% of its NAP measures refers to some spatial content in their descriptions</w:t>
      </w:r>
      <w:r w:rsidR="000F01B5" w:rsidRPr="0002056A">
        <w:rPr>
          <w:rFonts w:ascii="Georgia" w:eastAsia="Times New Roman" w:hAnsi="Georgia" w:cs="Times New Roman"/>
          <w:color w:val="000000"/>
          <w:lang w:val="en-GB" w:eastAsia="hu-HU"/>
        </w:rPr>
        <w:t xml:space="preserve">. </w:t>
      </w:r>
      <w:r w:rsidR="00450D5E"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urprisingly, </w:t>
      </w:r>
      <w:r w:rsidRPr="0002056A">
        <w:rPr>
          <w:rFonts w:ascii="Georgia" w:eastAsia="Times New Roman" w:hAnsi="Georgia" w:cs="Times New Roman"/>
          <w:i/>
          <w:color w:val="000000"/>
          <w:lang w:val="en-GB" w:eastAsia="hu-HU"/>
        </w:rPr>
        <w:t xml:space="preserve">Italy, Portugal, Kosovo </w:t>
      </w:r>
      <w:r w:rsidRPr="0002056A">
        <w:rPr>
          <w:rFonts w:ascii="Georgia" w:eastAsia="Times New Roman" w:hAnsi="Georgia" w:cs="Times New Roman"/>
          <w:color w:val="000000"/>
          <w:lang w:val="en-GB" w:eastAsia="hu-HU"/>
        </w:rPr>
        <w:t xml:space="preserve">and </w:t>
      </w:r>
      <w:r w:rsidRPr="0002056A">
        <w:rPr>
          <w:rFonts w:ascii="Georgia" w:eastAsia="Times New Roman" w:hAnsi="Georgia" w:cs="Times New Roman"/>
          <w:i/>
          <w:color w:val="000000"/>
          <w:lang w:val="en-GB" w:eastAsia="hu-HU"/>
        </w:rPr>
        <w:t xml:space="preserve">Poland </w:t>
      </w:r>
      <w:r w:rsidRPr="0002056A">
        <w:rPr>
          <w:rFonts w:ascii="Georgia" w:eastAsia="Times New Roman" w:hAnsi="Georgia" w:cs="Times New Roman"/>
          <w:iCs/>
          <w:color w:val="000000"/>
          <w:lang w:val="en-GB" w:eastAsia="hu-HU"/>
        </w:rPr>
        <w:t>also got into the</w:t>
      </w:r>
      <w:r w:rsidRPr="0002056A">
        <w:rPr>
          <w:rFonts w:ascii="Georgia" w:eastAsia="Times New Roman" w:hAnsi="Georgia" w:cs="Times New Roman"/>
          <w:color w:val="000000"/>
          <w:lang w:val="en-GB" w:eastAsia="hu-HU"/>
        </w:rPr>
        <w:t xml:space="preserve"> best category, with more than 40% of measures showing spatial characteristics. </w:t>
      </w:r>
      <w:r w:rsidRPr="0002056A">
        <w:rPr>
          <w:rFonts w:ascii="Georgia" w:eastAsia="Times New Roman" w:hAnsi="Georgia" w:cs="Times New Roman"/>
          <w:i/>
          <w:color w:val="000000"/>
          <w:lang w:val="en-GB" w:eastAsia="hu-HU"/>
        </w:rPr>
        <w:t xml:space="preserve">Kosovo </w:t>
      </w:r>
      <w:r w:rsidRPr="0002056A">
        <w:rPr>
          <w:rFonts w:ascii="Georgia" w:eastAsia="Times New Roman" w:hAnsi="Georgia" w:cs="Times New Roman"/>
          <w:color w:val="000000"/>
          <w:lang w:val="en-GB" w:eastAsia="hu-HU"/>
        </w:rPr>
        <w:t xml:space="preserve">is a really good instance: out of its 18 </w:t>
      </w:r>
      <w:r w:rsidRPr="0002056A">
        <w:rPr>
          <w:rFonts w:ascii="Georgia" w:eastAsia="Times New Roman" w:hAnsi="Georgia" w:cs="Times New Roman"/>
          <w:color w:val="000000"/>
          <w:lang w:val="en-GB" w:eastAsia="hu-HU"/>
        </w:rPr>
        <w:lastRenderedPageBreak/>
        <w:t>recommended actions 9 are somehow spatial, referring even in their title to a region type, a concrete place or settlement</w:t>
      </w:r>
      <w:r w:rsidR="00723BEB" w:rsidRPr="0002056A">
        <w:rPr>
          <w:rFonts w:ascii="Georgia" w:eastAsia="Times New Roman" w:hAnsi="Georgia" w:cs="Times New Roman"/>
          <w:color w:val="000000"/>
          <w:lang w:val="en-GB" w:eastAsia="hu-HU"/>
        </w:rPr>
        <w:t xml:space="preserve"> network</w:t>
      </w:r>
      <w:r w:rsidRPr="0002056A">
        <w:rPr>
          <w:rFonts w:ascii="Georgia" w:eastAsia="Times New Roman" w:hAnsi="Georgia" w:cs="Times New Roman"/>
          <w:color w:val="000000"/>
          <w:lang w:val="en-GB" w:eastAsia="hu-HU"/>
        </w:rPr>
        <w:t xml:space="preserve"> element, </w:t>
      </w:r>
      <w:r w:rsidR="00450D5E" w:rsidRPr="0002056A">
        <w:rPr>
          <w:rFonts w:ascii="Georgia" w:eastAsia="Times New Roman" w:hAnsi="Georgia" w:cs="Times New Roman"/>
          <w:color w:val="000000"/>
          <w:lang w:val="en-GB" w:eastAsia="hu-HU"/>
        </w:rPr>
        <w:t xml:space="preserve">or </w:t>
      </w:r>
      <w:r w:rsidR="00723BEB" w:rsidRPr="0002056A">
        <w:rPr>
          <w:rFonts w:ascii="Georgia" w:eastAsia="Times New Roman" w:hAnsi="Georgia" w:cs="Times New Roman"/>
          <w:color w:val="000000"/>
          <w:lang w:val="en-GB" w:eastAsia="hu-HU"/>
        </w:rPr>
        <w:t>pe</w:t>
      </w:r>
      <w:r w:rsidRPr="0002056A">
        <w:rPr>
          <w:rFonts w:ascii="Georgia" w:eastAsia="Times New Roman" w:hAnsi="Georgia" w:cs="Times New Roman"/>
          <w:color w:val="000000"/>
          <w:lang w:val="en-GB" w:eastAsia="hu-HU"/>
        </w:rPr>
        <w:t>r</w:t>
      </w:r>
      <w:r w:rsidR="00723BEB" w:rsidRPr="0002056A">
        <w:rPr>
          <w:rFonts w:ascii="Georgia" w:eastAsia="Times New Roman" w:hAnsi="Georgia" w:cs="Times New Roman"/>
          <w:color w:val="000000"/>
          <w:lang w:val="en-GB" w:eastAsia="hu-HU"/>
        </w:rPr>
        <w:t>haps</w:t>
      </w:r>
      <w:r w:rsidRPr="0002056A">
        <w:rPr>
          <w:rFonts w:ascii="Georgia" w:eastAsia="Times New Roman" w:hAnsi="Georgia" w:cs="Times New Roman"/>
          <w:color w:val="000000"/>
          <w:lang w:val="en-GB" w:eastAsia="hu-HU"/>
        </w:rPr>
        <w:t xml:space="preserve"> general spatiality. The upper-middle category comprises besides </w:t>
      </w:r>
      <w:r w:rsidRPr="0002056A">
        <w:rPr>
          <w:rFonts w:ascii="Georgia" w:eastAsia="Times New Roman" w:hAnsi="Georgia" w:cs="Times New Roman"/>
          <w:i/>
          <w:iCs/>
          <w:color w:val="000000"/>
          <w:lang w:val="en-GB" w:eastAsia="hu-HU"/>
        </w:rPr>
        <w:t xml:space="preserve">Sweden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iCs/>
          <w:color w:val="000000"/>
          <w:lang w:val="en-GB" w:eastAsia="hu-HU"/>
        </w:rPr>
        <w:t xml:space="preserve"> Northern Ireland</w:t>
      </w:r>
      <w:r w:rsidRPr="0002056A">
        <w:rPr>
          <w:rFonts w:ascii="Georgia" w:eastAsia="Times New Roman" w:hAnsi="Georgia" w:cs="Times New Roman"/>
          <w:color w:val="000000"/>
          <w:lang w:val="en-GB" w:eastAsia="hu-HU"/>
        </w:rPr>
        <w:t xml:space="preserve"> surprisingly </w:t>
      </w:r>
      <w:r w:rsidR="00450D5E" w:rsidRPr="0002056A">
        <w:rPr>
          <w:rFonts w:ascii="Georgia" w:eastAsia="Times New Roman" w:hAnsi="Georgia" w:cs="Times New Roman"/>
          <w:color w:val="000000"/>
          <w:lang w:val="en-GB" w:eastAsia="hu-HU"/>
        </w:rPr>
        <w:t>E</w:t>
      </w:r>
      <w:r w:rsidRPr="0002056A">
        <w:rPr>
          <w:rFonts w:ascii="Georgia" w:eastAsia="Times New Roman" w:hAnsi="Georgia" w:cs="Times New Roman"/>
          <w:color w:val="000000"/>
          <w:lang w:val="en-GB" w:eastAsia="hu-HU"/>
        </w:rPr>
        <w:t>astern countries (</w:t>
      </w:r>
      <w:r w:rsidRPr="0002056A">
        <w:rPr>
          <w:rFonts w:ascii="Georgia" w:eastAsia="Times New Roman" w:hAnsi="Georgia" w:cs="Times New Roman"/>
          <w:i/>
          <w:iCs/>
          <w:color w:val="000000"/>
          <w:lang w:val="en-GB" w:eastAsia="hu-HU"/>
        </w:rPr>
        <w:t>Hungary, Slovenia, Bosnia</w:t>
      </w:r>
      <w:r w:rsidRPr="0002056A">
        <w:rPr>
          <w:rFonts w:ascii="Georgia" w:eastAsia="Times New Roman" w:hAnsi="Georgia" w:cs="Times New Roman"/>
          <w:color w:val="000000"/>
          <w:lang w:val="en-GB" w:eastAsia="hu-HU"/>
        </w:rPr>
        <w:t>)</w:t>
      </w:r>
      <w:r w:rsidR="00450D5E" w:rsidRPr="0002056A">
        <w:rPr>
          <w:rFonts w:ascii="Georgia" w:eastAsia="Times New Roman" w:hAnsi="Georgia" w:cs="Times New Roman"/>
          <w:color w:val="000000"/>
          <w:lang w:val="en-GB" w:eastAsia="hu-HU"/>
        </w:rPr>
        <w:t>, too</w:t>
      </w:r>
      <w:r w:rsidRPr="0002056A">
        <w:rPr>
          <w:rFonts w:ascii="Georgia" w:eastAsia="Times New Roman" w:hAnsi="Georgia" w:cs="Times New Roman"/>
          <w:color w:val="000000"/>
          <w:lang w:val="en-GB" w:eastAsia="hu-HU"/>
        </w:rPr>
        <w:t xml:space="preserve">. Theoretically spatially interested </w:t>
      </w:r>
      <w:r w:rsidR="00723BEB" w:rsidRPr="0002056A">
        <w:rPr>
          <w:rFonts w:ascii="Georgia" w:eastAsia="Times New Roman" w:hAnsi="Georgia" w:cs="Times New Roman"/>
          <w:color w:val="000000"/>
          <w:lang w:val="en-GB" w:eastAsia="hu-HU"/>
        </w:rPr>
        <w:t xml:space="preserve">larger </w:t>
      </w:r>
      <w:r w:rsidRPr="0002056A">
        <w:rPr>
          <w:rFonts w:ascii="Georgia" w:eastAsia="Times New Roman" w:hAnsi="Georgia" w:cs="Times New Roman"/>
          <w:color w:val="000000"/>
          <w:lang w:val="en-GB" w:eastAsia="hu-HU"/>
        </w:rPr>
        <w:t>countries (</w:t>
      </w:r>
      <w:r w:rsidRPr="0002056A">
        <w:rPr>
          <w:rFonts w:ascii="Georgia" w:eastAsia="Times New Roman" w:hAnsi="Georgia" w:cs="Times New Roman"/>
          <w:i/>
          <w:color w:val="000000"/>
          <w:lang w:val="en-GB" w:eastAsia="hu-HU"/>
        </w:rPr>
        <w:t>Germany, Spain</w:t>
      </w:r>
      <w:r w:rsidRPr="0002056A">
        <w:rPr>
          <w:rFonts w:ascii="Georgia" w:eastAsia="Times New Roman" w:hAnsi="Georgia" w:cs="Times New Roman"/>
          <w:color w:val="000000"/>
          <w:lang w:val="en-GB" w:eastAsia="hu-HU"/>
        </w:rPr>
        <w:t>)</w:t>
      </w:r>
      <w:r w:rsidR="00723BEB"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classic spatial planning practitioners (</w:t>
      </w:r>
      <w:r w:rsidRPr="0002056A">
        <w:rPr>
          <w:rFonts w:ascii="Georgia" w:eastAsia="Times New Roman" w:hAnsi="Georgia" w:cs="Times New Roman"/>
          <w:i/>
          <w:color w:val="000000"/>
          <w:lang w:val="en-GB" w:eastAsia="hu-HU"/>
        </w:rPr>
        <w:t>parts of the UK, Finland</w:t>
      </w:r>
      <w:r w:rsidRPr="0002056A">
        <w:rPr>
          <w:rFonts w:ascii="Georgia" w:eastAsia="Times New Roman" w:hAnsi="Georgia" w:cs="Times New Roman"/>
          <w:color w:val="000000"/>
          <w:lang w:val="en-GB" w:eastAsia="hu-HU"/>
        </w:rPr>
        <w:t>)</w:t>
      </w:r>
      <w:r w:rsidR="00723BEB"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or emerging adaptation planners (</w:t>
      </w:r>
      <w:r w:rsidR="00A21DC2" w:rsidRPr="0002056A">
        <w:rPr>
          <w:rFonts w:ascii="Georgia" w:eastAsia="Times New Roman" w:hAnsi="Georgia" w:cs="Times New Roman"/>
          <w:i/>
          <w:color w:val="000000"/>
          <w:lang w:val="en-GB" w:eastAsia="hu-HU"/>
        </w:rPr>
        <w:t>Türkiye</w:t>
      </w:r>
      <w:r w:rsidRPr="0002056A">
        <w:rPr>
          <w:rFonts w:ascii="Georgia" w:eastAsia="Times New Roman" w:hAnsi="Georgia" w:cs="Times New Roman"/>
          <w:color w:val="000000"/>
          <w:lang w:val="en-GB" w:eastAsia="hu-HU"/>
        </w:rPr>
        <w:t>) got only into the lower-middle category</w:t>
      </w:r>
      <w:r w:rsidR="00B85B0F" w:rsidRPr="0002056A">
        <w:rPr>
          <w:rFonts w:ascii="Georgia" w:eastAsia="Times New Roman" w:hAnsi="Georgia" w:cs="Times New Roman"/>
          <w:color w:val="000000"/>
          <w:lang w:val="en-GB" w:eastAsia="hu-HU"/>
        </w:rPr>
        <w:t xml:space="preserve"> (Figure 24)</w:t>
      </w:r>
      <w:r w:rsidRPr="0002056A">
        <w:rPr>
          <w:rFonts w:ascii="Georgia" w:eastAsia="Times New Roman" w:hAnsi="Georgia" w:cs="Times New Roman"/>
          <w:color w:val="000000"/>
          <w:lang w:val="en-GB" w:eastAsia="hu-HU"/>
        </w:rPr>
        <w:t>.</w:t>
      </w:r>
    </w:p>
    <w:p w14:paraId="2FD5DC60" w14:textId="124CF071" w:rsidR="00FA2E2A" w:rsidRPr="0002056A" w:rsidRDefault="00745A28" w:rsidP="00FA2E2A">
      <w:pPr>
        <w:shd w:val="clear" w:color="auto" w:fill="FFFFFF" w:themeFill="background1"/>
        <w:spacing w:before="120" w:after="120" w:line="240" w:lineRule="auto"/>
        <w:jc w:val="both"/>
        <w:rPr>
          <w:highlight w:val="yellow"/>
          <w:lang w:val="en-GB"/>
        </w:rPr>
      </w:pPr>
      <w:r w:rsidRPr="0002056A">
        <w:rPr>
          <w:noProof/>
          <w:lang w:val="en-GB"/>
          <w14:ligatures w14:val="standardContextual"/>
        </w:rPr>
        <w:drawing>
          <wp:inline distT="0" distB="0" distL="0" distR="0" wp14:anchorId="2CB0EACE" wp14:editId="1BB8C38B">
            <wp:extent cx="5760720" cy="2172335"/>
            <wp:effectExtent l="0" t="0" r="11430" b="18415"/>
            <wp:docPr id="1629296226" name="Diagram 1">
              <a:extLst xmlns:a="http://schemas.openxmlformats.org/drawingml/2006/main">
                <a:ext uri="{FF2B5EF4-FFF2-40B4-BE49-F238E27FC236}">
                  <a16:creationId xmlns:a16="http://schemas.microsoft.com/office/drawing/2014/main" id="{0D86F347-9D15-5607-CC26-3370E1D172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70ADA54" w14:textId="0AA7F1CE" w:rsidR="00287B4C" w:rsidRPr="0002056A" w:rsidRDefault="00287B4C" w:rsidP="00492DB0">
      <w:pPr>
        <w:shd w:val="clear" w:color="auto" w:fill="FFFFFF" w:themeFill="background1"/>
        <w:spacing w:before="120" w:after="120" w:line="240" w:lineRule="auto"/>
        <w:jc w:val="center"/>
        <w:rPr>
          <w:rFonts w:ascii="Georgia" w:eastAsia="Times New Roman" w:hAnsi="Georgia" w:cs="Times New Roman"/>
          <w:bCs/>
          <w:i/>
          <w:sz w:val="18"/>
          <w:szCs w:val="18"/>
          <w:lang w:val="en-GB" w:eastAsia="hu-HU"/>
        </w:rPr>
      </w:pPr>
      <w:r w:rsidRPr="0002056A">
        <w:rPr>
          <w:rFonts w:ascii="Georgia" w:eastAsia="Times New Roman" w:hAnsi="Georgia" w:cs="Times New Roman"/>
          <w:b/>
          <w:iCs/>
          <w:sz w:val="18"/>
          <w:szCs w:val="18"/>
          <w:lang w:val="en-GB" w:eastAsia="hu-HU"/>
        </w:rPr>
        <w:t xml:space="preserve">Figure </w:t>
      </w:r>
      <w:r w:rsidR="003074CB" w:rsidRPr="0002056A">
        <w:rPr>
          <w:rFonts w:ascii="Georgia" w:eastAsia="Times New Roman" w:hAnsi="Georgia" w:cs="Times New Roman"/>
          <w:b/>
          <w:iCs/>
          <w:sz w:val="18"/>
          <w:szCs w:val="18"/>
          <w:lang w:val="en-GB" w:eastAsia="hu-HU"/>
        </w:rPr>
        <w:t>24</w:t>
      </w:r>
      <w:r w:rsidRPr="0002056A">
        <w:rPr>
          <w:rFonts w:ascii="Georgia" w:eastAsia="Times New Roman" w:hAnsi="Georgia" w:cs="Times New Roman"/>
          <w:b/>
          <w:iCs/>
          <w:sz w:val="18"/>
          <w:szCs w:val="18"/>
          <w:lang w:val="en-GB" w:eastAsia="hu-HU"/>
        </w:rPr>
        <w:t>: Proportion of NAP actions consisting of references</w:t>
      </w:r>
      <w:r w:rsidR="00492DB0" w:rsidRPr="0002056A">
        <w:rPr>
          <w:rFonts w:ascii="Georgia" w:eastAsia="Times New Roman" w:hAnsi="Georgia" w:cs="Times New Roman"/>
          <w:b/>
          <w:iCs/>
          <w:sz w:val="18"/>
          <w:szCs w:val="18"/>
          <w:lang w:val="en-GB" w:eastAsia="hu-HU"/>
        </w:rPr>
        <w:t xml:space="preserve"> to region or settlement types, actual places or general spatial logic</w:t>
      </w:r>
      <w:r w:rsidRPr="0002056A">
        <w:rPr>
          <w:rFonts w:ascii="Georgia" w:eastAsia="Times New Roman" w:hAnsi="Georgia" w:cs="Times New Roman"/>
          <w:b/>
          <w:iCs/>
          <w:sz w:val="18"/>
          <w:szCs w:val="18"/>
          <w:lang w:val="en-GB" w:eastAsia="hu-HU"/>
        </w:rPr>
        <w:t xml:space="preserve">. </w:t>
      </w:r>
      <w:r w:rsidRPr="0002056A">
        <w:rPr>
          <w:rFonts w:ascii="Georgia" w:eastAsia="Times New Roman" w:hAnsi="Georgia" w:cs="Times New Roman"/>
          <w:bCs/>
          <w:i/>
          <w:sz w:val="18"/>
          <w:szCs w:val="18"/>
          <w:lang w:val="en-GB" w:eastAsia="hu-HU"/>
        </w:rPr>
        <w:t>Source: own editing.</w:t>
      </w:r>
    </w:p>
    <w:p w14:paraId="3F1BB031" w14:textId="1BF412CB" w:rsidR="00FA2E2A" w:rsidRPr="0002056A" w:rsidRDefault="00FA2E2A" w:rsidP="00596939">
      <w:pPr>
        <w:shd w:val="clear" w:color="auto" w:fill="FFFFFF" w:themeFill="background1"/>
        <w:spacing w:before="120" w:after="120"/>
        <w:jc w:val="both"/>
        <w:rPr>
          <w:rFonts w:ascii="Georgia" w:hAnsi="Georgia" w:cs="Times New Roman"/>
          <w:bCs/>
          <w:lang w:val="en-GB"/>
        </w:rPr>
      </w:pPr>
      <w:r w:rsidRPr="0002056A">
        <w:rPr>
          <w:rFonts w:ascii="Georgia" w:eastAsia="Times New Roman" w:hAnsi="Georgia" w:cs="Times New Roman"/>
          <w:bCs/>
          <w:iCs/>
          <w:lang w:val="en-GB" w:eastAsia="hu-HU"/>
        </w:rPr>
        <w:t>The</w:t>
      </w:r>
      <w:r w:rsidRPr="0002056A">
        <w:rPr>
          <w:rFonts w:ascii="Georgia" w:eastAsia="Times New Roman" w:hAnsi="Georgia" w:cs="Times New Roman"/>
          <w:b/>
          <w:iCs/>
          <w:lang w:val="en-GB" w:eastAsia="hu-HU"/>
        </w:rPr>
        <w:t xml:space="preserve"> “proportion of spatial planning-related measures” </w:t>
      </w:r>
      <w:r w:rsidRPr="0002056A">
        <w:rPr>
          <w:rFonts w:ascii="Georgia" w:eastAsia="Times New Roman" w:hAnsi="Georgia" w:cs="Times New Roman"/>
          <w:bCs/>
          <w:iCs/>
          <w:lang w:val="en-GB" w:eastAsia="hu-HU"/>
        </w:rPr>
        <w:t>sub-aspect’s</w:t>
      </w:r>
      <w:r w:rsidRPr="0002056A">
        <w:rPr>
          <w:rFonts w:ascii="Georgia" w:eastAsia="Times New Roman" w:hAnsi="Georgia" w:cs="Times New Roman"/>
          <w:b/>
          <w:iCs/>
          <w:lang w:val="en-GB" w:eastAsia="hu-HU"/>
        </w:rPr>
        <w:t xml:space="preserve"> </w:t>
      </w:r>
      <w:r w:rsidRPr="0002056A">
        <w:rPr>
          <w:rFonts w:ascii="Georgia" w:hAnsi="Georgia" w:cs="Times New Roman"/>
          <w:bCs/>
          <w:lang w:val="en-GB"/>
        </w:rPr>
        <w:t xml:space="preserve">best category is composed only by </w:t>
      </w:r>
      <w:r w:rsidRPr="0002056A">
        <w:rPr>
          <w:rFonts w:ascii="Georgia" w:hAnsi="Georgia" w:cs="Times New Roman"/>
          <w:bCs/>
          <w:i/>
          <w:lang w:val="en-GB"/>
        </w:rPr>
        <w:t>Austria</w:t>
      </w:r>
      <w:r w:rsidRPr="0002056A">
        <w:rPr>
          <w:rFonts w:ascii="Georgia" w:hAnsi="Georgia" w:cs="Times New Roman"/>
          <w:bCs/>
          <w:lang w:val="en-GB"/>
        </w:rPr>
        <w:t xml:space="preserve">, where more than 10% of the NAP measures are dealing with spatial planning, followed by </w:t>
      </w:r>
      <w:r w:rsidRPr="0002056A">
        <w:rPr>
          <w:rFonts w:ascii="Georgia" w:hAnsi="Georgia" w:cs="Times New Roman"/>
          <w:bCs/>
          <w:i/>
          <w:lang w:val="en-GB"/>
        </w:rPr>
        <w:t xml:space="preserve">Luxemburg, Iceland, </w:t>
      </w:r>
      <w:r w:rsidR="00AB6C3D" w:rsidRPr="0002056A">
        <w:rPr>
          <w:rFonts w:ascii="Georgia" w:hAnsi="Georgia" w:cs="Times New Roman"/>
          <w:bCs/>
          <w:i/>
          <w:lang w:val="en-GB"/>
        </w:rPr>
        <w:t xml:space="preserve">Northern Ireland, </w:t>
      </w:r>
      <w:r w:rsidRPr="0002056A">
        <w:rPr>
          <w:rFonts w:ascii="Georgia" w:hAnsi="Georgia" w:cs="Times New Roman"/>
          <w:bCs/>
          <w:i/>
          <w:lang w:val="en-GB"/>
        </w:rPr>
        <w:t xml:space="preserve">Latvia, </w:t>
      </w:r>
      <w:r w:rsidR="00AB6C3D" w:rsidRPr="0002056A">
        <w:rPr>
          <w:rFonts w:ascii="Georgia" w:hAnsi="Georgia" w:cs="Times New Roman"/>
          <w:bCs/>
          <w:i/>
          <w:lang w:val="en-GB"/>
        </w:rPr>
        <w:t>the Netherlands</w:t>
      </w:r>
      <w:r w:rsidRPr="0002056A">
        <w:rPr>
          <w:rFonts w:ascii="Georgia" w:hAnsi="Georgia" w:cs="Times New Roman"/>
          <w:bCs/>
          <w:i/>
          <w:lang w:val="en-GB"/>
        </w:rPr>
        <w:t xml:space="preserve">, Switzerland, </w:t>
      </w:r>
      <w:r w:rsidRPr="0002056A">
        <w:rPr>
          <w:rFonts w:ascii="Georgia" w:hAnsi="Georgia" w:cs="Times New Roman"/>
          <w:bCs/>
          <w:lang w:val="en-GB"/>
        </w:rPr>
        <w:t>and surprisingly</w:t>
      </w:r>
      <w:r w:rsidRPr="0002056A">
        <w:rPr>
          <w:rFonts w:ascii="Georgia" w:hAnsi="Georgia" w:cs="Times New Roman"/>
          <w:bCs/>
          <w:i/>
          <w:lang w:val="en-GB"/>
        </w:rPr>
        <w:t xml:space="preserve"> Kosovo (</w:t>
      </w:r>
      <w:r w:rsidRPr="0002056A">
        <w:rPr>
          <w:rFonts w:ascii="Georgia" w:hAnsi="Georgia" w:cs="Times New Roman"/>
          <w:bCs/>
          <w:iCs/>
          <w:lang w:val="en-GB"/>
        </w:rPr>
        <w:t>the latter is an odd-one-out, because even its only one spatial planning-related measure out of its 18 actions</w:t>
      </w:r>
      <w:r w:rsidRPr="0002056A">
        <w:rPr>
          <w:rFonts w:ascii="Georgia" w:hAnsi="Georgia" w:cs="Times New Roman"/>
          <w:bCs/>
          <w:lang w:val="en-GB"/>
        </w:rPr>
        <w:t xml:space="preserve"> means a </w:t>
      </w:r>
      <w:r w:rsidR="00E33FCF" w:rsidRPr="0002056A">
        <w:rPr>
          <w:rFonts w:ascii="Georgia" w:hAnsi="Georgia" w:cs="Times New Roman"/>
          <w:bCs/>
          <w:lang w:val="en-GB"/>
        </w:rPr>
        <w:t xml:space="preserve">relative good </w:t>
      </w:r>
      <w:r w:rsidRPr="0002056A">
        <w:rPr>
          <w:rFonts w:ascii="Georgia" w:hAnsi="Georgia" w:cs="Times New Roman"/>
          <w:bCs/>
          <w:lang w:val="en-GB"/>
        </w:rPr>
        <w:t xml:space="preserve">result). </w:t>
      </w:r>
      <w:r w:rsidR="00AB6C3D" w:rsidRPr="0002056A">
        <w:rPr>
          <w:rFonts w:ascii="Georgia" w:hAnsi="Georgia" w:cs="Times New Roman"/>
          <w:bCs/>
          <w:i/>
          <w:iCs/>
          <w:lang w:val="en-GB"/>
        </w:rPr>
        <w:t>The Netherlands</w:t>
      </w:r>
      <w:r w:rsidR="001941A4" w:rsidRPr="0002056A">
        <w:rPr>
          <w:rFonts w:ascii="Georgia" w:hAnsi="Georgia" w:cs="Times New Roman"/>
          <w:bCs/>
          <w:i/>
          <w:iCs/>
          <w:lang w:val="en-GB"/>
        </w:rPr>
        <w:t xml:space="preserve">, </w:t>
      </w:r>
      <w:r w:rsidRPr="0002056A">
        <w:rPr>
          <w:rFonts w:ascii="Georgia" w:hAnsi="Georgia" w:cs="Times New Roman"/>
          <w:bCs/>
          <w:i/>
          <w:lang w:val="en-GB"/>
        </w:rPr>
        <w:t>Northern Ireland, Switzerland</w:t>
      </w:r>
      <w:r w:rsidRPr="0002056A">
        <w:rPr>
          <w:rFonts w:ascii="Georgia" w:hAnsi="Georgia" w:cs="Times New Roman"/>
          <w:bCs/>
          <w:lang w:val="en-GB"/>
        </w:rPr>
        <w:t xml:space="preserve"> a</w:t>
      </w:r>
      <w:r w:rsidR="001941A4" w:rsidRPr="0002056A">
        <w:rPr>
          <w:rFonts w:ascii="Georgia" w:hAnsi="Georgia" w:cs="Times New Roman"/>
          <w:bCs/>
          <w:lang w:val="en-GB"/>
        </w:rPr>
        <w:t>re also</w:t>
      </w:r>
      <w:r w:rsidRPr="0002056A">
        <w:rPr>
          <w:rFonts w:ascii="Georgia" w:hAnsi="Georgia" w:cs="Times New Roman"/>
          <w:bCs/>
          <w:lang w:val="en-GB"/>
        </w:rPr>
        <w:t xml:space="preserve"> traditional spatial planner and adaptation MRE-oriented countries. However, the similarly strong</w:t>
      </w:r>
      <w:r w:rsidR="007D2C36" w:rsidRPr="0002056A">
        <w:rPr>
          <w:rFonts w:ascii="Georgia" w:hAnsi="Georgia" w:cs="Times New Roman"/>
          <w:bCs/>
          <w:lang w:val="en-GB"/>
        </w:rPr>
        <w:t>ly</w:t>
      </w:r>
      <w:r w:rsidRPr="0002056A">
        <w:rPr>
          <w:rFonts w:ascii="Georgia" w:hAnsi="Georgia" w:cs="Times New Roman"/>
          <w:bCs/>
          <w:lang w:val="en-GB"/>
        </w:rPr>
        <w:t xml:space="preserve"> spatial planning-minded </w:t>
      </w:r>
      <w:r w:rsidRPr="0002056A">
        <w:rPr>
          <w:rFonts w:ascii="Georgia" w:hAnsi="Georgia" w:cs="Times New Roman"/>
          <w:bCs/>
          <w:i/>
          <w:lang w:val="en-GB"/>
        </w:rPr>
        <w:t>Germany</w:t>
      </w:r>
      <w:r w:rsidRPr="0002056A">
        <w:rPr>
          <w:rFonts w:ascii="Georgia" w:hAnsi="Georgia" w:cs="Times New Roman"/>
          <w:bCs/>
          <w:lang w:val="en-GB"/>
        </w:rPr>
        <w:t xml:space="preserve"> and </w:t>
      </w:r>
      <w:r w:rsidR="001941A4" w:rsidRPr="0002056A">
        <w:rPr>
          <w:rFonts w:ascii="Georgia" w:hAnsi="Georgia" w:cs="Times New Roman"/>
          <w:bCs/>
          <w:lang w:val="en-GB"/>
        </w:rPr>
        <w:t xml:space="preserve">other </w:t>
      </w:r>
      <w:r w:rsidRPr="0002056A">
        <w:rPr>
          <w:rFonts w:ascii="Georgia" w:hAnsi="Georgia" w:cs="Times New Roman"/>
          <w:bCs/>
          <w:i/>
          <w:lang w:val="en-GB"/>
        </w:rPr>
        <w:t>parts of the UK</w:t>
      </w:r>
      <w:r w:rsidRPr="0002056A">
        <w:rPr>
          <w:rFonts w:ascii="Georgia" w:hAnsi="Georgia" w:cs="Times New Roman"/>
          <w:bCs/>
          <w:lang w:val="en-GB"/>
        </w:rPr>
        <w:t xml:space="preserve"> got </w:t>
      </w:r>
      <w:r w:rsidR="007D2C36" w:rsidRPr="0002056A">
        <w:rPr>
          <w:rFonts w:ascii="Georgia" w:hAnsi="Georgia" w:cs="Times New Roman"/>
          <w:bCs/>
          <w:lang w:val="en-GB"/>
        </w:rPr>
        <w:t xml:space="preserve">only </w:t>
      </w:r>
      <w:r w:rsidRPr="0002056A">
        <w:rPr>
          <w:rFonts w:ascii="Georgia" w:hAnsi="Georgia" w:cs="Times New Roman"/>
          <w:bCs/>
          <w:lang w:val="en-GB"/>
        </w:rPr>
        <w:t>in the 3</w:t>
      </w:r>
      <w:r w:rsidRPr="0002056A">
        <w:rPr>
          <w:rFonts w:ascii="Georgia" w:hAnsi="Georgia" w:cs="Times New Roman"/>
          <w:bCs/>
          <w:vertAlign w:val="superscript"/>
          <w:lang w:val="en-GB"/>
        </w:rPr>
        <w:t>rd</w:t>
      </w:r>
      <w:r w:rsidRPr="0002056A">
        <w:rPr>
          <w:rFonts w:ascii="Georgia" w:hAnsi="Georgia" w:cs="Times New Roman"/>
          <w:bCs/>
          <w:lang w:val="en-GB"/>
        </w:rPr>
        <w:t xml:space="preserve"> category</w:t>
      </w:r>
      <w:r w:rsidR="00804C42" w:rsidRPr="0002056A">
        <w:rPr>
          <w:rFonts w:ascii="Georgia" w:hAnsi="Georgia" w:cs="Times New Roman"/>
          <w:bCs/>
          <w:lang w:val="en-GB"/>
        </w:rPr>
        <w:t>. The</w:t>
      </w:r>
      <w:r w:rsidRPr="0002056A">
        <w:rPr>
          <w:rFonts w:ascii="Georgia" w:hAnsi="Georgia" w:cs="Times New Roman"/>
          <w:bCs/>
          <w:lang w:val="en-GB"/>
        </w:rPr>
        <w:t xml:space="preserve"> reason </w:t>
      </w:r>
      <w:r w:rsidR="00804C42" w:rsidRPr="0002056A">
        <w:rPr>
          <w:rFonts w:ascii="Georgia" w:hAnsi="Georgia" w:cs="Times New Roman"/>
          <w:bCs/>
          <w:lang w:val="en-GB"/>
        </w:rPr>
        <w:t xml:space="preserve">for this could be </w:t>
      </w:r>
      <w:r w:rsidRPr="0002056A">
        <w:rPr>
          <w:rFonts w:ascii="Georgia" w:hAnsi="Georgia" w:cs="Times New Roman"/>
          <w:bCs/>
          <w:lang w:val="en-GB"/>
        </w:rPr>
        <w:t xml:space="preserve">that the </w:t>
      </w:r>
      <w:r w:rsidR="007D2C36" w:rsidRPr="0002056A">
        <w:rPr>
          <w:rFonts w:ascii="Georgia" w:hAnsi="Georgia" w:cs="Times New Roman"/>
          <w:bCs/>
          <w:lang w:val="en-GB"/>
        </w:rPr>
        <w:t xml:space="preserve">degree of development </w:t>
      </w:r>
      <w:r w:rsidRPr="0002056A">
        <w:rPr>
          <w:rFonts w:ascii="Georgia" w:hAnsi="Georgia" w:cs="Times New Roman"/>
          <w:bCs/>
          <w:lang w:val="en-GB"/>
        </w:rPr>
        <w:t xml:space="preserve">of these topics in the countries makes it not necessary to dedicate special actions to </w:t>
      </w:r>
      <w:r w:rsidR="00804C42" w:rsidRPr="0002056A">
        <w:rPr>
          <w:rFonts w:ascii="Georgia" w:hAnsi="Georgia" w:cs="Times New Roman"/>
          <w:bCs/>
          <w:lang w:val="en-GB"/>
        </w:rPr>
        <w:t xml:space="preserve">the development of </w:t>
      </w:r>
      <w:r w:rsidRPr="0002056A">
        <w:rPr>
          <w:rFonts w:ascii="Georgia" w:hAnsi="Georgia" w:cs="Times New Roman"/>
          <w:bCs/>
          <w:lang w:val="en-GB"/>
        </w:rPr>
        <w:t>spatial planning</w:t>
      </w:r>
      <w:r w:rsidR="00804C42" w:rsidRPr="0002056A">
        <w:rPr>
          <w:rFonts w:ascii="Georgia" w:hAnsi="Georgia" w:cs="Times New Roman"/>
          <w:bCs/>
          <w:lang w:val="en-GB"/>
        </w:rPr>
        <w:t xml:space="preserve">-adaptation planning </w:t>
      </w:r>
      <w:r w:rsidR="00AC5238" w:rsidRPr="0002056A">
        <w:rPr>
          <w:rFonts w:ascii="Georgia" w:hAnsi="Georgia" w:cs="Times New Roman"/>
          <w:bCs/>
          <w:lang w:val="en-GB"/>
        </w:rPr>
        <w:t>connections within</w:t>
      </w:r>
      <w:r w:rsidRPr="0002056A">
        <w:rPr>
          <w:rFonts w:ascii="Georgia" w:hAnsi="Georgia" w:cs="Times New Roman"/>
          <w:bCs/>
          <w:lang w:val="en-GB"/>
        </w:rPr>
        <w:t xml:space="preserve"> the measure set in the newer generations of NAPs. The overwhelming majority of the analysed countries (33) performs below 5%</w:t>
      </w:r>
      <w:r w:rsidR="00804C42" w:rsidRPr="0002056A">
        <w:rPr>
          <w:rFonts w:ascii="Georgia" w:hAnsi="Georgia" w:cs="Times New Roman"/>
          <w:bCs/>
          <w:lang w:val="en-GB"/>
        </w:rPr>
        <w:t>;</w:t>
      </w:r>
      <w:r w:rsidRPr="0002056A">
        <w:rPr>
          <w:rFonts w:ascii="Georgia" w:hAnsi="Georgia" w:cs="Times New Roman"/>
          <w:bCs/>
          <w:lang w:val="en-GB"/>
        </w:rPr>
        <w:t xml:space="preserve"> out of these 10 states reached 0 point in this sub-aspect</w:t>
      </w:r>
      <w:r w:rsidR="00B85B0F" w:rsidRPr="0002056A">
        <w:rPr>
          <w:rFonts w:ascii="Georgia" w:hAnsi="Georgia" w:cs="Times New Roman"/>
          <w:bCs/>
          <w:lang w:val="en-GB"/>
        </w:rPr>
        <w:t xml:space="preserve"> </w:t>
      </w:r>
      <w:r w:rsidR="00B85B0F" w:rsidRPr="0002056A">
        <w:rPr>
          <w:rFonts w:ascii="Georgia" w:eastAsia="Times New Roman" w:hAnsi="Georgia" w:cs="Times New Roman"/>
          <w:color w:val="000000"/>
          <w:lang w:val="en-GB" w:eastAsia="hu-HU"/>
        </w:rPr>
        <w:t>(Figure 25)</w:t>
      </w:r>
      <w:r w:rsidRPr="0002056A">
        <w:rPr>
          <w:rFonts w:ascii="Georgia" w:hAnsi="Georgia" w:cs="Times New Roman"/>
          <w:bCs/>
          <w:lang w:val="en-GB"/>
        </w:rPr>
        <w:t>.</w:t>
      </w:r>
    </w:p>
    <w:p w14:paraId="28B430D9" w14:textId="5083CD5B" w:rsidR="00FA2E2A" w:rsidRPr="0002056A" w:rsidRDefault="00745A28" w:rsidP="00FA2E2A">
      <w:pPr>
        <w:shd w:val="clear" w:color="auto" w:fill="FFFFFF" w:themeFill="background1"/>
        <w:spacing w:before="120" w:after="120" w:line="240" w:lineRule="auto"/>
        <w:jc w:val="both"/>
        <w:rPr>
          <w:highlight w:val="yellow"/>
          <w:lang w:val="en-GB"/>
        </w:rPr>
      </w:pPr>
      <w:r w:rsidRPr="0002056A">
        <w:rPr>
          <w:noProof/>
          <w:lang w:val="en-GB"/>
          <w14:ligatures w14:val="standardContextual"/>
        </w:rPr>
        <w:drawing>
          <wp:inline distT="0" distB="0" distL="0" distR="0" wp14:anchorId="6B69FAEA" wp14:editId="60A050C0">
            <wp:extent cx="5760720" cy="2120900"/>
            <wp:effectExtent l="0" t="0" r="11430" b="12700"/>
            <wp:docPr id="639462769" name="Diagram 1">
              <a:extLst xmlns:a="http://schemas.openxmlformats.org/drawingml/2006/main">
                <a:ext uri="{FF2B5EF4-FFF2-40B4-BE49-F238E27FC236}">
                  <a16:creationId xmlns:a16="http://schemas.microsoft.com/office/drawing/2014/main" id="{F7C484B6-9774-3AD2-2FA6-DC54415DF6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CC443F2" w14:textId="50D8A2B5" w:rsidR="00492DB0" w:rsidRPr="0002056A" w:rsidRDefault="00492DB0" w:rsidP="00492DB0">
      <w:pPr>
        <w:shd w:val="clear" w:color="auto" w:fill="FFFFFF" w:themeFill="background1"/>
        <w:spacing w:before="120" w:after="120" w:line="240" w:lineRule="auto"/>
        <w:jc w:val="center"/>
        <w:rPr>
          <w:rFonts w:ascii="Georgia" w:eastAsia="Times New Roman" w:hAnsi="Georgia" w:cs="Times New Roman"/>
          <w:bCs/>
          <w:i/>
          <w:sz w:val="18"/>
          <w:szCs w:val="18"/>
          <w:lang w:val="en-GB" w:eastAsia="hu-HU"/>
        </w:rPr>
      </w:pPr>
      <w:r w:rsidRPr="0002056A">
        <w:rPr>
          <w:rFonts w:ascii="Georgia" w:eastAsia="Times New Roman" w:hAnsi="Georgia" w:cs="Times New Roman"/>
          <w:b/>
          <w:iCs/>
          <w:sz w:val="18"/>
          <w:szCs w:val="18"/>
          <w:lang w:val="en-GB" w:eastAsia="hu-HU"/>
        </w:rPr>
        <w:t xml:space="preserve">Figure </w:t>
      </w:r>
      <w:r w:rsidR="003074CB" w:rsidRPr="0002056A">
        <w:rPr>
          <w:rFonts w:ascii="Georgia" w:eastAsia="Times New Roman" w:hAnsi="Georgia" w:cs="Times New Roman"/>
          <w:b/>
          <w:iCs/>
          <w:sz w:val="18"/>
          <w:szCs w:val="18"/>
          <w:lang w:val="en-GB" w:eastAsia="hu-HU"/>
        </w:rPr>
        <w:t>25</w:t>
      </w:r>
      <w:r w:rsidRPr="0002056A">
        <w:rPr>
          <w:rFonts w:ascii="Georgia" w:eastAsia="Times New Roman" w:hAnsi="Georgia" w:cs="Times New Roman"/>
          <w:b/>
          <w:iCs/>
          <w:sz w:val="18"/>
          <w:szCs w:val="18"/>
          <w:lang w:val="en-GB" w:eastAsia="hu-HU"/>
        </w:rPr>
        <w:t xml:space="preserve">: Proportion of NAP actions consisting of references to spatial planning. </w:t>
      </w:r>
      <w:r w:rsidRPr="0002056A">
        <w:rPr>
          <w:rFonts w:ascii="Georgia" w:eastAsia="Times New Roman" w:hAnsi="Georgia" w:cs="Times New Roman"/>
          <w:bCs/>
          <w:i/>
          <w:sz w:val="18"/>
          <w:szCs w:val="18"/>
          <w:lang w:val="en-GB" w:eastAsia="hu-HU"/>
        </w:rPr>
        <w:t>Source: own editing.</w:t>
      </w:r>
    </w:p>
    <w:p w14:paraId="24431AC0" w14:textId="3267F255" w:rsidR="00FA2E2A" w:rsidRPr="0002056A" w:rsidRDefault="00FA2E2A" w:rsidP="00596939">
      <w:pPr>
        <w:shd w:val="clear" w:color="auto" w:fill="FFFFFF" w:themeFill="background1"/>
        <w:spacing w:before="120" w:after="120"/>
        <w:jc w:val="both"/>
        <w:rPr>
          <w:rFonts w:ascii="Georgia" w:hAnsi="Georgia" w:cs="Times New Roman"/>
          <w:bCs/>
          <w:lang w:val="en-GB"/>
        </w:rPr>
      </w:pPr>
      <w:r w:rsidRPr="0002056A">
        <w:rPr>
          <w:rFonts w:ascii="Georgia" w:eastAsia="Times New Roman" w:hAnsi="Georgia" w:cs="Times New Roman"/>
          <w:bCs/>
          <w:iCs/>
          <w:lang w:val="en-GB" w:eastAsia="hu-HU"/>
        </w:rPr>
        <w:lastRenderedPageBreak/>
        <w:t>As for the</w:t>
      </w:r>
      <w:r w:rsidRPr="0002056A">
        <w:rPr>
          <w:rFonts w:ascii="Georgia" w:eastAsia="Times New Roman" w:hAnsi="Georgia" w:cs="Times New Roman"/>
          <w:b/>
          <w:iCs/>
          <w:lang w:val="en-GB" w:eastAsia="hu-HU"/>
        </w:rPr>
        <w:t xml:space="preserve"> proportion of spatial MRE-related measures, </w:t>
      </w:r>
      <w:r w:rsidRPr="0002056A">
        <w:rPr>
          <w:rFonts w:ascii="Georgia" w:eastAsia="Times New Roman" w:hAnsi="Georgia" w:cs="Times New Roman"/>
          <w:bCs/>
          <w:iCs/>
          <w:lang w:val="en-GB" w:eastAsia="hu-HU"/>
        </w:rPr>
        <w:t xml:space="preserve">similar results can be registered. </w:t>
      </w:r>
      <w:r w:rsidR="00551B99" w:rsidRPr="0002056A">
        <w:rPr>
          <w:rFonts w:ascii="Georgia" w:eastAsia="Times New Roman" w:hAnsi="Georgia" w:cs="Times New Roman"/>
          <w:bCs/>
          <w:iCs/>
          <w:lang w:val="en-GB" w:eastAsia="hu-HU"/>
        </w:rPr>
        <w:t>S</w:t>
      </w:r>
      <w:r w:rsidR="00551B99" w:rsidRPr="0002056A">
        <w:rPr>
          <w:rFonts w:ascii="Georgia" w:hAnsi="Georgia" w:cs="Times New Roman"/>
          <w:bCs/>
          <w:lang w:val="en-GB"/>
        </w:rPr>
        <w:t xml:space="preserve">urprisingly, </w:t>
      </w:r>
      <w:r w:rsidR="00551B99" w:rsidRPr="0002056A">
        <w:rPr>
          <w:rFonts w:ascii="Georgia" w:hAnsi="Georgia" w:cs="Times New Roman"/>
          <w:bCs/>
          <w:i/>
          <w:iCs/>
          <w:lang w:val="en-GB"/>
        </w:rPr>
        <w:t xml:space="preserve">North-Macedonia </w:t>
      </w:r>
      <w:r w:rsidR="00551B99" w:rsidRPr="0002056A">
        <w:rPr>
          <w:rFonts w:ascii="Georgia" w:hAnsi="Georgia" w:cs="Times New Roman"/>
          <w:bCs/>
          <w:lang w:val="en-GB"/>
        </w:rPr>
        <w:t xml:space="preserve">(and </w:t>
      </w:r>
      <w:r w:rsidR="00077B7A" w:rsidRPr="0002056A">
        <w:rPr>
          <w:rFonts w:ascii="Georgia" w:hAnsi="Georgia" w:cs="Times New Roman"/>
          <w:bCs/>
          <w:lang w:val="en-GB"/>
        </w:rPr>
        <w:t xml:space="preserve">not surprisingly, </w:t>
      </w:r>
      <w:r w:rsidRPr="0002056A">
        <w:rPr>
          <w:rFonts w:ascii="Georgia" w:hAnsi="Georgia" w:cs="Times New Roman"/>
          <w:bCs/>
          <w:i/>
          <w:iCs/>
          <w:lang w:val="en-GB"/>
        </w:rPr>
        <w:t>Finland</w:t>
      </w:r>
      <w:r w:rsidR="00551B99" w:rsidRPr="0002056A">
        <w:rPr>
          <w:rFonts w:ascii="Georgia" w:hAnsi="Georgia" w:cs="Times New Roman"/>
          <w:bCs/>
          <w:lang w:val="en-GB"/>
        </w:rPr>
        <w:t>)</w:t>
      </w:r>
      <w:r w:rsidRPr="0002056A">
        <w:rPr>
          <w:rFonts w:ascii="Georgia" w:hAnsi="Georgia" w:cs="Times New Roman"/>
          <w:bCs/>
          <w:lang w:val="en-GB"/>
        </w:rPr>
        <w:t xml:space="preserve"> performed the best with more than 10% of </w:t>
      </w:r>
      <w:r w:rsidR="00077B7A" w:rsidRPr="0002056A">
        <w:rPr>
          <w:rFonts w:ascii="Georgia" w:hAnsi="Georgia" w:cs="Times New Roman"/>
          <w:bCs/>
          <w:lang w:val="en-GB"/>
        </w:rPr>
        <w:t xml:space="preserve">their NAP </w:t>
      </w:r>
      <w:r w:rsidRPr="0002056A">
        <w:rPr>
          <w:rFonts w:ascii="Georgia" w:hAnsi="Georgia" w:cs="Times New Roman"/>
          <w:bCs/>
          <w:lang w:val="en-GB"/>
        </w:rPr>
        <w:t xml:space="preserve">measures contain spatial MRE-related contents. The group of follower countries comprises in a mixed way </w:t>
      </w:r>
      <w:r w:rsidR="00077B7A" w:rsidRPr="0002056A">
        <w:rPr>
          <w:rFonts w:ascii="Georgia" w:hAnsi="Georgia" w:cs="Times New Roman"/>
          <w:bCs/>
          <w:lang w:val="en-GB"/>
        </w:rPr>
        <w:t>S</w:t>
      </w:r>
      <w:r w:rsidRPr="0002056A">
        <w:rPr>
          <w:rFonts w:ascii="Georgia" w:hAnsi="Georgia" w:cs="Times New Roman"/>
          <w:bCs/>
          <w:lang w:val="en-GB"/>
        </w:rPr>
        <w:t>outherners (</w:t>
      </w:r>
      <w:r w:rsidRPr="0002056A">
        <w:rPr>
          <w:rFonts w:ascii="Georgia" w:hAnsi="Georgia" w:cs="Times New Roman"/>
          <w:bCs/>
          <w:i/>
          <w:lang w:val="en-GB"/>
        </w:rPr>
        <w:t>Spain, Greece</w:t>
      </w:r>
      <w:r w:rsidRPr="0002056A">
        <w:rPr>
          <w:rFonts w:ascii="Georgia" w:hAnsi="Georgia" w:cs="Times New Roman"/>
          <w:bCs/>
          <w:lang w:val="en-GB"/>
        </w:rPr>
        <w:t xml:space="preserve">), Eastern- </w:t>
      </w:r>
      <w:r w:rsidR="00551B99" w:rsidRPr="0002056A">
        <w:rPr>
          <w:rFonts w:ascii="Georgia" w:hAnsi="Georgia" w:cs="Times New Roman"/>
          <w:bCs/>
          <w:lang w:val="en-GB"/>
        </w:rPr>
        <w:t>and South-Eastern</w:t>
      </w:r>
      <w:r w:rsidR="00077B7A" w:rsidRPr="0002056A">
        <w:rPr>
          <w:rFonts w:ascii="Georgia" w:hAnsi="Georgia" w:cs="Times New Roman"/>
          <w:bCs/>
          <w:lang w:val="en-GB"/>
        </w:rPr>
        <w:t>-</w:t>
      </w:r>
      <w:r w:rsidR="00551B99" w:rsidRPr="0002056A">
        <w:rPr>
          <w:rFonts w:ascii="Georgia" w:hAnsi="Georgia" w:cs="Times New Roman"/>
          <w:bCs/>
          <w:lang w:val="en-GB"/>
        </w:rPr>
        <w:t xml:space="preserve"> </w:t>
      </w:r>
      <w:r w:rsidRPr="0002056A">
        <w:rPr>
          <w:rFonts w:ascii="Georgia" w:hAnsi="Georgia" w:cs="Times New Roman"/>
          <w:bCs/>
          <w:lang w:val="en-GB"/>
        </w:rPr>
        <w:t>(</w:t>
      </w:r>
      <w:r w:rsidRPr="0002056A">
        <w:rPr>
          <w:rFonts w:ascii="Georgia" w:hAnsi="Georgia" w:cs="Times New Roman"/>
          <w:bCs/>
          <w:i/>
          <w:lang w:val="en-GB"/>
        </w:rPr>
        <w:t>Bulgaria, Bosnia, Lithuania, Kosovo, Croatia</w:t>
      </w:r>
      <w:r w:rsidRPr="0002056A">
        <w:rPr>
          <w:rFonts w:ascii="Georgia" w:hAnsi="Georgia" w:cs="Times New Roman"/>
          <w:bCs/>
          <w:lang w:val="en-GB"/>
        </w:rPr>
        <w:t>) and Western</w:t>
      </w:r>
      <w:r w:rsidR="00077B7A" w:rsidRPr="0002056A">
        <w:rPr>
          <w:rFonts w:ascii="Georgia" w:hAnsi="Georgia" w:cs="Times New Roman"/>
          <w:bCs/>
          <w:lang w:val="en-GB"/>
        </w:rPr>
        <w:t xml:space="preserve">-European </w:t>
      </w:r>
      <w:r w:rsidRPr="0002056A">
        <w:rPr>
          <w:rFonts w:ascii="Georgia" w:hAnsi="Georgia" w:cs="Times New Roman"/>
          <w:bCs/>
          <w:lang w:val="en-GB"/>
        </w:rPr>
        <w:t>(</w:t>
      </w:r>
      <w:r w:rsidRPr="0002056A">
        <w:rPr>
          <w:rFonts w:ascii="Georgia" w:hAnsi="Georgia" w:cs="Times New Roman"/>
          <w:bCs/>
          <w:i/>
          <w:lang w:val="en-GB"/>
        </w:rPr>
        <w:t>France, Germany, Ireland, Belgium</w:t>
      </w:r>
      <w:r w:rsidRPr="0002056A">
        <w:rPr>
          <w:rFonts w:ascii="Georgia" w:hAnsi="Georgia" w:cs="Times New Roman"/>
          <w:bCs/>
          <w:lang w:val="en-GB"/>
        </w:rPr>
        <w:t>) countries, with the traditional spatial planner nations at the helm again. The most extended group, however, is again the lower</w:t>
      </w:r>
      <w:r w:rsidR="005D6D87" w:rsidRPr="0002056A">
        <w:rPr>
          <w:rFonts w:ascii="Georgia" w:hAnsi="Georgia" w:cs="Times New Roman"/>
          <w:bCs/>
          <w:lang w:val="en-GB"/>
        </w:rPr>
        <w:t>-</w:t>
      </w:r>
      <w:r w:rsidRPr="0002056A">
        <w:rPr>
          <w:rFonts w:ascii="Georgia" w:hAnsi="Georgia" w:cs="Times New Roman"/>
          <w:bCs/>
          <w:lang w:val="en-GB"/>
        </w:rPr>
        <w:t xml:space="preserve">middle category: 22 countries </w:t>
      </w:r>
      <w:r w:rsidR="00C149B1" w:rsidRPr="0002056A">
        <w:rPr>
          <w:rFonts w:ascii="Georgia" w:hAnsi="Georgia" w:cs="Times New Roman"/>
          <w:bCs/>
          <w:lang w:val="en-GB"/>
        </w:rPr>
        <w:t>stand</w:t>
      </w:r>
      <w:r w:rsidRPr="0002056A">
        <w:rPr>
          <w:rFonts w:ascii="Georgia" w:hAnsi="Georgia" w:cs="Times New Roman"/>
          <w:bCs/>
          <w:lang w:val="en-GB"/>
        </w:rPr>
        <w:t xml:space="preserve"> below 5%</w:t>
      </w:r>
      <w:r w:rsidR="005D6D87" w:rsidRPr="0002056A">
        <w:rPr>
          <w:rFonts w:ascii="Georgia" w:hAnsi="Georgia" w:cs="Times New Roman"/>
          <w:bCs/>
          <w:lang w:val="en-GB"/>
        </w:rPr>
        <w:t>.</w:t>
      </w:r>
      <w:r w:rsidRPr="0002056A">
        <w:rPr>
          <w:rFonts w:ascii="Georgia" w:hAnsi="Georgia" w:cs="Times New Roman"/>
          <w:bCs/>
          <w:lang w:val="en-GB"/>
        </w:rPr>
        <w:t xml:space="preserve"> 4 </w:t>
      </w:r>
      <w:r w:rsidR="005D6D87" w:rsidRPr="0002056A">
        <w:rPr>
          <w:rFonts w:ascii="Georgia" w:hAnsi="Georgia" w:cs="Times New Roman"/>
          <w:bCs/>
          <w:lang w:val="en-GB"/>
        </w:rPr>
        <w:t xml:space="preserve">states </w:t>
      </w:r>
      <w:r w:rsidRPr="0002056A">
        <w:rPr>
          <w:rFonts w:ascii="Georgia" w:hAnsi="Georgia" w:cs="Times New Roman"/>
          <w:bCs/>
          <w:lang w:val="en-GB"/>
        </w:rPr>
        <w:t xml:space="preserve">actually d0 not have MRE-related </w:t>
      </w:r>
      <w:r w:rsidR="005D6D87" w:rsidRPr="0002056A">
        <w:rPr>
          <w:rFonts w:ascii="Georgia" w:hAnsi="Georgia" w:cs="Times New Roman"/>
          <w:bCs/>
          <w:lang w:val="en-GB"/>
        </w:rPr>
        <w:t xml:space="preserve">adaptation </w:t>
      </w:r>
      <w:r w:rsidRPr="0002056A">
        <w:rPr>
          <w:rFonts w:ascii="Georgia" w:hAnsi="Georgia" w:cs="Times New Roman"/>
          <w:bCs/>
          <w:lang w:val="en-GB"/>
        </w:rPr>
        <w:t>action</w:t>
      </w:r>
      <w:r w:rsidR="00B85B0F" w:rsidRPr="0002056A">
        <w:rPr>
          <w:rFonts w:ascii="Georgia" w:hAnsi="Georgia" w:cs="Times New Roman"/>
          <w:bCs/>
          <w:lang w:val="en-GB"/>
        </w:rPr>
        <w:t xml:space="preserve"> (Figure 26)</w:t>
      </w:r>
      <w:r w:rsidRPr="0002056A">
        <w:rPr>
          <w:rFonts w:ascii="Georgia" w:hAnsi="Georgia" w:cs="Times New Roman"/>
          <w:bCs/>
          <w:lang w:val="en-GB"/>
        </w:rPr>
        <w:t>.</w:t>
      </w:r>
    </w:p>
    <w:p w14:paraId="75C9DD24" w14:textId="79C32178" w:rsidR="00FA2E2A" w:rsidRPr="0002056A" w:rsidRDefault="006059D4" w:rsidP="00FA2E2A">
      <w:pPr>
        <w:shd w:val="clear" w:color="auto" w:fill="FFFFFF" w:themeFill="background1"/>
        <w:spacing w:before="120" w:after="120" w:line="240" w:lineRule="auto"/>
        <w:jc w:val="both"/>
        <w:rPr>
          <w:rFonts w:ascii="Georgia" w:hAnsi="Georgia"/>
          <w:lang w:val="en-GB"/>
        </w:rPr>
      </w:pPr>
      <w:r w:rsidRPr="0002056A">
        <w:rPr>
          <w:noProof/>
          <w:lang w:val="en-GB"/>
          <w14:ligatures w14:val="standardContextual"/>
        </w:rPr>
        <w:drawing>
          <wp:inline distT="0" distB="0" distL="0" distR="0" wp14:anchorId="4DE7F5F3" wp14:editId="1CD43042">
            <wp:extent cx="5760720" cy="2023110"/>
            <wp:effectExtent l="0" t="0" r="11430" b="15240"/>
            <wp:docPr id="1929721934" name="Diagram 1">
              <a:extLst xmlns:a="http://schemas.openxmlformats.org/drawingml/2006/main">
                <a:ext uri="{FF2B5EF4-FFF2-40B4-BE49-F238E27FC236}">
                  <a16:creationId xmlns:a16="http://schemas.microsoft.com/office/drawing/2014/main" id="{51595EBB-45AB-269B-5466-D8E986E880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A153364" w14:textId="2C408B68" w:rsidR="008A5B81" w:rsidRPr="0002056A" w:rsidRDefault="008A5B81" w:rsidP="008A5B81">
      <w:pPr>
        <w:shd w:val="clear" w:color="auto" w:fill="FFFFFF" w:themeFill="background1"/>
        <w:spacing w:before="120" w:after="120" w:line="240" w:lineRule="auto"/>
        <w:jc w:val="center"/>
        <w:rPr>
          <w:rFonts w:ascii="Georgia" w:eastAsia="Times New Roman" w:hAnsi="Georgia" w:cs="Times New Roman"/>
          <w:bCs/>
          <w:i/>
          <w:sz w:val="18"/>
          <w:szCs w:val="18"/>
          <w:lang w:val="en-GB" w:eastAsia="hu-HU"/>
        </w:rPr>
      </w:pPr>
      <w:r w:rsidRPr="0002056A">
        <w:rPr>
          <w:rFonts w:ascii="Georgia" w:eastAsia="Times New Roman" w:hAnsi="Georgia" w:cs="Times New Roman"/>
          <w:b/>
          <w:iCs/>
          <w:sz w:val="18"/>
          <w:szCs w:val="18"/>
          <w:lang w:val="en-GB" w:eastAsia="hu-HU"/>
        </w:rPr>
        <w:t xml:space="preserve">Figure </w:t>
      </w:r>
      <w:r w:rsidR="003074CB" w:rsidRPr="0002056A">
        <w:rPr>
          <w:rFonts w:ascii="Georgia" w:eastAsia="Times New Roman" w:hAnsi="Georgia" w:cs="Times New Roman"/>
          <w:b/>
          <w:iCs/>
          <w:sz w:val="18"/>
          <w:szCs w:val="18"/>
          <w:lang w:val="en-GB" w:eastAsia="hu-HU"/>
        </w:rPr>
        <w:t>26</w:t>
      </w:r>
      <w:r w:rsidRPr="0002056A">
        <w:rPr>
          <w:rFonts w:ascii="Georgia" w:eastAsia="Times New Roman" w:hAnsi="Georgia" w:cs="Times New Roman"/>
          <w:b/>
          <w:iCs/>
          <w:sz w:val="18"/>
          <w:szCs w:val="18"/>
          <w:lang w:val="en-GB" w:eastAsia="hu-HU"/>
        </w:rPr>
        <w:t xml:space="preserve">: Proportion of NAP actions consisting of references to (spatial) adaptation MRE. </w:t>
      </w:r>
      <w:r w:rsidRPr="0002056A">
        <w:rPr>
          <w:rFonts w:ascii="Georgia" w:eastAsia="Times New Roman" w:hAnsi="Georgia" w:cs="Times New Roman"/>
          <w:bCs/>
          <w:i/>
          <w:sz w:val="18"/>
          <w:szCs w:val="18"/>
          <w:lang w:val="en-GB" w:eastAsia="hu-HU"/>
        </w:rPr>
        <w:t>Source: own editing.</w:t>
      </w:r>
    </w:p>
    <w:p w14:paraId="2D208854" w14:textId="72E5DC34" w:rsidR="00720A42" w:rsidRPr="0002056A" w:rsidRDefault="00C86C49" w:rsidP="00214BD9">
      <w:pPr>
        <w:pStyle w:val="Cmsor3"/>
        <w:numPr>
          <w:ilvl w:val="2"/>
          <w:numId w:val="4"/>
        </w:numPr>
        <w:rPr>
          <w:lang w:val="en-GB"/>
        </w:rPr>
      </w:pPr>
      <w:bookmarkStart w:id="43" w:name="_Toc225578860"/>
      <w:r w:rsidRPr="0002056A">
        <w:rPr>
          <w:lang w:val="en-GB"/>
        </w:rPr>
        <w:t xml:space="preserve">Inter- and transnational spatial dimensions and content </w:t>
      </w:r>
      <w:r w:rsidR="00720A42" w:rsidRPr="0002056A">
        <w:rPr>
          <w:lang w:val="en-GB"/>
        </w:rPr>
        <w:t>of NAS documents</w:t>
      </w:r>
      <w:bookmarkEnd w:id="43"/>
    </w:p>
    <w:p w14:paraId="541AC94B" w14:textId="725524D7" w:rsidR="00720A42" w:rsidRPr="0002056A" w:rsidRDefault="00720A42" w:rsidP="00596939">
      <w:pPr>
        <w:pBdr>
          <w:top w:val="single" w:sz="4" w:space="1" w:color="auto"/>
          <w:left w:val="single" w:sz="4" w:space="4" w:color="auto"/>
          <w:bottom w:val="single" w:sz="4" w:space="1" w:color="auto"/>
          <w:right w:val="single" w:sz="4" w:space="4" w:color="auto"/>
        </w:pBdr>
        <w:shd w:val="clear" w:color="auto" w:fill="FFFFFF" w:themeFill="background1"/>
        <w:spacing w:before="120" w:after="120"/>
        <w:jc w:val="both"/>
        <w:rPr>
          <w:rFonts w:ascii="Georgia" w:hAnsi="Georgia"/>
          <w:lang w:val="en-GB"/>
        </w:rPr>
      </w:pPr>
      <w:r w:rsidRPr="0002056A">
        <w:rPr>
          <w:rFonts w:ascii="Georgia" w:hAnsi="Georgia"/>
          <w:lang w:val="en-GB"/>
        </w:rPr>
        <w:t xml:space="preserve">The degree of </w:t>
      </w:r>
      <w:r w:rsidR="00C86C49" w:rsidRPr="0002056A">
        <w:rPr>
          <w:rFonts w:ascii="Georgia" w:hAnsi="Georgia"/>
          <w:lang w:val="en-GB"/>
        </w:rPr>
        <w:t xml:space="preserve">inter- and </w:t>
      </w:r>
      <w:r w:rsidRPr="0002056A">
        <w:rPr>
          <w:rFonts w:ascii="Georgia" w:hAnsi="Georgia"/>
          <w:lang w:val="en-GB"/>
        </w:rPr>
        <w:t>transnational</w:t>
      </w:r>
      <w:r w:rsidR="00C86C49" w:rsidRPr="0002056A">
        <w:rPr>
          <w:rFonts w:ascii="Georgia" w:hAnsi="Georgia"/>
          <w:lang w:val="en-GB"/>
        </w:rPr>
        <w:t xml:space="preserve"> spatial</w:t>
      </w:r>
      <w:r w:rsidRPr="0002056A">
        <w:rPr>
          <w:rFonts w:ascii="Georgia" w:hAnsi="Georgia"/>
          <w:lang w:val="en-GB"/>
        </w:rPr>
        <w:t xml:space="preserve"> content in NAS/NAP documents, similarly to NAP actions’ spatiality</w:t>
      </w:r>
      <w:r w:rsidR="00BB66A8" w:rsidRPr="0002056A">
        <w:rPr>
          <w:rFonts w:ascii="Georgia" w:hAnsi="Georgia"/>
          <w:lang w:val="en-GB"/>
        </w:rPr>
        <w:t>,</w:t>
      </w:r>
      <w:r w:rsidRPr="0002056A">
        <w:rPr>
          <w:rFonts w:ascii="Georgia" w:hAnsi="Georgia"/>
          <w:lang w:val="en-GB"/>
        </w:rPr>
        <w:t xml:space="preserve"> performed relatively better than the objective systems and situation analyses. The leading parts of Europe in this aspect are </w:t>
      </w:r>
      <w:r w:rsidRPr="0002056A">
        <w:rPr>
          <w:rFonts w:ascii="Georgia" w:hAnsi="Georgia"/>
          <w:i/>
          <w:iCs/>
          <w:lang w:val="en-GB"/>
        </w:rPr>
        <w:t xml:space="preserve">Northwestern-Europe </w:t>
      </w:r>
      <w:r w:rsidRPr="0002056A">
        <w:rPr>
          <w:rFonts w:ascii="Georgia" w:hAnsi="Georgia"/>
          <w:lang w:val="en-GB"/>
        </w:rPr>
        <w:t xml:space="preserve">and </w:t>
      </w:r>
      <w:r w:rsidRPr="0002056A">
        <w:rPr>
          <w:rFonts w:ascii="Georgia" w:hAnsi="Georgia"/>
          <w:i/>
          <w:iCs/>
          <w:lang w:val="en-GB"/>
        </w:rPr>
        <w:t>South</w:t>
      </w:r>
      <w:r w:rsidR="00593199" w:rsidRPr="0002056A">
        <w:rPr>
          <w:rFonts w:ascii="Georgia" w:hAnsi="Georgia"/>
          <w:i/>
          <w:iCs/>
          <w:lang w:val="en-GB"/>
        </w:rPr>
        <w:t>ern</w:t>
      </w:r>
      <w:r w:rsidRPr="0002056A">
        <w:rPr>
          <w:rFonts w:ascii="Georgia" w:hAnsi="Georgia"/>
          <w:lang w:val="en-GB"/>
        </w:rPr>
        <w:t xml:space="preserve"> </w:t>
      </w:r>
      <w:r w:rsidRPr="0002056A">
        <w:rPr>
          <w:rFonts w:ascii="Georgia" w:hAnsi="Georgia"/>
          <w:i/>
          <w:iCs/>
          <w:lang w:val="en-GB"/>
        </w:rPr>
        <w:t>Europe</w:t>
      </w:r>
      <w:r w:rsidRPr="0002056A">
        <w:rPr>
          <w:rFonts w:ascii="Georgia" w:hAnsi="Georgia"/>
          <w:lang w:val="en-GB"/>
        </w:rPr>
        <w:t xml:space="preserve"> (more exactly the bigger southern states). The best performing countries are </w:t>
      </w:r>
      <w:r w:rsidRPr="0002056A">
        <w:rPr>
          <w:rFonts w:ascii="Georgia" w:hAnsi="Georgia"/>
          <w:i/>
          <w:iCs/>
          <w:lang w:val="en-GB"/>
        </w:rPr>
        <w:t>England</w:t>
      </w:r>
      <w:r w:rsidRPr="0002056A">
        <w:rPr>
          <w:rFonts w:ascii="Georgia" w:hAnsi="Georgia"/>
          <w:lang w:val="en-GB"/>
        </w:rPr>
        <w:t xml:space="preserve"> and </w:t>
      </w:r>
      <w:r w:rsidRPr="0002056A">
        <w:rPr>
          <w:rFonts w:ascii="Georgia" w:hAnsi="Georgia"/>
          <w:i/>
          <w:iCs/>
          <w:lang w:val="en-GB"/>
        </w:rPr>
        <w:t>Sweden</w:t>
      </w:r>
      <w:r w:rsidRPr="0002056A">
        <w:rPr>
          <w:rFonts w:ascii="Georgia" w:hAnsi="Georgia"/>
          <w:lang w:val="en-GB"/>
        </w:rPr>
        <w:t xml:space="preserve"> (both with maximum of the available points)</w:t>
      </w:r>
      <w:r w:rsidR="00BB66A8" w:rsidRPr="0002056A">
        <w:rPr>
          <w:rFonts w:ascii="Georgia" w:hAnsi="Georgia"/>
          <w:lang w:val="en-GB"/>
        </w:rPr>
        <w:t>, moreover</w:t>
      </w:r>
      <w:r w:rsidRPr="0002056A">
        <w:rPr>
          <w:rFonts w:ascii="Georgia" w:hAnsi="Georgia"/>
          <w:lang w:val="en-GB"/>
        </w:rPr>
        <w:t xml:space="preserve"> </w:t>
      </w:r>
      <w:r w:rsidRPr="0002056A">
        <w:rPr>
          <w:rFonts w:ascii="Georgia" w:hAnsi="Georgia"/>
          <w:i/>
          <w:iCs/>
          <w:lang w:val="en-GB"/>
        </w:rPr>
        <w:t>Scotland, Finland, Austria</w:t>
      </w:r>
      <w:r w:rsidRPr="0002056A">
        <w:rPr>
          <w:rFonts w:ascii="Georgia" w:hAnsi="Georgia"/>
          <w:lang w:val="en-GB"/>
        </w:rPr>
        <w:t xml:space="preserve"> and </w:t>
      </w:r>
      <w:r w:rsidRPr="0002056A">
        <w:rPr>
          <w:rFonts w:ascii="Georgia" w:hAnsi="Georgia"/>
          <w:i/>
          <w:iCs/>
          <w:lang w:val="en-GB"/>
        </w:rPr>
        <w:t>Norway</w:t>
      </w:r>
      <w:r w:rsidRPr="0002056A">
        <w:rPr>
          <w:rFonts w:ascii="Georgia" w:hAnsi="Georgia"/>
          <w:lang w:val="en-GB"/>
        </w:rPr>
        <w:t xml:space="preserve"> all show higher values than 10</w:t>
      </w:r>
      <w:r w:rsidR="00E96384" w:rsidRPr="0002056A">
        <w:rPr>
          <w:rFonts w:ascii="Georgia" w:hAnsi="Georgia"/>
          <w:lang w:val="en-GB"/>
        </w:rPr>
        <w:t xml:space="preserve"> out of the maximum available 15</w:t>
      </w:r>
      <w:r w:rsidR="000870A0" w:rsidRPr="0002056A">
        <w:rPr>
          <w:rFonts w:ascii="Georgia" w:hAnsi="Georgia"/>
          <w:lang w:val="en-GB"/>
        </w:rPr>
        <w:t xml:space="preserve"> points</w:t>
      </w:r>
      <w:r w:rsidRPr="0002056A">
        <w:rPr>
          <w:rFonts w:ascii="Georgia" w:hAnsi="Georgia"/>
          <w:lang w:val="en-GB"/>
        </w:rPr>
        <w:t xml:space="preserve">. The upper-middle category comprises </w:t>
      </w:r>
      <w:r w:rsidRPr="0002056A">
        <w:rPr>
          <w:rFonts w:ascii="Georgia" w:hAnsi="Georgia"/>
          <w:i/>
          <w:iCs/>
          <w:lang w:val="en-GB"/>
        </w:rPr>
        <w:t>Spain</w:t>
      </w:r>
      <w:r w:rsidRPr="0002056A">
        <w:rPr>
          <w:rFonts w:ascii="Georgia" w:hAnsi="Georgia"/>
          <w:lang w:val="en-GB"/>
        </w:rPr>
        <w:t xml:space="preserve">, </w:t>
      </w:r>
      <w:r w:rsidRPr="0002056A">
        <w:rPr>
          <w:rFonts w:ascii="Georgia" w:hAnsi="Georgia"/>
          <w:i/>
          <w:iCs/>
          <w:lang w:val="en-GB"/>
        </w:rPr>
        <w:t>Greece</w:t>
      </w:r>
      <w:r w:rsidRPr="0002056A">
        <w:rPr>
          <w:rFonts w:ascii="Georgia" w:hAnsi="Georgia"/>
          <w:lang w:val="en-GB"/>
        </w:rPr>
        <w:t xml:space="preserve"> and </w:t>
      </w:r>
      <w:r w:rsidRPr="0002056A">
        <w:rPr>
          <w:rFonts w:ascii="Georgia" w:hAnsi="Georgia"/>
          <w:i/>
          <w:iCs/>
          <w:lang w:val="en-GB"/>
        </w:rPr>
        <w:t>Türkiye</w:t>
      </w:r>
      <w:r w:rsidRPr="0002056A">
        <w:rPr>
          <w:rFonts w:ascii="Georgia" w:hAnsi="Georgia"/>
          <w:lang w:val="en-GB"/>
        </w:rPr>
        <w:t xml:space="preserve"> (all emphasise Mediterranean linkages, and common macroregional climat</w:t>
      </w:r>
      <w:r w:rsidR="00757C15" w:rsidRPr="0002056A">
        <w:rPr>
          <w:rFonts w:ascii="Georgia" w:hAnsi="Georgia"/>
          <w:lang w:val="en-GB"/>
        </w:rPr>
        <w:t>e change-induced spatial challenges)</w:t>
      </w:r>
      <w:r w:rsidRPr="0002056A">
        <w:rPr>
          <w:rFonts w:ascii="Georgia" w:hAnsi="Georgia"/>
          <w:lang w:val="en-GB"/>
        </w:rPr>
        <w:t xml:space="preserve">; </w:t>
      </w:r>
      <w:r w:rsidRPr="0002056A">
        <w:rPr>
          <w:rFonts w:ascii="Georgia" w:hAnsi="Georgia"/>
          <w:i/>
          <w:iCs/>
          <w:lang w:val="en-GB"/>
        </w:rPr>
        <w:t>the Netherlands, Denmark, France</w:t>
      </w:r>
      <w:r w:rsidRPr="0002056A">
        <w:rPr>
          <w:rFonts w:ascii="Georgia" w:hAnsi="Georgia"/>
          <w:lang w:val="en-GB"/>
        </w:rPr>
        <w:t xml:space="preserve"> and </w:t>
      </w:r>
      <w:r w:rsidRPr="0002056A">
        <w:rPr>
          <w:rFonts w:ascii="Georgia" w:hAnsi="Georgia"/>
          <w:i/>
          <w:iCs/>
          <w:lang w:val="en-GB"/>
        </w:rPr>
        <w:t>Germany</w:t>
      </w:r>
      <w:r w:rsidRPr="0002056A">
        <w:rPr>
          <w:rFonts w:ascii="Georgia" w:hAnsi="Georgia"/>
          <w:lang w:val="en-GB"/>
        </w:rPr>
        <w:t xml:space="preserve"> as big international financial supporters in climate adaptation; </w:t>
      </w:r>
      <w:r w:rsidRPr="0002056A">
        <w:rPr>
          <w:rFonts w:ascii="Georgia" w:hAnsi="Georgia"/>
          <w:i/>
          <w:iCs/>
          <w:lang w:val="en-GB"/>
        </w:rPr>
        <w:t>Lithuania</w:t>
      </w:r>
      <w:r w:rsidRPr="0002056A">
        <w:rPr>
          <w:rFonts w:ascii="Georgia" w:hAnsi="Georgia"/>
          <w:lang w:val="en-GB"/>
        </w:rPr>
        <w:t xml:space="preserve"> with consequent and constant mentioning of its </w:t>
      </w:r>
      <w:r w:rsidR="000870A0" w:rsidRPr="0002056A">
        <w:rPr>
          <w:rFonts w:ascii="Georgia" w:hAnsi="Georgia"/>
          <w:lang w:val="en-GB"/>
        </w:rPr>
        <w:t>connections</w:t>
      </w:r>
      <w:r w:rsidRPr="0002056A">
        <w:rPr>
          <w:rFonts w:ascii="Georgia" w:hAnsi="Georgia"/>
          <w:lang w:val="en-GB"/>
        </w:rPr>
        <w:t xml:space="preserve"> within the Baltic area throughout the NAS and </w:t>
      </w:r>
      <w:r w:rsidRPr="0002056A">
        <w:rPr>
          <w:rFonts w:ascii="Georgia" w:hAnsi="Georgia"/>
          <w:i/>
          <w:iCs/>
          <w:lang w:val="en-GB"/>
        </w:rPr>
        <w:t>Slovenia</w:t>
      </w:r>
      <w:r w:rsidRPr="0002056A">
        <w:rPr>
          <w:rFonts w:ascii="Georgia" w:hAnsi="Georgia"/>
          <w:lang w:val="en-GB"/>
        </w:rPr>
        <w:t xml:space="preserve">, where </w:t>
      </w:r>
      <w:r w:rsidR="005F20A7" w:rsidRPr="0002056A">
        <w:rPr>
          <w:rFonts w:ascii="Georgia" w:hAnsi="Georgia"/>
          <w:lang w:val="en-GB"/>
        </w:rPr>
        <w:t>international</w:t>
      </w:r>
      <w:r w:rsidRPr="0002056A">
        <w:rPr>
          <w:rFonts w:ascii="Georgia" w:hAnsi="Georgia"/>
          <w:lang w:val="en-GB"/>
        </w:rPr>
        <w:t xml:space="preserve"> intentions got special emphasis in the </w:t>
      </w:r>
      <w:r w:rsidR="00C20E3E" w:rsidRPr="0002056A">
        <w:rPr>
          <w:rFonts w:ascii="Georgia" w:hAnsi="Georgia"/>
          <w:lang w:val="en-GB"/>
        </w:rPr>
        <w:t>whole strategy.</w:t>
      </w:r>
      <w:r w:rsidRPr="0002056A">
        <w:rPr>
          <w:rFonts w:ascii="Georgia" w:hAnsi="Georgia"/>
          <w:lang w:val="en-GB"/>
        </w:rPr>
        <w:t xml:space="preserve"> The weakest categories are made up by 16 countries, mainly </w:t>
      </w:r>
      <w:r w:rsidRPr="0002056A">
        <w:rPr>
          <w:rFonts w:ascii="Georgia" w:hAnsi="Georgia"/>
          <w:i/>
          <w:iCs/>
          <w:lang w:val="en-GB"/>
        </w:rPr>
        <w:t>Eastern, Southeastern</w:t>
      </w:r>
      <w:r w:rsidRPr="0002056A">
        <w:rPr>
          <w:rFonts w:ascii="Georgia" w:hAnsi="Georgia"/>
          <w:lang w:val="en-GB"/>
        </w:rPr>
        <w:t xml:space="preserve"> and </w:t>
      </w:r>
      <w:r w:rsidRPr="0002056A">
        <w:rPr>
          <w:rFonts w:ascii="Georgia" w:hAnsi="Georgia"/>
          <w:i/>
          <w:iCs/>
          <w:lang w:val="en-GB"/>
        </w:rPr>
        <w:t xml:space="preserve">smaller </w:t>
      </w:r>
      <w:r w:rsidR="00593199" w:rsidRPr="0002056A">
        <w:rPr>
          <w:rFonts w:ascii="Georgia" w:hAnsi="Georgia"/>
          <w:i/>
          <w:iCs/>
          <w:lang w:val="en-GB"/>
        </w:rPr>
        <w:t>S</w:t>
      </w:r>
      <w:r w:rsidRPr="0002056A">
        <w:rPr>
          <w:rFonts w:ascii="Georgia" w:hAnsi="Georgia"/>
          <w:i/>
          <w:iCs/>
          <w:lang w:val="en-GB"/>
        </w:rPr>
        <w:t>outhern states</w:t>
      </w:r>
      <w:r w:rsidR="00AE7B33" w:rsidRPr="0002056A">
        <w:rPr>
          <w:rFonts w:ascii="Georgia" w:hAnsi="Georgia"/>
          <w:i/>
          <w:iCs/>
          <w:lang w:val="en-GB"/>
        </w:rPr>
        <w:t xml:space="preserve"> </w:t>
      </w:r>
      <w:r w:rsidR="00AE7B33" w:rsidRPr="0002056A">
        <w:rPr>
          <w:rFonts w:ascii="Georgia" w:hAnsi="Georgia"/>
          <w:lang w:val="en-GB"/>
        </w:rPr>
        <w:t>(Figure 27)</w:t>
      </w:r>
      <w:r w:rsidRPr="0002056A">
        <w:rPr>
          <w:rFonts w:ascii="Georgia" w:hAnsi="Georgia"/>
          <w:lang w:val="en-GB"/>
        </w:rPr>
        <w:t>.</w:t>
      </w:r>
    </w:p>
    <w:p w14:paraId="17C73E5E" w14:textId="77777777" w:rsidR="0014477D" w:rsidRPr="0002056A" w:rsidRDefault="0014477D" w:rsidP="0014477D">
      <w:pPr>
        <w:spacing w:before="120" w:afterLines="120" w:after="288" w:line="240" w:lineRule="auto"/>
        <w:jc w:val="both"/>
        <w:rPr>
          <w:rFonts w:ascii="Georgia" w:eastAsia="Times New Roman" w:hAnsi="Georgia" w:cs="Times New Roman"/>
          <w:b/>
          <w:bCs/>
          <w:noProof/>
          <w:color w:val="000000"/>
          <w:sz w:val="20"/>
          <w:szCs w:val="20"/>
          <w:lang w:val="en-GB" w:eastAsia="hu-HU"/>
          <w14:ligatures w14:val="standardContextual"/>
        </w:rPr>
      </w:pPr>
      <w:r w:rsidRPr="0002056A">
        <w:rPr>
          <w:rFonts w:ascii="Georgia" w:eastAsia="Times New Roman" w:hAnsi="Georgia" w:cs="Times New Roman"/>
          <w:b/>
          <w:bCs/>
          <w:noProof/>
          <w:color w:val="000000"/>
          <w:sz w:val="20"/>
          <w:szCs w:val="20"/>
          <w:lang w:val="en-GB" w:eastAsia="hu-HU"/>
          <w14:ligatures w14:val="standardContextual"/>
        </w:rPr>
        <w:lastRenderedPageBreak/>
        <w:drawing>
          <wp:inline distT="0" distB="0" distL="0" distR="0" wp14:anchorId="735045C7" wp14:editId="3D93FC61">
            <wp:extent cx="5760720" cy="4863465"/>
            <wp:effectExtent l="19050" t="19050" r="11430" b="13335"/>
            <wp:docPr id="1558198994" name="Kép 8" descr="A képen térkép, atlasz, szöveg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98994" name="Kép 8" descr="A képen térkép, atlasz, szöveg látható&#10;&#10;Előfordulhat, hogy az AI által létrehozott tartalom helytele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51B04B94" w14:textId="494FDC6E" w:rsidR="0014477D" w:rsidRPr="0002056A" w:rsidRDefault="0014477D" w:rsidP="003074CB">
      <w:pPr>
        <w:jc w:val="center"/>
        <w:rPr>
          <w:lang w:val="en-GB"/>
        </w:rPr>
      </w:pPr>
      <w:r w:rsidRPr="0002056A">
        <w:rPr>
          <w:rFonts w:ascii="Georgia" w:hAnsi="Georgia"/>
          <w:b/>
          <w:bCs/>
          <w:sz w:val="18"/>
          <w:szCs w:val="18"/>
          <w:lang w:val="en-GB"/>
        </w:rPr>
        <w:t xml:space="preserve">Figure </w:t>
      </w:r>
      <w:r w:rsidR="003074CB" w:rsidRPr="0002056A">
        <w:rPr>
          <w:rFonts w:ascii="Georgia" w:hAnsi="Georgia"/>
          <w:b/>
          <w:bCs/>
          <w:sz w:val="18"/>
          <w:szCs w:val="18"/>
          <w:lang w:val="en-GB"/>
        </w:rPr>
        <w:t>27</w:t>
      </w:r>
      <w:r w:rsidRPr="0002056A">
        <w:rPr>
          <w:rFonts w:ascii="Georgia" w:hAnsi="Georgia"/>
          <w:b/>
          <w:bCs/>
          <w:sz w:val="18"/>
          <w:szCs w:val="18"/>
          <w:lang w:val="en-GB"/>
        </w:rPr>
        <w:t xml:space="preserve">: </w:t>
      </w:r>
      <w:r w:rsidR="001E6DC2" w:rsidRPr="0002056A">
        <w:rPr>
          <w:rFonts w:ascii="Georgia" w:hAnsi="Georgia"/>
          <w:b/>
          <w:bCs/>
          <w:sz w:val="18"/>
          <w:szCs w:val="18"/>
          <w:lang w:val="en-GB"/>
        </w:rPr>
        <w:t xml:space="preserve">Inter- and transnational spatial dimensions </w:t>
      </w:r>
      <w:r w:rsidRPr="0002056A">
        <w:rPr>
          <w:rFonts w:ascii="Georgia" w:hAnsi="Georgia"/>
          <w:b/>
          <w:bCs/>
          <w:sz w:val="18"/>
          <w:szCs w:val="18"/>
          <w:lang w:val="en-GB"/>
        </w:rPr>
        <w:t xml:space="preserve">and content of the NAS documents in the examined countries. </w:t>
      </w:r>
      <w:r w:rsidRPr="0002056A">
        <w:rPr>
          <w:rFonts w:ascii="Georgia" w:hAnsi="Georgia"/>
          <w:i/>
          <w:iCs/>
          <w:sz w:val="18"/>
          <w:szCs w:val="18"/>
          <w:lang w:val="en-GB"/>
        </w:rPr>
        <w:t>Source: own editing.</w:t>
      </w:r>
    </w:p>
    <w:p w14:paraId="22A926BA" w14:textId="4C85BB2F" w:rsidR="00720A42" w:rsidRPr="0002056A" w:rsidRDefault="00720A42" w:rsidP="00596939">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 xml:space="preserve">As for </w:t>
      </w:r>
      <w:r w:rsidRPr="0002056A">
        <w:rPr>
          <w:rFonts w:ascii="Georgia" w:eastAsia="Times New Roman" w:hAnsi="Georgia" w:cs="Times New Roman"/>
          <w:b/>
          <w:iCs/>
          <w:lang w:val="en-GB" w:eastAsia="hu-HU"/>
        </w:rPr>
        <w:t xml:space="preserve">“the emergence of </w:t>
      </w:r>
      <w:r w:rsidR="00104530" w:rsidRPr="0002056A">
        <w:rPr>
          <w:rFonts w:ascii="Georgia" w:eastAsia="Times New Roman" w:hAnsi="Georgia" w:cs="Times New Roman"/>
          <w:b/>
          <w:iCs/>
          <w:lang w:val="en-GB" w:eastAsia="hu-HU"/>
        </w:rPr>
        <w:t xml:space="preserve">global </w:t>
      </w:r>
      <w:r w:rsidRPr="0002056A">
        <w:rPr>
          <w:rFonts w:ascii="Georgia" w:eastAsia="Times New Roman" w:hAnsi="Georgia" w:cs="Times New Roman"/>
          <w:b/>
          <w:iCs/>
          <w:lang w:val="en-GB" w:eastAsia="hu-HU"/>
        </w:rPr>
        <w:t xml:space="preserve">geographical climate-related risks” </w:t>
      </w:r>
      <w:r w:rsidRPr="0002056A">
        <w:rPr>
          <w:rFonts w:ascii="Georgia" w:eastAsia="Times New Roman" w:hAnsi="Georgia" w:cs="Times New Roman"/>
          <w:bCs/>
          <w:iCs/>
          <w:lang w:val="en-GB" w:eastAsia="hu-HU"/>
        </w:rPr>
        <w:t>sub-aspect</w:t>
      </w:r>
      <w:r w:rsidR="009C37EC" w:rsidRPr="0002056A">
        <w:rPr>
          <w:rFonts w:ascii="Georgia" w:eastAsia="Times New Roman" w:hAnsi="Georgia" w:cs="Times New Roman"/>
          <w:bCs/>
          <w:iCs/>
          <w:lang w:val="en-GB" w:eastAsia="hu-HU"/>
        </w:rPr>
        <w:t>,</w:t>
      </w:r>
      <w:r w:rsidRPr="0002056A">
        <w:rPr>
          <w:rFonts w:ascii="Georgia" w:eastAsia="Times New Roman" w:hAnsi="Georgia" w:cs="Times New Roman"/>
          <w:color w:val="000000"/>
          <w:lang w:val="en-GB" w:eastAsia="hu-HU"/>
        </w:rPr>
        <w:t xml:space="preserve"> only a very low number of NASs perform exceptionally well. These are mostly the national documents of the different</w:t>
      </w:r>
      <w:r w:rsidRPr="0002056A">
        <w:rPr>
          <w:rFonts w:ascii="Georgia" w:eastAsia="Times New Roman" w:hAnsi="Georgia" w:cs="Times New Roman"/>
          <w:i/>
          <w:color w:val="000000"/>
          <w:lang w:val="en-GB" w:eastAsia="hu-HU"/>
        </w:rPr>
        <w:t xml:space="preserve"> parts of </w:t>
      </w:r>
      <w:r w:rsidR="00104530" w:rsidRPr="0002056A">
        <w:rPr>
          <w:rFonts w:ascii="Georgia" w:eastAsia="Times New Roman" w:hAnsi="Georgia" w:cs="Times New Roman"/>
          <w:i/>
          <w:color w:val="000000"/>
          <w:lang w:val="en-GB" w:eastAsia="hu-HU"/>
        </w:rPr>
        <w:t xml:space="preserve">the </w:t>
      </w:r>
      <w:r w:rsidRPr="0002056A">
        <w:rPr>
          <w:rFonts w:ascii="Georgia" w:eastAsia="Times New Roman" w:hAnsi="Georgia" w:cs="Times New Roman"/>
          <w:i/>
          <w:color w:val="000000"/>
          <w:lang w:val="en-GB" w:eastAsia="hu-HU"/>
        </w:rPr>
        <w:t>UK,</w:t>
      </w:r>
      <w:r w:rsidRPr="0002056A">
        <w:rPr>
          <w:rFonts w:ascii="Georgia" w:eastAsia="Times New Roman" w:hAnsi="Georgia" w:cs="Times New Roman"/>
          <w:color w:val="000000"/>
          <w:lang w:val="en-GB" w:eastAsia="hu-HU"/>
        </w:rPr>
        <w:t xml:space="preserve"> some </w:t>
      </w:r>
      <w:r w:rsidR="00104530"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outhern countries</w:t>
      </w:r>
      <w:r w:rsidRPr="0002056A">
        <w:rPr>
          <w:rFonts w:ascii="Georgia" w:eastAsia="Times New Roman" w:hAnsi="Georgia" w:cs="Times New Roman"/>
          <w:i/>
          <w:color w:val="000000"/>
          <w:lang w:val="en-GB" w:eastAsia="hu-HU"/>
        </w:rPr>
        <w:t xml:space="preserve"> (Spain, Greece)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northern ones</w:t>
      </w:r>
      <w:r w:rsidRPr="0002056A">
        <w:rPr>
          <w:rFonts w:ascii="Georgia" w:eastAsia="Times New Roman" w:hAnsi="Georgia" w:cs="Times New Roman"/>
          <w:i/>
          <w:color w:val="000000"/>
          <w:lang w:val="en-GB" w:eastAsia="hu-HU"/>
        </w:rPr>
        <w:t xml:space="preserve"> (Norway </w:t>
      </w:r>
      <w:r w:rsidRPr="0002056A">
        <w:rPr>
          <w:rFonts w:ascii="Georgia" w:eastAsia="Times New Roman" w:hAnsi="Georgia" w:cs="Times New Roman"/>
          <w:iCs/>
          <w:color w:val="000000"/>
          <w:lang w:val="en-GB" w:eastAsia="hu-HU"/>
        </w:rPr>
        <w:t>and</w:t>
      </w:r>
      <w:r w:rsidRPr="0002056A">
        <w:rPr>
          <w:rFonts w:ascii="Georgia" w:eastAsia="Times New Roman" w:hAnsi="Georgia" w:cs="Times New Roman"/>
          <w:i/>
          <w:color w:val="000000"/>
          <w:lang w:val="en-GB" w:eastAsia="hu-HU"/>
        </w:rPr>
        <w:t xml:space="preserve"> Sweden). </w:t>
      </w:r>
      <w:r w:rsidR="002A537C" w:rsidRPr="0002056A">
        <w:rPr>
          <w:rFonts w:ascii="Georgia" w:eastAsia="Times New Roman" w:hAnsi="Georgia" w:cs="Times New Roman"/>
          <w:iCs/>
          <w:color w:val="000000"/>
          <w:lang w:val="en-GB" w:eastAsia="hu-HU"/>
        </w:rPr>
        <w:t>Their NASs</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include explicit, nominated reference</w:t>
      </w:r>
      <w:r w:rsidR="00C20E3E"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to the</w:t>
      </w:r>
      <w:r w:rsidR="00846220" w:rsidRPr="0002056A">
        <w:rPr>
          <w:rFonts w:ascii="Georgia" w:eastAsia="Times New Roman" w:hAnsi="Georgia" w:cs="Times New Roman"/>
          <w:color w:val="000000"/>
          <w:lang w:val="en-GB" w:eastAsia="hu-HU"/>
        </w:rPr>
        <w:t>se</w:t>
      </w:r>
      <w:r w:rsidRPr="0002056A">
        <w:rPr>
          <w:rFonts w:ascii="Georgia" w:eastAsia="Times New Roman" w:hAnsi="Georgia" w:cs="Times New Roman"/>
          <w:color w:val="000000"/>
          <w:lang w:val="en-GB" w:eastAsia="hu-HU"/>
        </w:rPr>
        <w:t xml:space="preserve"> issue</w:t>
      </w:r>
      <w:r w:rsidR="00846220"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among the objectives/measure groups’ titles or deal with the</w:t>
      </w:r>
      <w:r w:rsidR="00846220" w:rsidRPr="0002056A">
        <w:rPr>
          <w:rFonts w:ascii="Georgia" w:eastAsia="Times New Roman" w:hAnsi="Georgia" w:cs="Times New Roman"/>
          <w:color w:val="000000"/>
          <w:lang w:val="en-GB" w:eastAsia="hu-HU"/>
        </w:rPr>
        <w:t>m</w:t>
      </w:r>
      <w:r w:rsidRPr="0002056A">
        <w:rPr>
          <w:rFonts w:ascii="Georgia" w:eastAsia="Times New Roman" w:hAnsi="Georgia" w:cs="Times New Roman"/>
          <w:color w:val="000000"/>
          <w:lang w:val="en-GB" w:eastAsia="hu-HU"/>
        </w:rPr>
        <w:t xml:space="preserve"> in the form of a dedicated situation analysis chapter. </w:t>
      </w:r>
      <w:r w:rsidRPr="0002056A">
        <w:rPr>
          <w:rFonts w:ascii="Georgia" w:eastAsia="Times New Roman" w:hAnsi="Georgia" w:cs="Times New Roman"/>
          <w:i/>
          <w:color w:val="000000"/>
          <w:lang w:val="en-GB" w:eastAsia="hu-HU"/>
        </w:rPr>
        <w:t xml:space="preserve">Spain </w:t>
      </w:r>
      <w:r w:rsidRPr="0002056A">
        <w:rPr>
          <w:rFonts w:ascii="Georgia" w:eastAsia="Times New Roman" w:hAnsi="Georgia" w:cs="Times New Roman"/>
          <w:iCs/>
          <w:color w:val="000000"/>
          <w:lang w:val="en-GB" w:eastAsia="hu-HU"/>
        </w:rPr>
        <w:t xml:space="preserve">especially emphasises the importance of recognising global risks as pandemics and climate change; </w:t>
      </w:r>
      <w:r w:rsidR="002821D2" w:rsidRPr="0002056A">
        <w:rPr>
          <w:rFonts w:ascii="Georgia" w:eastAsia="Times New Roman" w:hAnsi="Georgia" w:cs="Times New Roman"/>
          <w:iCs/>
          <w:color w:val="000000"/>
          <w:lang w:val="en-GB" w:eastAsia="hu-HU"/>
        </w:rPr>
        <w:t>out of the “Objectives of areas of work”, "</w:t>
      </w:r>
      <w:r w:rsidR="002821D2" w:rsidRPr="0002056A">
        <w:rPr>
          <w:rFonts w:ascii="Georgia" w:eastAsia="Times New Roman" w:hAnsi="Georgia" w:cs="Times New Roman"/>
          <w:i/>
          <w:color w:val="000000"/>
          <w:lang w:val="en-GB" w:eastAsia="hu-HU"/>
        </w:rPr>
        <w:t>Peace</w:t>
      </w:r>
      <w:r w:rsidR="00B14DC0" w:rsidRPr="0002056A">
        <w:rPr>
          <w:rFonts w:ascii="Georgia" w:eastAsia="Times New Roman" w:hAnsi="Georgia" w:cs="Times New Roman"/>
          <w:i/>
          <w:color w:val="000000"/>
          <w:lang w:val="en-GB" w:eastAsia="hu-HU"/>
        </w:rPr>
        <w:t>,</w:t>
      </w:r>
      <w:r w:rsidR="002821D2" w:rsidRPr="0002056A">
        <w:rPr>
          <w:rFonts w:ascii="Georgia" w:eastAsia="Times New Roman" w:hAnsi="Georgia" w:cs="Times New Roman"/>
          <w:i/>
          <w:color w:val="000000"/>
          <w:lang w:val="en-GB" w:eastAsia="hu-HU"/>
        </w:rPr>
        <w:t xml:space="preserve"> Security and Social Cohesion</w:t>
      </w:r>
      <w:r w:rsidR="002821D2" w:rsidRPr="0002056A">
        <w:rPr>
          <w:rFonts w:ascii="Georgia" w:eastAsia="Times New Roman" w:hAnsi="Georgia" w:cs="Times New Roman"/>
          <w:iCs/>
          <w:color w:val="000000"/>
          <w:lang w:val="en-GB" w:eastAsia="hu-HU"/>
        </w:rPr>
        <w:t xml:space="preserve">" mentions global climate risks explicitly and the importance of promoting peace and security in the face of the </w:t>
      </w:r>
      <w:r w:rsidR="00B14DC0" w:rsidRPr="0002056A">
        <w:rPr>
          <w:rFonts w:ascii="Georgia" w:eastAsia="Times New Roman" w:hAnsi="Georgia" w:cs="Times New Roman"/>
          <w:iCs/>
          <w:color w:val="000000"/>
          <w:lang w:val="en-GB" w:eastAsia="hu-HU"/>
        </w:rPr>
        <w:t>climate change i</w:t>
      </w:r>
      <w:r w:rsidR="002821D2" w:rsidRPr="0002056A">
        <w:rPr>
          <w:rFonts w:ascii="Georgia" w:eastAsia="Times New Roman" w:hAnsi="Georgia" w:cs="Times New Roman"/>
          <w:iCs/>
          <w:color w:val="000000"/>
          <w:lang w:val="en-GB" w:eastAsia="hu-HU"/>
        </w:rPr>
        <w:t xml:space="preserve">mpacts at the national level through the early detection of potential </w:t>
      </w:r>
      <w:r w:rsidR="00B14DC0" w:rsidRPr="0002056A">
        <w:rPr>
          <w:rFonts w:ascii="Georgia" w:eastAsia="Times New Roman" w:hAnsi="Georgia" w:cs="Times New Roman"/>
          <w:iCs/>
          <w:color w:val="000000"/>
          <w:lang w:val="en-GB" w:eastAsia="hu-HU"/>
        </w:rPr>
        <w:t xml:space="preserve">spatial </w:t>
      </w:r>
      <w:r w:rsidR="002821D2" w:rsidRPr="0002056A">
        <w:rPr>
          <w:rFonts w:ascii="Georgia" w:eastAsia="Times New Roman" w:hAnsi="Georgia" w:cs="Times New Roman"/>
          <w:iCs/>
          <w:color w:val="000000"/>
          <w:lang w:val="en-GB" w:eastAsia="hu-HU"/>
        </w:rPr>
        <w:t>conflicts for its prevention, strengthening mechanisms to promote peace, security and social cohesion</w:t>
      </w:r>
      <w:r w:rsidR="00B14DC0" w:rsidRPr="0002056A">
        <w:rPr>
          <w:rFonts w:ascii="Georgia" w:eastAsia="Times New Roman" w:hAnsi="Georgia" w:cs="Times New Roman"/>
          <w:iCs/>
          <w:color w:val="000000"/>
          <w:lang w:val="en-GB" w:eastAsia="hu-HU"/>
        </w:rPr>
        <w:t xml:space="preserve"> and</w:t>
      </w:r>
      <w:r w:rsidR="002821D2" w:rsidRPr="0002056A">
        <w:rPr>
          <w:rFonts w:ascii="Georgia" w:eastAsia="Times New Roman" w:hAnsi="Georgia" w:cs="Times New Roman"/>
          <w:iCs/>
          <w:color w:val="000000"/>
          <w:lang w:val="en-GB" w:eastAsia="hu-HU"/>
        </w:rPr>
        <w:t xml:space="preserve"> the integration of </w:t>
      </w:r>
      <w:r w:rsidR="00BA4906" w:rsidRPr="0002056A">
        <w:rPr>
          <w:rFonts w:ascii="Georgia" w:eastAsia="Times New Roman" w:hAnsi="Georgia" w:cs="Times New Roman"/>
          <w:iCs/>
          <w:color w:val="000000"/>
          <w:lang w:val="en-GB" w:eastAsia="hu-HU"/>
        </w:rPr>
        <w:t>risk-related</w:t>
      </w:r>
      <w:r w:rsidR="002821D2" w:rsidRPr="0002056A">
        <w:rPr>
          <w:rFonts w:ascii="Georgia" w:eastAsia="Times New Roman" w:hAnsi="Georgia" w:cs="Times New Roman"/>
          <w:iCs/>
          <w:color w:val="000000"/>
          <w:lang w:val="en-GB" w:eastAsia="hu-HU"/>
        </w:rPr>
        <w:t xml:space="preserve"> knowledge into national security.</w:t>
      </w:r>
      <w:r w:rsidRPr="0002056A">
        <w:rPr>
          <w:rFonts w:ascii="Georgia" w:eastAsia="Times New Roman" w:hAnsi="Georgia" w:cs="Times New Roman"/>
          <w:i/>
          <w:color w:val="000000"/>
          <w:lang w:val="en-GB" w:eastAsia="hu-HU"/>
        </w:rPr>
        <w:t xml:space="preserve"> Greece’s </w:t>
      </w:r>
      <w:r w:rsidRPr="0002056A">
        <w:rPr>
          <w:rFonts w:ascii="Georgia" w:eastAsia="Times New Roman" w:hAnsi="Georgia" w:cs="Times New Roman"/>
          <w:iCs/>
          <w:color w:val="000000"/>
          <w:lang w:val="en-GB" w:eastAsia="hu-HU"/>
        </w:rPr>
        <w:t>NAS in its Chapter 5.10. (</w:t>
      </w:r>
      <w:r w:rsidRPr="0002056A">
        <w:rPr>
          <w:rFonts w:ascii="Georgia" w:eastAsia="Times New Roman" w:hAnsi="Georgia" w:cs="Times New Roman"/>
          <w:i/>
          <w:iCs/>
          <w:color w:val="000000"/>
          <w:lang w:val="en-GB" w:eastAsia="hu-HU"/>
        </w:rPr>
        <w:t>Climate adaptation and international security</w:t>
      </w:r>
      <w:r w:rsidRPr="0002056A">
        <w:rPr>
          <w:rFonts w:ascii="Georgia" w:eastAsia="Times New Roman" w:hAnsi="Georgia" w:cs="Times New Roman"/>
          <w:iCs/>
          <w:color w:val="000000"/>
          <w:lang w:val="en-GB" w:eastAsia="hu-HU"/>
        </w:rPr>
        <w:t xml:space="preserve">) directly deals with climate migration. </w:t>
      </w:r>
      <w:r w:rsidRPr="0002056A">
        <w:rPr>
          <w:rFonts w:ascii="Georgia" w:eastAsia="Times New Roman" w:hAnsi="Georgia" w:cs="Times New Roman"/>
          <w:i/>
          <w:color w:val="000000"/>
          <w:lang w:val="en-GB" w:eastAsia="hu-HU"/>
        </w:rPr>
        <w:t>Austria</w:t>
      </w:r>
      <w:r w:rsidRPr="0002056A">
        <w:rPr>
          <w:rFonts w:ascii="Georgia" w:eastAsia="Times New Roman" w:hAnsi="Georgia" w:cs="Times New Roman"/>
          <w:color w:val="000000"/>
          <w:lang w:val="en-GB" w:eastAsia="hu-HU"/>
        </w:rPr>
        <w:t>’s NAS subchapter 6.5."</w:t>
      </w:r>
      <w:r w:rsidRPr="0002056A">
        <w:rPr>
          <w:rFonts w:ascii="Georgia" w:eastAsia="Times New Roman" w:hAnsi="Georgia" w:cs="Times New Roman"/>
          <w:i/>
          <w:iCs/>
          <w:color w:val="000000"/>
          <w:lang w:val="en-GB" w:eastAsia="hu-HU"/>
        </w:rPr>
        <w:t>Security policy dimensions of climate change</w:t>
      </w:r>
      <w:r w:rsidRPr="0002056A">
        <w:rPr>
          <w:rFonts w:ascii="Georgia" w:eastAsia="Times New Roman" w:hAnsi="Georgia" w:cs="Times New Roman"/>
          <w:color w:val="000000"/>
          <w:lang w:val="en-GB" w:eastAsia="hu-HU"/>
        </w:rPr>
        <w:t>” nominates these issues and talks about regionally different worldwide challenges</w:t>
      </w:r>
      <w:r w:rsidR="00330D5F" w:rsidRPr="0002056A">
        <w:rPr>
          <w:rFonts w:ascii="Georgia" w:eastAsia="Times New Roman" w:hAnsi="Georgia" w:cs="Times New Roman"/>
          <w:color w:val="000000"/>
          <w:lang w:val="en-GB" w:eastAsia="hu-HU"/>
        </w:rPr>
        <w:t>, concentrating on</w:t>
      </w:r>
      <w:r w:rsidRPr="0002056A">
        <w:rPr>
          <w:rFonts w:ascii="Georgia" w:hAnsi="Georgia"/>
          <w:lang w:val="en-GB"/>
        </w:rPr>
        <w:t xml:space="preserve"> the </w:t>
      </w:r>
      <w:r w:rsidRPr="0002056A">
        <w:rPr>
          <w:rFonts w:ascii="Georgia" w:eastAsia="Times New Roman" w:hAnsi="Georgia" w:cs="Times New Roman"/>
          <w:color w:val="000000"/>
          <w:lang w:val="en-GB" w:eastAsia="hu-HU"/>
        </w:rPr>
        <w:t>global South</w:t>
      </w:r>
      <w:r w:rsidR="00330D5F" w:rsidRPr="0002056A">
        <w:rPr>
          <w:rFonts w:ascii="Georgia" w:eastAsia="Times New Roman" w:hAnsi="Georgia" w:cs="Times New Roman"/>
          <w:color w:val="000000"/>
          <w:lang w:val="en-GB" w:eastAsia="hu-HU"/>
        </w:rPr>
        <w:t xml:space="preserve"> in a dedicated chapter (</w:t>
      </w:r>
      <w:r w:rsidR="00330D5F" w:rsidRPr="0002056A">
        <w:rPr>
          <w:rFonts w:ascii="Georgia" w:eastAsia="Times New Roman" w:hAnsi="Georgia" w:cs="Times New Roman"/>
          <w:i/>
          <w:iCs/>
          <w:color w:val="000000"/>
          <w:lang w:val="en-GB" w:eastAsia="hu-HU"/>
        </w:rPr>
        <w:t>Globaler Kontext</w:t>
      </w:r>
      <w:r w:rsidR="00330D5F"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particularly </w:t>
      </w:r>
      <w:r w:rsidR="00330D5F" w:rsidRPr="0002056A">
        <w:rPr>
          <w:rFonts w:ascii="Georgia" w:eastAsia="Times New Roman" w:hAnsi="Georgia" w:cs="Times New Roman"/>
          <w:color w:val="000000"/>
          <w:lang w:val="en-GB" w:eastAsia="hu-HU"/>
        </w:rPr>
        <w:t xml:space="preserve">mentioning </w:t>
      </w:r>
      <w:r w:rsidRPr="0002056A">
        <w:rPr>
          <w:rFonts w:ascii="Georgia" w:eastAsia="Times New Roman" w:hAnsi="Georgia" w:cs="Times New Roman"/>
          <w:color w:val="000000"/>
          <w:lang w:val="en-GB" w:eastAsia="hu-HU"/>
        </w:rPr>
        <w:t>small island states, the Arctic, South Asia, Central and South America, and large parts of sub-Saharan Africa</w:t>
      </w:r>
      <w:r w:rsidR="00330D5F"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In the </w:t>
      </w:r>
      <w:r w:rsidRPr="0002056A">
        <w:rPr>
          <w:rFonts w:ascii="Georgia" w:eastAsia="Times New Roman" w:hAnsi="Georgia" w:cs="Times New Roman"/>
          <w:i/>
          <w:color w:val="000000"/>
          <w:lang w:val="en-GB" w:eastAsia="hu-HU"/>
        </w:rPr>
        <w:t xml:space="preserve">English </w:t>
      </w:r>
      <w:r w:rsidRPr="0002056A">
        <w:rPr>
          <w:rFonts w:ascii="Georgia" w:eastAsia="Times New Roman" w:hAnsi="Georgia" w:cs="Times New Roman"/>
          <w:color w:val="000000"/>
          <w:lang w:val="en-GB" w:eastAsia="hu-HU"/>
        </w:rPr>
        <w:t>NAS climate change-related global risks (</w:t>
      </w:r>
      <w:r w:rsidR="00FF55B6" w:rsidRPr="0002056A">
        <w:rPr>
          <w:rFonts w:ascii="Georgia" w:eastAsia="Times New Roman" w:hAnsi="Georgia" w:cs="Times New Roman"/>
          <w:color w:val="000000"/>
          <w:lang w:val="en-GB" w:eastAsia="hu-HU"/>
        </w:rPr>
        <w:t xml:space="preserve">such as </w:t>
      </w:r>
      <w:r w:rsidRPr="0002056A">
        <w:rPr>
          <w:rFonts w:ascii="Georgia" w:eastAsia="Times New Roman" w:hAnsi="Georgia" w:cs="Times New Roman"/>
          <w:color w:val="000000"/>
          <w:lang w:val="en-GB" w:eastAsia="hu-HU"/>
        </w:rPr>
        <w:t>impacts on global supply chain</w:t>
      </w:r>
      <w:r w:rsidR="00FF55B6" w:rsidRPr="0002056A">
        <w:rPr>
          <w:rFonts w:ascii="Georgia" w:eastAsia="Times New Roman" w:hAnsi="Georgia" w:cs="Times New Roman"/>
          <w:color w:val="000000"/>
          <w:lang w:val="en-GB" w:eastAsia="hu-HU"/>
        </w:rPr>
        <w:t xml:space="preserve">s and </w:t>
      </w:r>
      <w:r w:rsidRPr="0002056A">
        <w:rPr>
          <w:rFonts w:ascii="Georgia" w:eastAsia="Times New Roman" w:hAnsi="Georgia" w:cs="Times New Roman"/>
          <w:color w:val="000000"/>
          <w:lang w:val="en-GB" w:eastAsia="hu-HU"/>
        </w:rPr>
        <w:t xml:space="preserve">food </w:t>
      </w:r>
      <w:r w:rsidRPr="0002056A">
        <w:rPr>
          <w:rFonts w:ascii="Georgia" w:eastAsia="Times New Roman" w:hAnsi="Georgia" w:cs="Times New Roman"/>
          <w:color w:val="000000"/>
          <w:lang w:val="en-GB" w:eastAsia="hu-HU"/>
        </w:rPr>
        <w:lastRenderedPageBreak/>
        <w:t xml:space="preserve">production) are mentioned already by the Ministerial </w:t>
      </w:r>
      <w:r w:rsidR="00FF55B6" w:rsidRPr="0002056A">
        <w:rPr>
          <w:rFonts w:ascii="Georgia" w:eastAsia="Times New Roman" w:hAnsi="Georgia" w:cs="Times New Roman"/>
          <w:color w:val="000000"/>
          <w:lang w:val="en-GB" w:eastAsia="hu-HU"/>
        </w:rPr>
        <w:t>F</w:t>
      </w:r>
      <w:r w:rsidRPr="0002056A">
        <w:rPr>
          <w:rFonts w:ascii="Georgia" w:eastAsia="Times New Roman" w:hAnsi="Georgia" w:cs="Times New Roman"/>
          <w:color w:val="000000"/>
          <w:lang w:val="en-GB" w:eastAsia="hu-HU"/>
        </w:rPr>
        <w:t>oreword. Moreover the “</w:t>
      </w:r>
      <w:r w:rsidRPr="0002056A">
        <w:rPr>
          <w:rFonts w:ascii="Georgia" w:eastAsia="Times New Roman" w:hAnsi="Georgia" w:cs="Times New Roman"/>
          <w:i/>
          <w:iCs/>
          <w:color w:val="000000"/>
          <w:lang w:val="en-GB" w:eastAsia="hu-HU"/>
        </w:rPr>
        <w:t>Business</w:t>
      </w:r>
      <w:r w:rsidRPr="0002056A">
        <w:rPr>
          <w:rFonts w:ascii="Georgia" w:eastAsia="Times New Roman" w:hAnsi="Georgia" w:cs="Times New Roman"/>
          <w:color w:val="000000"/>
          <w:lang w:val="en-GB" w:eastAsia="hu-HU"/>
        </w:rPr>
        <w:t>” chapter’s “</w:t>
      </w:r>
      <w:r w:rsidRPr="0002056A">
        <w:rPr>
          <w:rFonts w:ascii="Georgia" w:eastAsia="Times New Roman" w:hAnsi="Georgia" w:cs="Times New Roman"/>
          <w:i/>
          <w:iCs/>
          <w:color w:val="000000"/>
          <w:lang w:val="en-GB" w:eastAsia="hu-HU"/>
        </w:rPr>
        <w:t>Physical assets</w:t>
      </w:r>
      <w:r w:rsidRPr="0002056A">
        <w:rPr>
          <w:rFonts w:ascii="Georgia" w:eastAsia="Times New Roman" w:hAnsi="Georgia" w:cs="Times New Roman"/>
          <w:color w:val="000000"/>
          <w:lang w:val="en-GB" w:eastAsia="hu-HU"/>
        </w:rPr>
        <w:t xml:space="preserve">” subchapter mentions </w:t>
      </w:r>
      <w:r w:rsidR="005F20A7" w:rsidRPr="0002056A">
        <w:rPr>
          <w:rFonts w:ascii="Georgia" w:eastAsia="Times New Roman" w:hAnsi="Georgia" w:cs="Times New Roman"/>
          <w:color w:val="000000"/>
          <w:lang w:val="en-GB" w:eastAsia="hu-HU"/>
        </w:rPr>
        <w:t xml:space="preserve">again </w:t>
      </w:r>
      <w:r w:rsidRPr="0002056A">
        <w:rPr>
          <w:rFonts w:ascii="Georgia" w:eastAsia="Times New Roman" w:hAnsi="Georgia" w:cs="Times New Roman"/>
          <w:color w:val="000000"/>
          <w:lang w:val="en-GB" w:eastAsia="hu-HU"/>
        </w:rPr>
        <w:t xml:space="preserve">supply chain-related risks. In </w:t>
      </w:r>
      <w:r w:rsidRPr="0002056A">
        <w:rPr>
          <w:rFonts w:ascii="Georgia" w:eastAsia="Times New Roman" w:hAnsi="Georgia" w:cs="Times New Roman"/>
          <w:i/>
          <w:color w:val="000000"/>
          <w:lang w:val="en-GB" w:eastAsia="hu-HU"/>
        </w:rPr>
        <w:t xml:space="preserve">Norway </w:t>
      </w:r>
      <w:r w:rsidRPr="0002056A">
        <w:rPr>
          <w:rFonts w:ascii="Georgia" w:eastAsia="Times New Roman" w:hAnsi="Georgia" w:cs="Times New Roman"/>
          <w:color w:val="000000"/>
          <w:lang w:val="en-GB" w:eastAsia="hu-HU"/>
        </w:rPr>
        <w:t>the "</w:t>
      </w:r>
      <w:r w:rsidRPr="0002056A">
        <w:rPr>
          <w:rFonts w:ascii="Georgia" w:eastAsia="Times New Roman" w:hAnsi="Georgia" w:cs="Times New Roman"/>
          <w:i/>
          <w:iCs/>
          <w:color w:val="000000"/>
          <w:lang w:val="en-GB" w:eastAsia="hu-HU"/>
        </w:rPr>
        <w:t>Foreign defence and security policy</w:t>
      </w:r>
      <w:r w:rsidRPr="0002056A">
        <w:rPr>
          <w:rFonts w:ascii="Georgia" w:eastAsia="Times New Roman" w:hAnsi="Georgia" w:cs="Times New Roman"/>
          <w:color w:val="000000"/>
          <w:lang w:val="en-GB" w:eastAsia="hu-HU"/>
        </w:rPr>
        <w:t xml:space="preserve">" measure group is dedicated to the issue. Moreover, geopolitical risks appear in several other parts of the document. In </w:t>
      </w:r>
      <w:r w:rsidRPr="0002056A">
        <w:rPr>
          <w:rFonts w:ascii="Georgia" w:eastAsia="Times New Roman" w:hAnsi="Georgia" w:cs="Times New Roman"/>
          <w:i/>
          <w:iCs/>
          <w:color w:val="000000"/>
          <w:lang w:val="en-GB" w:eastAsia="hu-HU"/>
        </w:rPr>
        <w:t>Sweden</w:t>
      </w:r>
      <w:r w:rsidRPr="0002056A">
        <w:rPr>
          <w:rFonts w:ascii="Georgia" w:eastAsia="Times New Roman" w:hAnsi="Georgia" w:cs="Times New Roman"/>
          <w:color w:val="000000"/>
          <w:lang w:val="en-GB" w:eastAsia="hu-HU"/>
        </w:rPr>
        <w:t xml:space="preserve">’s situation analysis a dedicated subchapter directly deals with global risks (e.g. border-transcending issues like migration, prolonged conflicts, uncertain food supply lines, migration pressure on </w:t>
      </w:r>
      <w:r w:rsidR="005F20A7"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outhern</w:t>
      </w:r>
      <w:r w:rsidR="005F20A7"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Europe, cross-border climatic risks) and the country’s Nordic macroregional position. Chapter 3's Vision also mentions this perspective. The NA</w:t>
      </w:r>
      <w:r w:rsidR="0053656F"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specific objective 1’s lower-level objective 8 </w:t>
      </w:r>
      <w:r w:rsidR="009C75B1" w:rsidRPr="0002056A">
        <w:rPr>
          <w:rFonts w:ascii="Georgia" w:eastAsia="Times New Roman" w:hAnsi="Georgia" w:cs="Times New Roman"/>
          <w:color w:val="000000"/>
          <w:lang w:val="en-GB" w:eastAsia="hu-HU"/>
        </w:rPr>
        <w:t xml:space="preserve">(“Climate adaptation, disaster risk reduction, crisis preparedness and civil defiance”) </w:t>
      </w:r>
      <w:r w:rsidRPr="0002056A">
        <w:rPr>
          <w:rFonts w:ascii="Georgia" w:eastAsia="Times New Roman" w:hAnsi="Georgia" w:cs="Times New Roman"/>
          <w:color w:val="000000"/>
          <w:lang w:val="en-GB" w:eastAsia="hu-HU"/>
        </w:rPr>
        <w:t xml:space="preserve">is </w:t>
      </w:r>
      <w:r w:rsidR="009C75B1" w:rsidRPr="0002056A">
        <w:rPr>
          <w:rFonts w:ascii="Georgia" w:eastAsia="Times New Roman" w:hAnsi="Georgia" w:cs="Times New Roman"/>
          <w:color w:val="000000"/>
          <w:lang w:val="en-GB" w:eastAsia="hu-HU"/>
        </w:rPr>
        <w:t>partly</w:t>
      </w:r>
      <w:r w:rsidRPr="0002056A">
        <w:rPr>
          <w:rFonts w:ascii="Georgia" w:eastAsia="Times New Roman" w:hAnsi="Georgia" w:cs="Times New Roman"/>
          <w:color w:val="000000"/>
          <w:lang w:val="en-GB" w:eastAsia="hu-HU"/>
        </w:rPr>
        <w:t xml:space="preserve"> mentioning several global climate</w:t>
      </w:r>
      <w:r w:rsidR="00D03CCB" w:rsidRPr="0002056A">
        <w:rPr>
          <w:rFonts w:ascii="Georgia" w:eastAsia="Times New Roman" w:hAnsi="Georgia" w:cs="Times New Roman"/>
          <w:color w:val="000000"/>
          <w:lang w:val="en-GB" w:eastAsia="hu-HU"/>
        </w:rPr>
        <w:t xml:space="preserve"> risks</w:t>
      </w:r>
      <w:r w:rsidRPr="0002056A">
        <w:rPr>
          <w:rFonts w:ascii="Georgia" w:eastAsia="Times New Roman" w:hAnsi="Georgia" w:cs="Times New Roman"/>
          <w:color w:val="000000"/>
          <w:lang w:val="en-GB" w:eastAsia="hu-HU"/>
        </w:rPr>
        <w:t xml:space="preserve"> and geopolitical issues. Specific objective 4’s lower-level objective 7 "</w:t>
      </w:r>
      <w:r w:rsidRPr="0002056A">
        <w:rPr>
          <w:rFonts w:ascii="Georgia" w:eastAsia="Times New Roman" w:hAnsi="Georgia" w:cs="Times New Roman"/>
          <w:i/>
          <w:iCs/>
          <w:color w:val="000000"/>
          <w:lang w:val="en-GB" w:eastAsia="hu-HU"/>
        </w:rPr>
        <w:t>International work on climate adaptation</w:t>
      </w:r>
      <w:r w:rsidRPr="0002056A">
        <w:rPr>
          <w:rFonts w:ascii="Georgia" w:eastAsia="Times New Roman" w:hAnsi="Georgia" w:cs="Times New Roman"/>
          <w:color w:val="000000"/>
          <w:lang w:val="en-GB" w:eastAsia="hu-HU"/>
        </w:rPr>
        <w:t xml:space="preserve">" is directly about international cooperation and influence exertion in its entirety but </w:t>
      </w:r>
      <w:r w:rsidR="00190424" w:rsidRPr="0002056A">
        <w:rPr>
          <w:rFonts w:ascii="Georgia" w:eastAsia="Times New Roman" w:hAnsi="Georgia" w:cs="Times New Roman"/>
          <w:color w:val="000000"/>
          <w:lang w:val="en-GB" w:eastAsia="hu-HU"/>
        </w:rPr>
        <w:t xml:space="preserve">it </w:t>
      </w:r>
      <w:r w:rsidRPr="0002056A">
        <w:rPr>
          <w:rFonts w:ascii="Georgia" w:eastAsia="Times New Roman" w:hAnsi="Georgia" w:cs="Times New Roman"/>
          <w:color w:val="000000"/>
          <w:lang w:val="en-GB" w:eastAsia="hu-HU"/>
        </w:rPr>
        <w:t>talk</w:t>
      </w:r>
      <w:r w:rsidR="00190424" w:rsidRPr="0002056A">
        <w:rPr>
          <w:rFonts w:ascii="Georgia" w:eastAsia="Times New Roman" w:hAnsi="Georgia" w:cs="Times New Roman"/>
          <w:color w:val="000000"/>
          <w:lang w:val="en-GB" w:eastAsia="hu-HU"/>
        </w:rPr>
        <w:t>s a</w:t>
      </w:r>
      <w:r w:rsidRPr="0002056A">
        <w:rPr>
          <w:rFonts w:ascii="Georgia" w:eastAsia="Times New Roman" w:hAnsi="Georgia" w:cs="Times New Roman"/>
          <w:color w:val="000000"/>
          <w:lang w:val="en-GB" w:eastAsia="hu-HU"/>
        </w:rPr>
        <w:t xml:space="preserve">bout global climate risks, too. </w:t>
      </w:r>
      <w:r w:rsidRPr="0002056A">
        <w:rPr>
          <w:rFonts w:ascii="Georgia" w:eastAsia="Times New Roman" w:hAnsi="Georgia" w:cs="Times New Roman"/>
          <w:i/>
          <w:color w:val="000000"/>
          <w:lang w:val="en-GB" w:eastAsia="hu-HU"/>
        </w:rPr>
        <w:t>Lithuania, Türkiye, the Netherlands, Northern Ireland, Scotland, Wales</w:t>
      </w:r>
      <w:r w:rsidRPr="0002056A">
        <w:rPr>
          <w:rFonts w:ascii="Georgia" w:eastAsia="Times New Roman" w:hAnsi="Georgia" w:cs="Times New Roman"/>
          <w:iCs/>
          <w:color w:val="000000"/>
          <w:lang w:val="en-GB" w:eastAsia="hu-HU"/>
        </w:rPr>
        <w:t xml:space="preserve"> and</w:t>
      </w:r>
      <w:r w:rsidRPr="0002056A">
        <w:rPr>
          <w:rFonts w:ascii="Georgia" w:eastAsia="Times New Roman" w:hAnsi="Georgia" w:cs="Times New Roman"/>
          <w:i/>
          <w:color w:val="000000"/>
          <w:lang w:val="en-GB" w:eastAsia="hu-HU"/>
        </w:rPr>
        <w:t xml:space="preserve"> Finland </w:t>
      </w:r>
      <w:r w:rsidRPr="0002056A">
        <w:rPr>
          <w:rFonts w:ascii="Georgia" w:eastAsia="Times New Roman" w:hAnsi="Georgia" w:cs="Times New Roman"/>
          <w:color w:val="000000"/>
          <w:lang w:val="en-GB" w:eastAsia="hu-HU"/>
        </w:rPr>
        <w:t xml:space="preserve">compose the </w:t>
      </w:r>
      <w:r w:rsidR="001062BB" w:rsidRPr="0002056A">
        <w:rPr>
          <w:rFonts w:ascii="Georgia" w:eastAsia="Times New Roman" w:hAnsi="Georgia" w:cs="Times New Roman"/>
          <w:color w:val="000000"/>
          <w:lang w:val="en-GB" w:eastAsia="hu-HU"/>
        </w:rPr>
        <w:t xml:space="preserve">upper-middle category (the </w:t>
      </w:r>
      <w:r w:rsidRPr="0002056A">
        <w:rPr>
          <w:rFonts w:ascii="Georgia" w:eastAsia="Times New Roman" w:hAnsi="Georgia" w:cs="Times New Roman"/>
          <w:color w:val="000000"/>
          <w:lang w:val="en-GB" w:eastAsia="hu-HU"/>
        </w:rPr>
        <w:t>group of followers</w:t>
      </w:r>
      <w:r w:rsidR="001062BB"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with explicit reference </w:t>
      </w:r>
      <w:r w:rsidR="001062BB" w:rsidRPr="0002056A">
        <w:rPr>
          <w:rFonts w:ascii="Georgia" w:eastAsia="Times New Roman" w:hAnsi="Georgia" w:cs="Times New Roman"/>
          <w:color w:val="000000"/>
          <w:lang w:val="en-GB" w:eastAsia="hu-HU"/>
        </w:rPr>
        <w:t>t</w:t>
      </w:r>
      <w:r w:rsidRPr="0002056A">
        <w:rPr>
          <w:rFonts w:ascii="Georgia" w:eastAsia="Times New Roman" w:hAnsi="Georgia" w:cs="Times New Roman"/>
          <w:color w:val="000000"/>
          <w:lang w:val="en-GB" w:eastAsia="hu-HU"/>
        </w:rPr>
        <w:t xml:space="preserve">o </w:t>
      </w:r>
      <w:r w:rsidR="00D03CCB" w:rsidRPr="0002056A">
        <w:rPr>
          <w:rFonts w:ascii="Georgia" w:eastAsia="Times New Roman" w:hAnsi="Georgia" w:cs="Times New Roman"/>
          <w:color w:val="000000"/>
          <w:lang w:val="en-GB" w:eastAsia="hu-HU"/>
        </w:rPr>
        <w:t>global spatial climatic risks</w:t>
      </w:r>
      <w:r w:rsidRPr="0002056A">
        <w:rPr>
          <w:rFonts w:ascii="Georgia" w:eastAsia="Times New Roman" w:hAnsi="Georgia" w:cs="Times New Roman"/>
          <w:color w:val="000000"/>
          <w:lang w:val="en-GB" w:eastAsia="hu-HU"/>
        </w:rPr>
        <w:t xml:space="preserve"> in the </w:t>
      </w:r>
      <w:r w:rsidR="001062BB" w:rsidRPr="0002056A">
        <w:rPr>
          <w:rFonts w:ascii="Georgia" w:eastAsia="Times New Roman" w:hAnsi="Georgia" w:cs="Times New Roman"/>
          <w:color w:val="000000"/>
          <w:lang w:val="en-GB" w:eastAsia="hu-HU"/>
        </w:rPr>
        <w:t>NAS</w:t>
      </w:r>
      <w:r w:rsidR="001E7B5C"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description</w:t>
      </w:r>
      <w:r w:rsidR="001E7B5C"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of objectives/measures</w:t>
      </w:r>
      <w:r w:rsidR="00710EAD" w:rsidRPr="0002056A">
        <w:rPr>
          <w:rFonts w:ascii="Georgia" w:eastAsia="Times New Roman" w:hAnsi="Georgia" w:cs="Times New Roman"/>
          <w:color w:val="000000"/>
          <w:lang w:val="en-GB" w:eastAsia="hu-HU"/>
        </w:rPr>
        <w:t xml:space="preserve"> but without dedicated chapters</w:t>
      </w:r>
      <w:r w:rsidRPr="0002056A">
        <w:rPr>
          <w:rFonts w:ascii="Georgia" w:eastAsia="Times New Roman" w:hAnsi="Georgia" w:cs="Times New Roman"/>
          <w:color w:val="000000"/>
          <w:lang w:val="en-GB" w:eastAsia="hu-HU"/>
        </w:rPr>
        <w:t>. 23 countries are in the lowest category with no reference to the topic at all.</w:t>
      </w:r>
    </w:p>
    <w:p w14:paraId="4E3F774D" w14:textId="23916AAF" w:rsidR="00720A42" w:rsidRPr="0002056A" w:rsidRDefault="00720A42" w:rsidP="00596939">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The</w:t>
      </w:r>
      <w:r w:rsidRPr="0002056A">
        <w:rPr>
          <w:rFonts w:ascii="Georgia" w:eastAsia="Times New Roman" w:hAnsi="Georgia" w:cs="Times New Roman"/>
          <w:b/>
          <w:iCs/>
          <w:lang w:val="en-GB" w:eastAsia="hu-HU"/>
        </w:rPr>
        <w:t xml:space="preserve"> “emergence of strengthening adaptation-oriented macro regional / international co-operations” </w:t>
      </w:r>
      <w:r w:rsidRPr="0002056A">
        <w:rPr>
          <w:rFonts w:ascii="Georgia" w:eastAsia="Times New Roman" w:hAnsi="Georgia" w:cs="Times New Roman"/>
          <w:bCs/>
          <w:iCs/>
          <w:lang w:val="en-GB" w:eastAsia="hu-HU"/>
        </w:rPr>
        <w:t>sub-aspect finds</w:t>
      </w:r>
      <w:r w:rsidRPr="0002056A">
        <w:rPr>
          <w:rFonts w:ascii="Georgia" w:eastAsia="Times New Roman" w:hAnsi="Georgia" w:cs="Times New Roman"/>
          <w:b/>
          <w:iCs/>
          <w:lang w:val="en-GB" w:eastAsia="hu-HU"/>
        </w:rPr>
        <w:t xml:space="preserve"> </w:t>
      </w:r>
      <w:r w:rsidRPr="0002056A">
        <w:rPr>
          <w:rFonts w:ascii="Georgia" w:eastAsia="Times New Roman" w:hAnsi="Georgia" w:cs="Times New Roman"/>
          <w:color w:val="000000"/>
          <w:lang w:val="en-GB" w:eastAsia="hu-HU"/>
        </w:rPr>
        <w:t>9 countries</w:t>
      </w:r>
      <w:r w:rsidRPr="0002056A">
        <w:rPr>
          <w:rFonts w:ascii="Georgia" w:eastAsia="Times New Roman" w:hAnsi="Georgia" w:cs="Times New Roman"/>
          <w:i/>
          <w:color w:val="000000"/>
          <w:lang w:val="en-GB" w:eastAsia="hu-HU"/>
        </w:rPr>
        <w:t xml:space="preserve"> </w:t>
      </w:r>
      <w:r w:rsidR="00C0232C" w:rsidRPr="0002056A">
        <w:rPr>
          <w:rFonts w:ascii="Georgia" w:eastAsia="Times New Roman" w:hAnsi="Georgia" w:cs="Times New Roman"/>
          <w:iCs/>
          <w:color w:val="000000"/>
          <w:lang w:val="en-GB" w:eastAsia="hu-HU"/>
        </w:rPr>
        <w:t>[</w:t>
      </w:r>
      <w:r w:rsidRPr="0002056A">
        <w:rPr>
          <w:rFonts w:ascii="Georgia" w:eastAsia="Times New Roman" w:hAnsi="Georgia" w:cs="Times New Roman"/>
          <w:iCs/>
          <w:color w:val="000000"/>
          <w:lang w:val="en-GB" w:eastAsia="hu-HU"/>
        </w:rPr>
        <w:t>both from the</w:t>
      </w:r>
      <w:r w:rsidRPr="0002056A">
        <w:rPr>
          <w:rFonts w:ascii="Georgia" w:eastAsia="Times New Roman" w:hAnsi="Georgia" w:cs="Times New Roman"/>
          <w:i/>
          <w:color w:val="000000"/>
          <w:lang w:val="en-GB" w:eastAsia="hu-HU"/>
        </w:rPr>
        <w:t xml:space="preserve"> Northwestern (Scotland, England, Finland, Sweden), Southern </w:t>
      </w:r>
      <w:r w:rsidRPr="0002056A">
        <w:rPr>
          <w:rFonts w:ascii="Georgia" w:eastAsia="Times New Roman" w:hAnsi="Georgia" w:cs="Times New Roman"/>
          <w:iCs/>
          <w:color w:val="000000"/>
          <w:lang w:val="en-GB" w:eastAsia="hu-HU"/>
        </w:rPr>
        <w:t>(</w:t>
      </w:r>
      <w:r w:rsidRPr="0002056A">
        <w:rPr>
          <w:rFonts w:ascii="Georgia" w:eastAsia="Times New Roman" w:hAnsi="Georgia" w:cs="Times New Roman"/>
          <w:i/>
          <w:color w:val="000000"/>
          <w:lang w:val="en-GB" w:eastAsia="hu-HU"/>
        </w:rPr>
        <w:t>Spain, Greece, Portugal</w:t>
      </w:r>
      <w:r w:rsidR="001E7B5C" w:rsidRPr="0002056A">
        <w:rPr>
          <w:rFonts w:ascii="Georgia" w:eastAsia="Times New Roman" w:hAnsi="Georgia" w:cs="Times New Roman"/>
          <w:iCs/>
          <w:color w:val="000000"/>
          <w:lang w:val="en-GB" w:eastAsia="hu-HU"/>
        </w:rPr>
        <w:t>)</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iCs/>
          <w:color w:val="000000"/>
          <w:lang w:val="en-GB" w:eastAsia="hu-HU"/>
        </w:rPr>
        <w:t>and</w:t>
      </w:r>
      <w:r w:rsidRPr="0002056A">
        <w:rPr>
          <w:rFonts w:ascii="Georgia" w:eastAsia="Times New Roman" w:hAnsi="Georgia" w:cs="Times New Roman"/>
          <w:i/>
          <w:color w:val="000000"/>
          <w:lang w:val="en-GB" w:eastAsia="hu-HU"/>
        </w:rPr>
        <w:t xml:space="preserve"> Eastern parts (Estonia, Slovenia) </w:t>
      </w:r>
      <w:r w:rsidRPr="0002056A">
        <w:rPr>
          <w:rFonts w:ascii="Georgia" w:eastAsia="Times New Roman" w:hAnsi="Georgia" w:cs="Times New Roman"/>
          <w:iCs/>
          <w:color w:val="000000"/>
          <w:lang w:val="en-GB" w:eastAsia="hu-HU"/>
        </w:rPr>
        <w:t>of Europe</w:t>
      </w:r>
      <w:r w:rsidR="00C0232C" w:rsidRPr="0002056A">
        <w:rPr>
          <w:rFonts w:ascii="Georgia" w:eastAsia="Times New Roman" w:hAnsi="Georgia" w:cs="Times New Roman"/>
          <w:iCs/>
          <w:color w:val="000000"/>
          <w:lang w:val="en-GB" w:eastAsia="hu-HU"/>
        </w:rPr>
        <w:t>]</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 xml:space="preserve">in the best category, </w:t>
      </w:r>
      <w:r w:rsidR="009E7A0D" w:rsidRPr="0002056A">
        <w:rPr>
          <w:rFonts w:ascii="Georgia" w:eastAsia="Times New Roman" w:hAnsi="Georgia" w:cs="Times New Roman"/>
          <w:color w:val="000000"/>
          <w:lang w:val="en-GB" w:eastAsia="hu-HU"/>
        </w:rPr>
        <w:t xml:space="preserve">either </w:t>
      </w:r>
      <w:r w:rsidRPr="0002056A">
        <w:rPr>
          <w:rFonts w:ascii="Georgia" w:eastAsia="Times New Roman" w:hAnsi="Georgia" w:cs="Times New Roman"/>
          <w:color w:val="000000"/>
          <w:lang w:val="en-GB" w:eastAsia="hu-HU"/>
        </w:rPr>
        <w:t>with explicit, nominated reference</w:t>
      </w:r>
      <w:r w:rsidR="00544218"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to international scientific</w:t>
      </w:r>
      <w:r w:rsidR="009E7A0D"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knowledge sharing cooperation</w:t>
      </w:r>
      <w:r w:rsidR="009E7A0D" w:rsidRPr="0002056A">
        <w:rPr>
          <w:rFonts w:ascii="Georgia" w:eastAsia="Times New Roman" w:hAnsi="Georgia" w:cs="Times New Roman"/>
          <w:color w:val="000000"/>
          <w:lang w:val="en-GB" w:eastAsia="hu-HU"/>
        </w:rPr>
        <w:t xml:space="preserve"> or</w:t>
      </w:r>
      <w:r w:rsidRPr="0002056A">
        <w:rPr>
          <w:rFonts w:ascii="Georgia" w:eastAsia="Times New Roman" w:hAnsi="Georgia" w:cs="Times New Roman"/>
          <w:color w:val="000000"/>
          <w:lang w:val="en-GB" w:eastAsia="hu-HU"/>
        </w:rPr>
        <w:t xml:space="preserve"> macroregional or </w:t>
      </w:r>
      <w:r w:rsidR="00C0232C" w:rsidRPr="0002056A">
        <w:rPr>
          <w:rFonts w:ascii="Georgia" w:eastAsia="Times New Roman" w:hAnsi="Georgia" w:cs="Times New Roman"/>
          <w:color w:val="000000"/>
          <w:lang w:val="en-GB" w:eastAsia="hu-HU"/>
        </w:rPr>
        <w:t>cross-border</w:t>
      </w:r>
      <w:r w:rsidRPr="0002056A">
        <w:rPr>
          <w:rFonts w:ascii="Georgia" w:eastAsia="Times New Roman" w:hAnsi="Georgia" w:cs="Times New Roman"/>
          <w:color w:val="000000"/>
          <w:lang w:val="en-GB" w:eastAsia="hu-HU"/>
        </w:rPr>
        <w:t xml:space="preserve"> cooperations </w:t>
      </w:r>
      <w:r w:rsidR="009E7A0D" w:rsidRPr="0002056A">
        <w:rPr>
          <w:rFonts w:ascii="Georgia" w:eastAsia="Times New Roman" w:hAnsi="Georgia" w:cs="Times New Roman"/>
          <w:color w:val="000000"/>
          <w:lang w:val="en-GB" w:eastAsia="hu-HU"/>
        </w:rPr>
        <w:t xml:space="preserve">among the objectives/measures groups’ titles </w:t>
      </w:r>
      <w:r w:rsidRPr="0002056A">
        <w:rPr>
          <w:rFonts w:ascii="Georgia" w:eastAsia="Times New Roman" w:hAnsi="Georgia" w:cs="Times New Roman"/>
          <w:color w:val="000000"/>
          <w:lang w:val="en-GB" w:eastAsia="hu-HU"/>
        </w:rPr>
        <w:t xml:space="preserve">or in the form of a </w:t>
      </w:r>
      <w:r w:rsidR="009E7A0D" w:rsidRPr="0002056A">
        <w:rPr>
          <w:rFonts w:ascii="Georgia" w:eastAsia="Times New Roman" w:hAnsi="Georgia" w:cs="Times New Roman"/>
          <w:color w:val="000000"/>
          <w:lang w:val="en-GB" w:eastAsia="hu-HU"/>
        </w:rPr>
        <w:t xml:space="preserve">dedicated </w:t>
      </w:r>
      <w:r w:rsidRPr="0002056A">
        <w:rPr>
          <w:rFonts w:ascii="Georgia" w:eastAsia="Times New Roman" w:hAnsi="Georgia" w:cs="Times New Roman"/>
          <w:color w:val="000000"/>
          <w:lang w:val="en-GB" w:eastAsia="hu-HU"/>
        </w:rPr>
        <w:t xml:space="preserve">situation analysis chapter. </w:t>
      </w:r>
      <w:r w:rsidRPr="0002056A">
        <w:rPr>
          <w:rFonts w:ascii="Georgia" w:eastAsia="Times New Roman" w:hAnsi="Georgia" w:cs="Times New Roman"/>
          <w:i/>
          <w:color w:val="000000"/>
          <w:lang w:val="en-GB" w:eastAsia="hu-HU"/>
        </w:rPr>
        <w:t xml:space="preserve">Spain </w:t>
      </w:r>
      <w:r w:rsidRPr="0002056A">
        <w:rPr>
          <w:rFonts w:ascii="Georgia" w:eastAsia="Times New Roman" w:hAnsi="Georgia" w:cs="Times New Roman"/>
          <w:color w:val="000000"/>
          <w:lang w:val="en-GB" w:eastAsia="hu-HU"/>
        </w:rPr>
        <w:t>is especially great: the</w:t>
      </w:r>
      <w:r w:rsidRPr="0002056A">
        <w:rPr>
          <w:rFonts w:ascii="Georgia" w:hAnsi="Georgia"/>
          <w:lang w:val="en-GB"/>
        </w:rPr>
        <w:t xml:space="preserve"> NAS sets out a number of guiding principles – among them integration of international commitments </w:t>
      </w:r>
      <w:r w:rsidR="00C0232C" w:rsidRPr="0002056A">
        <w:rPr>
          <w:rFonts w:ascii="Georgia" w:hAnsi="Georgia"/>
          <w:lang w:val="en-GB"/>
        </w:rPr>
        <w:t xml:space="preserve">into domestic adaptation policy </w:t>
      </w:r>
      <w:r w:rsidRPr="0002056A">
        <w:rPr>
          <w:rFonts w:ascii="Georgia" w:hAnsi="Georgia"/>
          <w:lang w:val="en-GB"/>
        </w:rPr>
        <w:t>emerge</w:t>
      </w:r>
      <w:r w:rsidR="00E02FE6" w:rsidRPr="0002056A">
        <w:rPr>
          <w:rFonts w:ascii="Georgia" w:hAnsi="Georgia"/>
          <w:lang w:val="en-GB"/>
        </w:rPr>
        <w:t>s</w:t>
      </w:r>
      <w:r w:rsidRPr="0002056A">
        <w:rPr>
          <w:rFonts w:ascii="Georgia" w:hAnsi="Georgia"/>
          <w:lang w:val="en-GB"/>
        </w:rPr>
        <w:t xml:space="preserve"> as well as international coordination within the </w:t>
      </w:r>
      <w:r w:rsidR="00AC5238" w:rsidRPr="0002056A">
        <w:rPr>
          <w:rFonts w:ascii="Georgia" w:hAnsi="Georgia"/>
          <w:lang w:val="en-GB"/>
        </w:rPr>
        <w:t>Iberian Peninsula</w:t>
      </w:r>
      <w:r w:rsidRPr="0002056A">
        <w:rPr>
          <w:rFonts w:ascii="Georgia" w:hAnsi="Georgia"/>
          <w:lang w:val="en-GB"/>
        </w:rPr>
        <w:t xml:space="preserve"> with Portugal</w:t>
      </w:r>
      <w:r w:rsidRPr="0002056A">
        <w:rPr>
          <w:rStyle w:val="Lbjegyzet-hivatkozs"/>
          <w:rFonts w:ascii="Georgia" w:hAnsi="Georgia"/>
          <w:lang w:val="en-GB"/>
        </w:rPr>
        <w:footnoteReference w:id="104"/>
      </w:r>
      <w:r w:rsidRPr="0002056A">
        <w:rPr>
          <w:rFonts w:ascii="Georgia" w:hAnsi="Georgia"/>
          <w:lang w:val="en-GB"/>
        </w:rPr>
        <w:t xml:space="preserve">. </w:t>
      </w:r>
      <w:r w:rsidRPr="0002056A">
        <w:rPr>
          <w:rFonts w:ascii="Georgia" w:hAnsi="Georgia"/>
          <w:i/>
          <w:iCs/>
          <w:lang w:val="en-GB"/>
        </w:rPr>
        <w:t>Sweden</w:t>
      </w:r>
      <w:r w:rsidRPr="0002056A">
        <w:rPr>
          <w:rFonts w:ascii="Georgia" w:hAnsi="Georgia"/>
          <w:lang w:val="en-GB"/>
        </w:rPr>
        <w:t xml:space="preserve"> also put</w:t>
      </w:r>
      <w:r w:rsidR="003D74D8" w:rsidRPr="0002056A">
        <w:rPr>
          <w:rFonts w:ascii="Georgia" w:hAnsi="Georgia"/>
          <w:lang w:val="en-GB"/>
        </w:rPr>
        <w:t>s</w:t>
      </w:r>
      <w:r w:rsidRPr="0002056A">
        <w:rPr>
          <w:rFonts w:ascii="Georgia" w:hAnsi="Georgia"/>
          <w:lang w:val="en-GB"/>
        </w:rPr>
        <w:t xml:space="preserve"> significant emphasis on the topic. Its NAS Vision mentions the importance of knowledge o</w:t>
      </w:r>
      <w:r w:rsidR="002B6A6A" w:rsidRPr="0002056A">
        <w:rPr>
          <w:rFonts w:ascii="Georgia" w:hAnsi="Georgia"/>
          <w:lang w:val="en-GB"/>
        </w:rPr>
        <w:t>n</w:t>
      </w:r>
      <w:r w:rsidRPr="0002056A">
        <w:rPr>
          <w:rFonts w:ascii="Georgia" w:hAnsi="Georgia"/>
          <w:lang w:val="en-GB"/>
        </w:rPr>
        <w:t xml:space="preserve"> how other countries' vulnerabilities and climate adaptation affect Sweden, indicating the need for cooperation</w:t>
      </w:r>
      <w:r w:rsidR="00C46FB0" w:rsidRPr="0002056A">
        <w:rPr>
          <w:rFonts w:ascii="Georgia" w:hAnsi="Georgia"/>
          <w:lang w:val="en-GB"/>
        </w:rPr>
        <w:t>, too</w:t>
      </w:r>
      <w:r w:rsidRPr="0002056A">
        <w:rPr>
          <w:rFonts w:ascii="Georgia" w:hAnsi="Georgia"/>
          <w:lang w:val="en-GB"/>
        </w:rPr>
        <w:t xml:space="preserve">. NAP specific objective </w:t>
      </w:r>
      <w:r w:rsidR="003A6630" w:rsidRPr="0002056A">
        <w:rPr>
          <w:rFonts w:ascii="Georgia" w:hAnsi="Georgia"/>
          <w:lang w:val="en-GB"/>
        </w:rPr>
        <w:t>#</w:t>
      </w:r>
      <w:r w:rsidRPr="0002056A">
        <w:rPr>
          <w:rFonts w:ascii="Georgia" w:hAnsi="Georgia"/>
          <w:lang w:val="en-GB"/>
        </w:rPr>
        <w:t>2’s lower-level objective 5 „</w:t>
      </w:r>
      <w:r w:rsidRPr="0002056A">
        <w:rPr>
          <w:rFonts w:ascii="Georgia" w:hAnsi="Georgia"/>
          <w:i/>
          <w:iCs/>
          <w:lang w:val="en-GB"/>
        </w:rPr>
        <w:t>Resilience of the Oceans</w:t>
      </w:r>
      <w:r w:rsidRPr="0002056A">
        <w:rPr>
          <w:rFonts w:ascii="Georgia" w:hAnsi="Georgia"/>
          <w:lang w:val="en-GB"/>
        </w:rPr>
        <w:t xml:space="preserve">” urges active regional and international cooperation in the field of marine issues; specific objective </w:t>
      </w:r>
      <w:r w:rsidR="00C46FB0" w:rsidRPr="0002056A">
        <w:rPr>
          <w:rFonts w:ascii="Georgia" w:hAnsi="Georgia"/>
          <w:lang w:val="en-GB"/>
        </w:rPr>
        <w:t>#</w:t>
      </w:r>
      <w:r w:rsidRPr="0002056A">
        <w:rPr>
          <w:rFonts w:ascii="Georgia" w:hAnsi="Georgia"/>
          <w:lang w:val="en-GB"/>
        </w:rPr>
        <w:t xml:space="preserve">5’s lower-level objective 6 </w:t>
      </w:r>
      <w:r w:rsidR="00C46FB0" w:rsidRPr="0002056A">
        <w:rPr>
          <w:rFonts w:ascii="Georgia" w:hAnsi="Georgia"/>
          <w:lang w:val="en-GB"/>
        </w:rPr>
        <w:t xml:space="preserve">in the field of </w:t>
      </w:r>
      <w:r w:rsidRPr="0002056A">
        <w:rPr>
          <w:rFonts w:ascii="Georgia" w:hAnsi="Georgia"/>
          <w:lang w:val="en-GB"/>
        </w:rPr>
        <w:t xml:space="preserve">cultural heritage and environment; specific objective </w:t>
      </w:r>
      <w:r w:rsidR="00C46FB0" w:rsidRPr="0002056A">
        <w:rPr>
          <w:rFonts w:ascii="Georgia" w:hAnsi="Georgia"/>
          <w:lang w:val="en-GB"/>
        </w:rPr>
        <w:t>#</w:t>
      </w:r>
      <w:r w:rsidRPr="0002056A">
        <w:rPr>
          <w:rFonts w:ascii="Georgia" w:hAnsi="Georgia"/>
          <w:lang w:val="en-GB"/>
        </w:rPr>
        <w:t xml:space="preserve">4’s lower-level objective 6 in the field of human health. Within specific objective </w:t>
      </w:r>
      <w:r w:rsidR="00CE3E42" w:rsidRPr="0002056A">
        <w:rPr>
          <w:rFonts w:ascii="Georgia" w:hAnsi="Georgia"/>
          <w:lang w:val="en-GB"/>
        </w:rPr>
        <w:t>#</w:t>
      </w:r>
      <w:r w:rsidRPr="0002056A">
        <w:rPr>
          <w:rFonts w:ascii="Georgia" w:hAnsi="Georgia"/>
          <w:lang w:val="en-GB"/>
        </w:rPr>
        <w:t>4, the lower</w:t>
      </w:r>
      <w:r w:rsidR="00CE3E42" w:rsidRPr="0002056A">
        <w:rPr>
          <w:rFonts w:ascii="Georgia" w:hAnsi="Georgia"/>
          <w:lang w:val="en-GB"/>
        </w:rPr>
        <w:t>-</w:t>
      </w:r>
      <w:r w:rsidRPr="0002056A">
        <w:rPr>
          <w:rFonts w:ascii="Georgia" w:hAnsi="Georgia"/>
          <w:lang w:val="en-GB"/>
        </w:rPr>
        <w:t>level objective „</w:t>
      </w:r>
      <w:r w:rsidRPr="0002056A">
        <w:rPr>
          <w:rFonts w:ascii="Georgia" w:hAnsi="Georgia"/>
          <w:i/>
          <w:iCs/>
          <w:lang w:val="en-GB"/>
        </w:rPr>
        <w:t>International work on climate adaptation</w:t>
      </w:r>
      <w:r w:rsidRPr="0002056A">
        <w:rPr>
          <w:rFonts w:ascii="Georgia" w:hAnsi="Georgia"/>
          <w:lang w:val="en-GB"/>
        </w:rPr>
        <w:t xml:space="preserve">” particularly focuses on the topic, even in its title. Its </w:t>
      </w:r>
      <w:r w:rsidR="00216AD0" w:rsidRPr="0002056A">
        <w:rPr>
          <w:rFonts w:ascii="Georgia" w:hAnsi="Georgia"/>
          <w:lang w:val="en-GB"/>
        </w:rPr>
        <w:t>subpoints</w:t>
      </w:r>
      <w:r w:rsidRPr="0002056A">
        <w:rPr>
          <w:rFonts w:ascii="Georgia" w:hAnsi="Georgia"/>
          <w:lang w:val="en-GB"/>
        </w:rPr>
        <w:t xml:space="preserve"> "</w:t>
      </w:r>
      <w:r w:rsidRPr="0002056A">
        <w:rPr>
          <w:rFonts w:ascii="Georgia" w:hAnsi="Georgia"/>
          <w:i/>
          <w:iCs/>
          <w:lang w:val="en-GB"/>
        </w:rPr>
        <w:t>Biodiversity on land and in the sea</w:t>
      </w:r>
      <w:r w:rsidRPr="0002056A">
        <w:rPr>
          <w:rFonts w:ascii="Georgia" w:hAnsi="Georgia"/>
          <w:lang w:val="en-GB"/>
        </w:rPr>
        <w:t>"</w:t>
      </w:r>
      <w:r w:rsidR="00AC5238" w:rsidRPr="0002056A">
        <w:rPr>
          <w:rFonts w:ascii="Georgia" w:hAnsi="Georgia"/>
          <w:lang w:val="en-GB"/>
        </w:rPr>
        <w:t>,” Health</w:t>
      </w:r>
      <w:r w:rsidRPr="0002056A">
        <w:rPr>
          <w:rFonts w:ascii="Georgia" w:hAnsi="Georgia"/>
          <w:lang w:val="en-GB"/>
        </w:rPr>
        <w:t>”</w:t>
      </w:r>
      <w:r w:rsidR="00CE3E42" w:rsidRPr="0002056A">
        <w:rPr>
          <w:rFonts w:ascii="Georgia" w:hAnsi="Georgia"/>
          <w:lang w:val="en-GB"/>
        </w:rPr>
        <w:t>,</w:t>
      </w:r>
      <w:r w:rsidRPr="0002056A">
        <w:rPr>
          <w:rFonts w:ascii="Georgia" w:hAnsi="Georgia"/>
          <w:lang w:val="en-GB"/>
        </w:rPr>
        <w:t xml:space="preserve"> "</w:t>
      </w:r>
      <w:r w:rsidRPr="0002056A">
        <w:rPr>
          <w:rFonts w:ascii="Georgia" w:hAnsi="Georgia"/>
          <w:i/>
          <w:iCs/>
          <w:lang w:val="en-GB"/>
        </w:rPr>
        <w:t>Secure food s</w:t>
      </w:r>
      <w:r w:rsidR="002B6A6A" w:rsidRPr="0002056A">
        <w:rPr>
          <w:rFonts w:ascii="Georgia" w:hAnsi="Georgia"/>
          <w:i/>
          <w:iCs/>
          <w:lang w:val="en-GB"/>
        </w:rPr>
        <w:t>u</w:t>
      </w:r>
      <w:r w:rsidRPr="0002056A">
        <w:rPr>
          <w:rFonts w:ascii="Georgia" w:hAnsi="Georgia"/>
          <w:i/>
          <w:iCs/>
          <w:lang w:val="en-GB"/>
        </w:rPr>
        <w:t>pply and sustainable food systems</w:t>
      </w:r>
      <w:r w:rsidRPr="0002056A">
        <w:rPr>
          <w:rFonts w:ascii="Georgia" w:hAnsi="Georgia"/>
          <w:lang w:val="en-GB"/>
        </w:rPr>
        <w:t>" and "</w:t>
      </w:r>
      <w:r w:rsidRPr="0002056A">
        <w:rPr>
          <w:rFonts w:ascii="Georgia" w:hAnsi="Georgia"/>
          <w:i/>
          <w:iCs/>
          <w:lang w:val="en-GB"/>
        </w:rPr>
        <w:t>Water</w:t>
      </w:r>
      <w:r w:rsidRPr="0002056A">
        <w:rPr>
          <w:rFonts w:ascii="Georgia" w:hAnsi="Georgia"/>
          <w:lang w:val="en-GB"/>
        </w:rPr>
        <w:t xml:space="preserve">” all mentions the importance of </w:t>
      </w:r>
      <w:r w:rsidR="0080500E" w:rsidRPr="0002056A">
        <w:rPr>
          <w:rFonts w:ascii="Georgia" w:hAnsi="Georgia"/>
          <w:lang w:val="en-GB"/>
        </w:rPr>
        <w:t xml:space="preserve">adaptation-related </w:t>
      </w:r>
      <w:r w:rsidR="00216AD0" w:rsidRPr="0002056A">
        <w:rPr>
          <w:rFonts w:ascii="Georgia" w:hAnsi="Georgia"/>
          <w:lang w:val="en-GB"/>
        </w:rPr>
        <w:t>international</w:t>
      </w:r>
      <w:r w:rsidRPr="0002056A">
        <w:rPr>
          <w:rFonts w:ascii="Georgia" w:hAnsi="Georgia"/>
          <w:lang w:val="en-GB"/>
        </w:rPr>
        <w:t xml:space="preserve"> cooperation</w:t>
      </w:r>
      <w:r w:rsidR="0080500E" w:rsidRPr="0002056A">
        <w:rPr>
          <w:rFonts w:ascii="Georgia" w:hAnsi="Georgia"/>
          <w:lang w:val="en-GB"/>
        </w:rPr>
        <w:t xml:space="preserve"> </w:t>
      </w:r>
      <w:r w:rsidRPr="0002056A">
        <w:rPr>
          <w:rFonts w:ascii="Georgia" w:hAnsi="Georgia"/>
          <w:lang w:val="en-GB"/>
        </w:rPr>
        <w:t xml:space="preserve">in their own </w:t>
      </w:r>
      <w:r w:rsidR="002B6A6A" w:rsidRPr="0002056A">
        <w:rPr>
          <w:rFonts w:ascii="Georgia" w:hAnsi="Georgia"/>
          <w:lang w:val="en-GB"/>
        </w:rPr>
        <w:t>sectors</w:t>
      </w:r>
      <w:r w:rsidRPr="0002056A">
        <w:rPr>
          <w:rFonts w:ascii="Georgia" w:hAnsi="Georgia"/>
          <w:lang w:val="en-GB"/>
        </w:rPr>
        <w:t>. Within the same lower-level objective, "</w:t>
      </w:r>
      <w:r w:rsidRPr="0002056A">
        <w:rPr>
          <w:rFonts w:ascii="Georgia" w:hAnsi="Georgia"/>
          <w:i/>
          <w:iCs/>
          <w:lang w:val="en-GB"/>
        </w:rPr>
        <w:t>Cooperation in the Nordic Region and the Arctic</w:t>
      </w:r>
      <w:r w:rsidRPr="0002056A">
        <w:rPr>
          <w:rFonts w:ascii="Georgia" w:hAnsi="Georgia"/>
          <w:lang w:val="en-GB"/>
        </w:rPr>
        <w:t>" is a dedicated subpoint focusing particularly on macro</w:t>
      </w:r>
      <w:r w:rsidR="00A85943" w:rsidRPr="0002056A">
        <w:rPr>
          <w:rFonts w:ascii="Georgia" w:hAnsi="Georgia"/>
          <w:lang w:val="en-GB"/>
        </w:rPr>
        <w:t xml:space="preserve"> </w:t>
      </w:r>
      <w:r w:rsidRPr="0002056A">
        <w:rPr>
          <w:rFonts w:ascii="Georgia" w:hAnsi="Georgia"/>
          <w:lang w:val="en-GB"/>
        </w:rPr>
        <w:t>regional cooperation</w:t>
      </w:r>
      <w:r w:rsidR="00A85943" w:rsidRPr="0002056A">
        <w:rPr>
          <w:rFonts w:ascii="Georgia" w:hAnsi="Georgia"/>
          <w:lang w:val="en-GB"/>
        </w:rPr>
        <w:t>.</w:t>
      </w:r>
      <w:r w:rsidRPr="0002056A">
        <w:rPr>
          <w:rFonts w:ascii="Georgia" w:hAnsi="Georgia"/>
          <w:lang w:val="en-GB"/>
        </w:rPr>
        <w:t xml:space="preserve"> Also dedicated subpoints deal here with "</w:t>
      </w:r>
      <w:r w:rsidRPr="0002056A">
        <w:rPr>
          <w:rFonts w:ascii="Georgia" w:hAnsi="Georgia"/>
          <w:i/>
          <w:iCs/>
          <w:lang w:val="en-GB"/>
        </w:rPr>
        <w:t>Cooperation with the</w:t>
      </w:r>
      <w:r w:rsidRPr="0002056A">
        <w:rPr>
          <w:rFonts w:ascii="Georgia" w:hAnsi="Georgia"/>
          <w:lang w:val="en-GB"/>
        </w:rPr>
        <w:t xml:space="preserve"> </w:t>
      </w:r>
      <w:r w:rsidRPr="0002056A">
        <w:rPr>
          <w:rFonts w:ascii="Georgia" w:hAnsi="Georgia"/>
          <w:i/>
          <w:iCs/>
          <w:lang w:val="en-GB"/>
        </w:rPr>
        <w:t>EU</w:t>
      </w:r>
      <w:r w:rsidRPr="0002056A">
        <w:rPr>
          <w:rFonts w:ascii="Georgia" w:hAnsi="Georgia"/>
          <w:lang w:val="en-GB"/>
        </w:rPr>
        <w:t>" and "</w:t>
      </w:r>
      <w:r w:rsidRPr="0002056A">
        <w:rPr>
          <w:rFonts w:ascii="Georgia" w:hAnsi="Georgia"/>
          <w:i/>
          <w:iCs/>
          <w:lang w:val="en-GB"/>
        </w:rPr>
        <w:t>Cooperation with the UN</w:t>
      </w:r>
      <w:r w:rsidRPr="0002056A">
        <w:rPr>
          <w:rFonts w:ascii="Georgia" w:hAnsi="Georgia"/>
          <w:lang w:val="en-GB"/>
        </w:rPr>
        <w:t xml:space="preserve">", saying that </w:t>
      </w:r>
      <w:r w:rsidR="00A85943" w:rsidRPr="0002056A">
        <w:rPr>
          <w:rFonts w:ascii="Georgia" w:eastAsia="Times New Roman" w:hAnsi="Georgia" w:cs="Times New Roman"/>
          <w:color w:val="000000"/>
          <w:lang w:val="en-GB" w:eastAsia="hu-HU"/>
        </w:rPr>
        <w:t>t</w:t>
      </w:r>
      <w:r w:rsidRPr="0002056A">
        <w:rPr>
          <w:rFonts w:ascii="Georgia" w:eastAsia="Times New Roman" w:hAnsi="Georgia" w:cs="Times New Roman"/>
          <w:color w:val="000000"/>
          <w:lang w:val="en-GB" w:eastAsia="hu-HU"/>
        </w:rPr>
        <w:t>he Government will also continue to push for ambitious and effective climate adaptation work within the framework of cooperation at regional, EU and UN levels</w:t>
      </w:r>
      <w:r w:rsidRPr="0002056A">
        <w:rPr>
          <w:rFonts w:ascii="Georgia" w:hAnsi="Georgia"/>
          <w:lang w:val="en-GB"/>
        </w:rPr>
        <w:t xml:space="preserve">. </w:t>
      </w:r>
      <w:r w:rsidRPr="0002056A">
        <w:rPr>
          <w:rFonts w:ascii="Georgia" w:eastAsia="Times New Roman" w:hAnsi="Georgia" w:cs="Times New Roman"/>
          <w:color w:val="000000"/>
          <w:lang w:val="en-GB" w:eastAsia="hu-HU"/>
        </w:rPr>
        <w:t>9 more states</w:t>
      </w:r>
      <w:r w:rsidRPr="0002056A">
        <w:rPr>
          <w:rFonts w:ascii="Georgia" w:eastAsia="Times New Roman" w:hAnsi="Georgia" w:cs="Times New Roman"/>
          <w:i/>
          <w:color w:val="000000"/>
          <w:lang w:val="en-GB" w:eastAsia="hu-HU"/>
        </w:rPr>
        <w:t xml:space="preserve"> (Ireland, Malta, the Netherlands, France, Switzerland, Austria, Lithuania, Bosnia, Türkiye), </w:t>
      </w:r>
      <w:r w:rsidRPr="0002056A">
        <w:rPr>
          <w:rFonts w:ascii="Georgia" w:eastAsia="Times New Roman" w:hAnsi="Georgia" w:cs="Times New Roman"/>
          <w:iCs/>
          <w:color w:val="000000"/>
          <w:lang w:val="en-GB" w:eastAsia="hu-HU"/>
        </w:rPr>
        <w:t xml:space="preserve">though do not dedicate particular measure group to the </w:t>
      </w:r>
      <w:r w:rsidR="00A85943" w:rsidRPr="0002056A">
        <w:rPr>
          <w:rFonts w:ascii="Georgia" w:eastAsia="Times New Roman" w:hAnsi="Georgia" w:cs="Times New Roman"/>
          <w:iCs/>
          <w:color w:val="000000"/>
          <w:lang w:val="en-GB" w:eastAsia="hu-HU"/>
        </w:rPr>
        <w:t>topic, still</w:t>
      </w:r>
      <w:r w:rsidRPr="0002056A">
        <w:rPr>
          <w:rFonts w:ascii="Georgia" w:eastAsia="Times New Roman" w:hAnsi="Georgia" w:cs="Times New Roman"/>
          <w:iCs/>
          <w:color w:val="000000"/>
          <w:lang w:val="en-GB" w:eastAsia="hu-HU"/>
        </w:rPr>
        <w:t xml:space="preserve"> use explicit reference</w:t>
      </w:r>
      <w:r w:rsidR="00BE37AC" w:rsidRPr="0002056A">
        <w:rPr>
          <w:rFonts w:ascii="Georgia" w:eastAsia="Times New Roman" w:hAnsi="Georgia" w:cs="Times New Roman"/>
          <w:iCs/>
          <w:color w:val="000000"/>
          <w:lang w:val="en-GB" w:eastAsia="hu-HU"/>
        </w:rPr>
        <w:t>s</w:t>
      </w:r>
      <w:r w:rsidRPr="0002056A">
        <w:rPr>
          <w:rFonts w:ascii="Georgia" w:eastAsia="Times New Roman" w:hAnsi="Georgia" w:cs="Times New Roman"/>
          <w:iCs/>
          <w:color w:val="000000"/>
          <w:lang w:val="en-GB" w:eastAsia="hu-HU"/>
        </w:rPr>
        <w:t xml:space="preserve"> </w:t>
      </w:r>
      <w:r w:rsidR="00A85943" w:rsidRPr="0002056A">
        <w:rPr>
          <w:rFonts w:ascii="Georgia" w:eastAsia="Times New Roman" w:hAnsi="Georgia" w:cs="Times New Roman"/>
          <w:iCs/>
          <w:color w:val="000000"/>
          <w:lang w:val="en-GB" w:eastAsia="hu-HU"/>
        </w:rPr>
        <w:t>to</w:t>
      </w:r>
      <w:r w:rsidRPr="0002056A">
        <w:rPr>
          <w:rFonts w:ascii="Georgia" w:eastAsia="Times New Roman" w:hAnsi="Georgia" w:cs="Times New Roman"/>
          <w:iCs/>
          <w:color w:val="000000"/>
          <w:lang w:val="en-GB" w:eastAsia="hu-HU"/>
        </w:rPr>
        <w:t xml:space="preserve"> th</w:t>
      </w:r>
      <w:r w:rsidRPr="0002056A">
        <w:rPr>
          <w:rFonts w:ascii="Georgia" w:eastAsia="Times New Roman" w:hAnsi="Georgia" w:cs="Times New Roman"/>
          <w:color w:val="000000"/>
          <w:lang w:val="en-GB" w:eastAsia="hu-HU"/>
        </w:rPr>
        <w:t xml:space="preserve">e </w:t>
      </w:r>
      <w:r w:rsidR="00EC2E37" w:rsidRPr="0002056A">
        <w:rPr>
          <w:rFonts w:ascii="Georgia" w:eastAsia="Times New Roman" w:hAnsi="Georgia" w:cs="Times New Roman"/>
          <w:color w:val="000000"/>
          <w:lang w:val="en-GB" w:eastAsia="hu-HU"/>
        </w:rPr>
        <w:t>issue</w:t>
      </w:r>
      <w:r w:rsidRPr="0002056A">
        <w:rPr>
          <w:rFonts w:ascii="Georgia" w:eastAsia="Times New Roman" w:hAnsi="Georgia" w:cs="Times New Roman"/>
          <w:color w:val="000000"/>
          <w:lang w:val="en-GB" w:eastAsia="hu-HU"/>
        </w:rPr>
        <w:t xml:space="preserve"> in the description of objectives/measures’ or in the title of several individual measures or in the situation analysis’ text</w:t>
      </w:r>
      <w:r w:rsidR="00BE37AC" w:rsidRPr="0002056A">
        <w:rPr>
          <w:rFonts w:ascii="Georgia" w:eastAsia="Times New Roman" w:hAnsi="Georgia" w:cs="Times New Roman"/>
          <w:color w:val="000000"/>
          <w:lang w:val="en-GB" w:eastAsia="hu-HU"/>
        </w:rPr>
        <w:t>ual parts</w:t>
      </w:r>
      <w:r w:rsidRPr="0002056A">
        <w:rPr>
          <w:rFonts w:ascii="Georgia" w:eastAsia="Times New Roman" w:hAnsi="Georgia" w:cs="Times New Roman"/>
          <w:color w:val="000000"/>
          <w:lang w:val="en-GB" w:eastAsia="hu-HU"/>
        </w:rPr>
        <w:t xml:space="preserve">. The majority of the countries, however, are in the lowest two categories (9 in the lower-middle, 13 in the lowest), showing </w:t>
      </w:r>
      <w:r w:rsidR="0032032C" w:rsidRPr="0002056A">
        <w:rPr>
          <w:rFonts w:ascii="Georgia" w:eastAsia="Times New Roman" w:hAnsi="Georgia" w:cs="Times New Roman"/>
          <w:color w:val="000000"/>
          <w:lang w:val="en-GB" w:eastAsia="hu-HU"/>
        </w:rPr>
        <w:lastRenderedPageBreak/>
        <w:t xml:space="preserve">either </w:t>
      </w:r>
      <w:r w:rsidRPr="0002056A">
        <w:rPr>
          <w:rFonts w:ascii="Georgia" w:eastAsia="Times New Roman" w:hAnsi="Georgia" w:cs="Times New Roman"/>
          <w:color w:val="000000"/>
          <w:lang w:val="en-GB" w:eastAsia="hu-HU"/>
        </w:rPr>
        <w:t xml:space="preserve">minimal and implicit, or no signs of thinking in adaptation-related international cooperations. </w:t>
      </w:r>
    </w:p>
    <w:p w14:paraId="73D0949E" w14:textId="541C20EE" w:rsidR="001D5DDB" w:rsidRPr="0002056A" w:rsidRDefault="00720A42" w:rsidP="00596939">
      <w:pPr>
        <w:shd w:val="clear" w:color="auto" w:fill="FFFFFF" w:themeFill="background1"/>
        <w:spacing w:before="120" w:after="120"/>
        <w:jc w:val="both"/>
        <w:rPr>
          <w:rFonts w:ascii="Georgia" w:eastAsia="Times New Roman" w:hAnsi="Georgia" w:cs="Times New Roman"/>
          <w:i/>
          <w:color w:val="000000"/>
          <w:lang w:val="en-GB" w:eastAsia="hu-HU"/>
        </w:rPr>
      </w:pPr>
      <w:r w:rsidRPr="0002056A">
        <w:rPr>
          <w:rFonts w:ascii="Georgia" w:eastAsia="Times New Roman" w:hAnsi="Georgia" w:cs="Times New Roman"/>
          <w:bCs/>
          <w:iCs/>
          <w:lang w:val="en-GB" w:eastAsia="hu-HU"/>
        </w:rPr>
        <w:t xml:space="preserve">Considering the </w:t>
      </w:r>
      <w:r w:rsidRPr="0002056A">
        <w:rPr>
          <w:rFonts w:ascii="Georgia" w:eastAsia="Times New Roman" w:hAnsi="Georgia" w:cs="Times New Roman"/>
          <w:b/>
          <w:iCs/>
          <w:lang w:val="en-GB" w:eastAsia="hu-HU"/>
        </w:rPr>
        <w:t xml:space="preserve">emergence of strengthening </w:t>
      </w:r>
      <w:r w:rsidR="00337C91" w:rsidRPr="0002056A">
        <w:rPr>
          <w:rFonts w:ascii="Georgia" w:eastAsia="Times New Roman" w:hAnsi="Georgia" w:cs="Times New Roman"/>
          <w:b/>
          <w:iCs/>
          <w:lang w:val="en-GB" w:eastAsia="hu-HU"/>
        </w:rPr>
        <w:t xml:space="preserve">the </w:t>
      </w:r>
      <w:r w:rsidRPr="0002056A">
        <w:rPr>
          <w:rFonts w:ascii="Georgia" w:eastAsia="Times New Roman" w:hAnsi="Georgia" w:cs="Times New Roman"/>
          <w:b/>
          <w:iCs/>
          <w:lang w:val="en-GB" w:eastAsia="hu-HU"/>
        </w:rPr>
        <w:t xml:space="preserve">macro regional / international influence in the field of adaptation policy </w:t>
      </w:r>
      <w:r w:rsidR="00C63B84" w:rsidRPr="0002056A">
        <w:rPr>
          <w:rFonts w:ascii="Georgia" w:eastAsia="Times New Roman" w:hAnsi="Georgia" w:cs="Times New Roman"/>
          <w:b/>
          <w:iCs/>
          <w:lang w:val="en-GB" w:eastAsia="hu-HU"/>
        </w:rPr>
        <w:t>a</w:t>
      </w:r>
      <w:r w:rsidRPr="0002056A">
        <w:rPr>
          <w:rFonts w:ascii="Georgia" w:eastAsia="Times New Roman" w:hAnsi="Georgia" w:cs="Times New Roman"/>
          <w:b/>
          <w:iCs/>
          <w:lang w:val="en-GB" w:eastAsia="hu-HU"/>
        </w:rPr>
        <w:t xml:space="preserve">ctivities, </w:t>
      </w:r>
      <w:r w:rsidRPr="0002056A">
        <w:rPr>
          <w:rFonts w:ascii="Georgia" w:eastAsia="Times New Roman" w:hAnsi="Georgia" w:cs="Times New Roman"/>
          <w:bCs/>
          <w:iCs/>
          <w:lang w:val="en-GB" w:eastAsia="hu-HU"/>
        </w:rPr>
        <w:t>six</w:t>
      </w:r>
      <w:r w:rsidRPr="0002056A">
        <w:rPr>
          <w:rFonts w:ascii="Georgia" w:eastAsia="Times New Roman" w:hAnsi="Georgia" w:cs="Times New Roman"/>
          <w:color w:val="000000"/>
          <w:lang w:val="en-GB" w:eastAsia="hu-HU"/>
        </w:rPr>
        <w:t xml:space="preserve"> countries got into the best category with explicit, nominated reference</w:t>
      </w:r>
      <w:r w:rsidR="00C63B84"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to the issue (mostly in the form of </w:t>
      </w:r>
      <w:r w:rsidR="00C63B84" w:rsidRPr="0002056A">
        <w:rPr>
          <w:rFonts w:ascii="Georgia" w:eastAsia="Times New Roman" w:hAnsi="Georgia" w:cs="Times New Roman"/>
          <w:color w:val="000000"/>
          <w:lang w:val="en-GB" w:eastAsia="hu-HU"/>
        </w:rPr>
        <w:t>e</w:t>
      </w:r>
      <w:r w:rsidR="00EC2E37" w:rsidRPr="0002056A">
        <w:rPr>
          <w:rFonts w:ascii="Georgia" w:eastAsia="Times New Roman" w:hAnsi="Georgia" w:cs="Times New Roman"/>
          <w:color w:val="000000"/>
          <w:lang w:val="en-GB" w:eastAsia="hu-HU"/>
        </w:rPr>
        <w:t xml:space="preserve">ither </w:t>
      </w:r>
      <w:r w:rsidRPr="0002056A">
        <w:rPr>
          <w:rFonts w:ascii="Georgia" w:eastAsia="Times New Roman" w:hAnsi="Georgia" w:cs="Times New Roman"/>
          <w:color w:val="000000"/>
          <w:lang w:val="en-GB" w:eastAsia="hu-HU"/>
        </w:rPr>
        <w:t xml:space="preserve">financing of interventions in developing countries, or setting up development programmes in or exporting adaptation knowledge to these countries). In </w:t>
      </w:r>
      <w:r w:rsidRPr="0002056A">
        <w:rPr>
          <w:rFonts w:ascii="Georgia" w:eastAsia="Times New Roman" w:hAnsi="Georgia" w:cs="Times New Roman"/>
          <w:i/>
          <w:color w:val="000000"/>
          <w:lang w:val="en-GB" w:eastAsia="hu-HU"/>
        </w:rPr>
        <w:t>Germany</w:t>
      </w:r>
      <w:r w:rsidRPr="0002056A">
        <w:rPr>
          <w:rFonts w:ascii="Georgia" w:eastAsia="Times New Roman" w:hAnsi="Georgia" w:cs="Times New Roman"/>
          <w:color w:val="000000"/>
          <w:lang w:val="en-GB" w:eastAsia="hu-HU"/>
        </w:rPr>
        <w:t xml:space="preserve"> a dedicated target (Wi-4) focuses on German companies that should operate successfully on national and international markets to continuously increase their aggregated added value in </w:t>
      </w:r>
      <w:r w:rsidR="00BA586C" w:rsidRPr="0002056A">
        <w:rPr>
          <w:rFonts w:ascii="Georgia" w:eastAsia="Times New Roman" w:hAnsi="Georgia" w:cs="Times New Roman"/>
          <w:color w:val="000000"/>
          <w:lang w:val="en-GB" w:eastAsia="hu-HU"/>
        </w:rPr>
        <w:t>the field.</w:t>
      </w:r>
      <w:r w:rsidRPr="0002056A">
        <w:rPr>
          <w:rFonts w:ascii="Georgia" w:eastAsia="Times New Roman" w:hAnsi="Georgia" w:cs="Times New Roman"/>
          <w:color w:val="000000"/>
          <w:lang w:val="en-GB" w:eastAsia="hu-HU"/>
        </w:rPr>
        <w:t xml:space="preserve"> In </w:t>
      </w:r>
      <w:r w:rsidRPr="0002056A">
        <w:rPr>
          <w:rFonts w:ascii="Georgia" w:eastAsia="Times New Roman" w:hAnsi="Georgia" w:cs="Times New Roman"/>
          <w:i/>
          <w:color w:val="000000"/>
          <w:lang w:val="en-GB" w:eastAsia="hu-HU"/>
        </w:rPr>
        <w:t>Scotland</w:t>
      </w:r>
      <w:r w:rsidRPr="0002056A">
        <w:rPr>
          <w:rFonts w:ascii="Georgia" w:eastAsia="Times New Roman" w:hAnsi="Georgia" w:cs="Times New Roman"/>
          <w:color w:val="000000"/>
          <w:lang w:val="en-GB" w:eastAsia="hu-HU"/>
        </w:rPr>
        <w:t xml:space="preserve">’s NAS the </w:t>
      </w:r>
      <w:r w:rsidR="00272AFC" w:rsidRPr="0002056A">
        <w:rPr>
          <w:rFonts w:ascii="Georgia" w:eastAsia="Times New Roman" w:hAnsi="Georgia" w:cs="Times New Roman"/>
          <w:color w:val="000000"/>
          <w:lang w:val="en-GB" w:eastAsia="hu-HU"/>
        </w:rPr>
        <w:t xml:space="preserve">intention </w:t>
      </w:r>
      <w:r w:rsidRPr="0002056A">
        <w:rPr>
          <w:rFonts w:ascii="Georgia" w:eastAsia="Times New Roman" w:hAnsi="Georgia" w:cs="Times New Roman"/>
          <w:color w:val="000000"/>
          <w:lang w:val="en-GB" w:eastAsia="hu-HU"/>
        </w:rPr>
        <w:t xml:space="preserve">of </w:t>
      </w:r>
      <w:r w:rsidR="00272AFC" w:rsidRPr="0002056A">
        <w:rPr>
          <w:rFonts w:ascii="Georgia" w:eastAsia="Times New Roman" w:hAnsi="Georgia" w:cs="Times New Roman"/>
          <w:color w:val="000000"/>
          <w:lang w:val="en-GB" w:eastAsia="hu-HU"/>
        </w:rPr>
        <w:t xml:space="preserve">strengthening </w:t>
      </w:r>
      <w:r w:rsidRPr="0002056A">
        <w:rPr>
          <w:rFonts w:ascii="Georgia" w:eastAsia="Times New Roman" w:hAnsi="Georgia" w:cs="Times New Roman"/>
          <w:color w:val="000000"/>
          <w:lang w:val="en-GB" w:eastAsia="hu-HU"/>
        </w:rPr>
        <w:t xml:space="preserve">international influence emerges </w:t>
      </w:r>
      <w:r w:rsidR="00BA586C" w:rsidRPr="0002056A">
        <w:rPr>
          <w:rFonts w:ascii="Georgia" w:eastAsia="Times New Roman" w:hAnsi="Georgia" w:cs="Times New Roman"/>
          <w:color w:val="000000"/>
          <w:lang w:val="en-GB" w:eastAsia="hu-HU"/>
        </w:rPr>
        <w:t xml:space="preserve">already </w:t>
      </w:r>
      <w:r w:rsidRPr="0002056A">
        <w:rPr>
          <w:rFonts w:ascii="Georgia" w:eastAsia="Times New Roman" w:hAnsi="Georgia" w:cs="Times New Roman"/>
          <w:color w:val="000000"/>
          <w:lang w:val="en-GB" w:eastAsia="hu-HU"/>
        </w:rPr>
        <w:t>in IA objective’s general introduction</w:t>
      </w:r>
      <w:r w:rsidR="00B27386"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IA1 sub-objective particularly concentrates on financing foreign vulnerable communities; IA2 sub-objective (</w:t>
      </w:r>
      <w:r w:rsidRPr="0002056A">
        <w:rPr>
          <w:rFonts w:ascii="Georgia" w:eastAsia="Times New Roman" w:hAnsi="Georgia" w:cs="Times New Roman"/>
          <w:i/>
          <w:iCs/>
          <w:color w:val="000000"/>
          <w:lang w:val="en-GB" w:eastAsia="hu-HU"/>
        </w:rPr>
        <w:t>International Advocacy</w:t>
      </w:r>
      <w:r w:rsidRPr="0002056A">
        <w:rPr>
          <w:rFonts w:ascii="Georgia" w:eastAsia="Times New Roman" w:hAnsi="Georgia" w:cs="Times New Roman"/>
          <w:color w:val="000000"/>
          <w:lang w:val="en-GB" w:eastAsia="hu-HU"/>
        </w:rPr>
        <w:t xml:space="preserve">) urges to influence and facilitate developing countries’ adaptation activities. In </w:t>
      </w:r>
      <w:r w:rsidRPr="0002056A">
        <w:rPr>
          <w:rFonts w:ascii="Georgia" w:eastAsia="Times New Roman" w:hAnsi="Georgia" w:cs="Times New Roman"/>
          <w:i/>
          <w:color w:val="000000"/>
          <w:lang w:val="en-GB" w:eastAsia="hu-HU"/>
        </w:rPr>
        <w:t>England</w:t>
      </w:r>
      <w:r w:rsidRPr="0002056A">
        <w:rPr>
          <w:rFonts w:ascii="Georgia" w:eastAsia="Times New Roman" w:hAnsi="Georgia" w:cs="Times New Roman"/>
          <w:color w:val="000000"/>
          <w:lang w:val="en-GB" w:eastAsia="hu-HU"/>
        </w:rPr>
        <w:t xml:space="preserve"> the NAS’s</w:t>
      </w:r>
      <w:r w:rsidRPr="0002056A">
        <w:rPr>
          <w:rFonts w:ascii="Georgia" w:eastAsia="Times New Roman" w:hAnsi="Georgia" w:cs="Times New Roman"/>
          <w:i/>
          <w:color w:val="000000"/>
          <w:lang w:val="en-GB" w:eastAsia="hu-HU"/>
        </w:rPr>
        <w:t xml:space="preserve"> </w:t>
      </w:r>
      <w:r w:rsidR="00272AFC" w:rsidRPr="0002056A">
        <w:rPr>
          <w:rFonts w:ascii="Georgia" w:eastAsia="Times New Roman" w:hAnsi="Georgia" w:cs="Times New Roman"/>
          <w:i/>
          <w:color w:val="000000"/>
          <w:lang w:val="en-GB" w:eastAsia="hu-HU"/>
        </w:rPr>
        <w:t>“</w:t>
      </w:r>
      <w:r w:rsidRPr="0002056A">
        <w:rPr>
          <w:rFonts w:ascii="Georgia" w:eastAsia="Times New Roman" w:hAnsi="Georgia" w:cs="Times New Roman"/>
          <w:i/>
          <w:iCs/>
          <w:color w:val="000000"/>
          <w:lang w:val="en-GB" w:eastAsia="hu-HU"/>
        </w:rPr>
        <w:t>International impacts</w:t>
      </w:r>
      <w:r w:rsidR="00272AFC"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chapter </w:t>
      </w:r>
      <w:r w:rsidR="000E5BEF" w:rsidRPr="0002056A">
        <w:rPr>
          <w:rFonts w:ascii="Georgia" w:eastAsia="Times New Roman" w:hAnsi="Georgia" w:cs="Times New Roman"/>
          <w:color w:val="000000"/>
          <w:lang w:val="en-GB" w:eastAsia="hu-HU"/>
        </w:rPr>
        <w:t xml:space="preserve">focuses especially on </w:t>
      </w:r>
      <w:r w:rsidRPr="0002056A">
        <w:rPr>
          <w:rFonts w:ascii="Georgia" w:eastAsia="Times New Roman" w:hAnsi="Georgia" w:cs="Times New Roman"/>
          <w:color w:val="000000"/>
          <w:lang w:val="en-GB" w:eastAsia="hu-HU"/>
        </w:rPr>
        <w:t>help</w:t>
      </w:r>
      <w:r w:rsidR="000E5BEF" w:rsidRPr="0002056A">
        <w:rPr>
          <w:rFonts w:ascii="Georgia" w:eastAsia="Times New Roman" w:hAnsi="Georgia" w:cs="Times New Roman"/>
          <w:color w:val="000000"/>
          <w:lang w:val="en-GB" w:eastAsia="hu-HU"/>
        </w:rPr>
        <w:t>ing</w:t>
      </w:r>
      <w:r w:rsidRPr="0002056A">
        <w:rPr>
          <w:rFonts w:ascii="Georgia" w:eastAsia="Times New Roman" w:hAnsi="Georgia" w:cs="Times New Roman"/>
          <w:color w:val="000000"/>
          <w:lang w:val="en-GB" w:eastAsia="hu-HU"/>
        </w:rPr>
        <w:t xml:space="preserve"> </w:t>
      </w:r>
      <w:r w:rsidR="000E5BEF" w:rsidRPr="0002056A">
        <w:rPr>
          <w:rFonts w:ascii="Georgia" w:eastAsia="Times New Roman" w:hAnsi="Georgia" w:cs="Times New Roman"/>
          <w:color w:val="000000"/>
          <w:lang w:val="en-GB" w:eastAsia="hu-HU"/>
        </w:rPr>
        <w:t xml:space="preserve">to </w:t>
      </w:r>
      <w:r w:rsidRPr="0002056A">
        <w:rPr>
          <w:rFonts w:ascii="Georgia" w:eastAsia="Times New Roman" w:hAnsi="Georgia" w:cs="Times New Roman"/>
          <w:color w:val="000000"/>
          <w:lang w:val="en-GB" w:eastAsia="hu-HU"/>
        </w:rPr>
        <w:t xml:space="preserve">adapt and build resilience in vulnerable communities to climate related disasters and </w:t>
      </w:r>
      <w:r w:rsidR="000E5BEF" w:rsidRPr="0002056A">
        <w:rPr>
          <w:rFonts w:ascii="Georgia" w:eastAsia="Times New Roman" w:hAnsi="Georgia" w:cs="Times New Roman"/>
          <w:color w:val="000000"/>
          <w:lang w:val="en-GB" w:eastAsia="hu-HU"/>
        </w:rPr>
        <w:t>on driving</w:t>
      </w:r>
      <w:r w:rsidRPr="0002056A">
        <w:rPr>
          <w:rFonts w:ascii="Georgia" w:eastAsia="Times New Roman" w:hAnsi="Georgia" w:cs="Times New Roman"/>
          <w:color w:val="000000"/>
          <w:lang w:val="en-GB" w:eastAsia="hu-HU"/>
        </w:rPr>
        <w:t xml:space="preserve"> international action and consensus in negotiations on climate adaptation</w:t>
      </w:r>
      <w:r w:rsidR="00854E15" w:rsidRPr="0002056A">
        <w:rPr>
          <w:rFonts w:ascii="Georgia" w:eastAsia="Times New Roman" w:hAnsi="Georgia" w:cs="Times New Roman"/>
          <w:color w:val="000000"/>
          <w:lang w:val="en-GB" w:eastAsia="hu-HU"/>
        </w:rPr>
        <w:t xml:space="preserve"> in this direction</w:t>
      </w:r>
      <w:r w:rsidRPr="0002056A">
        <w:rPr>
          <w:rFonts w:ascii="Georgia" w:eastAsia="Times New Roman" w:hAnsi="Georgia" w:cs="Times New Roman"/>
          <w:color w:val="000000"/>
          <w:lang w:val="en-GB" w:eastAsia="hu-HU"/>
        </w:rPr>
        <w:t xml:space="preserve">. A dedicated chapter, </w:t>
      </w:r>
      <w:r w:rsidRPr="0002056A">
        <w:rPr>
          <w:rFonts w:ascii="Georgia" w:eastAsia="Times New Roman" w:hAnsi="Georgia" w:cs="Times New Roman"/>
          <w:i/>
          <w:color w:val="000000"/>
          <w:lang w:val="en-GB" w:eastAsia="hu-HU"/>
        </w:rPr>
        <w:t xml:space="preserve">"International dimensions” </w:t>
      </w:r>
      <w:r w:rsidRPr="0002056A">
        <w:rPr>
          <w:rFonts w:ascii="Georgia" w:eastAsia="Times New Roman" w:hAnsi="Georgia" w:cs="Times New Roman"/>
          <w:color w:val="000000"/>
          <w:lang w:val="en-GB" w:eastAsia="hu-HU"/>
        </w:rPr>
        <w:t>in its</w:t>
      </w:r>
      <w:r w:rsidRPr="0002056A">
        <w:rPr>
          <w:rFonts w:ascii="Georgia" w:eastAsia="Times New Roman" w:hAnsi="Georgia" w:cs="Times New Roman"/>
          <w:i/>
          <w:color w:val="000000"/>
          <w:lang w:val="en-GB" w:eastAsia="hu-HU"/>
        </w:rPr>
        <w:t xml:space="preserve"> “Cascading risks</w:t>
      </w:r>
      <w:r w:rsidRPr="0002056A">
        <w:rPr>
          <w:rFonts w:ascii="Georgia" w:eastAsia="Times New Roman" w:hAnsi="Georgia" w:cs="Times New Roman"/>
          <w:color w:val="000000"/>
          <w:lang w:val="en-GB" w:eastAsia="hu-HU"/>
        </w:rPr>
        <w:t>” subchapter particularly concentrate</w:t>
      </w:r>
      <w:r w:rsidR="00854E15"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on these issues. </w:t>
      </w:r>
      <w:r w:rsidRPr="0002056A">
        <w:rPr>
          <w:rFonts w:ascii="Georgia" w:eastAsia="Times New Roman" w:hAnsi="Georgia" w:cs="Times New Roman"/>
          <w:i/>
          <w:color w:val="000000"/>
          <w:lang w:val="en-GB" w:eastAsia="hu-HU"/>
        </w:rPr>
        <w:t xml:space="preserve">Finland’s </w:t>
      </w:r>
      <w:r w:rsidRPr="0002056A">
        <w:rPr>
          <w:rFonts w:ascii="Georgia" w:eastAsia="Times New Roman" w:hAnsi="Georgia" w:cs="Times New Roman"/>
          <w:color w:val="000000"/>
          <w:lang w:val="en-GB" w:eastAsia="hu-HU"/>
        </w:rPr>
        <w:t xml:space="preserve">NAS in its Objective #19 focuses on international collaborations with and support of the most vulnerable countries; meanwhile Objective #20 on the facilitating </w:t>
      </w:r>
      <w:r w:rsidR="00C9370E" w:rsidRPr="0002056A">
        <w:rPr>
          <w:rFonts w:ascii="Georgia" w:eastAsia="Times New Roman" w:hAnsi="Georgia" w:cs="Times New Roman"/>
          <w:color w:val="000000"/>
          <w:lang w:val="en-GB" w:eastAsia="hu-HU"/>
        </w:rPr>
        <w:t>of adaptation tool development in third-world</w:t>
      </w:r>
      <w:r w:rsidRPr="0002056A">
        <w:rPr>
          <w:rFonts w:ascii="Georgia" w:eastAsia="Times New Roman" w:hAnsi="Georgia" w:cs="Times New Roman"/>
          <w:color w:val="000000"/>
          <w:lang w:val="en-GB" w:eastAsia="hu-HU"/>
        </w:rPr>
        <w:t xml:space="preserve"> countries. </w:t>
      </w:r>
      <w:r w:rsidR="00B27386" w:rsidRPr="0002056A">
        <w:rPr>
          <w:rFonts w:ascii="Georgia" w:eastAsia="Times New Roman" w:hAnsi="Georgia" w:cs="Times New Roman"/>
          <w:color w:val="000000"/>
          <w:lang w:val="en-GB" w:eastAsia="hu-HU"/>
        </w:rPr>
        <w:t xml:space="preserve">In </w:t>
      </w:r>
      <w:r w:rsidRPr="0002056A">
        <w:rPr>
          <w:rFonts w:ascii="Georgia" w:eastAsia="Times New Roman" w:hAnsi="Georgia" w:cs="Times New Roman"/>
          <w:i/>
          <w:color w:val="000000"/>
          <w:lang w:val="en-GB" w:eastAsia="hu-HU"/>
        </w:rPr>
        <w:t xml:space="preserve">Norway’s </w:t>
      </w:r>
      <w:r w:rsidRPr="0002056A">
        <w:rPr>
          <w:rFonts w:ascii="Georgia" w:eastAsia="Times New Roman" w:hAnsi="Georgia" w:cs="Times New Roman"/>
          <w:color w:val="000000"/>
          <w:lang w:val="en-GB" w:eastAsia="hu-HU"/>
        </w:rPr>
        <w:t xml:space="preserve">NAS </w:t>
      </w:r>
      <w:r w:rsidRPr="0002056A">
        <w:rPr>
          <w:rFonts w:ascii="Georgia" w:eastAsia="Times New Roman" w:hAnsi="Georgia" w:cs="Times New Roman"/>
          <w:i/>
          <w:color w:val="000000"/>
          <w:lang w:val="en-GB" w:eastAsia="hu-HU"/>
        </w:rPr>
        <w:t>“</w:t>
      </w:r>
      <w:r w:rsidRPr="0002056A">
        <w:rPr>
          <w:rFonts w:ascii="Georgia" w:eastAsia="Times New Roman" w:hAnsi="Georgia" w:cs="Times New Roman"/>
          <w:i/>
          <w:iCs/>
          <w:color w:val="000000"/>
          <w:lang w:val="en-GB" w:eastAsia="hu-HU"/>
        </w:rPr>
        <w:t>Aid and development cooperation</w:t>
      </w:r>
      <w:r w:rsidRPr="0002056A">
        <w:rPr>
          <w:rFonts w:ascii="Georgia" w:eastAsia="Times New Roman" w:hAnsi="Georgia" w:cs="Times New Roman"/>
          <w:color w:val="000000"/>
          <w:lang w:val="en-GB" w:eastAsia="hu-HU"/>
        </w:rPr>
        <w:t xml:space="preserve">” measure group is dedicated </w:t>
      </w:r>
      <w:r w:rsidR="00B27386" w:rsidRPr="0002056A">
        <w:rPr>
          <w:rFonts w:ascii="Georgia" w:eastAsia="Times New Roman" w:hAnsi="Georgia" w:cs="Times New Roman"/>
          <w:color w:val="000000"/>
          <w:lang w:val="en-GB" w:eastAsia="hu-HU"/>
        </w:rPr>
        <w:t>t</w:t>
      </w:r>
      <w:r w:rsidRPr="0002056A">
        <w:rPr>
          <w:rFonts w:ascii="Georgia" w:eastAsia="Times New Roman" w:hAnsi="Georgia" w:cs="Times New Roman"/>
          <w:color w:val="000000"/>
          <w:lang w:val="en-GB" w:eastAsia="hu-HU"/>
        </w:rPr>
        <w:t xml:space="preserve">o the </w:t>
      </w:r>
      <w:r w:rsidR="00C9370E" w:rsidRPr="0002056A">
        <w:rPr>
          <w:rFonts w:ascii="Georgia" w:eastAsia="Times New Roman" w:hAnsi="Georgia" w:cs="Times New Roman"/>
          <w:color w:val="000000"/>
          <w:lang w:val="en-GB" w:eastAsia="hu-HU"/>
        </w:rPr>
        <w:t xml:space="preserve">same </w:t>
      </w:r>
      <w:r w:rsidRPr="0002056A">
        <w:rPr>
          <w:rFonts w:ascii="Georgia" w:eastAsia="Times New Roman" w:hAnsi="Georgia" w:cs="Times New Roman"/>
          <w:color w:val="000000"/>
          <w:lang w:val="en-GB" w:eastAsia="hu-HU"/>
        </w:rPr>
        <w:t xml:space="preserve">issue. </w:t>
      </w:r>
      <w:r w:rsidR="00C9370E" w:rsidRPr="0002056A">
        <w:rPr>
          <w:rFonts w:ascii="Georgia" w:eastAsia="Times New Roman" w:hAnsi="Georgia" w:cs="Times New Roman"/>
          <w:color w:val="000000"/>
          <w:lang w:val="en-GB" w:eastAsia="hu-HU"/>
        </w:rPr>
        <w:t>International</w:t>
      </w:r>
      <w:r w:rsidRPr="0002056A">
        <w:rPr>
          <w:rFonts w:ascii="Georgia" w:eastAsia="Times New Roman" w:hAnsi="Georgia" w:cs="Times New Roman"/>
          <w:color w:val="000000"/>
          <w:lang w:val="en-GB" w:eastAsia="hu-HU"/>
        </w:rPr>
        <w:t xml:space="preserve"> influence already appears in the introduction, emphasising the need for helping vulnerable regions of the World East, Central and West Africa, South Asia, Central America, the Caribbean and Island states. Its Chapter 6.8.3. about </w:t>
      </w:r>
      <w:r w:rsidR="00CC5218" w:rsidRPr="0002056A">
        <w:rPr>
          <w:rFonts w:ascii="Georgia" w:eastAsia="Times New Roman" w:hAnsi="Georgia" w:cs="Times New Roman"/>
          <w:color w:val="000000"/>
          <w:lang w:val="en-GB" w:eastAsia="hu-HU"/>
        </w:rPr>
        <w:t>“</w:t>
      </w:r>
      <w:r w:rsidR="00CC5218" w:rsidRPr="0002056A">
        <w:rPr>
          <w:rFonts w:ascii="Georgia" w:eastAsia="Times New Roman" w:hAnsi="Georgia" w:cs="Times New Roman"/>
          <w:i/>
          <w:iCs/>
          <w:color w:val="000000"/>
          <w:lang w:val="en-GB" w:eastAsia="hu-HU"/>
        </w:rPr>
        <w:t>C</w:t>
      </w:r>
      <w:r w:rsidRPr="0002056A">
        <w:rPr>
          <w:rFonts w:ascii="Georgia" w:eastAsia="Times New Roman" w:hAnsi="Georgia" w:cs="Times New Roman"/>
          <w:i/>
          <w:iCs/>
          <w:color w:val="000000"/>
          <w:lang w:val="en-GB" w:eastAsia="hu-HU"/>
        </w:rPr>
        <w:t>limate adaptation and international security</w:t>
      </w:r>
      <w:r w:rsidR="00CC5218"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and chapter 6.9.1. about </w:t>
      </w:r>
      <w:r w:rsidR="00CC5218" w:rsidRPr="0002056A">
        <w:rPr>
          <w:rFonts w:ascii="Georgia" w:eastAsia="Times New Roman" w:hAnsi="Georgia" w:cs="Times New Roman"/>
          <w:color w:val="000000"/>
          <w:lang w:val="en-GB" w:eastAsia="hu-HU"/>
        </w:rPr>
        <w:t>“</w:t>
      </w:r>
      <w:r w:rsidR="00CC5218" w:rsidRPr="0002056A">
        <w:rPr>
          <w:rFonts w:ascii="Georgia" w:eastAsia="Times New Roman" w:hAnsi="Georgia" w:cs="Times New Roman"/>
          <w:i/>
          <w:iCs/>
          <w:color w:val="000000"/>
          <w:lang w:val="en-GB" w:eastAsia="hu-HU"/>
        </w:rPr>
        <w:t>R</w:t>
      </w:r>
      <w:r w:rsidRPr="0002056A">
        <w:rPr>
          <w:rFonts w:ascii="Georgia" w:eastAsia="Times New Roman" w:hAnsi="Georgia" w:cs="Times New Roman"/>
          <w:i/>
          <w:iCs/>
          <w:color w:val="000000"/>
          <w:lang w:val="en-GB" w:eastAsia="hu-HU"/>
        </w:rPr>
        <w:t>educing climate vulnerability in developing countries</w:t>
      </w:r>
      <w:r w:rsidR="00CC5218"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also touch the issue. </w:t>
      </w:r>
      <w:r w:rsidR="0014477D" w:rsidRPr="0002056A">
        <w:rPr>
          <w:rFonts w:ascii="Georgia" w:eastAsia="Times New Roman" w:hAnsi="Georgia" w:cs="Times New Roman"/>
          <w:i/>
          <w:iCs/>
          <w:color w:val="000000"/>
          <w:lang w:val="en-GB" w:eastAsia="hu-HU"/>
        </w:rPr>
        <w:t>S</w:t>
      </w:r>
      <w:r w:rsidRPr="0002056A">
        <w:rPr>
          <w:rFonts w:ascii="Georgia" w:eastAsia="Times New Roman" w:hAnsi="Georgia" w:cs="Times New Roman"/>
          <w:i/>
          <w:iCs/>
          <w:color w:val="000000"/>
          <w:lang w:val="en-GB" w:eastAsia="hu-HU"/>
        </w:rPr>
        <w:t>weden</w:t>
      </w:r>
      <w:r w:rsidRPr="0002056A">
        <w:rPr>
          <w:rFonts w:ascii="Georgia" w:eastAsia="Times New Roman" w:hAnsi="Georgia" w:cs="Times New Roman"/>
          <w:color w:val="000000"/>
          <w:lang w:val="en-GB" w:eastAsia="hu-HU"/>
        </w:rPr>
        <w:t xml:space="preserve"> has a leading role in international climate finance, too. Its NAP lower-level objective 4.7. "</w:t>
      </w:r>
      <w:r w:rsidRPr="0002056A">
        <w:rPr>
          <w:rFonts w:ascii="Georgia" w:eastAsia="Times New Roman" w:hAnsi="Georgia" w:cs="Times New Roman"/>
          <w:i/>
          <w:iCs/>
          <w:color w:val="000000"/>
          <w:lang w:val="en-GB" w:eastAsia="hu-HU"/>
        </w:rPr>
        <w:t>International work on climate adaptation</w:t>
      </w:r>
      <w:r w:rsidRPr="0002056A">
        <w:rPr>
          <w:rFonts w:ascii="Georgia" w:eastAsia="Times New Roman" w:hAnsi="Georgia" w:cs="Times New Roman"/>
          <w:color w:val="000000"/>
          <w:lang w:val="en-GB" w:eastAsia="hu-HU"/>
        </w:rPr>
        <w:t xml:space="preserve">" is directly, among other things, about international cooperation and influence exertion in its entirety: especially its </w:t>
      </w:r>
      <w:r w:rsidR="008915BA" w:rsidRPr="0002056A">
        <w:rPr>
          <w:rFonts w:ascii="Georgia" w:eastAsia="Times New Roman" w:hAnsi="Georgia" w:cs="Times New Roman"/>
          <w:color w:val="000000"/>
          <w:lang w:val="en-GB" w:eastAsia="hu-HU"/>
        </w:rPr>
        <w:t xml:space="preserve">sub-point called </w:t>
      </w:r>
      <w:r w:rsidRPr="0002056A">
        <w:rPr>
          <w:rFonts w:ascii="Georgia" w:eastAsia="Times New Roman" w:hAnsi="Georgia" w:cs="Times New Roman"/>
          <w:color w:val="000000"/>
          <w:lang w:val="en-GB" w:eastAsia="hu-HU"/>
        </w:rPr>
        <w:t>"</w:t>
      </w:r>
      <w:r w:rsidRPr="0002056A">
        <w:rPr>
          <w:rFonts w:ascii="Georgia" w:eastAsia="Times New Roman" w:hAnsi="Georgia" w:cs="Times New Roman"/>
          <w:i/>
          <w:iCs/>
          <w:color w:val="000000"/>
          <w:lang w:val="en-GB" w:eastAsia="hu-HU"/>
        </w:rPr>
        <w:t>International financing and global resilience to climate risks</w:t>
      </w:r>
      <w:r w:rsidRPr="0002056A">
        <w:rPr>
          <w:rFonts w:ascii="Georgia" w:eastAsia="Times New Roman" w:hAnsi="Georgia" w:cs="Times New Roman"/>
          <w:color w:val="000000"/>
          <w:lang w:val="en-GB" w:eastAsia="hu-HU"/>
        </w:rPr>
        <w:t>“</w:t>
      </w:r>
      <w:r w:rsidR="00DB3E90"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deals with the latter. Similarly, the “</w:t>
      </w:r>
      <w:r w:rsidRPr="0002056A">
        <w:rPr>
          <w:rFonts w:ascii="Georgia" w:eastAsia="Times New Roman" w:hAnsi="Georgia" w:cs="Times New Roman"/>
          <w:i/>
          <w:iCs/>
          <w:color w:val="000000"/>
          <w:lang w:val="en-GB" w:eastAsia="hu-HU"/>
        </w:rPr>
        <w:t>Sweden as an international actor</w:t>
      </w:r>
      <w:r w:rsidRPr="0002056A">
        <w:rPr>
          <w:rFonts w:ascii="Georgia" w:eastAsia="Times New Roman" w:hAnsi="Georgia" w:cs="Times New Roman"/>
          <w:color w:val="000000"/>
          <w:lang w:val="en-GB" w:eastAsia="hu-HU"/>
        </w:rPr>
        <w:t>" point says that the Government intends to keep its ambitious global commitment to adaptation and to expand and make Swedish climate assistance more efficient</w:t>
      </w:r>
      <w:r w:rsidR="003126B7" w:rsidRPr="0002056A">
        <w:rPr>
          <w:rFonts w:ascii="Georgia" w:eastAsia="Times New Roman" w:hAnsi="Georgia" w:cs="Times New Roman"/>
          <w:color w:val="000000"/>
          <w:lang w:val="en-GB" w:eastAsia="hu-HU"/>
        </w:rPr>
        <w:t>. With that, says the Strategy, they can</w:t>
      </w:r>
      <w:r w:rsidRPr="0002056A">
        <w:rPr>
          <w:rFonts w:ascii="Georgia" w:eastAsia="Times New Roman" w:hAnsi="Georgia" w:cs="Times New Roman"/>
          <w:color w:val="000000"/>
          <w:lang w:val="en-GB" w:eastAsia="hu-HU"/>
        </w:rPr>
        <w:t xml:space="preserve"> mobilise private capital and technological innovation, concentrating on major investments and local capacity developments in developing countries. </w:t>
      </w:r>
      <w:r w:rsidRPr="0002056A">
        <w:rPr>
          <w:rFonts w:ascii="Georgia" w:eastAsia="Times New Roman" w:hAnsi="Georgia" w:cs="Times New Roman"/>
          <w:i/>
          <w:color w:val="000000"/>
          <w:lang w:val="en-GB" w:eastAsia="hu-HU"/>
        </w:rPr>
        <w:t xml:space="preserve">Denmark’s </w:t>
      </w:r>
      <w:r w:rsidRPr="0002056A">
        <w:rPr>
          <w:rFonts w:ascii="Georgia" w:eastAsia="Times New Roman" w:hAnsi="Georgia" w:cs="Times New Roman"/>
          <w:color w:val="000000"/>
          <w:lang w:val="en-GB" w:eastAsia="hu-HU"/>
        </w:rPr>
        <w:t>NAP</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in its</w:t>
      </w:r>
      <w:r w:rsidRPr="0002056A">
        <w:rPr>
          <w:rFonts w:ascii="Georgia" w:eastAsia="Times New Roman" w:hAnsi="Georgia" w:cs="Times New Roman"/>
          <w:i/>
          <w:color w:val="000000"/>
          <w:lang w:val="en-GB" w:eastAsia="hu-HU"/>
        </w:rPr>
        <w:t xml:space="preserve"> "International climate change adaptation" </w:t>
      </w:r>
      <w:r w:rsidRPr="0002056A">
        <w:rPr>
          <w:rFonts w:ascii="Georgia" w:eastAsia="Times New Roman" w:hAnsi="Georgia" w:cs="Times New Roman"/>
          <w:color w:val="000000"/>
          <w:lang w:val="en-GB" w:eastAsia="hu-HU"/>
        </w:rPr>
        <w:t xml:space="preserve">part mentions also related intentions. In the upper-middle category </w:t>
      </w:r>
      <w:r w:rsidRPr="0002056A">
        <w:rPr>
          <w:rFonts w:ascii="Georgia" w:eastAsia="Times New Roman" w:hAnsi="Georgia" w:cs="Times New Roman"/>
          <w:i/>
          <w:color w:val="000000"/>
          <w:lang w:val="en-GB" w:eastAsia="hu-HU"/>
        </w:rPr>
        <w:t xml:space="preserve">Slovenia, Lithuania, the Netherlands, Belgium, Austria </w:t>
      </w:r>
      <w:r w:rsidRPr="0002056A">
        <w:rPr>
          <w:rFonts w:ascii="Georgia" w:eastAsia="Times New Roman" w:hAnsi="Georgia" w:cs="Times New Roman"/>
          <w:color w:val="000000"/>
          <w:lang w:val="en-GB" w:eastAsia="hu-HU"/>
        </w:rPr>
        <w:t xml:space="preserve">and </w:t>
      </w:r>
      <w:r w:rsidRPr="0002056A">
        <w:rPr>
          <w:rFonts w:ascii="Georgia" w:eastAsia="Times New Roman" w:hAnsi="Georgia" w:cs="Times New Roman"/>
          <w:i/>
          <w:color w:val="000000"/>
          <w:lang w:val="en-GB" w:eastAsia="hu-HU"/>
        </w:rPr>
        <w:t xml:space="preserve">France </w:t>
      </w:r>
      <w:r w:rsidRPr="0002056A">
        <w:rPr>
          <w:rFonts w:ascii="Georgia" w:eastAsia="Times New Roman" w:hAnsi="Georgia" w:cs="Times New Roman"/>
          <w:color w:val="000000"/>
          <w:lang w:val="en-GB" w:eastAsia="hu-HU"/>
        </w:rPr>
        <w:t>explicitly refer to the issue in their NAS document</w:t>
      </w:r>
      <w:r w:rsidR="0014477D"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 but without a dedicated main chapter or measure group. Four, otherwise well-performing countries</w:t>
      </w:r>
      <w:r w:rsidRPr="0002056A">
        <w:rPr>
          <w:rFonts w:ascii="Georgia" w:eastAsia="Times New Roman" w:hAnsi="Georgia" w:cs="Times New Roman"/>
          <w:i/>
          <w:color w:val="000000"/>
          <w:lang w:val="en-GB" w:eastAsia="hu-HU"/>
        </w:rPr>
        <w:t xml:space="preserve"> (Hungary, Switzerland, Wales, Finland) only </w:t>
      </w:r>
      <w:r w:rsidRPr="0002056A">
        <w:rPr>
          <w:rFonts w:ascii="Georgia" w:eastAsia="Times New Roman" w:hAnsi="Georgia" w:cs="Times New Roman"/>
          <w:color w:val="000000"/>
          <w:lang w:val="en-GB" w:eastAsia="hu-HU"/>
        </w:rPr>
        <w:t>implicitly refer to the issue in their document in their objective/measure descriptions or in their situation analyses. 25 countries (more than the half of the analysed states, mostly</w:t>
      </w:r>
      <w:r w:rsidRPr="0002056A">
        <w:rPr>
          <w:rFonts w:ascii="Georgia" w:eastAsia="Times New Roman" w:hAnsi="Georgia" w:cs="Times New Roman"/>
          <w:i/>
          <w:color w:val="000000"/>
          <w:lang w:val="en-GB" w:eastAsia="hu-HU"/>
        </w:rPr>
        <w:t xml:space="preserve"> Central-, Southern- or South-Eastern</w:t>
      </w:r>
      <w:r w:rsidR="00613D62"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Europeans</w:t>
      </w:r>
      <w:r w:rsidRPr="0002056A">
        <w:rPr>
          <w:rFonts w:ascii="Georgia" w:eastAsia="Times New Roman" w:hAnsi="Georgia" w:cs="Times New Roman"/>
          <w:color w:val="000000"/>
          <w:lang w:val="en-GB" w:eastAsia="hu-HU"/>
        </w:rPr>
        <w:t>) do not show any reference to the topic</w:t>
      </w:r>
      <w:r w:rsidRPr="0002056A">
        <w:rPr>
          <w:rFonts w:ascii="Georgia" w:eastAsia="Times New Roman" w:hAnsi="Georgia" w:cs="Times New Roman"/>
          <w:i/>
          <w:color w:val="000000"/>
          <w:lang w:val="en-GB" w:eastAsia="hu-HU"/>
        </w:rPr>
        <w:t>.</w:t>
      </w:r>
    </w:p>
    <w:p w14:paraId="562831DC" w14:textId="77777777" w:rsidR="001D5DDB" w:rsidRPr="0002056A" w:rsidRDefault="001D5DDB">
      <w:pPr>
        <w:spacing w:after="160" w:line="259" w:lineRule="auto"/>
        <w:rPr>
          <w:rFonts w:ascii="Georgia" w:eastAsia="Times New Roman" w:hAnsi="Georgia" w:cs="Times New Roman"/>
          <w:i/>
          <w:color w:val="000000"/>
          <w:lang w:val="en-GB" w:eastAsia="hu-HU"/>
        </w:rPr>
      </w:pPr>
      <w:r w:rsidRPr="0002056A">
        <w:rPr>
          <w:rFonts w:ascii="Georgia" w:eastAsia="Times New Roman" w:hAnsi="Georgia" w:cs="Times New Roman"/>
          <w:i/>
          <w:color w:val="000000"/>
          <w:lang w:val="en-GB" w:eastAsia="hu-HU"/>
        </w:rPr>
        <w:br w:type="page"/>
      </w:r>
    </w:p>
    <w:p w14:paraId="11B7D2BC" w14:textId="77777777" w:rsidR="00720A42" w:rsidRPr="0002056A" w:rsidRDefault="00720A42" w:rsidP="00596939">
      <w:pPr>
        <w:shd w:val="clear" w:color="auto" w:fill="FFFFFF" w:themeFill="background1"/>
        <w:spacing w:before="120" w:after="120"/>
        <w:jc w:val="both"/>
        <w:rPr>
          <w:rFonts w:ascii="Georgia" w:hAnsi="Georgia"/>
          <w:lang w:val="en-GB"/>
        </w:rPr>
      </w:pPr>
    </w:p>
    <w:p w14:paraId="0B19016F" w14:textId="66B8BCD2" w:rsidR="00E97900" w:rsidRPr="0002056A" w:rsidRDefault="0044633C" w:rsidP="00214BD9">
      <w:pPr>
        <w:pStyle w:val="Cmsor3"/>
        <w:numPr>
          <w:ilvl w:val="2"/>
          <w:numId w:val="4"/>
        </w:numPr>
        <w:rPr>
          <w:lang w:val="en-GB"/>
        </w:rPr>
      </w:pPr>
      <w:bookmarkStart w:id="44" w:name="_Toc225578861"/>
      <w:r w:rsidRPr="0002056A">
        <w:rPr>
          <w:lang w:val="en-GB"/>
        </w:rPr>
        <w:t>N</w:t>
      </w:r>
      <w:r w:rsidR="00E97900" w:rsidRPr="0002056A">
        <w:rPr>
          <w:lang w:val="en-GB"/>
        </w:rPr>
        <w:t>ational adaptation MRE activities’ spatiality</w:t>
      </w:r>
      <w:bookmarkEnd w:id="44"/>
    </w:p>
    <w:p w14:paraId="5958C515" w14:textId="20B0D6C3" w:rsidR="00E97900" w:rsidRPr="0002056A" w:rsidRDefault="00E97900" w:rsidP="0059693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themeFill="background1"/>
        <w:spacing w:before="120" w:after="120"/>
        <w:jc w:val="both"/>
        <w:rPr>
          <w:rFonts w:ascii="Georgia" w:hAnsi="Georgia"/>
          <w:lang w:val="en-GB"/>
        </w:rPr>
      </w:pPr>
      <w:r w:rsidRPr="0002056A">
        <w:rPr>
          <w:rFonts w:ascii="Georgia" w:hAnsi="Georgia"/>
          <w:lang w:val="en-GB"/>
        </w:rPr>
        <w:t>The MRE-related main aspect</w:t>
      </w:r>
      <w:r w:rsidR="0044633C" w:rsidRPr="0002056A">
        <w:rPr>
          <w:rFonts w:ascii="Georgia" w:hAnsi="Georgia"/>
          <w:lang w:val="en-GB"/>
        </w:rPr>
        <w:t>’</w:t>
      </w:r>
      <w:r w:rsidRPr="0002056A">
        <w:rPr>
          <w:rFonts w:ascii="Georgia" w:hAnsi="Georgia"/>
          <w:lang w:val="en-GB"/>
        </w:rPr>
        <w:t>s performance w</w:t>
      </w:r>
      <w:r w:rsidR="0044633C" w:rsidRPr="0002056A">
        <w:rPr>
          <w:rFonts w:ascii="Georgia" w:hAnsi="Georgia"/>
          <w:lang w:val="en-GB"/>
        </w:rPr>
        <w:t>as</w:t>
      </w:r>
      <w:r w:rsidRPr="0002056A">
        <w:rPr>
          <w:rFonts w:ascii="Georgia" w:hAnsi="Georgia"/>
          <w:lang w:val="en-GB"/>
        </w:rPr>
        <w:t xml:space="preserve"> altogether weak, or mediocre: </w:t>
      </w:r>
      <w:r w:rsidR="0044633C" w:rsidRPr="0002056A">
        <w:rPr>
          <w:rFonts w:ascii="Georgia" w:hAnsi="Georgia"/>
          <w:lang w:val="en-GB"/>
        </w:rPr>
        <w:t xml:space="preserve">considering the summarized </w:t>
      </w:r>
      <w:r w:rsidR="006E747F" w:rsidRPr="0002056A">
        <w:rPr>
          <w:rFonts w:ascii="Georgia" w:hAnsi="Georgia"/>
          <w:lang w:val="en-GB"/>
        </w:rPr>
        <w:t>values</w:t>
      </w:r>
      <w:r w:rsidR="0044633C" w:rsidRPr="0002056A">
        <w:rPr>
          <w:rFonts w:ascii="Georgia" w:hAnsi="Georgia"/>
          <w:lang w:val="en-GB"/>
        </w:rPr>
        <w:t xml:space="preserve"> of the 6 MRE-related sub-aspects, </w:t>
      </w:r>
      <w:r w:rsidR="00D93A48" w:rsidRPr="0002056A">
        <w:rPr>
          <w:rFonts w:ascii="Georgia" w:hAnsi="Georgia"/>
          <w:lang w:val="en-GB"/>
        </w:rPr>
        <w:t xml:space="preserve">with </w:t>
      </w:r>
      <w:r w:rsidRPr="0002056A">
        <w:rPr>
          <w:rFonts w:ascii="Georgia" w:hAnsi="Georgia"/>
          <w:lang w:val="en-GB"/>
        </w:rPr>
        <w:t xml:space="preserve">the </w:t>
      </w:r>
      <w:r w:rsidR="00D93A48" w:rsidRPr="0002056A">
        <w:rPr>
          <w:rFonts w:ascii="Georgia" w:hAnsi="Georgia"/>
          <w:lang w:val="en-GB"/>
        </w:rPr>
        <w:t xml:space="preserve">exclusion of the 5 best-performing states, the other countries reach only the half of the maximum available points at best. </w:t>
      </w:r>
      <w:r w:rsidR="007D14B7" w:rsidRPr="0002056A">
        <w:rPr>
          <w:rFonts w:ascii="Georgia" w:hAnsi="Georgia"/>
          <w:lang w:val="en-GB"/>
        </w:rPr>
        <w:t>The</w:t>
      </w:r>
      <w:r w:rsidRPr="0002056A">
        <w:rPr>
          <w:rFonts w:ascii="Georgia" w:hAnsi="Georgia"/>
          <w:lang w:val="en-GB"/>
        </w:rPr>
        <w:t xml:space="preserve"> few outstanding performances, </w:t>
      </w:r>
      <w:r w:rsidR="007D14B7" w:rsidRPr="0002056A">
        <w:rPr>
          <w:rFonts w:ascii="Georgia" w:hAnsi="Georgia"/>
          <w:lang w:val="en-GB"/>
        </w:rPr>
        <w:t xml:space="preserve">with </w:t>
      </w:r>
      <w:r w:rsidRPr="0002056A">
        <w:rPr>
          <w:rFonts w:ascii="Georgia" w:hAnsi="Georgia"/>
          <w:lang w:val="en-GB"/>
        </w:rPr>
        <w:t>between 19-24 points out of the maximum available 30</w:t>
      </w:r>
      <w:r w:rsidR="00B57E54" w:rsidRPr="0002056A">
        <w:rPr>
          <w:rFonts w:ascii="Georgia" w:hAnsi="Georgia"/>
          <w:lang w:val="en-GB"/>
        </w:rPr>
        <w:t xml:space="preserve"> are presented by</w:t>
      </w:r>
      <w:r w:rsidRPr="0002056A">
        <w:rPr>
          <w:rFonts w:ascii="Georgia" w:hAnsi="Georgia"/>
          <w:lang w:val="en-GB"/>
        </w:rPr>
        <w:t xml:space="preserve"> </w:t>
      </w:r>
      <w:r w:rsidRPr="0002056A">
        <w:rPr>
          <w:rFonts w:ascii="Georgia" w:hAnsi="Georgia"/>
          <w:i/>
          <w:iCs/>
          <w:lang w:val="en-GB"/>
        </w:rPr>
        <w:t xml:space="preserve">Germany, Switzerland, the Netherlands, England </w:t>
      </w:r>
      <w:r w:rsidRPr="0002056A">
        <w:rPr>
          <w:rFonts w:ascii="Georgia" w:hAnsi="Georgia"/>
          <w:lang w:val="en-GB"/>
        </w:rPr>
        <w:t>and</w:t>
      </w:r>
      <w:r w:rsidRPr="0002056A">
        <w:rPr>
          <w:rFonts w:ascii="Georgia" w:hAnsi="Georgia"/>
          <w:i/>
          <w:iCs/>
          <w:lang w:val="en-GB"/>
        </w:rPr>
        <w:t xml:space="preserve"> Austria</w:t>
      </w:r>
      <w:r w:rsidR="00B57E54" w:rsidRPr="0002056A">
        <w:rPr>
          <w:rFonts w:ascii="Georgia" w:hAnsi="Georgia"/>
          <w:lang w:val="en-GB"/>
        </w:rPr>
        <w:t xml:space="preserve"> </w:t>
      </w:r>
      <w:r w:rsidRPr="0002056A">
        <w:rPr>
          <w:rFonts w:ascii="Georgia" w:hAnsi="Georgia"/>
          <w:lang w:val="en-GB"/>
        </w:rPr>
        <w:t>– again the pioneer states o</w:t>
      </w:r>
      <w:r w:rsidR="00D54A34" w:rsidRPr="0002056A">
        <w:rPr>
          <w:rFonts w:ascii="Georgia" w:hAnsi="Georgia"/>
          <w:lang w:val="en-GB"/>
        </w:rPr>
        <w:t>f</w:t>
      </w:r>
      <w:r w:rsidRPr="0002056A">
        <w:rPr>
          <w:rFonts w:ascii="Georgia" w:hAnsi="Georgia"/>
          <w:lang w:val="en-GB"/>
        </w:rPr>
        <w:t xml:space="preserve"> adaptation planning and</w:t>
      </w:r>
      <w:r w:rsidR="00B57E54" w:rsidRPr="0002056A">
        <w:rPr>
          <w:rFonts w:ascii="Georgia" w:hAnsi="Georgia"/>
          <w:lang w:val="en-GB"/>
        </w:rPr>
        <w:t xml:space="preserve"> consequently, in this case, </w:t>
      </w:r>
      <w:r w:rsidRPr="0002056A">
        <w:rPr>
          <w:rFonts w:ascii="Georgia" w:hAnsi="Georgia"/>
          <w:lang w:val="en-GB"/>
        </w:rPr>
        <w:t xml:space="preserve">MRE. The group of followers is composed by </w:t>
      </w:r>
      <w:r w:rsidRPr="0002056A">
        <w:rPr>
          <w:rFonts w:ascii="Georgia" w:hAnsi="Georgia"/>
          <w:i/>
          <w:iCs/>
          <w:lang w:val="en-GB"/>
        </w:rPr>
        <w:t xml:space="preserve">Hungary </w:t>
      </w:r>
      <w:r w:rsidR="00E86A42" w:rsidRPr="0002056A">
        <w:rPr>
          <w:rFonts w:ascii="Georgia" w:hAnsi="Georgia"/>
          <w:lang w:val="en-GB"/>
        </w:rPr>
        <w:t xml:space="preserve">and the </w:t>
      </w:r>
      <w:r w:rsidRPr="0002056A">
        <w:rPr>
          <w:rFonts w:ascii="Georgia" w:hAnsi="Georgia"/>
          <w:i/>
          <w:iCs/>
          <w:lang w:val="en-GB"/>
        </w:rPr>
        <w:t>Czech Republic</w:t>
      </w:r>
      <w:r w:rsidRPr="0002056A">
        <w:rPr>
          <w:rFonts w:ascii="Georgia" w:hAnsi="Georgia"/>
          <w:lang w:val="en-GB"/>
        </w:rPr>
        <w:t xml:space="preserve"> from </w:t>
      </w:r>
      <w:r w:rsidRPr="0002056A">
        <w:rPr>
          <w:rFonts w:ascii="Georgia" w:hAnsi="Georgia"/>
          <w:i/>
          <w:iCs/>
          <w:lang w:val="en-GB"/>
        </w:rPr>
        <w:t>Eastern</w:t>
      </w:r>
      <w:r w:rsidR="00E86A42" w:rsidRPr="0002056A">
        <w:rPr>
          <w:rFonts w:ascii="Georgia" w:hAnsi="Georgia"/>
          <w:i/>
          <w:iCs/>
          <w:lang w:val="en-GB"/>
        </w:rPr>
        <w:t>-</w:t>
      </w:r>
      <w:r w:rsidRPr="0002056A">
        <w:rPr>
          <w:rFonts w:ascii="Georgia" w:hAnsi="Georgia"/>
          <w:i/>
          <w:iCs/>
          <w:lang w:val="en-GB"/>
        </w:rPr>
        <w:t>Europe</w:t>
      </w:r>
      <w:r w:rsidRPr="0002056A">
        <w:rPr>
          <w:rFonts w:ascii="Georgia" w:hAnsi="Georgia"/>
          <w:lang w:val="en-GB"/>
        </w:rPr>
        <w:t xml:space="preserve">; </w:t>
      </w:r>
      <w:r w:rsidRPr="0002056A">
        <w:rPr>
          <w:rFonts w:ascii="Georgia" w:hAnsi="Georgia"/>
          <w:i/>
          <w:iCs/>
          <w:lang w:val="en-GB"/>
        </w:rPr>
        <w:t>Türkiye</w:t>
      </w:r>
      <w:r w:rsidR="004C3248" w:rsidRPr="0002056A">
        <w:rPr>
          <w:rFonts w:ascii="Georgia" w:hAnsi="Georgia"/>
          <w:lang w:val="en-GB"/>
        </w:rPr>
        <w:t xml:space="preserve"> and</w:t>
      </w:r>
      <w:r w:rsidRPr="0002056A">
        <w:rPr>
          <w:rFonts w:ascii="Georgia" w:hAnsi="Georgia"/>
          <w:i/>
          <w:iCs/>
          <w:lang w:val="en-GB"/>
        </w:rPr>
        <w:t xml:space="preserve"> Spain</w:t>
      </w:r>
      <w:r w:rsidRPr="0002056A">
        <w:rPr>
          <w:rFonts w:ascii="Georgia" w:hAnsi="Georgia"/>
          <w:lang w:val="en-GB"/>
        </w:rPr>
        <w:t xml:space="preserve"> from </w:t>
      </w:r>
      <w:r w:rsidRPr="0002056A">
        <w:rPr>
          <w:rFonts w:ascii="Georgia" w:hAnsi="Georgia"/>
          <w:i/>
          <w:iCs/>
          <w:lang w:val="en-GB"/>
        </w:rPr>
        <w:t>South</w:t>
      </w:r>
      <w:r w:rsidR="004C3248" w:rsidRPr="0002056A">
        <w:rPr>
          <w:rFonts w:ascii="Georgia" w:hAnsi="Georgia"/>
          <w:i/>
          <w:iCs/>
          <w:lang w:val="en-GB"/>
        </w:rPr>
        <w:t>ern</w:t>
      </w:r>
      <w:r w:rsidR="00E86A42" w:rsidRPr="0002056A">
        <w:rPr>
          <w:rFonts w:ascii="Georgia" w:hAnsi="Georgia"/>
          <w:i/>
          <w:iCs/>
          <w:lang w:val="en-GB"/>
        </w:rPr>
        <w:t>-</w:t>
      </w:r>
      <w:r w:rsidRPr="0002056A">
        <w:rPr>
          <w:rFonts w:ascii="Georgia" w:hAnsi="Georgia"/>
          <w:i/>
          <w:iCs/>
          <w:lang w:val="en-GB"/>
        </w:rPr>
        <w:t>Europe</w:t>
      </w:r>
      <w:r w:rsidRPr="0002056A">
        <w:rPr>
          <w:rFonts w:ascii="Georgia" w:hAnsi="Georgia"/>
          <w:lang w:val="en-GB"/>
        </w:rPr>
        <w:t xml:space="preserve">; </w:t>
      </w:r>
      <w:r w:rsidRPr="0002056A">
        <w:rPr>
          <w:rFonts w:ascii="Georgia" w:hAnsi="Georgia"/>
          <w:i/>
          <w:iCs/>
          <w:lang w:val="en-GB"/>
        </w:rPr>
        <w:t xml:space="preserve">Ireland, Wales, Scotland, Denmark, Finland </w:t>
      </w:r>
      <w:r w:rsidRPr="0002056A">
        <w:rPr>
          <w:rFonts w:ascii="Georgia" w:hAnsi="Georgia"/>
          <w:lang w:val="en-GB"/>
        </w:rPr>
        <w:t>and</w:t>
      </w:r>
      <w:r w:rsidRPr="0002056A">
        <w:rPr>
          <w:rFonts w:ascii="Georgia" w:hAnsi="Georgia"/>
          <w:i/>
          <w:iCs/>
          <w:lang w:val="en-GB"/>
        </w:rPr>
        <w:t xml:space="preserve"> Sweden</w:t>
      </w:r>
      <w:r w:rsidRPr="0002056A">
        <w:rPr>
          <w:rFonts w:ascii="Georgia" w:hAnsi="Georgia"/>
          <w:lang w:val="en-GB"/>
        </w:rPr>
        <w:t xml:space="preserve"> from </w:t>
      </w:r>
      <w:r w:rsidRPr="0002056A">
        <w:rPr>
          <w:rFonts w:ascii="Georgia" w:hAnsi="Georgia"/>
          <w:i/>
          <w:iCs/>
          <w:lang w:val="en-GB"/>
        </w:rPr>
        <w:t>Northwestern Europe</w:t>
      </w:r>
      <w:r w:rsidRPr="0002056A">
        <w:rPr>
          <w:rFonts w:ascii="Georgia" w:hAnsi="Georgia"/>
          <w:lang w:val="en-GB"/>
        </w:rPr>
        <w:t xml:space="preserve"> – mostly the aforementioned pioneers again, completed with some Eastern and Southern catching-up </w:t>
      </w:r>
      <w:r w:rsidR="00E86A42" w:rsidRPr="0002056A">
        <w:rPr>
          <w:rFonts w:ascii="Georgia" w:hAnsi="Georgia"/>
          <w:lang w:val="en-GB"/>
        </w:rPr>
        <w:t xml:space="preserve">adaptation </w:t>
      </w:r>
      <w:r w:rsidRPr="0002056A">
        <w:rPr>
          <w:rFonts w:ascii="Georgia" w:hAnsi="Georgia"/>
          <w:lang w:val="en-GB"/>
        </w:rPr>
        <w:t xml:space="preserve">planners. Among the weakest performances, below 6 points, mostly </w:t>
      </w:r>
      <w:r w:rsidRPr="0002056A">
        <w:rPr>
          <w:rFonts w:ascii="Georgia" w:hAnsi="Georgia"/>
          <w:i/>
          <w:iCs/>
          <w:lang w:val="en-GB"/>
        </w:rPr>
        <w:t>South-Eastern European</w:t>
      </w:r>
      <w:r w:rsidRPr="0002056A">
        <w:rPr>
          <w:rFonts w:ascii="Georgia" w:hAnsi="Georgia"/>
          <w:lang w:val="en-GB"/>
        </w:rPr>
        <w:t xml:space="preserve"> states emerge, completed with, surprisingly, </w:t>
      </w:r>
      <w:r w:rsidRPr="0002056A">
        <w:rPr>
          <w:rFonts w:ascii="Georgia" w:hAnsi="Georgia"/>
          <w:i/>
          <w:iCs/>
          <w:lang w:val="en-GB"/>
        </w:rPr>
        <w:t>Norway, Iceland, Belgium</w:t>
      </w:r>
      <w:r w:rsidRPr="0002056A">
        <w:rPr>
          <w:rFonts w:ascii="Georgia" w:hAnsi="Georgia"/>
          <w:lang w:val="en-GB"/>
        </w:rPr>
        <w:t xml:space="preserve"> and </w:t>
      </w:r>
      <w:r w:rsidRPr="0002056A">
        <w:rPr>
          <w:rFonts w:ascii="Georgia" w:hAnsi="Georgia"/>
          <w:i/>
          <w:iCs/>
          <w:lang w:val="en-GB"/>
        </w:rPr>
        <w:t>Luxemburg</w:t>
      </w:r>
      <w:r w:rsidR="00D54A34" w:rsidRPr="0002056A">
        <w:rPr>
          <w:rFonts w:ascii="Georgia" w:hAnsi="Georgia"/>
          <w:i/>
          <w:iCs/>
          <w:lang w:val="en-GB"/>
        </w:rPr>
        <w:t>:</w:t>
      </w:r>
      <w:r w:rsidRPr="0002056A">
        <w:rPr>
          <w:rFonts w:ascii="Georgia" w:hAnsi="Georgia"/>
          <w:lang w:val="en-GB"/>
        </w:rPr>
        <w:t xml:space="preserve"> developed countries, where adaptation planning show outstanding </w:t>
      </w:r>
      <w:r w:rsidR="001678F5" w:rsidRPr="0002056A">
        <w:rPr>
          <w:rFonts w:ascii="Georgia" w:hAnsi="Georgia"/>
          <w:lang w:val="en-GB"/>
        </w:rPr>
        <w:t>qualities</w:t>
      </w:r>
      <w:r w:rsidRPr="0002056A">
        <w:rPr>
          <w:rFonts w:ascii="Georgia" w:hAnsi="Georgia"/>
          <w:lang w:val="en-GB"/>
        </w:rPr>
        <w:t>, but regarding the related MRE activities</w:t>
      </w:r>
      <w:r w:rsidR="001678F5" w:rsidRPr="0002056A">
        <w:rPr>
          <w:rFonts w:ascii="Georgia" w:hAnsi="Georgia"/>
          <w:lang w:val="en-GB"/>
        </w:rPr>
        <w:t>,</w:t>
      </w:r>
      <w:r w:rsidRPr="0002056A">
        <w:rPr>
          <w:rFonts w:ascii="Georgia" w:hAnsi="Georgia"/>
          <w:lang w:val="en-GB"/>
        </w:rPr>
        <w:t xml:space="preserve"> they are only at the beginning of the road</w:t>
      </w:r>
      <w:r w:rsidR="001678F5" w:rsidRPr="0002056A">
        <w:rPr>
          <w:rFonts w:ascii="Georgia" w:hAnsi="Georgia"/>
          <w:lang w:val="en-GB"/>
        </w:rPr>
        <w:t xml:space="preserve"> (Figure 28)</w:t>
      </w:r>
      <w:r w:rsidRPr="0002056A">
        <w:rPr>
          <w:rFonts w:ascii="Georgia" w:hAnsi="Georgia"/>
          <w:lang w:val="en-GB"/>
        </w:rPr>
        <w:t>.</w:t>
      </w:r>
    </w:p>
    <w:p w14:paraId="00E67C75" w14:textId="77777777" w:rsidR="001D5DDB" w:rsidRPr="0002056A" w:rsidRDefault="00E97900" w:rsidP="001D5DDB">
      <w:pPr>
        <w:shd w:val="clear" w:color="auto" w:fill="FFFFFF" w:themeFill="background1"/>
        <w:spacing w:before="120" w:after="120"/>
        <w:jc w:val="both"/>
        <w:rPr>
          <w:rFonts w:ascii="Georgia" w:eastAsia="Times New Roman" w:hAnsi="Georgia" w:cs="Times New Roman"/>
          <w:bCs/>
          <w:iCs/>
          <w:lang w:val="en-GB" w:eastAsia="hu-HU"/>
        </w:rPr>
      </w:pPr>
      <w:r w:rsidRPr="0002056A">
        <w:rPr>
          <w:rFonts w:ascii="Georgia" w:eastAsia="Times New Roman" w:hAnsi="Georgia" w:cs="Times New Roman"/>
          <w:bCs/>
          <w:iCs/>
          <w:lang w:val="en-GB" w:eastAsia="hu-HU"/>
        </w:rPr>
        <w:t>As for the</w:t>
      </w:r>
      <w:r w:rsidRPr="0002056A">
        <w:rPr>
          <w:rFonts w:ascii="Georgia" w:eastAsia="Times New Roman" w:hAnsi="Georgia" w:cs="Times New Roman"/>
          <w:b/>
          <w:iCs/>
          <w:lang w:val="en-GB" w:eastAsia="hu-HU"/>
        </w:rPr>
        <w:t xml:space="preserve"> spatial levels of data connection and reporting activities in adaptation monitoring, </w:t>
      </w:r>
      <w:r w:rsidRPr="0002056A">
        <w:rPr>
          <w:rFonts w:ascii="Georgia" w:eastAsia="Times New Roman" w:hAnsi="Georgia" w:cs="Times New Roman"/>
          <w:bCs/>
          <w:iCs/>
          <w:lang w:val="en-GB" w:eastAsia="hu-HU"/>
        </w:rPr>
        <w:t xml:space="preserve">real spatially oriented </w:t>
      </w:r>
      <w:r w:rsidRPr="0002056A">
        <w:rPr>
          <w:rFonts w:ascii="Georgia" w:hAnsi="Georgia" w:cs="Times New Roman"/>
          <w:bCs/>
          <w:lang w:val="en-GB"/>
        </w:rPr>
        <w:t xml:space="preserve">activities emerge rather </w:t>
      </w:r>
      <w:r w:rsidR="00795E5A" w:rsidRPr="0002056A">
        <w:rPr>
          <w:rFonts w:ascii="Georgia" w:hAnsi="Georgia" w:cs="Times New Roman"/>
          <w:bCs/>
          <w:lang w:val="en-GB"/>
        </w:rPr>
        <w:t>rar</w:t>
      </w:r>
      <w:r w:rsidRPr="0002056A">
        <w:rPr>
          <w:rFonts w:ascii="Georgia" w:hAnsi="Georgia" w:cs="Times New Roman"/>
          <w:bCs/>
          <w:lang w:val="en-GB"/>
        </w:rPr>
        <w:t xml:space="preserve">ely. </w:t>
      </w:r>
      <w:r w:rsidRPr="0002056A">
        <w:rPr>
          <w:rFonts w:ascii="Georgia" w:eastAsia="Times New Roman" w:hAnsi="Georgia" w:cs="Times New Roman"/>
          <w:i/>
          <w:color w:val="000000"/>
          <w:lang w:val="en-GB" w:eastAsia="hu-HU"/>
        </w:rPr>
        <w:t xml:space="preserve">Switzerland, Germany, Austria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the Netherlands </w:t>
      </w:r>
      <w:r w:rsidRPr="0002056A">
        <w:rPr>
          <w:rFonts w:ascii="Georgia" w:eastAsia="Times New Roman" w:hAnsi="Georgia" w:cs="Times New Roman"/>
          <w:color w:val="000000"/>
          <w:lang w:val="en-GB" w:eastAsia="hu-HU"/>
        </w:rPr>
        <w:t xml:space="preserve">compose the best category, with a (more-or less) functioning </w:t>
      </w:r>
      <w:r w:rsidR="00706CEE" w:rsidRPr="0002056A">
        <w:rPr>
          <w:rFonts w:ascii="Georgia" w:eastAsia="Times New Roman" w:hAnsi="Georgia" w:cs="Times New Roman"/>
          <w:color w:val="000000"/>
          <w:lang w:val="en-GB" w:eastAsia="hu-HU"/>
        </w:rPr>
        <w:t xml:space="preserve">national </w:t>
      </w:r>
      <w:r w:rsidRPr="0002056A">
        <w:rPr>
          <w:rFonts w:ascii="Georgia" w:eastAsia="Times New Roman" w:hAnsi="Georgia" w:cs="Times New Roman"/>
          <w:color w:val="000000"/>
          <w:lang w:val="en-GB" w:eastAsia="hu-HU"/>
        </w:rPr>
        <w:t xml:space="preserve">monitoring system in adaptation, using lowest-as-possible level </w:t>
      </w:r>
      <w:r w:rsidR="00795E5A" w:rsidRPr="0002056A">
        <w:rPr>
          <w:rFonts w:ascii="Georgia" w:eastAsia="Times New Roman" w:hAnsi="Georgia" w:cs="Times New Roman"/>
          <w:color w:val="000000"/>
          <w:lang w:val="en-GB" w:eastAsia="hu-HU"/>
        </w:rPr>
        <w:t xml:space="preserve">spatial </w:t>
      </w:r>
      <w:r w:rsidRPr="0002056A">
        <w:rPr>
          <w:rFonts w:ascii="Georgia" w:eastAsia="Times New Roman" w:hAnsi="Georgia" w:cs="Times New Roman"/>
          <w:color w:val="000000"/>
          <w:lang w:val="en-GB" w:eastAsia="hu-HU"/>
        </w:rPr>
        <w:t>data. In</w:t>
      </w:r>
      <w:r w:rsidRPr="0002056A">
        <w:rPr>
          <w:rFonts w:ascii="Georgia" w:eastAsia="Times New Roman" w:hAnsi="Georgia" w:cs="Times New Roman"/>
          <w:i/>
          <w:color w:val="000000"/>
          <w:lang w:val="en-GB" w:eastAsia="hu-HU"/>
        </w:rPr>
        <w:t xml:space="preserve"> Finland, Sweden, Wales, England, Scotland, Ireland (North-Western Europe), Türkiye, Italy, Spain, Greece (Southern</w:t>
      </w:r>
      <w:r w:rsidR="00706CEE"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 xml:space="preserve">Europe)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Bosnia, Slovenia, Lithuania, Latvia, Hungary (ex-Eastern bloc</w:t>
      </w:r>
      <w:r w:rsidR="00706CEE" w:rsidRPr="0002056A">
        <w:rPr>
          <w:rFonts w:ascii="Georgia" w:eastAsia="Times New Roman" w:hAnsi="Georgia" w:cs="Times New Roman"/>
          <w:i/>
          <w:color w:val="000000"/>
          <w:lang w:val="en-GB" w:eastAsia="hu-HU"/>
        </w:rPr>
        <w:t xml:space="preserve"> countries</w:t>
      </w:r>
      <w:r w:rsidRPr="0002056A">
        <w:rPr>
          <w:rFonts w:ascii="Georgia" w:eastAsia="Times New Roman" w:hAnsi="Georgia" w:cs="Times New Roman"/>
          <w:i/>
          <w:color w:val="000000"/>
          <w:lang w:val="en-GB" w:eastAsia="hu-HU"/>
        </w:rPr>
        <w:t>)</w:t>
      </w:r>
      <w:r w:rsidRPr="0002056A">
        <w:rPr>
          <w:rFonts w:ascii="Georgia" w:eastAsia="Times New Roman" w:hAnsi="Georgia" w:cs="Times New Roman"/>
          <w:color w:val="000000"/>
          <w:lang w:val="en-GB" w:eastAsia="hu-HU"/>
        </w:rPr>
        <w:t xml:space="preserve"> MRE systems are planned in adaptation, in the form of an action or objective of the NAS/NAP, with hints for spatial data use. In other words: theoretical establishment of </w:t>
      </w:r>
      <w:r w:rsidRPr="0002056A">
        <w:rPr>
          <w:rFonts w:ascii="Georgia" w:hAnsi="Georgia" w:cs="Times New Roman"/>
          <w:bCs/>
          <w:lang w:val="en-GB"/>
        </w:rPr>
        <w:t xml:space="preserve">MRE activities have </w:t>
      </w:r>
      <w:r w:rsidRPr="0002056A">
        <w:rPr>
          <w:rFonts w:ascii="Georgia" w:eastAsia="Times New Roman" w:hAnsi="Georgia" w:cs="Times New Roman"/>
          <w:color w:val="000000"/>
          <w:lang w:val="en-GB" w:eastAsia="hu-HU"/>
        </w:rPr>
        <w:t>a</w:t>
      </w:r>
      <w:r w:rsidRPr="0002056A">
        <w:rPr>
          <w:rFonts w:ascii="Georgia" w:hAnsi="Georgia" w:cs="Times New Roman"/>
          <w:bCs/>
          <w:lang w:val="en-GB"/>
        </w:rPr>
        <w:t xml:space="preserve">t least started in the analysed countries and out of its pillars monitoring shows the strongest sign, but </w:t>
      </w:r>
      <w:r w:rsidR="00795E5A" w:rsidRPr="0002056A">
        <w:rPr>
          <w:rFonts w:ascii="Georgia" w:hAnsi="Georgia" w:cs="Times New Roman"/>
          <w:bCs/>
          <w:lang w:val="en-GB"/>
        </w:rPr>
        <w:t>only implicit</w:t>
      </w:r>
      <w:r w:rsidRPr="0002056A">
        <w:rPr>
          <w:rFonts w:ascii="Georgia" w:hAnsi="Georgia" w:cs="Times New Roman"/>
          <w:bCs/>
          <w:lang w:val="en-GB"/>
        </w:rPr>
        <w:t xml:space="preserve"> information is available about the</w:t>
      </w:r>
      <w:r w:rsidR="00570521" w:rsidRPr="0002056A">
        <w:rPr>
          <w:rFonts w:ascii="Georgia" w:hAnsi="Georgia" w:cs="Times New Roman"/>
          <w:bCs/>
          <w:lang w:val="en-GB"/>
        </w:rPr>
        <w:t xml:space="preserve"> planned activities’</w:t>
      </w:r>
      <w:r w:rsidRPr="0002056A">
        <w:rPr>
          <w:rFonts w:ascii="Georgia" w:hAnsi="Georgia" w:cs="Times New Roman"/>
          <w:bCs/>
          <w:lang w:val="en-GB"/>
        </w:rPr>
        <w:t xml:space="preserve"> actual spatiality. In </w:t>
      </w:r>
      <w:r w:rsidRPr="0002056A">
        <w:rPr>
          <w:rFonts w:ascii="Georgia" w:eastAsia="Times New Roman" w:hAnsi="Georgia" w:cs="Times New Roman"/>
          <w:color w:val="000000"/>
          <w:lang w:val="en-GB" w:eastAsia="hu-HU"/>
        </w:rPr>
        <w:t>20 more countries (mostly</w:t>
      </w:r>
      <w:r w:rsidRPr="0002056A">
        <w:rPr>
          <w:rFonts w:ascii="Georgia" w:eastAsia="Times New Roman" w:hAnsi="Georgia" w:cs="Times New Roman"/>
          <w:i/>
          <w:color w:val="000000"/>
          <w:lang w:val="en-GB" w:eastAsia="hu-HU"/>
        </w:rPr>
        <w:t xml:space="preserve"> Central-Eastern Europeans </w:t>
      </w:r>
      <w:r w:rsidRPr="0002056A">
        <w:rPr>
          <w:rFonts w:ascii="Georgia" w:eastAsia="Times New Roman" w:hAnsi="Georgia" w:cs="Times New Roman"/>
          <w:color w:val="000000"/>
          <w:lang w:val="en-GB" w:eastAsia="hu-HU"/>
        </w:rPr>
        <w:t xml:space="preserve">and </w:t>
      </w:r>
      <w:r w:rsidRPr="0002056A">
        <w:rPr>
          <w:rFonts w:ascii="Georgia" w:eastAsia="Times New Roman" w:hAnsi="Georgia" w:cs="Times New Roman"/>
          <w:i/>
          <w:color w:val="000000"/>
          <w:lang w:val="en-GB" w:eastAsia="hu-HU"/>
        </w:rPr>
        <w:t>Northerners</w:t>
      </w:r>
      <w:r w:rsidRPr="0002056A">
        <w:rPr>
          <w:rFonts w:ascii="Georgia" w:eastAsia="Times New Roman" w:hAnsi="Georgia" w:cs="Times New Roman"/>
          <w:color w:val="000000"/>
          <w:lang w:val="en-GB" w:eastAsia="hu-HU"/>
        </w:rPr>
        <w:t xml:space="preserve">) </w:t>
      </w:r>
      <w:r w:rsidR="00795E5A" w:rsidRPr="0002056A">
        <w:rPr>
          <w:rFonts w:ascii="Georgia" w:eastAsia="Times New Roman" w:hAnsi="Georgia" w:cs="Times New Roman"/>
          <w:color w:val="000000"/>
          <w:lang w:val="en-GB" w:eastAsia="hu-HU"/>
        </w:rPr>
        <w:t xml:space="preserve">adaptation </w:t>
      </w:r>
      <w:r w:rsidRPr="0002056A">
        <w:rPr>
          <w:rFonts w:ascii="Georgia" w:eastAsia="Times New Roman" w:hAnsi="Georgia" w:cs="Times New Roman"/>
          <w:color w:val="000000"/>
          <w:lang w:val="en-GB" w:eastAsia="hu-HU"/>
        </w:rPr>
        <w:t xml:space="preserve">MRE systems are planned /exists only in sectoral terms (in one or </w:t>
      </w:r>
      <w:r w:rsidR="00570521" w:rsidRPr="0002056A">
        <w:rPr>
          <w:rFonts w:ascii="Georgia" w:eastAsia="Times New Roman" w:hAnsi="Georgia" w:cs="Times New Roman"/>
          <w:color w:val="000000"/>
          <w:lang w:val="en-GB" w:eastAsia="hu-HU"/>
        </w:rPr>
        <w:t>some</w:t>
      </w:r>
      <w:r w:rsidRPr="0002056A">
        <w:rPr>
          <w:rFonts w:ascii="Georgia" w:eastAsia="Times New Roman" w:hAnsi="Georgia" w:cs="Times New Roman"/>
          <w:color w:val="000000"/>
          <w:lang w:val="en-GB" w:eastAsia="hu-HU"/>
        </w:rPr>
        <w:t xml:space="preserve"> of the affected sectors), or </w:t>
      </w:r>
      <w:r w:rsidR="00214BD9" w:rsidRPr="0002056A">
        <w:rPr>
          <w:rFonts w:ascii="Georgia" w:eastAsia="Times New Roman" w:hAnsi="Georgia" w:cs="Times New Roman"/>
          <w:color w:val="000000"/>
          <w:lang w:val="en-GB" w:eastAsia="hu-HU"/>
        </w:rPr>
        <w:t xml:space="preserve">a </w:t>
      </w:r>
      <w:r w:rsidRPr="0002056A">
        <w:rPr>
          <w:rFonts w:ascii="Georgia" w:eastAsia="Times New Roman" w:hAnsi="Georgia" w:cs="Times New Roman"/>
          <w:color w:val="000000"/>
          <w:lang w:val="en-GB" w:eastAsia="hu-HU"/>
        </w:rPr>
        <w:t xml:space="preserve">general climate policy MRE system is under planning but without hints of spatiality. The rest has </w:t>
      </w:r>
      <w:r w:rsidR="003463A5" w:rsidRPr="0002056A">
        <w:rPr>
          <w:rFonts w:ascii="Georgia" w:eastAsia="Times New Roman" w:hAnsi="Georgia" w:cs="Times New Roman"/>
          <w:color w:val="000000"/>
          <w:lang w:val="en-GB" w:eastAsia="hu-HU"/>
        </w:rPr>
        <w:t>neither functioning</w:t>
      </w:r>
      <w:r w:rsidRPr="0002056A">
        <w:rPr>
          <w:rFonts w:ascii="Georgia" w:eastAsia="Times New Roman" w:hAnsi="Georgia" w:cs="Times New Roman"/>
          <w:color w:val="000000"/>
          <w:lang w:val="en-GB" w:eastAsia="hu-HU"/>
        </w:rPr>
        <w:t xml:space="preserve"> MR</w:t>
      </w:r>
      <w:r w:rsidR="003463A5" w:rsidRPr="0002056A">
        <w:rPr>
          <w:rFonts w:ascii="Georgia" w:eastAsia="Times New Roman" w:hAnsi="Georgia" w:cs="Times New Roman"/>
          <w:color w:val="000000"/>
          <w:lang w:val="en-GB" w:eastAsia="hu-HU"/>
        </w:rPr>
        <w:t>E</w:t>
      </w:r>
      <w:r w:rsidRPr="0002056A">
        <w:rPr>
          <w:rFonts w:ascii="Georgia" w:eastAsia="Times New Roman" w:hAnsi="Georgia" w:cs="Times New Roman"/>
          <w:color w:val="000000"/>
          <w:lang w:val="en-GB" w:eastAsia="hu-HU"/>
        </w:rPr>
        <w:t xml:space="preserve"> system</w:t>
      </w:r>
      <w:r w:rsidR="003463A5" w:rsidRPr="0002056A">
        <w:rPr>
          <w:rFonts w:ascii="Georgia" w:eastAsia="Times New Roman" w:hAnsi="Georgia" w:cs="Times New Roman"/>
          <w:color w:val="000000"/>
          <w:lang w:val="en-GB" w:eastAsia="hu-HU"/>
        </w:rPr>
        <w:t xml:space="preserve"> nor </w:t>
      </w:r>
      <w:r w:rsidR="00214BD9" w:rsidRPr="0002056A">
        <w:rPr>
          <w:rFonts w:ascii="Georgia" w:eastAsia="Times New Roman" w:hAnsi="Georgia" w:cs="Times New Roman"/>
          <w:color w:val="000000"/>
          <w:lang w:val="en-GB" w:eastAsia="hu-HU"/>
        </w:rPr>
        <w:t>related development idea</w:t>
      </w:r>
      <w:r w:rsidR="003463A5"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in adaptation anyway</w:t>
      </w:r>
      <w:r w:rsidR="00214BD9" w:rsidRPr="0002056A">
        <w:rPr>
          <w:rFonts w:ascii="Georgia" w:eastAsia="Times New Roman" w:hAnsi="Georgia" w:cs="Times New Roman"/>
          <w:color w:val="000000"/>
          <w:lang w:val="en-GB" w:eastAsia="hu-HU"/>
        </w:rPr>
        <w:t>.</w:t>
      </w:r>
      <w:r w:rsidR="001D5DDB" w:rsidRPr="0002056A">
        <w:rPr>
          <w:rFonts w:ascii="Georgia" w:eastAsia="Times New Roman" w:hAnsi="Georgia" w:cs="Times New Roman"/>
          <w:bCs/>
          <w:iCs/>
          <w:lang w:val="en-GB" w:eastAsia="hu-HU"/>
        </w:rPr>
        <w:t xml:space="preserve"> </w:t>
      </w:r>
    </w:p>
    <w:p w14:paraId="4863038A" w14:textId="0C824E8A" w:rsidR="001D5DDB" w:rsidRPr="0002056A" w:rsidRDefault="001D5DDB" w:rsidP="001D5DDB">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 xml:space="preserve">Considering the </w:t>
      </w:r>
      <w:r w:rsidRPr="0002056A">
        <w:rPr>
          <w:rFonts w:ascii="Georgia" w:eastAsia="Times New Roman" w:hAnsi="Georgia" w:cs="Times New Roman"/>
          <w:b/>
          <w:iCs/>
          <w:lang w:val="en-GB" w:eastAsia="hu-HU"/>
        </w:rPr>
        <w:t xml:space="preserve">spatial content of adaptation indicator sets, </w:t>
      </w:r>
      <w:r w:rsidRPr="0002056A">
        <w:rPr>
          <w:rFonts w:ascii="Georgia" w:eastAsia="Times New Roman" w:hAnsi="Georgia" w:cs="Times New Roman"/>
          <w:bCs/>
          <w:iCs/>
          <w:lang w:val="en-GB" w:eastAsia="hu-HU"/>
        </w:rPr>
        <w:t xml:space="preserve">the picture is mixed again, but in average a rather mediocre situation can be observed. </w:t>
      </w:r>
      <w:r w:rsidRPr="0002056A">
        <w:rPr>
          <w:rFonts w:ascii="Georgia" w:hAnsi="Georgia" w:cs="Times New Roman"/>
          <w:bCs/>
          <w:lang w:val="en-GB"/>
        </w:rPr>
        <w:t xml:space="preserve">Regarding actual indicator sets, existence of real spatial indicator collections is rare. </w:t>
      </w:r>
      <w:r w:rsidRPr="0002056A">
        <w:rPr>
          <w:rFonts w:ascii="Georgia" w:eastAsia="Times New Roman" w:hAnsi="Georgia" w:cs="Times New Roman"/>
          <w:color w:val="000000"/>
          <w:lang w:val="en-GB" w:eastAsia="hu-HU"/>
        </w:rPr>
        <w:t>In altogether 3 countries</w:t>
      </w:r>
      <w:r w:rsidRPr="0002056A">
        <w:rPr>
          <w:rFonts w:ascii="Georgia" w:eastAsia="Times New Roman" w:hAnsi="Georgia" w:cs="Times New Roman"/>
          <w:i/>
          <w:color w:val="000000"/>
          <w:lang w:val="en-GB" w:eastAsia="hu-HU"/>
        </w:rPr>
        <w:t xml:space="preserve"> (Switzerland, Denmark, Germany) </w:t>
      </w:r>
      <w:r w:rsidRPr="0002056A">
        <w:rPr>
          <w:rFonts w:ascii="Georgia" w:eastAsia="Times New Roman" w:hAnsi="Georgia" w:cs="Times New Roman"/>
          <w:color w:val="000000"/>
          <w:lang w:val="en-GB" w:eastAsia="hu-HU"/>
        </w:rPr>
        <w:t xml:space="preserve">there are both impact/result and output indicator sets in adaptation MRE </w:t>
      </w:r>
      <w:r w:rsidR="00216AD0" w:rsidRPr="0002056A">
        <w:rPr>
          <w:rFonts w:ascii="Georgia" w:eastAsia="Times New Roman" w:hAnsi="Georgia" w:cs="Times New Roman"/>
          <w:color w:val="000000"/>
          <w:lang w:val="en-GB" w:eastAsia="hu-HU"/>
        </w:rPr>
        <w:t>practice</w:t>
      </w:r>
      <w:r w:rsidRPr="0002056A">
        <w:rPr>
          <w:rFonts w:ascii="Georgia" w:eastAsia="Times New Roman" w:hAnsi="Georgia" w:cs="Times New Roman"/>
          <w:color w:val="000000"/>
          <w:lang w:val="en-GB" w:eastAsia="hu-HU"/>
        </w:rPr>
        <w:t>, concentrating even on special geographic areas/regions/administrative units. In several</w:t>
      </w:r>
      <w:r w:rsidRPr="0002056A">
        <w:rPr>
          <w:rFonts w:ascii="Georgia" w:eastAsia="Times New Roman" w:hAnsi="Georgia" w:cs="Times New Roman"/>
          <w:i/>
          <w:color w:val="000000"/>
          <w:lang w:val="en-GB" w:eastAsia="hu-HU"/>
        </w:rPr>
        <w:t xml:space="preserve"> Central-Eastern </w:t>
      </w:r>
      <w:r w:rsidRPr="0002056A">
        <w:rPr>
          <w:rFonts w:ascii="Georgia" w:eastAsia="Times New Roman" w:hAnsi="Georgia" w:cs="Times New Roman"/>
          <w:color w:val="000000"/>
          <w:lang w:val="en-GB" w:eastAsia="hu-HU"/>
        </w:rPr>
        <w:t>or</w:t>
      </w:r>
      <w:r w:rsidRPr="0002056A">
        <w:rPr>
          <w:rFonts w:ascii="Georgia" w:eastAsia="Times New Roman" w:hAnsi="Georgia" w:cs="Times New Roman"/>
          <w:i/>
          <w:color w:val="000000"/>
          <w:lang w:val="en-GB" w:eastAsia="hu-HU"/>
        </w:rPr>
        <w:t xml:space="preserve"> Southern European </w:t>
      </w:r>
      <w:r w:rsidRPr="0002056A">
        <w:rPr>
          <w:rFonts w:ascii="Georgia" w:eastAsia="Times New Roman" w:hAnsi="Georgia" w:cs="Times New Roman"/>
          <w:color w:val="000000"/>
          <w:lang w:val="en-GB" w:eastAsia="hu-HU"/>
        </w:rPr>
        <w:t>countries</w:t>
      </w:r>
      <w:r w:rsidRPr="0002056A">
        <w:rPr>
          <w:rFonts w:ascii="Georgia" w:eastAsia="Times New Roman" w:hAnsi="Georgia" w:cs="Times New Roman"/>
          <w:i/>
          <w:color w:val="000000"/>
          <w:lang w:val="en-GB" w:eastAsia="hu-HU"/>
        </w:rPr>
        <w:t xml:space="preserve"> (Türk</w:t>
      </w:r>
      <w:r w:rsidR="00216AD0">
        <w:rPr>
          <w:rFonts w:ascii="Georgia" w:eastAsia="Times New Roman" w:hAnsi="Georgia" w:cs="Times New Roman"/>
          <w:i/>
          <w:color w:val="000000"/>
          <w:lang w:val="en-GB" w:eastAsia="hu-HU"/>
        </w:rPr>
        <w:t>i</w:t>
      </w:r>
      <w:r w:rsidRPr="0002056A">
        <w:rPr>
          <w:rFonts w:ascii="Georgia" w:eastAsia="Times New Roman" w:hAnsi="Georgia" w:cs="Times New Roman"/>
          <w:i/>
          <w:color w:val="000000"/>
          <w:lang w:val="en-GB" w:eastAsia="hu-HU"/>
        </w:rPr>
        <w:t xml:space="preserve">ye, Portugal, Italy, Spain, Serbia, Slovenia, Hungary, Latvia), </w:t>
      </w:r>
      <w:r w:rsidRPr="0002056A">
        <w:rPr>
          <w:rFonts w:ascii="Georgia" w:eastAsia="Times New Roman" w:hAnsi="Georgia" w:cs="Times New Roman"/>
          <w:iCs/>
          <w:color w:val="000000"/>
          <w:lang w:val="en-GB" w:eastAsia="hu-HU"/>
        </w:rPr>
        <w:t xml:space="preserve">together with </w:t>
      </w:r>
      <w:r w:rsidRPr="0002056A">
        <w:rPr>
          <w:rFonts w:ascii="Georgia" w:eastAsia="Times New Roman" w:hAnsi="Georgia" w:cs="Times New Roman"/>
          <w:i/>
          <w:color w:val="000000"/>
          <w:lang w:val="en-GB" w:eastAsia="hu-HU"/>
        </w:rPr>
        <w:t xml:space="preserve">England </w:t>
      </w:r>
      <w:r w:rsidRPr="0002056A">
        <w:rPr>
          <w:rFonts w:ascii="Georgia" w:eastAsia="Times New Roman" w:hAnsi="Georgia" w:cs="Times New Roman"/>
          <w:iCs/>
          <w:color w:val="000000"/>
          <w:lang w:val="en-GB" w:eastAsia="hu-HU"/>
        </w:rPr>
        <w:t xml:space="preserve">and </w:t>
      </w:r>
      <w:r w:rsidRPr="0002056A">
        <w:rPr>
          <w:rFonts w:ascii="Georgia" w:eastAsia="Times New Roman" w:hAnsi="Georgia" w:cs="Times New Roman"/>
          <w:i/>
          <w:color w:val="000000"/>
          <w:lang w:val="en-GB" w:eastAsia="hu-HU"/>
        </w:rPr>
        <w:t xml:space="preserve">Ireland, </w:t>
      </w:r>
      <w:r w:rsidRPr="0002056A">
        <w:rPr>
          <w:rFonts w:ascii="Georgia" w:eastAsia="Times New Roman" w:hAnsi="Georgia" w:cs="Times New Roman"/>
          <w:iCs/>
          <w:color w:val="000000"/>
          <w:lang w:val="en-GB" w:eastAsia="hu-HU"/>
        </w:rPr>
        <w:t>some lower</w:t>
      </w:r>
      <w:r w:rsidRPr="0002056A">
        <w:rPr>
          <w:rFonts w:ascii="Georgia" w:eastAsia="Times New Roman" w:hAnsi="Georgia" w:cs="Times New Roman"/>
          <w:color w:val="000000"/>
          <w:lang w:val="en-GB" w:eastAsia="hu-HU"/>
        </w:rPr>
        <w:t>-level objective-related impact/result indicators (and possibly output indicators) are used, but neither spatial/territorial</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breakdown can be identified nor any geographic/regional specification detected. 15 countries apply only or almost only output indicators in their adaptation policy indicator system, but without spatial focus; or adaptation indicator systems are only under planning. In 7 countries (</w:t>
      </w:r>
      <w:r w:rsidRPr="0002056A">
        <w:rPr>
          <w:rFonts w:ascii="Georgia" w:eastAsia="Times New Roman" w:hAnsi="Georgia" w:cs="Times New Roman"/>
          <w:i/>
          <w:color w:val="000000"/>
          <w:lang w:val="en-GB" w:eastAsia="hu-HU"/>
        </w:rPr>
        <w:t>Norway, Iceland, Malta, Cyprus, Montenegro, Romania, Lithuania</w:t>
      </w:r>
      <w:r w:rsidRPr="0002056A">
        <w:rPr>
          <w:rFonts w:ascii="Georgia" w:eastAsia="Times New Roman" w:hAnsi="Georgia" w:cs="Times New Roman"/>
          <w:color w:val="000000"/>
          <w:lang w:val="en-GB" w:eastAsia="hu-HU"/>
        </w:rPr>
        <w:t>) no indicator system is present/available/planned in adaptation policy.</w:t>
      </w:r>
    </w:p>
    <w:p w14:paraId="3D8D9497" w14:textId="198BA425" w:rsidR="00E97900" w:rsidRPr="0002056A" w:rsidRDefault="00E97900" w:rsidP="00596939">
      <w:pPr>
        <w:shd w:val="clear" w:color="auto" w:fill="FFFFFF" w:themeFill="background1"/>
        <w:spacing w:before="120" w:after="120"/>
        <w:jc w:val="both"/>
        <w:rPr>
          <w:rFonts w:ascii="Georgia" w:hAnsi="Georgia"/>
          <w:lang w:val="en-GB"/>
        </w:rPr>
      </w:pPr>
    </w:p>
    <w:p w14:paraId="0AF00AED" w14:textId="77777777" w:rsidR="005E71CD" w:rsidRPr="0002056A" w:rsidRDefault="005E71CD" w:rsidP="005E71CD">
      <w:pPr>
        <w:spacing w:before="120" w:afterLines="120" w:after="288" w:line="240" w:lineRule="auto"/>
        <w:jc w:val="both"/>
        <w:rPr>
          <w:rFonts w:ascii="Georgia" w:eastAsia="Times New Roman" w:hAnsi="Georgia" w:cs="Times New Roman"/>
          <w:b/>
          <w:bCs/>
          <w:color w:val="000000"/>
          <w:sz w:val="20"/>
          <w:szCs w:val="20"/>
          <w:lang w:val="en-GB" w:eastAsia="hu-HU"/>
        </w:rPr>
      </w:pPr>
      <w:r w:rsidRPr="0002056A">
        <w:rPr>
          <w:rFonts w:ascii="Georgia" w:eastAsia="Times New Roman" w:hAnsi="Georgia" w:cs="Times New Roman"/>
          <w:b/>
          <w:bCs/>
          <w:noProof/>
          <w:color w:val="000000"/>
          <w:sz w:val="20"/>
          <w:szCs w:val="20"/>
          <w:lang w:val="en-GB" w:eastAsia="hu-HU"/>
          <w14:ligatures w14:val="standardContextual"/>
        </w:rPr>
        <w:lastRenderedPageBreak/>
        <w:drawing>
          <wp:inline distT="0" distB="0" distL="0" distR="0" wp14:anchorId="66E17720" wp14:editId="698A88BE">
            <wp:extent cx="5760720" cy="4863465"/>
            <wp:effectExtent l="19050" t="19050" r="11430" b="13335"/>
            <wp:docPr id="1068521941" name="Kép 9" descr="A képen térkép, szöveg,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21941" name="Kép 9" descr="A képen térkép, szöveg, atlasz látható&#10;&#10;Előfordulhat, hogy az AI által létrehozott tartalom helytelen."/>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35DFD454" w14:textId="3DA8849B" w:rsidR="005E71CD" w:rsidRPr="0002056A" w:rsidRDefault="005E71CD" w:rsidP="003353B7">
      <w:pPr>
        <w:jc w:val="center"/>
        <w:rPr>
          <w:lang w:val="en-GB"/>
        </w:rPr>
      </w:pPr>
      <w:r w:rsidRPr="0002056A">
        <w:rPr>
          <w:rFonts w:ascii="Georgia" w:hAnsi="Georgia"/>
          <w:b/>
          <w:bCs/>
          <w:sz w:val="18"/>
          <w:szCs w:val="18"/>
          <w:lang w:val="en-GB"/>
        </w:rPr>
        <w:t xml:space="preserve">Figure </w:t>
      </w:r>
      <w:r w:rsidR="003353B7" w:rsidRPr="0002056A">
        <w:rPr>
          <w:rFonts w:ascii="Georgia" w:hAnsi="Georgia"/>
          <w:b/>
          <w:bCs/>
          <w:sz w:val="18"/>
          <w:szCs w:val="18"/>
          <w:lang w:val="en-GB"/>
        </w:rPr>
        <w:t>28</w:t>
      </w:r>
      <w:r w:rsidRPr="0002056A">
        <w:rPr>
          <w:rFonts w:ascii="Georgia" w:hAnsi="Georgia"/>
          <w:b/>
          <w:bCs/>
          <w:sz w:val="18"/>
          <w:szCs w:val="18"/>
          <w:lang w:val="en-GB"/>
        </w:rPr>
        <w:t>:</w:t>
      </w:r>
      <w:r w:rsidR="003353B7" w:rsidRPr="0002056A">
        <w:rPr>
          <w:rFonts w:ascii="Georgia" w:hAnsi="Georgia"/>
          <w:b/>
          <w:bCs/>
          <w:sz w:val="18"/>
          <w:szCs w:val="18"/>
          <w:lang w:val="en-GB"/>
        </w:rPr>
        <w:t xml:space="preserve"> </w:t>
      </w:r>
      <w:r w:rsidRPr="0002056A">
        <w:rPr>
          <w:rFonts w:ascii="Georgia" w:hAnsi="Georgia"/>
          <w:b/>
          <w:bCs/>
          <w:sz w:val="18"/>
          <w:szCs w:val="18"/>
          <w:lang w:val="en-GB"/>
        </w:rPr>
        <w:t xml:space="preserve">Spatial emphases in the national adaptation MRE activities of the analysed countries </w:t>
      </w:r>
      <w:r w:rsidRPr="0002056A">
        <w:rPr>
          <w:rFonts w:ascii="Georgia" w:hAnsi="Georgia"/>
          <w:i/>
          <w:iCs/>
          <w:sz w:val="18"/>
          <w:szCs w:val="18"/>
          <w:lang w:val="en-GB"/>
        </w:rPr>
        <w:t>Source: own editing.</w:t>
      </w:r>
    </w:p>
    <w:p w14:paraId="004C5315" w14:textId="640B565D" w:rsidR="00E97900" w:rsidRPr="0002056A" w:rsidRDefault="00E97900" w:rsidP="00596939">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 xml:space="preserve">The </w:t>
      </w:r>
      <w:r w:rsidRPr="0002056A">
        <w:rPr>
          <w:rFonts w:ascii="Georgia" w:eastAsia="Times New Roman" w:hAnsi="Georgia" w:cs="Times New Roman"/>
          <w:b/>
          <w:iCs/>
          <w:lang w:val="en-GB" w:eastAsia="hu-HU"/>
        </w:rPr>
        <w:t>presence of GIS</w:t>
      </w:r>
      <w:r w:rsidR="004E5E49" w:rsidRPr="0002056A">
        <w:rPr>
          <w:rFonts w:ascii="Georgia" w:eastAsia="Times New Roman" w:hAnsi="Georgia" w:cs="Times New Roman"/>
          <w:b/>
          <w:iCs/>
          <w:lang w:val="en-GB" w:eastAsia="hu-HU"/>
        </w:rPr>
        <w:t>-</w:t>
      </w:r>
      <w:r w:rsidRPr="0002056A">
        <w:rPr>
          <w:rFonts w:ascii="Georgia" w:eastAsia="Times New Roman" w:hAnsi="Georgia" w:cs="Times New Roman"/>
          <w:b/>
          <w:iCs/>
          <w:lang w:val="en-GB" w:eastAsia="hu-HU"/>
        </w:rPr>
        <w:t>based decision support system</w:t>
      </w:r>
      <w:r w:rsidR="004E5E49" w:rsidRPr="0002056A">
        <w:rPr>
          <w:rFonts w:ascii="Georgia" w:eastAsia="Times New Roman" w:hAnsi="Georgia" w:cs="Times New Roman"/>
          <w:b/>
          <w:iCs/>
          <w:lang w:val="en-GB" w:eastAsia="hu-HU"/>
        </w:rPr>
        <w:t>(s)</w:t>
      </w:r>
      <w:r w:rsidRPr="0002056A">
        <w:rPr>
          <w:rFonts w:ascii="Georgia" w:eastAsia="Times New Roman" w:hAnsi="Georgia" w:cs="Times New Roman"/>
          <w:b/>
          <w:iCs/>
          <w:lang w:val="en-GB" w:eastAsia="hu-HU"/>
        </w:rPr>
        <w:t xml:space="preserve"> in adaptation planning </w:t>
      </w:r>
      <w:r w:rsidRPr="0002056A">
        <w:rPr>
          <w:rFonts w:ascii="Georgia" w:hAnsi="Georgia" w:cs="Times New Roman"/>
          <w:bCs/>
          <w:lang w:val="en-GB"/>
        </w:rPr>
        <w:t xml:space="preserve">also varied throughout Europe. </w:t>
      </w:r>
      <w:r w:rsidR="004E5E49" w:rsidRPr="0002056A">
        <w:rPr>
          <w:rFonts w:ascii="Georgia" w:hAnsi="Georgia" w:cs="Times New Roman"/>
          <w:bCs/>
          <w:lang w:val="en-GB"/>
        </w:rPr>
        <w:t>To date</w:t>
      </w:r>
      <w:r w:rsidRPr="0002056A">
        <w:rPr>
          <w:rFonts w:ascii="Georgia" w:hAnsi="Georgia" w:cs="Times New Roman"/>
          <w:bCs/>
          <w:lang w:val="en-GB"/>
        </w:rPr>
        <w:t xml:space="preserve"> the number of real decision support tools has significantly increased at all spatial levels</w:t>
      </w:r>
      <w:r w:rsidR="00C74C7F" w:rsidRPr="0002056A">
        <w:rPr>
          <w:rFonts w:ascii="Georgia" w:hAnsi="Georgia" w:cs="Times New Roman"/>
          <w:bCs/>
          <w:lang w:val="en-GB"/>
        </w:rPr>
        <w:t xml:space="preserve"> in the continent</w:t>
      </w:r>
      <w:r w:rsidRPr="0002056A">
        <w:rPr>
          <w:rFonts w:ascii="Georgia" w:hAnsi="Georgia" w:cs="Times New Roman"/>
          <w:bCs/>
          <w:lang w:val="en-GB"/>
        </w:rPr>
        <w:t>. However, though several countries are contemplating about development of GIS-based decision support system in adaptation, the number of countries, where the</w:t>
      </w:r>
      <w:r w:rsidR="00C74C7F" w:rsidRPr="0002056A">
        <w:rPr>
          <w:rFonts w:ascii="Georgia" w:hAnsi="Georgia" w:cs="Times New Roman"/>
          <w:bCs/>
          <w:lang w:val="en-GB"/>
        </w:rPr>
        <w:t>se</w:t>
      </w:r>
      <w:r w:rsidRPr="0002056A">
        <w:rPr>
          <w:rFonts w:ascii="Georgia" w:hAnsi="Georgia" w:cs="Times New Roman"/>
          <w:bCs/>
          <w:lang w:val="en-GB"/>
        </w:rPr>
        <w:t xml:space="preserve"> intentions have already been implemented is not so extended.</w:t>
      </w:r>
      <w:r w:rsidRPr="0002056A">
        <w:rPr>
          <w:rFonts w:ascii="Georgia" w:hAnsi="Georgia" w:cs="Times New Roman"/>
          <w:bCs/>
          <w:i/>
          <w:lang w:val="en-GB"/>
        </w:rPr>
        <w:t xml:space="preserve"> </w:t>
      </w:r>
      <w:r w:rsidRPr="0002056A">
        <w:rPr>
          <w:rFonts w:ascii="Georgia" w:eastAsia="Times New Roman" w:hAnsi="Georgia" w:cs="Times New Roman"/>
          <w:color w:val="000000"/>
          <w:lang w:val="en-GB" w:eastAsia="hu-HU"/>
        </w:rPr>
        <w:t>Scattered</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 xml:space="preserve">examples </w:t>
      </w:r>
      <w:r w:rsidR="001D7977" w:rsidRPr="0002056A">
        <w:rPr>
          <w:rFonts w:ascii="Georgia" w:eastAsia="Times New Roman" w:hAnsi="Georgia" w:cs="Times New Roman"/>
          <w:color w:val="000000"/>
          <w:lang w:val="en-GB" w:eastAsia="hu-HU"/>
        </w:rPr>
        <w:t xml:space="preserve">show that some countries, e.g. </w:t>
      </w:r>
      <w:r w:rsidRPr="0002056A">
        <w:rPr>
          <w:rFonts w:ascii="Georgia" w:eastAsia="Times New Roman" w:hAnsi="Georgia" w:cs="Times New Roman"/>
          <w:color w:val="000000"/>
          <w:lang w:val="en-GB" w:eastAsia="hu-HU"/>
        </w:rPr>
        <w:t xml:space="preserve">from </w:t>
      </w:r>
      <w:r w:rsidRPr="0002056A">
        <w:rPr>
          <w:rFonts w:ascii="Georgia" w:eastAsia="Times New Roman" w:hAnsi="Georgia" w:cs="Times New Roman"/>
          <w:i/>
          <w:color w:val="000000"/>
          <w:lang w:val="en-GB" w:eastAsia="hu-HU"/>
        </w:rPr>
        <w:t>Central-Eastern Europe (Hungary, Latvia), Southern</w:t>
      </w:r>
      <w:r w:rsidR="00E2163B"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 xml:space="preserve">Europe (Spain, Türkiye) </w:t>
      </w:r>
      <w:r w:rsidRPr="0002056A">
        <w:rPr>
          <w:rFonts w:ascii="Georgia" w:eastAsia="Times New Roman" w:hAnsi="Georgia" w:cs="Times New Roman"/>
          <w:color w:val="000000"/>
          <w:lang w:val="en-GB" w:eastAsia="hu-HU"/>
        </w:rPr>
        <w:t xml:space="preserve">and from classic, long-time spatial planner pioneer and/or federative </w:t>
      </w:r>
      <w:r w:rsidRPr="0002056A">
        <w:rPr>
          <w:rFonts w:ascii="Georgia" w:eastAsia="Times New Roman" w:hAnsi="Georgia" w:cs="Times New Roman"/>
          <w:i/>
          <w:color w:val="000000"/>
          <w:lang w:val="en-GB" w:eastAsia="hu-HU"/>
        </w:rPr>
        <w:t xml:space="preserve">Western European states (Austria, Switzerland, </w:t>
      </w:r>
      <w:r w:rsidR="006819D9" w:rsidRPr="0002056A">
        <w:rPr>
          <w:rFonts w:ascii="Georgia" w:eastAsia="Times New Roman" w:hAnsi="Georgia" w:cs="Times New Roman"/>
          <w:i/>
          <w:color w:val="000000"/>
          <w:lang w:val="en-GB" w:eastAsia="hu-HU"/>
        </w:rPr>
        <w:t xml:space="preserve">France, </w:t>
      </w:r>
      <w:r w:rsidRPr="0002056A">
        <w:rPr>
          <w:rFonts w:ascii="Georgia" w:eastAsia="Times New Roman" w:hAnsi="Georgia" w:cs="Times New Roman"/>
          <w:i/>
          <w:color w:val="000000"/>
          <w:lang w:val="en-GB" w:eastAsia="hu-HU"/>
        </w:rPr>
        <w:t xml:space="preserve">Germany, the Netherlands, Ireland, England, Denmark) </w:t>
      </w:r>
      <w:r w:rsidRPr="0002056A">
        <w:rPr>
          <w:rFonts w:ascii="Georgia" w:eastAsia="Times New Roman" w:hAnsi="Georgia" w:cs="Times New Roman"/>
          <w:color w:val="000000"/>
          <w:lang w:val="en-GB" w:eastAsia="hu-HU"/>
        </w:rPr>
        <w:t>have already a functioning GIS-based, adaptation-oriented</w:t>
      </w:r>
      <w:r w:rsidR="001D7977" w:rsidRPr="0002056A">
        <w:rPr>
          <w:rFonts w:ascii="Georgia" w:eastAsia="Times New Roman" w:hAnsi="Georgia" w:cs="Times New Roman"/>
          <w:color w:val="000000"/>
          <w:lang w:val="en-GB" w:eastAsia="hu-HU"/>
        </w:rPr>
        <w:t>, sometimes</w:t>
      </w:r>
      <w:r w:rsidRPr="0002056A">
        <w:rPr>
          <w:rFonts w:ascii="Georgia" w:eastAsia="Times New Roman" w:hAnsi="Georgia" w:cs="Times New Roman"/>
          <w:color w:val="000000"/>
          <w:lang w:val="en-GB" w:eastAsia="hu-HU"/>
        </w:rPr>
        <w:t xml:space="preserve"> multi-thematic GIS-based </w:t>
      </w:r>
      <w:r w:rsidR="00E2163B" w:rsidRPr="0002056A">
        <w:rPr>
          <w:rFonts w:ascii="Georgia" w:hAnsi="Georgia" w:cs="Times New Roman"/>
          <w:bCs/>
          <w:lang w:val="en-GB"/>
        </w:rPr>
        <w:t>decision support</w:t>
      </w:r>
      <w:r w:rsidRPr="0002056A">
        <w:rPr>
          <w:rFonts w:ascii="Georgia" w:eastAsia="Times New Roman" w:hAnsi="Georgia" w:cs="Times New Roman"/>
          <w:color w:val="000000"/>
          <w:lang w:val="en-GB" w:eastAsia="hu-HU"/>
        </w:rPr>
        <w:t xml:space="preserve"> tool (or tools).</w:t>
      </w:r>
      <w:r w:rsidRPr="0002056A">
        <w:rPr>
          <w:rFonts w:ascii="Georgia" w:eastAsia="Times New Roman" w:hAnsi="Georgia" w:cs="Times New Roman"/>
          <w:i/>
          <w:color w:val="000000"/>
          <w:lang w:val="en-GB" w:eastAsia="hu-HU"/>
        </w:rPr>
        <w:t xml:space="preserve"> </w:t>
      </w:r>
      <w:r w:rsidRPr="0002056A">
        <w:rPr>
          <w:rFonts w:ascii="Georgia" w:hAnsi="Georgia" w:cs="Times New Roman"/>
          <w:bCs/>
          <w:i/>
          <w:lang w:val="en-GB"/>
        </w:rPr>
        <w:t xml:space="preserve">Hungary’s </w:t>
      </w:r>
      <w:r w:rsidRPr="0002056A">
        <w:rPr>
          <w:rFonts w:ascii="Georgia" w:hAnsi="Georgia" w:cs="Times New Roman"/>
          <w:bCs/>
          <w:lang w:val="en-GB"/>
        </w:rPr>
        <w:t>National Adaptation Geo-Information System is an outstanding example regarding its thematic coverage, complexity and spatial vulnerability</w:t>
      </w:r>
      <w:r w:rsidR="00E2163B" w:rsidRPr="0002056A">
        <w:rPr>
          <w:rFonts w:ascii="Georgia" w:hAnsi="Georgia" w:cs="Times New Roman"/>
          <w:bCs/>
          <w:lang w:val="en-GB"/>
        </w:rPr>
        <w:t>-</w:t>
      </w:r>
      <w:r w:rsidRPr="0002056A">
        <w:rPr>
          <w:rFonts w:ascii="Georgia" w:hAnsi="Georgia" w:cs="Times New Roman"/>
          <w:bCs/>
          <w:lang w:val="en-GB"/>
        </w:rPr>
        <w:t xml:space="preserve">orientation. </w:t>
      </w:r>
      <w:r w:rsidR="00216AD0" w:rsidRPr="0002056A">
        <w:rPr>
          <w:rFonts w:ascii="Georgia" w:hAnsi="Georgia"/>
          <w:i/>
          <w:lang w:val="en-GB"/>
        </w:rPr>
        <w:t>Türkiye</w:t>
      </w:r>
      <w:r w:rsidRPr="0002056A">
        <w:rPr>
          <w:rFonts w:ascii="Georgia" w:hAnsi="Georgia"/>
          <w:lang w:val="en-GB"/>
        </w:rPr>
        <w:t xml:space="preserve"> has recently made operational its climate portal (</w:t>
      </w:r>
      <w:hyperlink r:id="rId46" w:history="1">
        <w:r w:rsidRPr="0002056A">
          <w:rPr>
            <w:rStyle w:val="Hiperhivatkozs"/>
            <w:rFonts w:ascii="Georgia" w:hAnsi="Georgia"/>
            <w:lang w:val="en-GB"/>
          </w:rPr>
          <w:t>https://iklimportal.gov.tr/</w:t>
        </w:r>
      </w:hyperlink>
      <w:r w:rsidRPr="0002056A">
        <w:rPr>
          <w:rFonts w:ascii="Georgia" w:hAnsi="Georgia"/>
          <w:lang w:val="en-GB"/>
        </w:rPr>
        <w:t xml:space="preserve">), similar in its structure and target groups to the Hungarian solution. In </w:t>
      </w:r>
      <w:r w:rsidRPr="0002056A">
        <w:rPr>
          <w:rFonts w:ascii="Georgia" w:hAnsi="Georgia"/>
          <w:i/>
          <w:lang w:val="en-GB"/>
        </w:rPr>
        <w:t>Switzerland</w:t>
      </w:r>
      <w:r w:rsidRPr="0002056A">
        <w:rPr>
          <w:rFonts w:ascii="Georgia" w:hAnsi="Georgia"/>
          <w:lang w:val="en-GB"/>
        </w:rPr>
        <w:t xml:space="preserve">, based on </w:t>
      </w:r>
      <w:r w:rsidR="001D7977" w:rsidRPr="0002056A">
        <w:rPr>
          <w:rFonts w:ascii="Georgia" w:hAnsi="Georgia"/>
          <w:lang w:val="en-GB"/>
        </w:rPr>
        <w:t>a</w:t>
      </w:r>
      <w:r w:rsidRPr="0002056A">
        <w:rPr>
          <w:rFonts w:ascii="Georgia" w:hAnsi="Georgia"/>
          <w:lang w:val="en-GB"/>
        </w:rPr>
        <w:t xml:space="preserve"> NAS priority theme</w:t>
      </w:r>
      <w:r w:rsidR="001D7977" w:rsidRPr="0002056A">
        <w:rPr>
          <w:rFonts w:ascii="Georgia" w:hAnsi="Georgia"/>
          <w:lang w:val="en-GB"/>
        </w:rPr>
        <w:t>,</w:t>
      </w:r>
      <w:r w:rsidRPr="0002056A">
        <w:rPr>
          <w:rFonts w:ascii="Georgia" w:hAnsi="Georgia"/>
          <w:lang w:val="en-GB"/>
        </w:rPr>
        <w:t xml:space="preserve"> “</w:t>
      </w:r>
      <w:r w:rsidRPr="0002056A">
        <w:rPr>
          <w:rFonts w:ascii="Georgia" w:hAnsi="Georgia"/>
          <w:i/>
          <w:iCs/>
          <w:lang w:val="en-GB"/>
        </w:rPr>
        <w:t>CH2018 Climate Scenarios</w:t>
      </w:r>
      <w:r w:rsidRPr="0002056A">
        <w:rPr>
          <w:rFonts w:ascii="Georgia" w:hAnsi="Georgia"/>
          <w:lang w:val="en-GB"/>
        </w:rPr>
        <w:t xml:space="preserve">” project produces </w:t>
      </w:r>
      <w:r w:rsidR="00C33794" w:rsidRPr="0002056A">
        <w:rPr>
          <w:rFonts w:ascii="Georgia" w:hAnsi="Georgia"/>
          <w:lang w:val="en-GB"/>
        </w:rPr>
        <w:t xml:space="preserve">valuable </w:t>
      </w:r>
      <w:r w:rsidRPr="0002056A">
        <w:rPr>
          <w:rFonts w:ascii="Georgia" w:hAnsi="Georgia"/>
          <w:lang w:val="en-GB"/>
        </w:rPr>
        <w:t xml:space="preserve">information and bundle them in cantonal fact sheets. Corresponding figures are available in the CH2018 web atlas. On the nccs.admin.ch website under the regional information menu, macro regional data (Grossregionen - present and future projections with diagrams), canton-level downloadable </w:t>
      </w:r>
      <w:r w:rsidRPr="0002056A">
        <w:rPr>
          <w:rFonts w:ascii="Georgia" w:hAnsi="Georgia"/>
          <w:lang w:val="en-GB"/>
        </w:rPr>
        <w:lastRenderedPageBreak/>
        <w:t xml:space="preserve">factsheets and projections are available. City and settlement-level data supporting decisions can be obtained from </w:t>
      </w:r>
      <w:r w:rsidR="00A4189C" w:rsidRPr="0002056A">
        <w:rPr>
          <w:rFonts w:ascii="Georgia" w:hAnsi="Georgia"/>
          <w:lang w:val="en-GB"/>
        </w:rPr>
        <w:t xml:space="preserve">the </w:t>
      </w:r>
      <w:hyperlink r:id="rId47" w:history="1">
        <w:r w:rsidR="00A4189C" w:rsidRPr="0002056A">
          <w:rPr>
            <w:rStyle w:val="Hiperhivatkozs"/>
            <w:rFonts w:ascii="Georgia" w:hAnsi="Georgia"/>
            <w:lang w:val="en-GB"/>
          </w:rPr>
          <w:t>www.onlinetool-klimaanpassung.ch</w:t>
        </w:r>
      </w:hyperlink>
      <w:r w:rsidR="00A4189C" w:rsidRPr="0002056A">
        <w:rPr>
          <w:rFonts w:ascii="Georgia" w:hAnsi="Georgia"/>
          <w:lang w:val="en-GB"/>
        </w:rPr>
        <w:t xml:space="preserve"> website.</w:t>
      </w:r>
      <w:r w:rsidRPr="0002056A">
        <w:rPr>
          <w:rFonts w:ascii="Georgia" w:hAnsi="Georgia"/>
          <w:lang w:val="en-GB"/>
        </w:rPr>
        <w:t xml:space="preserve"> In </w:t>
      </w:r>
      <w:r w:rsidRPr="0002056A">
        <w:rPr>
          <w:rFonts w:ascii="Georgia" w:hAnsi="Georgia"/>
          <w:i/>
          <w:lang w:val="en-GB"/>
        </w:rPr>
        <w:t>Germany</w:t>
      </w:r>
      <w:r w:rsidRPr="0002056A">
        <w:rPr>
          <w:rFonts w:ascii="Georgia" w:hAnsi="Georgia"/>
          <w:lang w:val="en-GB"/>
        </w:rPr>
        <w:t xml:space="preserve"> multiple types of decision supporting websites can be found.  In </w:t>
      </w:r>
      <w:r w:rsidRPr="0002056A">
        <w:rPr>
          <w:rFonts w:ascii="Georgia" w:hAnsi="Georgia"/>
          <w:i/>
          <w:lang w:val="en-GB"/>
        </w:rPr>
        <w:t xml:space="preserve">the Netherlands </w:t>
      </w:r>
      <w:r w:rsidR="00DE1DA4" w:rsidRPr="0002056A">
        <w:rPr>
          <w:rFonts w:ascii="Georgia" w:hAnsi="Georgia"/>
          <w:iCs/>
          <w:lang w:val="en-GB"/>
        </w:rPr>
        <w:t xml:space="preserve">the </w:t>
      </w:r>
      <w:r w:rsidRPr="0002056A">
        <w:rPr>
          <w:rFonts w:ascii="Georgia" w:hAnsi="Georgia"/>
          <w:lang w:val="en-GB"/>
        </w:rPr>
        <w:t xml:space="preserve">Climate Impact Atlas (klimaateffectatlas.nl/en) provides an initial impression of the (future) threats of flooding, waterlogging, drought and heat. </w:t>
      </w:r>
      <w:r w:rsidRPr="0002056A">
        <w:rPr>
          <w:rFonts w:ascii="Georgia" w:hAnsi="Georgia"/>
          <w:i/>
          <w:lang w:val="en-GB"/>
        </w:rPr>
        <w:t>England</w:t>
      </w:r>
      <w:r w:rsidRPr="0002056A">
        <w:rPr>
          <w:rFonts w:ascii="Georgia" w:hAnsi="Georgia"/>
          <w:lang w:val="en-GB"/>
        </w:rPr>
        <w:t>’s NAP in its „</w:t>
      </w:r>
      <w:r w:rsidRPr="0002056A">
        <w:rPr>
          <w:rFonts w:ascii="Georgia" w:hAnsi="Georgia"/>
          <w:i/>
          <w:iCs/>
          <w:lang w:val="en-GB"/>
        </w:rPr>
        <w:t>Infrastructure</w:t>
      </w:r>
      <w:r w:rsidRPr="0002056A">
        <w:rPr>
          <w:rFonts w:ascii="Georgia" w:hAnsi="Georgia"/>
          <w:lang w:val="en-GB"/>
        </w:rPr>
        <w:t>” chapter/”</w:t>
      </w:r>
      <w:r w:rsidRPr="0002056A">
        <w:rPr>
          <w:rFonts w:ascii="Georgia" w:hAnsi="Georgia"/>
          <w:i/>
          <w:iCs/>
          <w:lang w:val="en-GB"/>
        </w:rPr>
        <w:t>Cascading Failures</w:t>
      </w:r>
      <w:r w:rsidRPr="0002056A">
        <w:rPr>
          <w:rFonts w:ascii="Georgia" w:hAnsi="Georgia"/>
          <w:lang w:val="en-GB"/>
        </w:rPr>
        <w:t>” subchapter talks about the Critical National Infrastructure Knowledge Base and Mapping Tool, that identifies risks and interdependencies across and within sectors, working with infrastructure owners and operators. The so</w:t>
      </w:r>
      <w:r w:rsidR="007F1DC5" w:rsidRPr="0002056A">
        <w:rPr>
          <w:rFonts w:ascii="Georgia" w:hAnsi="Georgia"/>
          <w:lang w:val="en-GB"/>
        </w:rPr>
        <w:t>-</w:t>
      </w:r>
      <w:r w:rsidRPr="0002056A">
        <w:rPr>
          <w:rFonts w:ascii="Georgia" w:hAnsi="Georgia"/>
          <w:lang w:val="en-GB"/>
        </w:rPr>
        <w:t>called United Kingdom Climate Projections (UKCIP) site provides information on anticipated changes to climate variables such as precipitation, temperature and sea-level rise and is used to inform the regular UK Climate Change Risk Assessments (CCRAs</w:t>
      </w:r>
      <w:r w:rsidR="00FB3D99" w:rsidRPr="0002056A">
        <w:rPr>
          <w:rFonts w:ascii="Georgia" w:hAnsi="Georgia"/>
          <w:lang w:val="en-GB"/>
        </w:rPr>
        <w:t xml:space="preserve"> – both the national version and its country-part volumes)</w:t>
      </w:r>
      <w:r w:rsidRPr="0002056A">
        <w:rPr>
          <w:rFonts w:ascii="Georgia" w:hAnsi="Georgia"/>
          <w:lang w:val="en-GB"/>
        </w:rPr>
        <w:t xml:space="preserve"> and, based on this, the NAP. In </w:t>
      </w:r>
      <w:r w:rsidRPr="0002056A">
        <w:rPr>
          <w:rFonts w:ascii="Georgia" w:hAnsi="Georgia"/>
          <w:i/>
          <w:lang w:val="en-GB"/>
        </w:rPr>
        <w:t>France</w:t>
      </w:r>
      <w:r w:rsidRPr="0002056A">
        <w:rPr>
          <w:rFonts w:ascii="Georgia" w:hAnsi="Georgia"/>
          <w:lang w:val="en-GB"/>
        </w:rPr>
        <w:t xml:space="preserve"> </w:t>
      </w:r>
      <w:r w:rsidRPr="0002056A">
        <w:rPr>
          <w:rFonts w:ascii="Georgia" w:hAnsi="Georgia" w:cs="ArialMT"/>
          <w:lang w:val="en-GB"/>
        </w:rPr>
        <w:t xml:space="preserve">the </w:t>
      </w:r>
      <w:r w:rsidR="00DE1DA4" w:rsidRPr="0002056A">
        <w:rPr>
          <w:rFonts w:ascii="Georgia" w:hAnsi="Georgia" w:cs="ArialMT"/>
          <w:lang w:val="en-GB"/>
        </w:rPr>
        <w:t>„</w:t>
      </w:r>
      <w:r w:rsidRPr="0002056A">
        <w:rPr>
          <w:rFonts w:ascii="Georgia" w:hAnsi="Georgia" w:cs="ArialMT"/>
          <w:i/>
          <w:iCs/>
          <w:lang w:val="en-GB"/>
        </w:rPr>
        <w:t>DRIAS Futures of Climate</w:t>
      </w:r>
      <w:r w:rsidR="00DE1DA4" w:rsidRPr="0002056A">
        <w:rPr>
          <w:rFonts w:ascii="Georgia" w:hAnsi="Georgia" w:cs="ArialMT"/>
          <w:lang w:val="en-GB"/>
        </w:rPr>
        <w:t>”</w:t>
      </w:r>
      <w:r w:rsidRPr="0002056A">
        <w:rPr>
          <w:rFonts w:ascii="Georgia" w:hAnsi="Georgia" w:cs="ArialMT"/>
          <w:lang w:val="en-GB"/>
        </w:rPr>
        <w:t xml:space="preserve"> portal offers regionalised climate data for a variety of users. </w:t>
      </w:r>
      <w:r w:rsidR="00DE1DA4" w:rsidRPr="0002056A">
        <w:rPr>
          <w:rFonts w:ascii="Georgia" w:eastAsia="Times New Roman" w:hAnsi="Georgia" w:cs="Times New Roman"/>
          <w:color w:val="000000"/>
          <w:lang w:val="en-GB" w:eastAsia="hu-HU"/>
        </w:rPr>
        <w:t>I</w:t>
      </w:r>
      <w:r w:rsidRPr="0002056A">
        <w:rPr>
          <w:rFonts w:ascii="Georgia" w:eastAsia="Times New Roman" w:hAnsi="Georgia" w:cs="Times New Roman"/>
          <w:color w:val="000000"/>
          <w:lang w:val="en-GB" w:eastAsia="hu-HU"/>
        </w:rPr>
        <w:t>n the upper-middle category, namely with</w:t>
      </w:r>
      <w:r w:rsidRPr="0002056A">
        <w:rPr>
          <w:rFonts w:ascii="Georgia" w:eastAsia="Times New Roman" w:hAnsi="Georgia" w:cs="Times New Roman"/>
          <w:i/>
          <w:color w:val="000000"/>
          <w:lang w:val="en-GB" w:eastAsia="hu-HU"/>
        </w:rPr>
        <w:t xml:space="preserve"> Central-Europeans (Serbia, Slovenia, Slovakia, Romania, Poland, Czech Republic) South</w:t>
      </w:r>
      <w:r w:rsidR="004D1B11"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 xml:space="preserve">-Europeans (Portugal, Greece, Italy), </w:t>
      </w:r>
      <w:r w:rsidRPr="0002056A">
        <w:rPr>
          <w:rFonts w:ascii="Georgia" w:eastAsia="Times New Roman" w:hAnsi="Georgia" w:cs="Times New Roman"/>
          <w:color w:val="000000"/>
          <w:lang w:val="en-GB" w:eastAsia="hu-HU"/>
        </w:rPr>
        <w:t xml:space="preserve">and </w:t>
      </w:r>
      <w:r w:rsidR="00EA4B58" w:rsidRPr="0002056A">
        <w:rPr>
          <w:rFonts w:ascii="Georgia" w:eastAsia="Times New Roman" w:hAnsi="Georgia" w:cs="Times New Roman"/>
          <w:color w:val="000000"/>
          <w:lang w:val="en-GB" w:eastAsia="hu-HU"/>
        </w:rPr>
        <w:t xml:space="preserve">a </w:t>
      </w:r>
      <w:r w:rsidRPr="0002056A">
        <w:rPr>
          <w:rFonts w:ascii="Georgia" w:eastAsia="Times New Roman" w:hAnsi="Georgia" w:cs="Times New Roman"/>
          <w:color w:val="000000"/>
          <w:lang w:val="en-GB" w:eastAsia="hu-HU"/>
        </w:rPr>
        <w:t>traditionally best-performing</w:t>
      </w:r>
      <w:r w:rsidRPr="0002056A">
        <w:rPr>
          <w:rFonts w:ascii="Georgia" w:eastAsia="Times New Roman" w:hAnsi="Georgia" w:cs="Times New Roman"/>
          <w:i/>
          <w:color w:val="000000"/>
          <w:lang w:val="en-GB" w:eastAsia="hu-HU"/>
        </w:rPr>
        <w:t xml:space="preserve"> Western</w:t>
      </w:r>
      <w:r w:rsidR="004D1B11"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 xml:space="preserve">European (Scotland) </w:t>
      </w:r>
      <w:r w:rsidRPr="0002056A">
        <w:rPr>
          <w:rFonts w:ascii="Georgia" w:eastAsia="Times New Roman" w:hAnsi="Georgia" w:cs="Times New Roman"/>
          <w:color w:val="000000"/>
          <w:lang w:val="en-GB" w:eastAsia="hu-HU"/>
        </w:rPr>
        <w:t xml:space="preserve">adaptation-oriented thematic, GIS-based </w:t>
      </w:r>
      <w:r w:rsidR="00EA4B58" w:rsidRPr="0002056A">
        <w:rPr>
          <w:rFonts w:ascii="Georgia" w:hAnsi="Georgia" w:cs="Times New Roman"/>
          <w:bCs/>
          <w:lang w:val="en-GB"/>
        </w:rPr>
        <w:t>decision</w:t>
      </w:r>
      <w:r w:rsidRPr="0002056A">
        <w:rPr>
          <w:rFonts w:ascii="Georgia" w:eastAsia="Times New Roman" w:hAnsi="Georgia" w:cs="Times New Roman"/>
          <w:color w:val="000000"/>
          <w:lang w:val="en-GB" w:eastAsia="hu-HU"/>
        </w:rPr>
        <w:t xml:space="preserve"> </w:t>
      </w:r>
      <w:r w:rsidR="00EA4B58" w:rsidRPr="0002056A">
        <w:rPr>
          <w:rFonts w:ascii="Georgia" w:eastAsia="Times New Roman" w:hAnsi="Georgia" w:cs="Times New Roman"/>
          <w:color w:val="000000"/>
          <w:lang w:val="en-GB" w:eastAsia="hu-HU"/>
        </w:rPr>
        <w:t xml:space="preserve">support </w:t>
      </w:r>
      <w:r w:rsidRPr="0002056A">
        <w:rPr>
          <w:rFonts w:ascii="Georgia" w:eastAsia="Times New Roman" w:hAnsi="Georgia" w:cs="Times New Roman"/>
          <w:color w:val="000000"/>
          <w:lang w:val="en-GB" w:eastAsia="hu-HU"/>
        </w:rPr>
        <w:t xml:space="preserve">tool’s establishment is only planned </w:t>
      </w:r>
      <w:r w:rsidR="00887E27" w:rsidRPr="0002056A">
        <w:rPr>
          <w:rFonts w:ascii="Georgia" w:eastAsia="Times New Roman" w:hAnsi="Georgia" w:cs="Times New Roman"/>
          <w:color w:val="000000"/>
          <w:lang w:val="en-GB" w:eastAsia="hu-HU"/>
        </w:rPr>
        <w:t xml:space="preserve">by the states </w:t>
      </w:r>
      <w:r w:rsidRPr="0002056A">
        <w:rPr>
          <w:rFonts w:ascii="Georgia" w:eastAsia="Times New Roman" w:hAnsi="Georgia" w:cs="Times New Roman"/>
          <w:color w:val="000000"/>
          <w:lang w:val="en-GB" w:eastAsia="hu-HU"/>
        </w:rPr>
        <w:t>currently</w:t>
      </w:r>
      <w:r w:rsidR="00887E27"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in the form of an action or objective in the NAS/NAP, or there is only a climate data-oriented GIS-based system, without risk, vulnerability, sensitivity or adaptive capacity measurements. The other 15+5 countries are those where </w:t>
      </w:r>
      <w:r w:rsidR="00887E27" w:rsidRPr="0002056A">
        <w:rPr>
          <w:rFonts w:ascii="Georgia" w:eastAsia="Times New Roman" w:hAnsi="Georgia" w:cs="Times New Roman"/>
          <w:color w:val="000000"/>
          <w:lang w:val="en-GB" w:eastAsia="hu-HU"/>
        </w:rPr>
        <w:t xml:space="preserve">either </w:t>
      </w:r>
      <w:r w:rsidRPr="0002056A">
        <w:rPr>
          <w:rFonts w:ascii="Georgia" w:eastAsia="Times New Roman" w:hAnsi="Georgia" w:cs="Times New Roman"/>
          <w:color w:val="000000"/>
          <w:lang w:val="en-GB" w:eastAsia="hu-HU"/>
        </w:rPr>
        <w:t>though an adaptation website is functioning /planned but without signs of GIS/</w:t>
      </w:r>
      <w:r w:rsidR="00887E27" w:rsidRPr="0002056A">
        <w:rPr>
          <w:rFonts w:ascii="Georgia" w:eastAsia="Times New Roman" w:hAnsi="Georgia" w:cs="Times New Roman"/>
          <w:color w:val="000000"/>
          <w:lang w:val="en-GB" w:eastAsia="hu-HU"/>
        </w:rPr>
        <w:t xml:space="preserve">decision supporting </w:t>
      </w:r>
      <w:r w:rsidRPr="0002056A">
        <w:rPr>
          <w:rFonts w:ascii="Georgia" w:eastAsia="Times New Roman" w:hAnsi="Georgia" w:cs="Times New Roman"/>
          <w:color w:val="000000"/>
          <w:lang w:val="en-GB" w:eastAsia="hu-HU"/>
        </w:rPr>
        <w:t xml:space="preserve">functions; or </w:t>
      </w:r>
      <w:r w:rsidR="0054211B" w:rsidRPr="0002056A">
        <w:rPr>
          <w:rFonts w:ascii="Georgia" w:eastAsia="Times New Roman" w:hAnsi="Georgia" w:cs="Times New Roman"/>
          <w:color w:val="000000"/>
          <w:lang w:val="en-GB" w:eastAsia="hu-HU"/>
        </w:rPr>
        <w:t xml:space="preserve">there is a lack of any </w:t>
      </w:r>
      <w:r w:rsidRPr="0002056A">
        <w:rPr>
          <w:rFonts w:ascii="Georgia" w:eastAsia="Times New Roman" w:hAnsi="Georgia" w:cs="Times New Roman"/>
          <w:color w:val="000000"/>
          <w:lang w:val="en-GB" w:eastAsia="hu-HU"/>
        </w:rPr>
        <w:t xml:space="preserve">thematic GIS-based </w:t>
      </w:r>
      <w:r w:rsidR="0054211B" w:rsidRPr="0002056A">
        <w:rPr>
          <w:rFonts w:ascii="Georgia" w:eastAsia="Times New Roman" w:hAnsi="Georgia" w:cs="Times New Roman"/>
          <w:color w:val="000000"/>
          <w:lang w:val="en-GB" w:eastAsia="hu-HU"/>
        </w:rPr>
        <w:t>t</w:t>
      </w:r>
      <w:r w:rsidRPr="0002056A">
        <w:rPr>
          <w:rFonts w:ascii="Georgia" w:eastAsia="Times New Roman" w:hAnsi="Georgia" w:cs="Times New Roman"/>
          <w:color w:val="000000"/>
          <w:lang w:val="en-GB" w:eastAsia="hu-HU"/>
        </w:rPr>
        <w:t xml:space="preserve">ools </w:t>
      </w:r>
      <w:r w:rsidR="0054211B" w:rsidRPr="0002056A">
        <w:rPr>
          <w:rFonts w:ascii="Georgia" w:eastAsia="Times New Roman" w:hAnsi="Georgia" w:cs="Times New Roman"/>
          <w:color w:val="000000"/>
          <w:lang w:val="en-GB" w:eastAsia="hu-HU"/>
        </w:rPr>
        <w:t>o</w:t>
      </w:r>
      <w:r w:rsidRPr="0002056A">
        <w:rPr>
          <w:rFonts w:ascii="Georgia" w:eastAsia="Times New Roman" w:hAnsi="Georgia" w:cs="Times New Roman"/>
          <w:color w:val="000000"/>
          <w:lang w:val="en-GB" w:eastAsia="hu-HU"/>
        </w:rPr>
        <w:t xml:space="preserve">r </w:t>
      </w:r>
      <w:r w:rsidR="00EF194B" w:rsidRPr="0002056A">
        <w:rPr>
          <w:rFonts w:ascii="Georgia" w:eastAsia="Times New Roman" w:hAnsi="Georgia" w:cs="Times New Roman"/>
          <w:color w:val="000000"/>
          <w:lang w:val="en-GB" w:eastAsia="hu-HU"/>
        </w:rPr>
        <w:t xml:space="preserve">general </w:t>
      </w:r>
      <w:r w:rsidR="00FB3D99" w:rsidRPr="0002056A">
        <w:rPr>
          <w:rFonts w:ascii="Georgia" w:eastAsia="Times New Roman" w:hAnsi="Georgia" w:cs="Times New Roman"/>
          <w:color w:val="000000"/>
          <w:lang w:val="en-GB" w:eastAsia="hu-HU"/>
        </w:rPr>
        <w:t>climate</w:t>
      </w:r>
      <w:r w:rsidRPr="0002056A">
        <w:rPr>
          <w:rFonts w:ascii="Georgia" w:eastAsia="Times New Roman" w:hAnsi="Georgia" w:cs="Times New Roman"/>
          <w:color w:val="000000"/>
          <w:lang w:val="en-GB" w:eastAsia="hu-HU"/>
        </w:rPr>
        <w:t xml:space="preserve"> adaptation </w:t>
      </w:r>
      <w:r w:rsidR="00EF194B" w:rsidRPr="0002056A">
        <w:rPr>
          <w:rFonts w:ascii="Georgia" w:eastAsia="Times New Roman" w:hAnsi="Georgia" w:cs="Times New Roman"/>
          <w:color w:val="000000"/>
          <w:lang w:val="en-GB" w:eastAsia="hu-HU"/>
        </w:rPr>
        <w:t xml:space="preserve">knowledge base </w:t>
      </w:r>
      <w:r w:rsidRPr="0002056A">
        <w:rPr>
          <w:rFonts w:ascii="Georgia" w:eastAsia="Times New Roman" w:hAnsi="Georgia" w:cs="Times New Roman"/>
          <w:color w:val="000000"/>
          <w:lang w:val="en-GB" w:eastAsia="hu-HU"/>
        </w:rPr>
        <w:t xml:space="preserve">websites. </w:t>
      </w:r>
    </w:p>
    <w:p w14:paraId="0B1C0919" w14:textId="55D95C56" w:rsidR="00E97900" w:rsidRPr="0002056A" w:rsidRDefault="00E97900" w:rsidP="00596939">
      <w:pPr>
        <w:shd w:val="clear" w:color="auto" w:fill="FFFFFF" w:themeFill="background1"/>
        <w:spacing w:before="120" w:after="120"/>
        <w:jc w:val="both"/>
        <w:rPr>
          <w:rFonts w:ascii="Georgia" w:eastAsia="Times New Roman" w:hAnsi="Georgia" w:cs="Times New Roman"/>
          <w:color w:val="000000"/>
          <w:lang w:val="en-GB" w:eastAsia="hu-HU"/>
        </w:rPr>
      </w:pPr>
      <w:r w:rsidRPr="0002056A">
        <w:rPr>
          <w:rFonts w:ascii="Georgia" w:eastAsia="Times New Roman" w:hAnsi="Georgia" w:cs="Times New Roman"/>
          <w:bCs/>
          <w:iCs/>
          <w:lang w:val="en-GB" w:eastAsia="hu-HU"/>
        </w:rPr>
        <w:t xml:space="preserve">Moving on to </w:t>
      </w:r>
      <w:r w:rsidR="004E3A29" w:rsidRPr="0002056A">
        <w:rPr>
          <w:rFonts w:ascii="Georgia" w:eastAsia="Times New Roman" w:hAnsi="Georgia" w:cs="Times New Roman"/>
          <w:bCs/>
          <w:iCs/>
          <w:lang w:val="en-GB" w:eastAsia="hu-HU"/>
        </w:rPr>
        <w:t>the e</w:t>
      </w:r>
      <w:r w:rsidRPr="0002056A">
        <w:rPr>
          <w:rFonts w:ascii="Georgia" w:eastAsia="Times New Roman" w:hAnsi="Georgia" w:cs="Times New Roman"/>
          <w:bCs/>
          <w:iCs/>
          <w:lang w:val="en-GB" w:eastAsia="hu-HU"/>
        </w:rPr>
        <w:t xml:space="preserve">valuation pillar of MRE, </w:t>
      </w:r>
      <w:r w:rsidR="00EF194B" w:rsidRPr="0002056A">
        <w:rPr>
          <w:rFonts w:ascii="Georgia" w:eastAsia="Times New Roman" w:hAnsi="Georgia" w:cs="Times New Roman"/>
          <w:bCs/>
          <w:iCs/>
          <w:lang w:val="en-GB" w:eastAsia="hu-HU"/>
        </w:rPr>
        <w:t>regarding</w:t>
      </w:r>
      <w:r w:rsidRPr="0002056A">
        <w:rPr>
          <w:rFonts w:ascii="Georgia" w:eastAsia="Times New Roman" w:hAnsi="Georgia" w:cs="Times New Roman"/>
          <w:b/>
          <w:iCs/>
          <w:lang w:val="en-GB" w:eastAsia="hu-HU"/>
        </w:rPr>
        <w:t xml:space="preserve"> the degree of spatial content in adaptation-related evaluations </w:t>
      </w:r>
      <w:r w:rsidRPr="0002056A">
        <w:rPr>
          <w:rFonts w:ascii="Georgia" w:eastAsia="Times New Roman" w:hAnsi="Georgia" w:cs="Times New Roman"/>
          <w:bCs/>
          <w:iCs/>
          <w:lang w:val="en-GB" w:eastAsia="hu-HU"/>
        </w:rPr>
        <w:t>t</w:t>
      </w:r>
      <w:r w:rsidRPr="0002056A">
        <w:rPr>
          <w:rFonts w:ascii="Georgia" w:eastAsia="Times New Roman" w:hAnsi="Georgia" w:cs="Times New Roman"/>
          <w:bCs/>
          <w:color w:val="000000"/>
          <w:lang w:val="en-GB" w:eastAsia="hu-HU"/>
        </w:rPr>
        <w:t>here is no outstanding country</w:t>
      </w:r>
      <w:r w:rsidRPr="0002056A">
        <w:rPr>
          <w:rFonts w:ascii="Georgia" w:eastAsia="Times New Roman" w:hAnsi="Georgia" w:cs="Times New Roman"/>
          <w:color w:val="000000"/>
          <w:lang w:val="en-GB" w:eastAsia="hu-HU"/>
        </w:rPr>
        <w:t xml:space="preserve"> in this sub-aspect. The best category</w:t>
      </w:r>
      <w:r w:rsidR="004E3A29"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where explicitly geographically/spatially oriented evaluation products exist, rich in spatial chapters, aspects, evaluation questions, simply does not contain any states. The upper</w:t>
      </w:r>
      <w:r w:rsidR="008D27DE"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middle category comprises only a few countries, too</w:t>
      </w:r>
      <w:r w:rsidRPr="0002056A">
        <w:rPr>
          <w:rFonts w:ascii="Georgia" w:eastAsia="Times New Roman" w:hAnsi="Georgia" w:cs="Times New Roman"/>
          <w:i/>
          <w:color w:val="000000"/>
          <w:lang w:val="en-GB" w:eastAsia="hu-HU"/>
        </w:rPr>
        <w:t xml:space="preserve"> (Austria, Switzerland, the Netherlands, Finland </w:t>
      </w:r>
      <w:r w:rsidRPr="0002056A">
        <w:rPr>
          <w:rFonts w:ascii="Georgia" w:eastAsia="Times New Roman" w:hAnsi="Georgia" w:cs="Times New Roman"/>
          <w:color w:val="000000"/>
          <w:lang w:val="en-GB" w:eastAsia="hu-HU"/>
        </w:rPr>
        <w:t xml:space="preserve">and </w:t>
      </w:r>
      <w:r w:rsidR="00EF194B" w:rsidRPr="0002056A">
        <w:rPr>
          <w:rFonts w:ascii="Georgia" w:eastAsia="Times New Roman" w:hAnsi="Georgia" w:cs="Times New Roman"/>
          <w:i/>
          <w:iCs/>
          <w:color w:val="000000"/>
          <w:lang w:val="en-GB" w:eastAsia="hu-HU"/>
        </w:rPr>
        <w:t xml:space="preserve">parts of </w:t>
      </w:r>
      <w:r w:rsidRPr="0002056A">
        <w:rPr>
          <w:rFonts w:ascii="Georgia" w:eastAsia="Times New Roman" w:hAnsi="Georgia" w:cs="Times New Roman"/>
          <w:i/>
          <w:iCs/>
          <w:color w:val="000000"/>
          <w:lang w:val="en-GB" w:eastAsia="hu-HU"/>
        </w:rPr>
        <w:t>the UK</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 xml:space="preserve">with large number of adaptation evaluation products, established evaluation systems but minor or no </w:t>
      </w:r>
      <w:r w:rsidR="008D27DE" w:rsidRPr="0002056A">
        <w:rPr>
          <w:rFonts w:ascii="Georgia" w:eastAsia="Times New Roman" w:hAnsi="Georgia" w:cs="Times New Roman"/>
          <w:color w:val="000000"/>
          <w:lang w:val="en-GB" w:eastAsia="hu-HU"/>
        </w:rPr>
        <w:t>spatial</w:t>
      </w:r>
      <w:r w:rsidRPr="0002056A">
        <w:rPr>
          <w:rFonts w:ascii="Georgia" w:eastAsia="Times New Roman" w:hAnsi="Georgia" w:cs="Times New Roman"/>
          <w:color w:val="000000"/>
          <w:lang w:val="en-GB" w:eastAsia="hu-HU"/>
        </w:rPr>
        <w:t xml:space="preserve"> content</w:t>
      </w:r>
      <w:r w:rsidR="00EF194B" w:rsidRPr="0002056A">
        <w:rPr>
          <w:rFonts w:ascii="Georgia" w:eastAsia="Times New Roman" w:hAnsi="Georgia" w:cs="Times New Roman"/>
          <w:color w:val="000000"/>
          <w:lang w:val="en-GB" w:eastAsia="hu-HU"/>
        </w:rPr>
        <w:t xml:space="preserve"> in these materials</w:t>
      </w:r>
      <w:r w:rsidRPr="0002056A">
        <w:rPr>
          <w:rFonts w:ascii="Georgia" w:eastAsia="Times New Roman" w:hAnsi="Georgia" w:cs="Times New Roman"/>
          <w:color w:val="000000"/>
          <w:lang w:val="en-GB" w:eastAsia="hu-HU"/>
        </w:rPr>
        <w:t>.</w:t>
      </w:r>
      <w:r w:rsidRPr="0002056A">
        <w:rPr>
          <w:rFonts w:ascii="Georgia" w:hAnsi="Georgia" w:cs="Times New Roman"/>
          <w:bCs/>
          <w:lang w:val="en-GB"/>
        </w:rPr>
        <w:t xml:space="preserve"> </w:t>
      </w:r>
      <w:r w:rsidRPr="0002056A">
        <w:rPr>
          <w:rFonts w:ascii="Georgia" w:eastAsia="Times New Roman" w:hAnsi="Georgia" w:cs="Times New Roman"/>
          <w:color w:val="000000"/>
          <w:lang w:val="en-GB" w:eastAsia="hu-HU"/>
        </w:rPr>
        <w:t xml:space="preserve">In 21, mostly </w:t>
      </w:r>
      <w:r w:rsidRPr="0002056A">
        <w:rPr>
          <w:rFonts w:ascii="Georgia" w:eastAsia="Times New Roman" w:hAnsi="Georgia" w:cs="Times New Roman"/>
          <w:i/>
          <w:color w:val="000000"/>
          <w:lang w:val="en-GB" w:eastAsia="hu-HU"/>
        </w:rPr>
        <w:t xml:space="preserve">Central-Eastern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Southern</w:t>
      </w:r>
      <w:r w:rsidR="008D27DE"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 xml:space="preserve">European countries </w:t>
      </w:r>
      <w:r w:rsidRPr="0002056A">
        <w:rPr>
          <w:rFonts w:ascii="Georgia" w:eastAsia="Times New Roman" w:hAnsi="Georgia" w:cs="Times New Roman"/>
          <w:color w:val="000000"/>
          <w:lang w:val="en-GB" w:eastAsia="hu-HU"/>
        </w:rPr>
        <w:t xml:space="preserve">(e.g. </w:t>
      </w:r>
      <w:r w:rsidRPr="0002056A">
        <w:rPr>
          <w:rFonts w:ascii="Georgia" w:eastAsia="Times New Roman" w:hAnsi="Georgia" w:cs="Times New Roman"/>
          <w:i/>
          <w:color w:val="000000"/>
          <w:lang w:val="en-GB" w:eastAsia="hu-HU"/>
        </w:rPr>
        <w:t>Hungary, Serbia, Czechia, Lithuania, Poland, Slovakia; Spain, Greece, Italy, Türkiye</w:t>
      </w:r>
      <w:r w:rsidRPr="0002056A">
        <w:rPr>
          <w:rFonts w:ascii="Georgia" w:eastAsia="Times New Roman" w:hAnsi="Georgia" w:cs="Times New Roman"/>
          <w:color w:val="000000"/>
          <w:lang w:val="en-GB" w:eastAsia="hu-HU"/>
        </w:rPr>
        <w:t xml:space="preserve">) only the NAS/NAP aims the setting up of an adaptation evaluation system or </w:t>
      </w:r>
      <w:r w:rsidR="0093560A" w:rsidRPr="0002056A">
        <w:rPr>
          <w:rFonts w:ascii="Georgia" w:eastAsia="Times New Roman" w:hAnsi="Georgia" w:cs="Times New Roman"/>
          <w:color w:val="000000"/>
          <w:lang w:val="en-GB" w:eastAsia="hu-HU"/>
        </w:rPr>
        <w:t xml:space="preserve">the </w:t>
      </w:r>
      <w:r w:rsidRPr="0002056A">
        <w:rPr>
          <w:rFonts w:ascii="Georgia" w:eastAsia="Times New Roman" w:hAnsi="Georgia" w:cs="Times New Roman"/>
          <w:color w:val="000000"/>
          <w:lang w:val="en-GB" w:eastAsia="hu-HU"/>
        </w:rPr>
        <w:t xml:space="preserve">preparation of </w:t>
      </w:r>
      <w:r w:rsidR="0093560A" w:rsidRPr="0002056A">
        <w:rPr>
          <w:rFonts w:ascii="Georgia" w:eastAsia="Times New Roman" w:hAnsi="Georgia" w:cs="Times New Roman"/>
          <w:color w:val="000000"/>
          <w:lang w:val="en-GB" w:eastAsia="hu-HU"/>
        </w:rPr>
        <w:t xml:space="preserve">actual </w:t>
      </w:r>
      <w:r w:rsidRPr="0002056A">
        <w:rPr>
          <w:rFonts w:ascii="Georgia" w:eastAsia="Times New Roman" w:hAnsi="Georgia" w:cs="Times New Roman"/>
          <w:color w:val="000000"/>
          <w:lang w:val="en-GB" w:eastAsia="hu-HU"/>
        </w:rPr>
        <w:t>assessments</w:t>
      </w:r>
      <w:r w:rsidR="00F2146D"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but no evaluation product </w:t>
      </w:r>
      <w:r w:rsidR="00055470" w:rsidRPr="0002056A">
        <w:rPr>
          <w:rFonts w:ascii="Georgia" w:eastAsia="Times New Roman" w:hAnsi="Georgia" w:cs="Times New Roman"/>
          <w:color w:val="000000"/>
          <w:lang w:val="en-GB" w:eastAsia="hu-HU"/>
        </w:rPr>
        <w:t xml:space="preserve">(or only one NAS evaluation) </w:t>
      </w:r>
      <w:r w:rsidRPr="0002056A">
        <w:rPr>
          <w:rFonts w:ascii="Georgia" w:eastAsia="Times New Roman" w:hAnsi="Georgia" w:cs="Times New Roman"/>
          <w:color w:val="000000"/>
          <w:lang w:val="en-GB" w:eastAsia="hu-HU"/>
        </w:rPr>
        <w:t xml:space="preserve">exists in practice yet. </w:t>
      </w:r>
      <w:r w:rsidR="00E14726" w:rsidRPr="0002056A">
        <w:rPr>
          <w:rFonts w:ascii="Georgia" w:eastAsia="Times New Roman" w:hAnsi="Georgia" w:cs="Times New Roman"/>
          <w:color w:val="000000"/>
          <w:lang w:val="en-GB" w:eastAsia="hu-HU"/>
        </w:rPr>
        <w:t xml:space="preserve">Even in this group of countries can we find interesting cases: e.g. </w:t>
      </w:r>
      <w:r w:rsidR="00E14726" w:rsidRPr="0002056A">
        <w:rPr>
          <w:rFonts w:ascii="Georgia" w:eastAsia="Times New Roman" w:hAnsi="Georgia" w:cs="Times New Roman"/>
          <w:i/>
          <w:iCs/>
          <w:color w:val="000000"/>
          <w:lang w:val="en-GB" w:eastAsia="hu-HU"/>
        </w:rPr>
        <w:t>Hungary</w:t>
      </w:r>
      <w:r w:rsidR="00E14726" w:rsidRPr="0002056A">
        <w:rPr>
          <w:rFonts w:ascii="Georgia" w:eastAsia="Times New Roman" w:hAnsi="Georgia" w:cs="Times New Roman"/>
          <w:color w:val="000000"/>
          <w:lang w:val="en-GB" w:eastAsia="hu-HU"/>
        </w:rPr>
        <w:t xml:space="preserve"> has only </w:t>
      </w:r>
      <w:r w:rsidR="009C6C99" w:rsidRPr="0002056A">
        <w:rPr>
          <w:rFonts w:ascii="Georgia" w:eastAsia="Times New Roman" w:hAnsi="Georgia" w:cs="Times New Roman"/>
          <w:color w:val="000000"/>
          <w:lang w:val="en-GB" w:eastAsia="hu-HU"/>
        </w:rPr>
        <w:t>a recent</w:t>
      </w:r>
      <w:r w:rsidR="00E14726" w:rsidRPr="0002056A">
        <w:rPr>
          <w:rFonts w:ascii="Georgia" w:eastAsia="Times New Roman" w:hAnsi="Georgia" w:cs="Times New Roman"/>
          <w:color w:val="000000"/>
          <w:lang w:val="en-GB" w:eastAsia="hu-HU"/>
        </w:rPr>
        <w:t xml:space="preserve"> NAS-evaluation that follow</w:t>
      </w:r>
      <w:r w:rsidR="009C6C99" w:rsidRPr="0002056A">
        <w:rPr>
          <w:rFonts w:ascii="Georgia" w:eastAsia="Times New Roman" w:hAnsi="Georgia" w:cs="Times New Roman"/>
          <w:color w:val="000000"/>
          <w:lang w:val="en-GB" w:eastAsia="hu-HU"/>
        </w:rPr>
        <w:t>ed</w:t>
      </w:r>
      <w:r w:rsidR="00E14726" w:rsidRPr="0002056A">
        <w:rPr>
          <w:rFonts w:ascii="Georgia" w:eastAsia="Times New Roman" w:hAnsi="Georgia" w:cs="Times New Roman"/>
          <w:color w:val="000000"/>
          <w:lang w:val="en-GB" w:eastAsia="hu-HU"/>
        </w:rPr>
        <w:t xml:space="preserve"> a sectoral logic</w:t>
      </w:r>
      <w:r w:rsidR="009C6C99" w:rsidRPr="0002056A">
        <w:rPr>
          <w:rFonts w:ascii="Georgia" w:eastAsia="Times New Roman" w:hAnsi="Georgia" w:cs="Times New Roman"/>
          <w:color w:val="000000"/>
          <w:lang w:val="en-GB" w:eastAsia="hu-HU"/>
        </w:rPr>
        <w:t xml:space="preserve"> basically</w:t>
      </w:r>
      <w:r w:rsidR="00E14726" w:rsidRPr="0002056A">
        <w:rPr>
          <w:rFonts w:ascii="Georgia" w:eastAsia="Times New Roman" w:hAnsi="Georgia" w:cs="Times New Roman"/>
          <w:color w:val="000000"/>
          <w:lang w:val="en-GB" w:eastAsia="hu-HU"/>
        </w:rPr>
        <w:t xml:space="preserve">, still </w:t>
      </w:r>
      <w:r w:rsidR="003E5442" w:rsidRPr="0002056A">
        <w:rPr>
          <w:rFonts w:ascii="Georgia" w:eastAsia="Times New Roman" w:hAnsi="Georgia" w:cs="Times New Roman"/>
          <w:color w:val="000000"/>
          <w:lang w:val="en-GB" w:eastAsia="hu-HU"/>
        </w:rPr>
        <w:t>it also examined the presence of spatial empha</w:t>
      </w:r>
      <w:r w:rsidR="002B5A2B" w:rsidRPr="0002056A">
        <w:rPr>
          <w:rFonts w:ascii="Georgia" w:eastAsia="Times New Roman" w:hAnsi="Georgia" w:cs="Times New Roman"/>
          <w:color w:val="000000"/>
          <w:lang w:val="en-GB" w:eastAsia="hu-HU"/>
        </w:rPr>
        <w:t>se</w:t>
      </w:r>
      <w:r w:rsidR="003E5442" w:rsidRPr="0002056A">
        <w:rPr>
          <w:rFonts w:ascii="Georgia" w:eastAsia="Times New Roman" w:hAnsi="Georgia" w:cs="Times New Roman"/>
          <w:color w:val="000000"/>
          <w:lang w:val="en-GB" w:eastAsia="hu-HU"/>
        </w:rPr>
        <w:t>s in sectoral adaptation activities</w:t>
      </w:r>
      <w:r w:rsidR="006C6024" w:rsidRPr="0002056A">
        <w:rPr>
          <w:rFonts w:ascii="Georgia" w:eastAsia="Times New Roman" w:hAnsi="Georgia" w:cs="Times New Roman"/>
          <w:color w:val="000000"/>
          <w:lang w:val="en-GB" w:eastAsia="hu-HU"/>
        </w:rPr>
        <w:t xml:space="preserve"> </w:t>
      </w:r>
      <w:r w:rsidR="002B5A2B" w:rsidRPr="0002056A">
        <w:rPr>
          <w:rFonts w:ascii="Georgia" w:eastAsia="Times New Roman" w:hAnsi="Georgia" w:cs="Times New Roman"/>
          <w:color w:val="000000"/>
          <w:lang w:val="en-GB" w:eastAsia="hu-HU"/>
        </w:rPr>
        <w:t xml:space="preserve">and climate policy itself </w:t>
      </w:r>
      <w:r w:rsidR="006C6024" w:rsidRPr="0002056A">
        <w:rPr>
          <w:rFonts w:ascii="Georgia" w:eastAsia="Times New Roman" w:hAnsi="Georgia" w:cs="Times New Roman"/>
          <w:color w:val="000000"/>
          <w:lang w:val="en-GB" w:eastAsia="hu-HU"/>
        </w:rPr>
        <w:t>and urge</w:t>
      </w:r>
      <w:r w:rsidR="002B5A2B" w:rsidRPr="0002056A">
        <w:rPr>
          <w:rFonts w:ascii="Georgia" w:eastAsia="Times New Roman" w:hAnsi="Georgia" w:cs="Times New Roman"/>
          <w:color w:val="000000"/>
          <w:lang w:val="en-GB" w:eastAsia="hu-HU"/>
        </w:rPr>
        <w:t>d</w:t>
      </w:r>
      <w:r w:rsidR="006C6024" w:rsidRPr="0002056A">
        <w:rPr>
          <w:rFonts w:ascii="Georgia" w:eastAsia="Times New Roman" w:hAnsi="Georgia" w:cs="Times New Roman"/>
          <w:color w:val="000000"/>
          <w:lang w:val="en-GB" w:eastAsia="hu-HU"/>
        </w:rPr>
        <w:t xml:space="preserve"> the strengthening of spatial logic during the actual NCCS-2 update</w:t>
      </w:r>
      <w:r w:rsidR="003E5442" w:rsidRPr="0002056A">
        <w:rPr>
          <w:rFonts w:ascii="Georgia" w:eastAsia="Times New Roman" w:hAnsi="Georgia" w:cs="Times New Roman"/>
          <w:color w:val="000000"/>
          <w:lang w:val="en-GB" w:eastAsia="hu-HU"/>
        </w:rPr>
        <w:t xml:space="preserve"> (</w:t>
      </w:r>
      <w:r w:rsidR="003E5442" w:rsidRPr="0002056A">
        <w:rPr>
          <w:rFonts w:ascii="Georgia" w:eastAsia="Times New Roman" w:hAnsi="Georgia" w:cs="Times New Roman"/>
          <w:smallCaps/>
          <w:color w:val="000000"/>
          <w:lang w:val="en-GB" w:eastAsia="hu-HU"/>
        </w:rPr>
        <w:t>Sütő, 2025</w:t>
      </w:r>
      <w:r w:rsidR="006173A8" w:rsidRPr="0002056A">
        <w:rPr>
          <w:rFonts w:ascii="Georgia" w:eastAsia="Times New Roman" w:hAnsi="Georgia" w:cs="Times New Roman"/>
          <w:smallCaps/>
          <w:color w:val="000000"/>
          <w:lang w:val="en-GB" w:eastAsia="hu-HU"/>
        </w:rPr>
        <w:t>a</w:t>
      </w:r>
      <w:r w:rsidR="003E5442"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In 11, mostly</w:t>
      </w:r>
      <w:r w:rsidRPr="0002056A">
        <w:rPr>
          <w:rFonts w:ascii="Georgia" w:eastAsia="Times New Roman" w:hAnsi="Georgia" w:cs="Times New Roman"/>
          <w:i/>
          <w:color w:val="000000"/>
          <w:lang w:val="en-GB" w:eastAsia="hu-HU"/>
        </w:rPr>
        <w:t xml:space="preserve"> Central-Eastern European </w:t>
      </w:r>
      <w:r w:rsidRPr="0002056A">
        <w:rPr>
          <w:rFonts w:ascii="Georgia" w:eastAsia="Times New Roman" w:hAnsi="Georgia" w:cs="Times New Roman"/>
          <w:color w:val="000000"/>
          <w:lang w:val="en-GB" w:eastAsia="hu-HU"/>
        </w:rPr>
        <w:t>states</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 xml:space="preserve">the NAS/NAP do not mention evaluations, </w:t>
      </w:r>
      <w:r w:rsidR="006C6024" w:rsidRPr="0002056A">
        <w:rPr>
          <w:rFonts w:ascii="Georgia" w:eastAsia="Times New Roman" w:hAnsi="Georgia" w:cs="Times New Roman"/>
          <w:color w:val="000000"/>
          <w:lang w:val="en-GB" w:eastAsia="hu-HU"/>
        </w:rPr>
        <w:t>anyway</w:t>
      </w:r>
      <w:r w:rsidRPr="0002056A">
        <w:rPr>
          <w:rFonts w:ascii="Georgia" w:eastAsia="Times New Roman" w:hAnsi="Georgia" w:cs="Times New Roman"/>
          <w:color w:val="000000"/>
          <w:lang w:val="en-GB" w:eastAsia="hu-HU"/>
        </w:rPr>
        <w:t>.</w:t>
      </w:r>
    </w:p>
    <w:p w14:paraId="4D95CDF6" w14:textId="7DD1328C" w:rsidR="00E97900" w:rsidRPr="0002056A" w:rsidRDefault="00E97900" w:rsidP="00596939">
      <w:pPr>
        <w:shd w:val="clear" w:color="auto" w:fill="FFFFFF" w:themeFill="background1"/>
        <w:spacing w:before="120" w:after="120"/>
        <w:jc w:val="both"/>
        <w:rPr>
          <w:lang w:val="en-GB"/>
        </w:rPr>
      </w:pPr>
      <w:r w:rsidRPr="0002056A">
        <w:rPr>
          <w:rFonts w:ascii="Georgia" w:eastAsia="Times New Roman" w:hAnsi="Georgia" w:cs="Times New Roman"/>
          <w:b/>
          <w:iCs/>
          <w:lang w:val="en-GB" w:eastAsia="hu-HU"/>
        </w:rPr>
        <w:t>Spatial visualization in adaptation evaluation</w:t>
      </w:r>
      <w:r w:rsidR="00F2146D" w:rsidRPr="0002056A">
        <w:rPr>
          <w:rFonts w:ascii="Georgia" w:eastAsia="Times New Roman" w:hAnsi="Georgia" w:cs="Times New Roman"/>
          <w:b/>
          <w:iCs/>
          <w:lang w:val="en-GB" w:eastAsia="hu-HU"/>
        </w:rPr>
        <w:t>s</w:t>
      </w:r>
      <w:r w:rsidRPr="0002056A">
        <w:rPr>
          <w:rFonts w:ascii="Georgia" w:eastAsia="Times New Roman" w:hAnsi="Georgia" w:cs="Times New Roman"/>
          <w:b/>
          <w:iCs/>
          <w:lang w:val="en-GB" w:eastAsia="hu-HU"/>
        </w:rPr>
        <w:t xml:space="preserve">, </w:t>
      </w:r>
      <w:r w:rsidRPr="0002056A">
        <w:rPr>
          <w:rFonts w:ascii="Georgia" w:eastAsia="Times New Roman" w:hAnsi="Georgia" w:cs="Times New Roman"/>
          <w:bCs/>
          <w:iCs/>
          <w:lang w:val="en-GB" w:eastAsia="hu-HU"/>
        </w:rPr>
        <w:t>as a consequence of the previous analytical sub-aspect’s results, is mostly weak or lacking, too.  T</w:t>
      </w:r>
      <w:r w:rsidRPr="0002056A">
        <w:rPr>
          <w:rFonts w:ascii="Georgia" w:eastAsia="Times New Roman" w:hAnsi="Georgia" w:cs="Times New Roman"/>
          <w:bCs/>
          <w:color w:val="000000"/>
          <w:lang w:val="en-GB" w:eastAsia="hu-HU"/>
        </w:rPr>
        <w:t>here</w:t>
      </w:r>
      <w:r w:rsidRPr="0002056A">
        <w:rPr>
          <w:rFonts w:ascii="Georgia" w:eastAsia="Times New Roman" w:hAnsi="Georgia" w:cs="Times New Roman"/>
          <w:color w:val="000000"/>
          <w:lang w:val="en-GB" w:eastAsia="hu-HU"/>
        </w:rPr>
        <w:t xml:space="preserve"> is only one </w:t>
      </w:r>
      <w:r w:rsidR="00F2146D" w:rsidRPr="0002056A">
        <w:rPr>
          <w:rFonts w:ascii="Georgia" w:eastAsia="Times New Roman" w:hAnsi="Georgia" w:cs="Times New Roman"/>
          <w:color w:val="000000"/>
          <w:lang w:val="en-GB" w:eastAsia="hu-HU"/>
        </w:rPr>
        <w:t xml:space="preserve">more-or-less </w:t>
      </w:r>
      <w:r w:rsidRPr="0002056A">
        <w:rPr>
          <w:rFonts w:ascii="Georgia" w:eastAsia="Times New Roman" w:hAnsi="Georgia" w:cs="Times New Roman"/>
          <w:color w:val="000000"/>
          <w:lang w:val="en-GB" w:eastAsia="hu-HU"/>
        </w:rPr>
        <w:t>outstanding country,</w:t>
      </w:r>
      <w:r w:rsidRPr="0002056A">
        <w:rPr>
          <w:rFonts w:ascii="Georgia" w:eastAsia="Times New Roman" w:hAnsi="Georgia" w:cs="Times New Roman"/>
          <w:i/>
          <w:color w:val="000000"/>
          <w:lang w:val="en-GB" w:eastAsia="hu-HU"/>
        </w:rPr>
        <w:t xml:space="preserve"> Germany, </w:t>
      </w:r>
      <w:r w:rsidRPr="0002056A">
        <w:rPr>
          <w:rFonts w:ascii="Georgia" w:eastAsia="Times New Roman" w:hAnsi="Georgia" w:cs="Times New Roman"/>
          <w:color w:val="000000"/>
          <w:lang w:val="en-GB" w:eastAsia="hu-HU"/>
        </w:rPr>
        <w:t>that, according to the classification, shows consequent and frequent emergence of explicitly geographically oriented maps or diagrams</w:t>
      </w:r>
      <w:r w:rsidR="00F2146D" w:rsidRPr="0002056A">
        <w:rPr>
          <w:rFonts w:ascii="Georgia" w:eastAsia="Times New Roman" w:hAnsi="Georgia" w:cs="Times New Roman"/>
          <w:color w:val="000000"/>
          <w:lang w:val="en-GB" w:eastAsia="hu-HU"/>
        </w:rPr>
        <w:t xml:space="preserve"> or perhaps</w:t>
      </w:r>
      <w:r w:rsidRPr="0002056A">
        <w:rPr>
          <w:rFonts w:ascii="Georgia" w:eastAsia="Times New Roman" w:hAnsi="Georgia" w:cs="Times New Roman"/>
          <w:color w:val="000000"/>
          <w:lang w:val="en-GB" w:eastAsia="hu-HU"/>
        </w:rPr>
        <w:t xml:space="preserve"> info graphs in its evaluation product(s)</w:t>
      </w:r>
      <w:r w:rsidR="006D4623" w:rsidRPr="0002056A">
        <w:rPr>
          <w:rFonts w:ascii="Georgia" w:eastAsia="Times New Roman" w:hAnsi="Georgia" w:cs="Times New Roman"/>
          <w:color w:val="000000"/>
          <w:lang w:val="en-GB" w:eastAsia="hu-HU"/>
        </w:rPr>
        <w:t xml:space="preserve"> (</w:t>
      </w:r>
      <w:r w:rsidR="006D4623" w:rsidRPr="0002056A">
        <w:rPr>
          <w:rFonts w:ascii="Georgia" w:eastAsia="Times New Roman" w:hAnsi="Georgia" w:cs="Times New Roman"/>
          <w:smallCaps/>
          <w:color w:val="000000"/>
          <w:lang w:val="en-GB" w:eastAsia="hu-HU"/>
        </w:rPr>
        <w:t>Van Rüth Et Al. 2019</w:t>
      </w:r>
      <w:r w:rsidR="006D4623"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Honestly saying this judgement of Germany’s performance is a bit benevolent, because even in that country the consequent system of spatial evaluation</w:t>
      </w:r>
      <w:r w:rsidR="006708BE" w:rsidRPr="0002056A">
        <w:rPr>
          <w:rFonts w:ascii="Georgia" w:eastAsia="Times New Roman" w:hAnsi="Georgia" w:cs="Times New Roman"/>
          <w:color w:val="000000"/>
          <w:lang w:val="en-GB" w:eastAsia="hu-HU"/>
        </w:rPr>
        <w:t>s</w:t>
      </w:r>
      <w:r w:rsidRPr="0002056A">
        <w:rPr>
          <w:rFonts w:ascii="Georgia" w:eastAsia="Times New Roman" w:hAnsi="Georgia" w:cs="Times New Roman"/>
          <w:color w:val="000000"/>
          <w:lang w:val="en-GB" w:eastAsia="hu-HU"/>
        </w:rPr>
        <w:t xml:space="preserve"> is still lacking</w:t>
      </w:r>
      <w:r w:rsidR="006C6024" w:rsidRPr="0002056A">
        <w:rPr>
          <w:rFonts w:ascii="Georgia" w:eastAsia="Times New Roman" w:hAnsi="Georgia" w:cs="Times New Roman"/>
          <w:color w:val="000000"/>
          <w:lang w:val="en-GB" w:eastAsia="hu-HU"/>
        </w:rPr>
        <w:t xml:space="preserve"> but its rather mediocre performance in this sub-aspect</w:t>
      </w:r>
      <w:r w:rsidR="005B0C16" w:rsidRPr="0002056A">
        <w:rPr>
          <w:rFonts w:ascii="Georgia" w:eastAsia="Times New Roman" w:hAnsi="Georgia" w:cs="Times New Roman"/>
          <w:color w:val="000000"/>
          <w:lang w:val="en-GB" w:eastAsia="hu-HU"/>
        </w:rPr>
        <w:t xml:space="preserve"> is still outstanding in European comparison</w:t>
      </w:r>
      <w:r w:rsidRPr="0002056A">
        <w:rPr>
          <w:rFonts w:ascii="Georgia" w:eastAsia="Times New Roman" w:hAnsi="Georgia" w:cs="Times New Roman"/>
          <w:color w:val="000000"/>
          <w:lang w:val="en-GB" w:eastAsia="hu-HU"/>
        </w:rPr>
        <w:t>. Germany is followed by the five upper-middle category countries (</w:t>
      </w:r>
      <w:r w:rsidRPr="0002056A">
        <w:rPr>
          <w:rFonts w:ascii="Georgia" w:eastAsia="Times New Roman" w:hAnsi="Georgia" w:cs="Times New Roman"/>
          <w:i/>
          <w:color w:val="000000"/>
          <w:lang w:val="en-GB" w:eastAsia="hu-HU"/>
        </w:rPr>
        <w:t xml:space="preserve">Croatia, Austria, Scotland, England, Wales) </w:t>
      </w:r>
      <w:r w:rsidRPr="0002056A">
        <w:rPr>
          <w:rFonts w:ascii="Georgia" w:eastAsia="Times New Roman" w:hAnsi="Georgia" w:cs="Times New Roman"/>
          <w:color w:val="000000"/>
          <w:lang w:val="en-GB" w:eastAsia="hu-HU"/>
        </w:rPr>
        <w:t xml:space="preserve">where the existing evaluation products and monitoring reports show only </w:t>
      </w:r>
      <w:r w:rsidR="005B0C16" w:rsidRPr="0002056A">
        <w:rPr>
          <w:rFonts w:ascii="Georgia" w:eastAsia="Times New Roman" w:hAnsi="Georgia" w:cs="Times New Roman"/>
          <w:color w:val="000000"/>
          <w:lang w:val="en-GB" w:eastAsia="hu-HU"/>
        </w:rPr>
        <w:t xml:space="preserve">very </w:t>
      </w:r>
      <w:r w:rsidRPr="0002056A">
        <w:rPr>
          <w:rFonts w:ascii="Georgia" w:eastAsia="Times New Roman" w:hAnsi="Georgia" w:cs="Times New Roman"/>
          <w:color w:val="000000"/>
          <w:lang w:val="en-GB" w:eastAsia="hu-HU"/>
        </w:rPr>
        <w:t xml:space="preserve">scarce use of </w:t>
      </w:r>
      <w:r w:rsidR="006A3041" w:rsidRPr="0002056A">
        <w:rPr>
          <w:rFonts w:ascii="Georgia" w:eastAsia="Times New Roman" w:hAnsi="Georgia" w:cs="Times New Roman"/>
          <w:color w:val="000000"/>
          <w:lang w:val="en-GB" w:eastAsia="hu-HU"/>
        </w:rPr>
        <w:t xml:space="preserve">thematic maps or </w:t>
      </w:r>
      <w:r w:rsidRPr="0002056A">
        <w:rPr>
          <w:rFonts w:ascii="Georgia" w:eastAsia="Times New Roman" w:hAnsi="Georgia" w:cs="Times New Roman"/>
          <w:color w:val="000000"/>
          <w:lang w:val="en-GB" w:eastAsia="hu-HU"/>
        </w:rPr>
        <w:lastRenderedPageBreak/>
        <w:t xml:space="preserve">geographically oriented diagrams </w:t>
      </w:r>
      <w:r w:rsidR="006A3041"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info graphs (but at least a minimal number of these emerge is the documents).</w:t>
      </w:r>
      <w:r w:rsidRPr="0002056A">
        <w:rPr>
          <w:rFonts w:ascii="Georgia" w:eastAsia="Times New Roman" w:hAnsi="Georgia" w:cs="Times New Roman"/>
          <w:i/>
          <w:color w:val="000000"/>
          <w:lang w:val="en-GB" w:eastAsia="hu-HU"/>
        </w:rPr>
        <w:t xml:space="preserve"> </w:t>
      </w:r>
      <w:r w:rsidR="00A427D5" w:rsidRPr="0002056A">
        <w:rPr>
          <w:rFonts w:ascii="Georgia" w:eastAsia="Times New Roman" w:hAnsi="Georgia" w:cs="Times New Roman"/>
          <w:iCs/>
          <w:color w:val="000000"/>
          <w:lang w:val="en-GB" w:eastAsia="hu-HU"/>
        </w:rPr>
        <w:t>As for</w:t>
      </w:r>
      <w:r w:rsidRPr="0002056A">
        <w:rPr>
          <w:rFonts w:ascii="Georgia" w:eastAsia="Times New Roman" w:hAnsi="Georgia" w:cs="Times New Roman"/>
          <w:iCs/>
          <w:color w:val="000000"/>
          <w:lang w:val="en-GB" w:eastAsia="hu-HU"/>
        </w:rPr>
        <w:t xml:space="preserve"> the evaluations of </w:t>
      </w:r>
      <w:r w:rsidRPr="0002056A">
        <w:rPr>
          <w:rFonts w:ascii="Georgia" w:eastAsia="Times New Roman" w:hAnsi="Georgia" w:cs="Times New Roman"/>
          <w:i/>
          <w:color w:val="000000"/>
          <w:lang w:val="en-GB" w:eastAsia="hu-HU"/>
        </w:rPr>
        <w:t xml:space="preserve">Estonia, the Netherlands, Northern Ireland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Norway </w:t>
      </w:r>
      <w:r w:rsidRPr="0002056A">
        <w:rPr>
          <w:rFonts w:ascii="Georgia" w:eastAsia="Times New Roman" w:hAnsi="Georgia" w:cs="Times New Roman"/>
          <w:iCs/>
          <w:color w:val="000000"/>
          <w:lang w:val="en-GB" w:eastAsia="hu-HU"/>
        </w:rPr>
        <w:t>only diagrams or photos indicat</w:t>
      </w:r>
      <w:r w:rsidR="005B0C16" w:rsidRPr="0002056A">
        <w:rPr>
          <w:rFonts w:ascii="Georgia" w:eastAsia="Times New Roman" w:hAnsi="Georgia" w:cs="Times New Roman"/>
          <w:iCs/>
          <w:color w:val="000000"/>
          <w:lang w:val="en-GB" w:eastAsia="hu-HU"/>
        </w:rPr>
        <w:t>e</w:t>
      </w:r>
      <w:r w:rsidRPr="0002056A">
        <w:rPr>
          <w:rFonts w:ascii="Georgia" w:eastAsia="Times New Roman" w:hAnsi="Georgia" w:cs="Times New Roman"/>
          <w:iCs/>
          <w:color w:val="000000"/>
          <w:lang w:val="en-GB" w:eastAsia="hu-HU"/>
        </w:rPr>
        <w:t xml:space="preserve"> the weak emergence of spatial issues in the documents</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11 other countries do not use these tools at all in their documents. In 19 more countries, mainly from</w:t>
      </w:r>
      <w:r w:rsidRPr="0002056A">
        <w:rPr>
          <w:rFonts w:ascii="Georgia" w:eastAsia="Times New Roman" w:hAnsi="Georgia" w:cs="Times New Roman"/>
          <w:i/>
          <w:color w:val="000000"/>
          <w:lang w:val="en-GB" w:eastAsia="hu-HU"/>
        </w:rPr>
        <w:t xml:space="preserve"> Central-, South-Eastern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South</w:t>
      </w:r>
      <w:r w:rsidR="00A427D5"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 xml:space="preserve">Europe </w:t>
      </w:r>
      <w:r w:rsidRPr="0002056A">
        <w:rPr>
          <w:rFonts w:ascii="Georgia" w:eastAsia="Times New Roman" w:hAnsi="Georgia" w:cs="Times New Roman"/>
          <w:color w:val="000000"/>
          <w:lang w:val="en-GB" w:eastAsia="hu-HU"/>
        </w:rPr>
        <w:t>no concrete adaptation-related evaluation documents were available for analysis.</w:t>
      </w:r>
    </w:p>
    <w:p w14:paraId="070B4255" w14:textId="2FDA0393" w:rsidR="00E97900" w:rsidRPr="0002056A" w:rsidRDefault="00E97900" w:rsidP="00596939">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Examining the real</w:t>
      </w:r>
      <w:r w:rsidRPr="0002056A">
        <w:rPr>
          <w:rFonts w:ascii="Georgia" w:eastAsia="Times New Roman" w:hAnsi="Georgia" w:cs="Times New Roman"/>
          <w:b/>
          <w:iCs/>
          <w:lang w:val="en-GB" w:eastAsia="hu-HU"/>
        </w:rPr>
        <w:t xml:space="preserve"> spatial levels of evaluations </w:t>
      </w:r>
      <w:r w:rsidRPr="0002056A">
        <w:rPr>
          <w:rFonts w:ascii="Georgia" w:eastAsia="Times New Roman" w:hAnsi="Georgia" w:cs="Times New Roman"/>
          <w:color w:val="000000"/>
          <w:lang w:val="en-GB" w:eastAsia="hu-HU"/>
        </w:rPr>
        <w:t xml:space="preserve">there is one outstanding country in this respect: </w:t>
      </w:r>
      <w:r w:rsidRPr="0002056A">
        <w:rPr>
          <w:rFonts w:ascii="Georgia" w:eastAsia="Times New Roman" w:hAnsi="Georgia" w:cs="Times New Roman"/>
          <w:i/>
          <w:color w:val="000000"/>
          <w:lang w:val="en-GB" w:eastAsia="hu-HU"/>
        </w:rPr>
        <w:t xml:space="preserve">the Netherlands, </w:t>
      </w:r>
      <w:r w:rsidRPr="0002056A">
        <w:rPr>
          <w:rFonts w:ascii="Georgia" w:eastAsia="Times New Roman" w:hAnsi="Georgia" w:cs="Times New Roman"/>
          <w:color w:val="000000"/>
          <w:lang w:val="en-GB" w:eastAsia="hu-HU"/>
        </w:rPr>
        <w:t>with emergence of explicitly spatially oriented evaluation reports in adaptation at subnational and local levels (</w:t>
      </w:r>
      <w:r w:rsidR="00EC4200" w:rsidRPr="0002056A">
        <w:rPr>
          <w:rFonts w:ascii="Georgia" w:eastAsia="Times New Roman" w:hAnsi="Georgia" w:cs="Times New Roman"/>
          <w:color w:val="000000"/>
          <w:lang w:val="en-GB" w:eastAsia="hu-HU"/>
        </w:rPr>
        <w:t>partly</w:t>
      </w:r>
      <w:r w:rsidRPr="0002056A">
        <w:rPr>
          <w:rFonts w:ascii="Georgia" w:eastAsia="Times New Roman" w:hAnsi="Georgia" w:cs="Times New Roman"/>
          <w:color w:val="000000"/>
          <w:lang w:val="en-GB" w:eastAsia="hu-HU"/>
        </w:rPr>
        <w:t xml:space="preserve"> due to the Delta Programme, partly to provincial and municipal evaluation activities), and the NAS/NAP refers to these, too. In the upper-middle category six states’ (</w:t>
      </w:r>
      <w:r w:rsidRPr="0002056A">
        <w:rPr>
          <w:rFonts w:ascii="Georgia" w:eastAsia="Times New Roman" w:hAnsi="Georgia" w:cs="Times New Roman"/>
          <w:i/>
          <w:iCs/>
          <w:color w:val="000000"/>
          <w:lang w:val="en-GB" w:eastAsia="hu-HU"/>
        </w:rPr>
        <w:t>Sweden, Finland,</w:t>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i/>
          <w:color w:val="000000"/>
          <w:lang w:val="en-GB" w:eastAsia="hu-HU"/>
        </w:rPr>
        <w:t xml:space="preserve">England, Ireland, Austria </w:t>
      </w:r>
      <w:r w:rsidRPr="0002056A">
        <w:rPr>
          <w:rFonts w:ascii="Georgia" w:eastAsia="Times New Roman" w:hAnsi="Georgia" w:cs="Times New Roman"/>
          <w:iCs/>
          <w:color w:val="000000"/>
          <w:lang w:val="en-GB" w:eastAsia="hu-HU"/>
        </w:rPr>
        <w:t>and</w:t>
      </w:r>
      <w:r w:rsidRPr="0002056A">
        <w:rPr>
          <w:rFonts w:ascii="Georgia" w:eastAsia="Times New Roman" w:hAnsi="Georgia" w:cs="Times New Roman"/>
          <w:i/>
          <w:color w:val="000000"/>
          <w:lang w:val="en-GB" w:eastAsia="hu-HU"/>
        </w:rPr>
        <w:t xml:space="preserve"> Hungary</w:t>
      </w:r>
      <w:r w:rsidRPr="0002056A">
        <w:rPr>
          <w:rFonts w:ascii="Georgia" w:eastAsia="Times New Roman" w:hAnsi="Georgia" w:cs="Times New Roman"/>
          <w:color w:val="000000"/>
          <w:lang w:val="en-GB" w:eastAsia="hu-HU"/>
        </w:rPr>
        <w:t>) NAS/NAP plans to elaborate evaluation reports at lower spatial levels</w:t>
      </w:r>
      <w:r w:rsidR="005E7C9A" w:rsidRPr="0002056A">
        <w:rPr>
          <w:rFonts w:ascii="Georgia" w:eastAsia="Times New Roman" w:hAnsi="Georgia" w:cs="Times New Roman"/>
          <w:color w:val="000000"/>
          <w:lang w:val="en-GB" w:eastAsia="hu-HU"/>
        </w:rPr>
        <w:t>, too</w:t>
      </w:r>
      <w:r w:rsidRPr="0002056A">
        <w:rPr>
          <w:rFonts w:ascii="Georgia" w:eastAsia="Times New Roman" w:hAnsi="Georgia" w:cs="Times New Roman"/>
          <w:color w:val="000000"/>
          <w:lang w:val="en-GB" w:eastAsia="hu-HU"/>
        </w:rPr>
        <w:t>, but no</w:t>
      </w:r>
      <w:r w:rsidR="005E7C9A" w:rsidRPr="0002056A">
        <w:rPr>
          <w:rFonts w:ascii="Georgia" w:eastAsia="Times New Roman" w:hAnsi="Georgia" w:cs="Times New Roman"/>
          <w:color w:val="000000"/>
          <w:lang w:val="en-GB" w:eastAsia="hu-HU"/>
        </w:rPr>
        <w:t xml:space="preserve"> such</w:t>
      </w:r>
      <w:r w:rsidRPr="0002056A">
        <w:rPr>
          <w:rFonts w:ascii="Georgia" w:eastAsia="Times New Roman" w:hAnsi="Georgia" w:cs="Times New Roman"/>
          <w:color w:val="000000"/>
          <w:lang w:val="en-GB" w:eastAsia="hu-HU"/>
        </w:rPr>
        <w:t xml:space="preserve"> evaluation products have emerged in practice yet. 19 countries from all parts of Europe (</w:t>
      </w:r>
      <w:r w:rsidRPr="0002056A">
        <w:rPr>
          <w:rFonts w:ascii="Georgia" w:eastAsia="Times New Roman" w:hAnsi="Georgia" w:cs="Times New Roman"/>
          <w:i/>
          <w:color w:val="000000"/>
          <w:lang w:val="en-GB" w:eastAsia="hu-HU"/>
        </w:rPr>
        <w:t>North</w:t>
      </w:r>
      <w:r w:rsidR="005E7C9A"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iCs/>
          <w:color w:val="000000"/>
          <w:lang w:val="en-GB" w:eastAsia="hu-HU"/>
        </w:rPr>
        <w:t>and</w:t>
      </w:r>
      <w:r w:rsidRPr="0002056A">
        <w:rPr>
          <w:rFonts w:ascii="Georgia" w:eastAsia="Times New Roman" w:hAnsi="Georgia" w:cs="Times New Roman"/>
          <w:i/>
          <w:color w:val="000000"/>
          <w:lang w:val="en-GB" w:eastAsia="hu-HU"/>
        </w:rPr>
        <w:t xml:space="preserve"> West</w:t>
      </w:r>
      <w:r w:rsidR="005E7C9A"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 xml:space="preserve">Europe is </w:t>
      </w:r>
      <w:r w:rsidRPr="0002056A">
        <w:rPr>
          <w:rFonts w:ascii="Georgia" w:eastAsia="Times New Roman" w:hAnsi="Georgia" w:cs="Times New Roman"/>
          <w:color w:val="000000"/>
          <w:lang w:val="en-GB" w:eastAsia="hu-HU"/>
        </w:rPr>
        <w:t xml:space="preserve">overrepresented </w:t>
      </w:r>
      <w:r w:rsidR="005E71CD" w:rsidRPr="0002056A">
        <w:rPr>
          <w:rFonts w:ascii="Georgia" w:eastAsia="Times New Roman" w:hAnsi="Georgia" w:cs="Times New Roman"/>
          <w:color w:val="000000"/>
          <w:lang w:val="en-GB" w:eastAsia="hu-HU"/>
        </w:rPr>
        <w:t>here</w:t>
      </w:r>
      <w:r w:rsidR="005E7C9A" w:rsidRPr="0002056A">
        <w:rPr>
          <w:rFonts w:ascii="Georgia" w:eastAsia="Times New Roman" w:hAnsi="Georgia" w:cs="Times New Roman"/>
          <w:color w:val="000000"/>
          <w:lang w:val="en-GB" w:eastAsia="hu-HU"/>
        </w:rPr>
        <w:t>,</w:t>
      </w:r>
      <w:r w:rsidR="005E71CD"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color w:val="000000"/>
          <w:lang w:val="en-GB" w:eastAsia="hu-HU"/>
        </w:rPr>
        <w:t xml:space="preserve">nevertheless) got into the third category </w:t>
      </w:r>
      <w:r w:rsidR="005E71CD" w:rsidRPr="0002056A">
        <w:rPr>
          <w:rFonts w:ascii="Georgia" w:eastAsia="Times New Roman" w:hAnsi="Georgia" w:cs="Times New Roman"/>
          <w:color w:val="000000"/>
          <w:lang w:val="en-GB" w:eastAsia="hu-HU"/>
        </w:rPr>
        <w:t xml:space="preserve">where </w:t>
      </w:r>
      <w:r w:rsidRPr="0002056A">
        <w:rPr>
          <w:rFonts w:ascii="Georgia" w:eastAsia="Times New Roman" w:hAnsi="Georgia" w:cs="Times New Roman"/>
          <w:color w:val="000000"/>
          <w:lang w:val="en-GB" w:eastAsia="hu-HU"/>
        </w:rPr>
        <w:t xml:space="preserve">only national level evaluations exist/available in adaptation </w:t>
      </w:r>
      <w:r w:rsidR="00E8031F" w:rsidRPr="0002056A">
        <w:rPr>
          <w:rFonts w:ascii="Georgia" w:eastAsia="Times New Roman" w:hAnsi="Georgia" w:cs="Times New Roman"/>
          <w:color w:val="000000"/>
          <w:lang w:val="en-GB" w:eastAsia="hu-HU"/>
        </w:rPr>
        <w:t>and</w:t>
      </w:r>
      <w:r w:rsidRPr="0002056A">
        <w:rPr>
          <w:rFonts w:ascii="Georgia" w:eastAsia="Times New Roman" w:hAnsi="Georgia" w:cs="Times New Roman"/>
          <w:color w:val="000000"/>
          <w:lang w:val="en-GB" w:eastAsia="hu-HU"/>
        </w:rPr>
        <w:t xml:space="preserve"> </w:t>
      </w:r>
      <w:r w:rsidR="005E71CD" w:rsidRPr="0002056A">
        <w:rPr>
          <w:rFonts w:ascii="Georgia" w:eastAsia="Times New Roman" w:hAnsi="Georgia" w:cs="Times New Roman"/>
          <w:color w:val="000000"/>
          <w:lang w:val="en-GB" w:eastAsia="hu-HU"/>
        </w:rPr>
        <w:t>there are not</w:t>
      </w:r>
      <w:r w:rsidRPr="0002056A">
        <w:rPr>
          <w:rFonts w:ascii="Georgia" w:eastAsia="Times New Roman" w:hAnsi="Georgia" w:cs="Times New Roman"/>
          <w:color w:val="000000"/>
          <w:lang w:val="en-GB" w:eastAsia="hu-HU"/>
        </w:rPr>
        <w:t xml:space="preserve"> any plans for evaluation system development</w:t>
      </w:r>
      <w:r w:rsidR="005E71CD" w:rsidRPr="0002056A">
        <w:rPr>
          <w:rFonts w:ascii="Georgia" w:eastAsia="Times New Roman" w:hAnsi="Georgia" w:cs="Times New Roman"/>
          <w:color w:val="000000"/>
          <w:lang w:val="en-GB" w:eastAsia="hu-HU"/>
        </w:rPr>
        <w:t xml:space="preserve">. </w:t>
      </w:r>
      <w:r w:rsidR="00C67D35" w:rsidRPr="0002056A">
        <w:rPr>
          <w:rFonts w:ascii="Georgia" w:eastAsia="Times New Roman" w:hAnsi="Georgia" w:cs="Times New Roman"/>
          <w:color w:val="000000"/>
          <w:lang w:val="en-GB" w:eastAsia="hu-HU"/>
        </w:rPr>
        <w:t>In</w:t>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i/>
          <w:color w:val="000000"/>
          <w:lang w:val="en-GB" w:eastAsia="hu-HU"/>
        </w:rPr>
        <w:t xml:space="preserve">Estonia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Greece </w:t>
      </w:r>
      <w:r w:rsidRPr="0002056A">
        <w:rPr>
          <w:rFonts w:ascii="Georgia" w:eastAsia="Times New Roman" w:hAnsi="Georgia" w:cs="Times New Roman"/>
          <w:color w:val="000000"/>
          <w:lang w:val="en-GB" w:eastAsia="hu-HU"/>
        </w:rPr>
        <w:t>no evaluations exist yet</w:t>
      </w:r>
      <w:r w:rsidR="00C67D35"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w:t>
      </w:r>
      <w:r w:rsidR="00C67D35" w:rsidRPr="0002056A">
        <w:rPr>
          <w:rFonts w:ascii="Georgia" w:eastAsia="Times New Roman" w:hAnsi="Georgia" w:cs="Times New Roman"/>
          <w:color w:val="000000"/>
          <w:lang w:val="en-GB" w:eastAsia="hu-HU"/>
        </w:rPr>
        <w:t xml:space="preserve">either </w:t>
      </w:r>
      <w:r w:rsidRPr="0002056A">
        <w:rPr>
          <w:rFonts w:ascii="Georgia" w:eastAsia="Times New Roman" w:hAnsi="Georgia" w:cs="Times New Roman"/>
          <w:color w:val="000000"/>
          <w:lang w:val="en-GB" w:eastAsia="hu-HU"/>
        </w:rPr>
        <w:t xml:space="preserve">the importance of MRE and evaluations are indicated </w:t>
      </w:r>
      <w:r w:rsidR="008B72BD" w:rsidRPr="0002056A">
        <w:rPr>
          <w:rFonts w:ascii="Georgia" w:eastAsia="Times New Roman" w:hAnsi="Georgia" w:cs="Times New Roman"/>
          <w:color w:val="000000"/>
          <w:lang w:val="en-GB" w:eastAsia="hu-HU"/>
        </w:rPr>
        <w:t xml:space="preserve">in the documents </w:t>
      </w:r>
      <w:r w:rsidRPr="0002056A">
        <w:rPr>
          <w:rFonts w:ascii="Georgia" w:eastAsia="Times New Roman" w:hAnsi="Georgia" w:cs="Times New Roman"/>
          <w:color w:val="000000"/>
          <w:lang w:val="en-GB" w:eastAsia="hu-HU"/>
        </w:rPr>
        <w:t xml:space="preserve">or only sectoral MRE is urged by the NAS. In 14, mostly </w:t>
      </w:r>
      <w:r w:rsidRPr="0002056A">
        <w:rPr>
          <w:rFonts w:ascii="Georgia" w:eastAsia="Times New Roman" w:hAnsi="Georgia" w:cs="Times New Roman"/>
          <w:i/>
          <w:color w:val="000000"/>
          <w:lang w:val="en-GB" w:eastAsia="hu-HU"/>
        </w:rPr>
        <w:t xml:space="preserve">Central-, South-Eastern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South</w:t>
      </w:r>
      <w:r w:rsidR="00C67D35"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 xml:space="preserve">European countries </w:t>
      </w:r>
      <w:r w:rsidRPr="0002056A">
        <w:rPr>
          <w:rFonts w:ascii="Georgia" w:eastAsia="Times New Roman" w:hAnsi="Georgia" w:cs="Times New Roman"/>
          <w:color w:val="000000"/>
          <w:lang w:val="en-GB" w:eastAsia="hu-HU"/>
        </w:rPr>
        <w:t>evaluations are not available currently and the NAS/NAP do</w:t>
      </w:r>
      <w:r w:rsidR="008B72BD" w:rsidRPr="0002056A">
        <w:rPr>
          <w:rFonts w:ascii="Georgia" w:eastAsia="Times New Roman" w:hAnsi="Georgia" w:cs="Times New Roman"/>
          <w:color w:val="000000"/>
          <w:lang w:val="en-GB" w:eastAsia="hu-HU"/>
        </w:rPr>
        <w:t>es</w:t>
      </w:r>
      <w:r w:rsidRPr="0002056A">
        <w:rPr>
          <w:rFonts w:ascii="Georgia" w:eastAsia="Times New Roman" w:hAnsi="Georgia" w:cs="Times New Roman"/>
          <w:color w:val="000000"/>
          <w:lang w:val="en-GB" w:eastAsia="hu-HU"/>
        </w:rPr>
        <w:t xml:space="preserve"> not talk about </w:t>
      </w:r>
      <w:r w:rsidR="00582563" w:rsidRPr="0002056A">
        <w:rPr>
          <w:rFonts w:ascii="Georgia" w:eastAsia="Times New Roman" w:hAnsi="Georgia" w:cs="Times New Roman"/>
          <w:color w:val="000000"/>
          <w:lang w:val="en-GB" w:eastAsia="hu-HU"/>
        </w:rPr>
        <w:t>these kinds of activities</w:t>
      </w:r>
      <w:r w:rsidRPr="0002056A">
        <w:rPr>
          <w:rFonts w:ascii="Georgia" w:eastAsia="Times New Roman" w:hAnsi="Georgia" w:cs="Times New Roman"/>
          <w:color w:val="000000"/>
          <w:lang w:val="en-GB" w:eastAsia="hu-HU"/>
        </w:rPr>
        <w:t>, either.</w:t>
      </w:r>
    </w:p>
    <w:p w14:paraId="3F54FB2A" w14:textId="20843108" w:rsidR="00582563" w:rsidRPr="0002056A" w:rsidRDefault="005E71CD" w:rsidP="00214BD9">
      <w:pPr>
        <w:pStyle w:val="Cmsor3"/>
        <w:numPr>
          <w:ilvl w:val="2"/>
          <w:numId w:val="4"/>
        </w:numPr>
        <w:rPr>
          <w:lang w:val="en-GB"/>
        </w:rPr>
      </w:pPr>
      <w:bookmarkStart w:id="45" w:name="_Toc225578862"/>
      <w:r w:rsidRPr="0002056A">
        <w:rPr>
          <w:lang w:val="en-GB"/>
        </w:rPr>
        <w:t>E</w:t>
      </w:r>
      <w:r w:rsidR="00582563" w:rsidRPr="0002056A">
        <w:rPr>
          <w:lang w:val="en-GB"/>
        </w:rPr>
        <w:t>mergence of European and national spatial policy considerations in the NASs</w:t>
      </w:r>
      <w:bookmarkEnd w:id="45"/>
    </w:p>
    <w:p w14:paraId="3A343F58" w14:textId="1B4616B7" w:rsidR="00582563" w:rsidRPr="0002056A" w:rsidRDefault="00582563" w:rsidP="00596939">
      <w:pPr>
        <w:pBdr>
          <w:top w:val="single" w:sz="4" w:space="1" w:color="auto"/>
          <w:left w:val="single" w:sz="4" w:space="4" w:color="auto"/>
          <w:bottom w:val="single" w:sz="4" w:space="1" w:color="auto"/>
          <w:right w:val="single" w:sz="4" w:space="4" w:color="auto"/>
        </w:pBdr>
        <w:shd w:val="clear" w:color="auto" w:fill="FFFFFF" w:themeFill="background1"/>
        <w:spacing w:before="120" w:after="120"/>
        <w:jc w:val="both"/>
        <w:rPr>
          <w:rFonts w:ascii="Georgia" w:hAnsi="Georgia"/>
          <w:lang w:val="en-GB"/>
        </w:rPr>
      </w:pPr>
      <w:r w:rsidRPr="0002056A">
        <w:rPr>
          <w:rFonts w:ascii="Georgia" w:hAnsi="Georgia"/>
          <w:lang w:val="en-GB"/>
        </w:rPr>
        <w:t>The last main analytical aspect deal</w:t>
      </w:r>
      <w:r w:rsidR="005D4B59" w:rsidRPr="0002056A">
        <w:rPr>
          <w:rFonts w:ascii="Georgia" w:hAnsi="Georgia"/>
          <w:lang w:val="en-GB"/>
        </w:rPr>
        <w:t>s</w:t>
      </w:r>
      <w:r w:rsidRPr="0002056A">
        <w:rPr>
          <w:rFonts w:ascii="Georgia" w:hAnsi="Georgia"/>
          <w:lang w:val="en-GB"/>
        </w:rPr>
        <w:t xml:space="preserve"> with the emergence of respective national and European spatial policy priorities in the national adaptation planning documents. The summarized results show</w:t>
      </w:r>
      <w:r w:rsidR="005D4B59" w:rsidRPr="0002056A">
        <w:rPr>
          <w:rFonts w:ascii="Georgia" w:hAnsi="Georgia"/>
          <w:lang w:val="en-GB"/>
        </w:rPr>
        <w:t>ed</w:t>
      </w:r>
      <w:r w:rsidRPr="0002056A">
        <w:rPr>
          <w:rFonts w:ascii="Georgia" w:hAnsi="Georgia"/>
          <w:lang w:val="en-GB"/>
        </w:rPr>
        <w:t xml:space="preserve"> </w:t>
      </w:r>
      <w:r w:rsidR="005D4B59" w:rsidRPr="0002056A">
        <w:rPr>
          <w:rFonts w:ascii="Georgia" w:hAnsi="Georgia"/>
          <w:lang w:val="en-GB"/>
        </w:rPr>
        <w:t xml:space="preserve">the </w:t>
      </w:r>
      <w:r w:rsidRPr="0002056A">
        <w:rPr>
          <w:rFonts w:ascii="Georgia" w:hAnsi="Georgia"/>
          <w:lang w:val="en-GB"/>
        </w:rPr>
        <w:t xml:space="preserve">best performances (above 11 points reached out of the available 15) in </w:t>
      </w:r>
      <w:r w:rsidRPr="0002056A">
        <w:rPr>
          <w:rFonts w:ascii="Georgia" w:hAnsi="Georgia"/>
          <w:i/>
          <w:iCs/>
          <w:lang w:val="en-GB"/>
        </w:rPr>
        <w:t xml:space="preserve">France, Scotland, Poland, Austria </w:t>
      </w:r>
      <w:r w:rsidRPr="0002056A">
        <w:rPr>
          <w:rFonts w:ascii="Georgia" w:hAnsi="Georgia"/>
          <w:lang w:val="en-GB"/>
        </w:rPr>
        <w:t>and</w:t>
      </w:r>
      <w:r w:rsidRPr="0002056A">
        <w:rPr>
          <w:rFonts w:ascii="Georgia" w:hAnsi="Georgia"/>
          <w:i/>
          <w:iCs/>
          <w:lang w:val="en-GB"/>
        </w:rPr>
        <w:t xml:space="preserve"> England – </w:t>
      </w:r>
      <w:r w:rsidRPr="0002056A">
        <w:rPr>
          <w:rFonts w:ascii="Georgia" w:hAnsi="Georgia"/>
          <w:lang w:val="en-GB"/>
        </w:rPr>
        <w:t>in those countries that performed the best in the aggregated composite spatial sensitivity indicator, too</w:t>
      </w:r>
      <w:r w:rsidR="00A95BAF" w:rsidRPr="0002056A">
        <w:rPr>
          <w:rFonts w:ascii="Georgia" w:hAnsi="Georgia"/>
          <w:lang w:val="en-GB"/>
        </w:rPr>
        <w:t xml:space="preserve"> (Figure 29)</w:t>
      </w:r>
      <w:r w:rsidRPr="0002056A">
        <w:rPr>
          <w:rFonts w:ascii="Georgia" w:hAnsi="Georgia"/>
          <w:lang w:val="en-GB"/>
        </w:rPr>
        <w:t xml:space="preserve">. These countries are, with the exclusion of Poland, </w:t>
      </w:r>
      <w:r w:rsidR="000E4022" w:rsidRPr="0002056A">
        <w:rPr>
          <w:rFonts w:ascii="Georgia" w:hAnsi="Georgia"/>
          <w:lang w:val="en-GB"/>
        </w:rPr>
        <w:t xml:space="preserve">among </w:t>
      </w:r>
      <w:r w:rsidRPr="0002056A">
        <w:rPr>
          <w:rFonts w:ascii="Georgia" w:hAnsi="Georgia"/>
          <w:lang w:val="en-GB"/>
        </w:rPr>
        <w:t xml:space="preserve">the traditional adaptation policy planning pioneer states of Europe. This small group is followed by a wider, mixed one, composed by the bigger </w:t>
      </w:r>
      <w:r w:rsidR="000E4022" w:rsidRPr="0002056A">
        <w:rPr>
          <w:rFonts w:ascii="Georgia" w:hAnsi="Georgia"/>
          <w:lang w:val="en-GB"/>
        </w:rPr>
        <w:t>and medium-sized S</w:t>
      </w:r>
      <w:r w:rsidRPr="0002056A">
        <w:rPr>
          <w:rFonts w:ascii="Georgia" w:hAnsi="Georgia"/>
          <w:lang w:val="en-GB"/>
        </w:rPr>
        <w:t>outhern countries (</w:t>
      </w:r>
      <w:r w:rsidRPr="0002056A">
        <w:rPr>
          <w:rFonts w:ascii="Georgia" w:hAnsi="Georgia"/>
          <w:i/>
          <w:iCs/>
          <w:lang w:val="en-GB"/>
        </w:rPr>
        <w:t>Türkiye, Spain, Italy, Greece, Portugal</w:t>
      </w:r>
      <w:r w:rsidRPr="0002056A">
        <w:rPr>
          <w:rFonts w:ascii="Georgia" w:hAnsi="Georgia"/>
          <w:lang w:val="en-GB"/>
        </w:rPr>
        <w:t xml:space="preserve">) and traditional Northwestern </w:t>
      </w:r>
      <w:r w:rsidR="0092014E" w:rsidRPr="0002056A">
        <w:rPr>
          <w:rFonts w:ascii="Georgia" w:hAnsi="Georgia"/>
          <w:lang w:val="en-GB"/>
        </w:rPr>
        <w:t xml:space="preserve">adaptation policy </w:t>
      </w:r>
      <w:r w:rsidRPr="0002056A">
        <w:rPr>
          <w:rFonts w:ascii="Georgia" w:hAnsi="Georgia"/>
          <w:lang w:val="en-GB"/>
        </w:rPr>
        <w:t>pioneers again (</w:t>
      </w:r>
      <w:r w:rsidRPr="0002056A">
        <w:rPr>
          <w:rFonts w:ascii="Georgia" w:hAnsi="Georgia"/>
          <w:i/>
          <w:iCs/>
          <w:lang w:val="en-GB"/>
        </w:rPr>
        <w:t>Belgium, the Netherlands, Luxemburg, Norway, Sweden, Wales, Northern Ireland</w:t>
      </w:r>
      <w:r w:rsidRPr="0002056A">
        <w:rPr>
          <w:rFonts w:ascii="Georgia" w:hAnsi="Georgia"/>
          <w:lang w:val="en-GB"/>
        </w:rPr>
        <w:t>). The reasons for the higher values are the adequate consideration of European spatial directions (</w:t>
      </w:r>
      <w:r w:rsidRPr="0002056A">
        <w:rPr>
          <w:rFonts w:ascii="Georgia" w:hAnsi="Georgia"/>
          <w:i/>
          <w:iCs/>
          <w:lang w:val="en-GB"/>
        </w:rPr>
        <w:t>Türkiye, Spain</w:t>
      </w:r>
      <w:r w:rsidRPr="0002056A">
        <w:rPr>
          <w:rFonts w:ascii="Georgia" w:hAnsi="Georgia"/>
          <w:lang w:val="en-GB"/>
        </w:rPr>
        <w:t xml:space="preserve">), or stronger national spatial </w:t>
      </w:r>
      <w:r w:rsidR="0092014E" w:rsidRPr="0002056A">
        <w:rPr>
          <w:rFonts w:ascii="Georgia" w:hAnsi="Georgia"/>
          <w:lang w:val="en-GB"/>
        </w:rPr>
        <w:t xml:space="preserve">planning </w:t>
      </w:r>
      <w:r w:rsidRPr="0002056A">
        <w:rPr>
          <w:rFonts w:ascii="Georgia" w:hAnsi="Georgia"/>
          <w:lang w:val="en-GB"/>
        </w:rPr>
        <w:t>implications (</w:t>
      </w:r>
      <w:r w:rsidRPr="0002056A">
        <w:rPr>
          <w:rFonts w:ascii="Georgia" w:hAnsi="Georgia"/>
          <w:i/>
          <w:iCs/>
          <w:lang w:val="en-GB"/>
        </w:rPr>
        <w:t>Italy, Greece, Portugal</w:t>
      </w:r>
      <w:r w:rsidRPr="0002056A">
        <w:rPr>
          <w:rFonts w:ascii="Georgia" w:hAnsi="Georgia"/>
          <w:lang w:val="en-GB"/>
        </w:rPr>
        <w:t>) or significant consideration of territorial cohesion-related concepts (</w:t>
      </w:r>
      <w:r w:rsidRPr="0002056A">
        <w:rPr>
          <w:rFonts w:ascii="Georgia" w:hAnsi="Georgia"/>
          <w:i/>
          <w:iCs/>
          <w:lang w:val="en-GB"/>
        </w:rPr>
        <w:t>Belgium, the Netherlands, Luxemburg, Norway, Sweden).</w:t>
      </w:r>
      <w:r w:rsidRPr="0002056A">
        <w:rPr>
          <w:rFonts w:ascii="Georgia" w:hAnsi="Georgia"/>
          <w:lang w:val="en-GB"/>
        </w:rPr>
        <w:t xml:space="preserve"> The weakest values </w:t>
      </w:r>
      <w:r w:rsidR="000E4022" w:rsidRPr="0002056A">
        <w:rPr>
          <w:rFonts w:ascii="Georgia" w:hAnsi="Georgia"/>
          <w:lang w:val="en-GB"/>
        </w:rPr>
        <w:t>were</w:t>
      </w:r>
      <w:r w:rsidRPr="0002056A">
        <w:rPr>
          <w:rFonts w:ascii="Georgia" w:hAnsi="Georgia"/>
          <w:lang w:val="en-GB"/>
        </w:rPr>
        <w:t xml:space="preserve"> found mostly in the </w:t>
      </w:r>
      <w:r w:rsidRPr="0002056A">
        <w:rPr>
          <w:rFonts w:ascii="Georgia" w:hAnsi="Georgia"/>
          <w:i/>
          <w:iCs/>
          <w:lang w:val="en-GB"/>
        </w:rPr>
        <w:t>South-Eastern</w:t>
      </w:r>
      <w:r w:rsidRPr="0002056A">
        <w:rPr>
          <w:rFonts w:ascii="Georgia" w:hAnsi="Georgia"/>
          <w:lang w:val="en-GB"/>
        </w:rPr>
        <w:t xml:space="preserve"> and </w:t>
      </w:r>
      <w:r w:rsidRPr="0002056A">
        <w:rPr>
          <w:rFonts w:ascii="Georgia" w:hAnsi="Georgia"/>
          <w:i/>
          <w:iCs/>
          <w:lang w:val="en-GB"/>
        </w:rPr>
        <w:t>Eastern states</w:t>
      </w:r>
      <w:r w:rsidRPr="0002056A">
        <w:rPr>
          <w:rFonts w:ascii="Georgia" w:hAnsi="Georgia"/>
          <w:lang w:val="en-GB"/>
        </w:rPr>
        <w:t>, with some surprisingly weak performances (</w:t>
      </w:r>
      <w:r w:rsidRPr="0002056A">
        <w:rPr>
          <w:rFonts w:ascii="Georgia" w:hAnsi="Georgia"/>
          <w:i/>
          <w:iCs/>
          <w:lang w:val="en-GB"/>
        </w:rPr>
        <w:t>Switzerland</w:t>
      </w:r>
      <w:r w:rsidRPr="0002056A">
        <w:rPr>
          <w:rFonts w:ascii="Georgia" w:hAnsi="Georgia"/>
          <w:lang w:val="en-GB"/>
        </w:rPr>
        <w:t xml:space="preserve">, together with </w:t>
      </w:r>
      <w:r w:rsidRPr="0002056A">
        <w:rPr>
          <w:rFonts w:ascii="Georgia" w:hAnsi="Georgia"/>
          <w:i/>
          <w:iCs/>
          <w:lang w:val="en-GB"/>
        </w:rPr>
        <w:t xml:space="preserve">Ireland, Finland </w:t>
      </w:r>
      <w:r w:rsidRPr="0002056A">
        <w:rPr>
          <w:rFonts w:ascii="Georgia" w:hAnsi="Georgia"/>
          <w:lang w:val="en-GB"/>
        </w:rPr>
        <w:t xml:space="preserve">and </w:t>
      </w:r>
      <w:r w:rsidRPr="0002056A">
        <w:rPr>
          <w:rFonts w:ascii="Georgia" w:hAnsi="Georgia"/>
          <w:i/>
          <w:iCs/>
          <w:lang w:val="en-GB"/>
        </w:rPr>
        <w:t>Denmark</w:t>
      </w:r>
      <w:r w:rsidRPr="0002056A">
        <w:rPr>
          <w:rFonts w:ascii="Georgia" w:hAnsi="Georgia"/>
          <w:lang w:val="en-GB"/>
        </w:rPr>
        <w:t xml:space="preserve"> reached only 5 points, </w:t>
      </w:r>
      <w:r w:rsidRPr="0002056A">
        <w:rPr>
          <w:rFonts w:ascii="Georgia" w:hAnsi="Georgia"/>
          <w:i/>
          <w:iCs/>
          <w:lang w:val="en-GB"/>
        </w:rPr>
        <w:t>Iceland</w:t>
      </w:r>
      <w:r w:rsidRPr="0002056A">
        <w:rPr>
          <w:rFonts w:ascii="Georgia" w:hAnsi="Georgia"/>
          <w:lang w:val="en-GB"/>
        </w:rPr>
        <w:t xml:space="preserve"> 3)</w:t>
      </w:r>
      <w:r w:rsidR="00167B36" w:rsidRPr="0002056A">
        <w:rPr>
          <w:rFonts w:ascii="Georgia" w:hAnsi="Georgia"/>
          <w:lang w:val="en-GB"/>
        </w:rPr>
        <w:t xml:space="preserve"> – in these cases the </w:t>
      </w:r>
      <w:r w:rsidR="00A95BAF" w:rsidRPr="0002056A">
        <w:rPr>
          <w:rFonts w:ascii="Georgia" w:hAnsi="Georgia"/>
          <w:lang w:val="en-GB"/>
        </w:rPr>
        <w:t xml:space="preserve">respective </w:t>
      </w:r>
      <w:r w:rsidR="00167B36" w:rsidRPr="0002056A">
        <w:rPr>
          <w:rFonts w:ascii="Georgia" w:hAnsi="Georgia"/>
          <w:lang w:val="en-GB"/>
        </w:rPr>
        <w:t>NAS</w:t>
      </w:r>
      <w:r w:rsidR="00A95BAF" w:rsidRPr="0002056A">
        <w:rPr>
          <w:rFonts w:ascii="Georgia" w:hAnsi="Georgia"/>
          <w:lang w:val="en-GB"/>
        </w:rPr>
        <w:t>s</w:t>
      </w:r>
      <w:r w:rsidR="00167B36" w:rsidRPr="0002056A">
        <w:rPr>
          <w:rFonts w:ascii="Georgia" w:hAnsi="Georgia"/>
          <w:lang w:val="en-GB"/>
        </w:rPr>
        <w:t xml:space="preserve"> simply left out considerations of spatial policy documents’ direction.</w:t>
      </w:r>
    </w:p>
    <w:p w14:paraId="357F96CF" w14:textId="77777777" w:rsidR="009F3143" w:rsidRPr="0002056A" w:rsidRDefault="009F3143" w:rsidP="009F3143">
      <w:pPr>
        <w:rPr>
          <w:lang w:val="en-GB"/>
        </w:rPr>
      </w:pPr>
      <w:r w:rsidRPr="0002056A">
        <w:rPr>
          <w:noProof/>
          <w:lang w:val="en-GB"/>
          <w14:ligatures w14:val="standardContextual"/>
        </w:rPr>
        <w:lastRenderedPageBreak/>
        <w:drawing>
          <wp:inline distT="0" distB="0" distL="0" distR="0" wp14:anchorId="1950E253" wp14:editId="01DC0036">
            <wp:extent cx="5760720" cy="4863465"/>
            <wp:effectExtent l="19050" t="19050" r="11430" b="13335"/>
            <wp:docPr id="1862311145" name="Kép 10" descr="A képen térkép, atlasz, szöveg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11145" name="Kép 10" descr="A képen térkép, atlasz, szöveg látható&#10;&#10;Előfordulhat, hogy az AI által létrehozott tartalom helytele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863465"/>
                    </a:xfrm>
                    <a:prstGeom prst="rect">
                      <a:avLst/>
                    </a:prstGeom>
                    <a:ln w="15875">
                      <a:solidFill>
                        <a:schemeClr val="tx1">
                          <a:lumMod val="75000"/>
                          <a:lumOff val="25000"/>
                        </a:schemeClr>
                      </a:solidFill>
                    </a:ln>
                  </pic:spPr>
                </pic:pic>
              </a:graphicData>
            </a:graphic>
          </wp:inline>
        </w:drawing>
      </w:r>
    </w:p>
    <w:p w14:paraId="7AC95864" w14:textId="6AE23422" w:rsidR="009F3143" w:rsidRPr="0002056A" w:rsidRDefault="009F3143" w:rsidP="003353B7">
      <w:pPr>
        <w:jc w:val="center"/>
        <w:rPr>
          <w:rFonts w:ascii="Georgia" w:hAnsi="Georgia"/>
          <w:i/>
          <w:iCs/>
          <w:sz w:val="18"/>
          <w:szCs w:val="18"/>
          <w:lang w:val="en-GB"/>
        </w:rPr>
      </w:pPr>
      <w:r w:rsidRPr="0002056A">
        <w:rPr>
          <w:rFonts w:ascii="Georgia" w:hAnsi="Georgia"/>
          <w:b/>
          <w:bCs/>
          <w:sz w:val="18"/>
          <w:szCs w:val="18"/>
          <w:lang w:val="en-GB"/>
        </w:rPr>
        <w:t xml:space="preserve">Figure </w:t>
      </w:r>
      <w:r w:rsidR="003353B7" w:rsidRPr="0002056A">
        <w:rPr>
          <w:rFonts w:ascii="Georgia" w:hAnsi="Georgia"/>
          <w:b/>
          <w:bCs/>
          <w:sz w:val="18"/>
          <w:szCs w:val="18"/>
          <w:lang w:val="en-GB"/>
        </w:rPr>
        <w:t>29</w:t>
      </w:r>
      <w:r w:rsidRPr="0002056A">
        <w:rPr>
          <w:rFonts w:ascii="Georgia" w:hAnsi="Georgia"/>
          <w:b/>
          <w:bCs/>
          <w:sz w:val="18"/>
          <w:szCs w:val="18"/>
          <w:lang w:val="en-GB"/>
        </w:rPr>
        <w:t>: Emergence of national and European spatial policy directions in the NAS</w:t>
      </w:r>
      <w:r w:rsidR="00A95BAF" w:rsidRPr="0002056A">
        <w:rPr>
          <w:rFonts w:ascii="Georgia" w:hAnsi="Georgia"/>
          <w:b/>
          <w:bCs/>
          <w:sz w:val="18"/>
          <w:szCs w:val="18"/>
          <w:lang w:val="en-GB"/>
        </w:rPr>
        <w:t>s</w:t>
      </w:r>
      <w:r w:rsidRPr="0002056A">
        <w:rPr>
          <w:rFonts w:ascii="Georgia" w:hAnsi="Georgia"/>
          <w:b/>
          <w:bCs/>
          <w:sz w:val="18"/>
          <w:szCs w:val="18"/>
          <w:lang w:val="en-GB"/>
        </w:rPr>
        <w:t xml:space="preserve"> of the analysed countries. </w:t>
      </w:r>
      <w:r w:rsidRPr="0002056A">
        <w:rPr>
          <w:rFonts w:ascii="Georgia" w:hAnsi="Georgia"/>
          <w:i/>
          <w:iCs/>
          <w:sz w:val="18"/>
          <w:szCs w:val="18"/>
          <w:lang w:val="en-GB"/>
        </w:rPr>
        <w:t>Source: own editing.</w:t>
      </w:r>
    </w:p>
    <w:p w14:paraId="016ED895" w14:textId="013D5956" w:rsidR="00582563" w:rsidRPr="0002056A" w:rsidRDefault="00582563" w:rsidP="00596939">
      <w:pPr>
        <w:shd w:val="clear" w:color="auto" w:fill="FFFFFF" w:themeFill="background1"/>
        <w:spacing w:before="120" w:after="120"/>
        <w:jc w:val="both"/>
        <w:rPr>
          <w:lang w:val="en-GB"/>
        </w:rPr>
      </w:pPr>
      <w:r w:rsidRPr="0002056A">
        <w:rPr>
          <w:rFonts w:ascii="Georgia" w:eastAsia="Times New Roman" w:hAnsi="Georgia" w:cs="Times New Roman"/>
          <w:bCs/>
          <w:iCs/>
          <w:lang w:val="en-GB" w:eastAsia="hu-HU"/>
        </w:rPr>
        <w:t>Seeing the details,</w:t>
      </w:r>
      <w:r w:rsidRPr="0002056A">
        <w:rPr>
          <w:rFonts w:ascii="Georgia" w:eastAsia="Times New Roman" w:hAnsi="Georgia" w:cs="Times New Roman"/>
          <w:b/>
          <w:iCs/>
          <w:lang w:val="en-GB" w:eastAsia="hu-HU"/>
        </w:rPr>
        <w:t xml:space="preserve"> consideration of national spatial/regional development objectives </w:t>
      </w:r>
      <w:r w:rsidRPr="0002056A">
        <w:rPr>
          <w:rFonts w:ascii="Georgia" w:hAnsi="Georgia" w:cs="Times New Roman"/>
          <w:bCs/>
          <w:lang w:val="en-GB"/>
        </w:rPr>
        <w:t xml:space="preserve">appear in all of the NAS documents, but </w:t>
      </w:r>
      <w:r w:rsidR="00A52A0D" w:rsidRPr="0002056A">
        <w:rPr>
          <w:rFonts w:ascii="Georgia" w:hAnsi="Georgia" w:cs="Times New Roman"/>
          <w:bCs/>
          <w:lang w:val="en-GB"/>
        </w:rPr>
        <w:t xml:space="preserve">usually </w:t>
      </w:r>
      <w:r w:rsidRPr="0002056A">
        <w:rPr>
          <w:rFonts w:ascii="Georgia" w:hAnsi="Georgia" w:cs="Times New Roman"/>
          <w:bCs/>
          <w:lang w:val="en-GB"/>
        </w:rPr>
        <w:t xml:space="preserve">not directly and not entirely. </w:t>
      </w:r>
      <w:r w:rsidRPr="0002056A">
        <w:rPr>
          <w:rFonts w:ascii="Georgia" w:hAnsi="Georgia" w:cs="Times New Roman"/>
          <w:bCs/>
          <w:i/>
          <w:iCs/>
          <w:lang w:val="en-GB"/>
        </w:rPr>
        <w:t>France</w:t>
      </w:r>
      <w:r w:rsidRPr="0002056A">
        <w:rPr>
          <w:rFonts w:ascii="Georgia" w:hAnsi="Georgia" w:cs="Times New Roman"/>
          <w:bCs/>
          <w:lang w:val="en-GB"/>
        </w:rPr>
        <w:t xml:space="preserve"> and </w:t>
      </w:r>
      <w:r w:rsidRPr="0002056A">
        <w:rPr>
          <w:rFonts w:ascii="Georgia" w:hAnsi="Georgia" w:cs="Times New Roman"/>
          <w:bCs/>
          <w:i/>
          <w:iCs/>
          <w:lang w:val="en-GB"/>
        </w:rPr>
        <w:t xml:space="preserve">Sweden </w:t>
      </w:r>
      <w:r w:rsidRPr="0002056A">
        <w:rPr>
          <w:rFonts w:ascii="Georgia" w:hAnsi="Georgia" w:cs="Times New Roman"/>
          <w:bCs/>
          <w:lang w:val="en-GB"/>
        </w:rPr>
        <w:t xml:space="preserve">are the only two examples for the best category, where namely </w:t>
      </w:r>
      <w:r w:rsidRPr="0002056A">
        <w:rPr>
          <w:rFonts w:ascii="Georgia" w:eastAsia="Times New Roman" w:hAnsi="Georgia" w:cs="Times New Roman"/>
          <w:color w:val="000000"/>
          <w:lang w:val="en-GB" w:eastAsia="hu-HU"/>
        </w:rPr>
        <w:t xml:space="preserve">all or almost all then-current national spatial objectives emerge explicitly </w:t>
      </w:r>
      <w:r w:rsidR="00A52A0D"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in nominated form</w:t>
      </w:r>
      <w:r w:rsidR="00A52A0D"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 xml:space="preserve"> </w:t>
      </w:r>
      <w:r w:rsidR="0092014E" w:rsidRPr="0002056A">
        <w:rPr>
          <w:rFonts w:ascii="Georgia" w:eastAsia="Times New Roman" w:hAnsi="Georgia" w:cs="Times New Roman"/>
          <w:color w:val="000000"/>
          <w:lang w:val="en-GB" w:eastAsia="hu-HU"/>
        </w:rPr>
        <w:t>in the respective NASs.</w:t>
      </w:r>
      <w:r w:rsidRPr="0002056A">
        <w:rPr>
          <w:rFonts w:ascii="Georgia" w:eastAsia="Times New Roman" w:hAnsi="Georgia" w:cs="Times New Roman"/>
          <w:color w:val="000000"/>
          <w:lang w:val="en-GB" w:eastAsia="hu-HU"/>
        </w:rPr>
        <w:t xml:space="preserve"> In France, for example, all five priorities of the “</w:t>
      </w:r>
      <w:r w:rsidRPr="0002056A">
        <w:rPr>
          <w:rFonts w:ascii="Georgia" w:hAnsi="Georgia" w:cs="Times New Roman"/>
          <w:bCs/>
          <w:lang w:val="en-GB"/>
        </w:rPr>
        <w:t xml:space="preserve">FRA2030” document appear almost word-by-word in the new NAS; meanwhile </w:t>
      </w:r>
      <w:r w:rsidRPr="0002056A">
        <w:rPr>
          <w:rFonts w:ascii="Georgia" w:hAnsi="Georgia" w:cs="Times New Roman"/>
          <w:bCs/>
          <w:i/>
          <w:iCs/>
          <w:lang w:val="en-GB"/>
        </w:rPr>
        <w:t>Sweden</w:t>
      </w:r>
      <w:r w:rsidRPr="0002056A">
        <w:rPr>
          <w:rFonts w:ascii="Georgia" w:hAnsi="Georgia" w:cs="Times New Roman"/>
          <w:bCs/>
          <w:lang w:val="en-GB"/>
        </w:rPr>
        <w:t xml:space="preserve"> in its NAS refers to all 3 main challenge</w:t>
      </w:r>
      <w:r w:rsidR="00EC363E" w:rsidRPr="0002056A">
        <w:rPr>
          <w:rFonts w:ascii="Georgia" w:hAnsi="Georgia" w:cs="Times New Roman"/>
          <w:bCs/>
          <w:lang w:val="en-GB"/>
        </w:rPr>
        <w:t>s</w:t>
      </w:r>
      <w:r w:rsidRPr="0002056A">
        <w:rPr>
          <w:rFonts w:ascii="Georgia" w:hAnsi="Georgia" w:cs="Times New Roman"/>
          <w:bCs/>
          <w:lang w:val="en-GB"/>
        </w:rPr>
        <w:t xml:space="preserve"> identified in the national regional development concept as well as to the 4 priorities of the </w:t>
      </w:r>
      <w:r w:rsidR="001F3162" w:rsidRPr="0002056A">
        <w:rPr>
          <w:rFonts w:ascii="Georgia" w:hAnsi="Georgia" w:cs="Times New Roman"/>
          <w:bCs/>
          <w:lang w:val="en-GB"/>
        </w:rPr>
        <w:t xml:space="preserve">same </w:t>
      </w:r>
      <w:r w:rsidRPr="0002056A">
        <w:rPr>
          <w:rFonts w:ascii="Georgia" w:hAnsi="Georgia" w:cs="Times New Roman"/>
          <w:bCs/>
          <w:lang w:val="en-GB"/>
        </w:rPr>
        <w:t xml:space="preserve">concept. </w:t>
      </w:r>
      <w:r w:rsidRPr="0002056A">
        <w:rPr>
          <w:rFonts w:ascii="Georgia" w:eastAsia="Times New Roman" w:hAnsi="Georgia" w:cs="Times New Roman"/>
          <w:color w:val="000000"/>
          <w:lang w:val="en-GB" w:eastAsia="hu-HU"/>
        </w:rPr>
        <w:t>14 further countries compose the upper-middle class where presence of national territorial objectives can be observed: majority of the objectives/priorities of national spatial development directions is present among the NAS objectives/measures, in titles or in the textual parts</w:t>
      </w:r>
      <w:r w:rsidR="0056530A" w:rsidRPr="0002056A">
        <w:rPr>
          <w:rFonts w:ascii="Georgia" w:eastAsia="Times New Roman" w:hAnsi="Georgia" w:cs="Times New Roman"/>
          <w:color w:val="000000"/>
          <w:lang w:val="en-GB" w:eastAsia="hu-HU"/>
        </w:rPr>
        <w:t>, but mostly implicitly</w:t>
      </w:r>
      <w:r w:rsidRPr="0002056A">
        <w:rPr>
          <w:rFonts w:ascii="Georgia" w:eastAsia="Times New Roman" w:hAnsi="Georgia" w:cs="Times New Roman"/>
          <w:color w:val="000000"/>
          <w:lang w:val="en-GB" w:eastAsia="hu-HU"/>
        </w:rPr>
        <w:t xml:space="preserve">. </w:t>
      </w:r>
      <w:r w:rsidRPr="0002056A">
        <w:rPr>
          <w:rFonts w:ascii="Georgia" w:eastAsia="Times New Roman" w:hAnsi="Georgia" w:cs="Times New Roman"/>
          <w:i/>
          <w:color w:val="000000"/>
          <w:lang w:val="en-GB" w:eastAsia="hu-HU"/>
        </w:rPr>
        <w:t xml:space="preserve">Parts of </w:t>
      </w:r>
      <w:r w:rsidR="0056530A" w:rsidRPr="0002056A">
        <w:rPr>
          <w:rFonts w:ascii="Georgia" w:eastAsia="Times New Roman" w:hAnsi="Georgia" w:cs="Times New Roman"/>
          <w:i/>
          <w:color w:val="000000"/>
          <w:lang w:val="en-GB" w:eastAsia="hu-HU"/>
        </w:rPr>
        <w:t xml:space="preserve">the </w:t>
      </w:r>
      <w:r w:rsidRPr="0002056A">
        <w:rPr>
          <w:rFonts w:ascii="Georgia" w:eastAsia="Times New Roman" w:hAnsi="Georgia" w:cs="Times New Roman"/>
          <w:i/>
          <w:color w:val="000000"/>
          <w:lang w:val="en-GB" w:eastAsia="hu-HU"/>
        </w:rPr>
        <w:t xml:space="preserve">UK, Norway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South</w:t>
      </w:r>
      <w:r w:rsidR="0056530A" w:rsidRPr="0002056A">
        <w:rPr>
          <w:rFonts w:ascii="Georgia" w:eastAsia="Times New Roman" w:hAnsi="Georgia" w:cs="Times New Roman"/>
          <w:i/>
          <w:color w:val="000000"/>
          <w:lang w:val="en-GB" w:eastAsia="hu-HU"/>
        </w:rPr>
        <w:t>ern-</w:t>
      </w:r>
      <w:r w:rsidRPr="0002056A">
        <w:rPr>
          <w:rFonts w:ascii="Georgia" w:eastAsia="Times New Roman" w:hAnsi="Georgia" w:cs="Times New Roman"/>
          <w:i/>
          <w:color w:val="000000"/>
          <w:lang w:val="en-GB" w:eastAsia="hu-HU"/>
        </w:rPr>
        <w:t>European countries (Portugal, Italy, Greece, Malta</w:t>
      </w:r>
      <w:r w:rsidRPr="0002056A">
        <w:rPr>
          <w:rFonts w:ascii="Georgia" w:eastAsia="Times New Roman" w:hAnsi="Georgia" w:cs="Times New Roman"/>
          <w:color w:val="000000"/>
          <w:lang w:val="en-GB" w:eastAsia="hu-HU"/>
        </w:rPr>
        <w:t>) a</w:t>
      </w:r>
      <w:r w:rsidR="00EC363E" w:rsidRPr="0002056A">
        <w:rPr>
          <w:rFonts w:ascii="Georgia" w:eastAsia="Times New Roman" w:hAnsi="Georgia" w:cs="Times New Roman"/>
          <w:color w:val="000000"/>
          <w:lang w:val="en-GB" w:eastAsia="hu-HU"/>
        </w:rPr>
        <w:t>ppear</w:t>
      </w:r>
      <w:r w:rsidRPr="0002056A">
        <w:rPr>
          <w:rFonts w:ascii="Georgia" w:eastAsia="Times New Roman" w:hAnsi="Georgia" w:cs="Times New Roman"/>
          <w:color w:val="000000"/>
          <w:lang w:val="en-GB" w:eastAsia="hu-HU"/>
        </w:rPr>
        <w:t xml:space="preserve"> in the category. Nevertheless, the overwhelming majority, 25 countries (mainly</w:t>
      </w:r>
      <w:r w:rsidRPr="0002056A">
        <w:rPr>
          <w:rFonts w:ascii="Georgia" w:eastAsia="Times New Roman" w:hAnsi="Georgia" w:cs="Times New Roman"/>
          <w:i/>
          <w:color w:val="000000"/>
          <w:lang w:val="en-GB" w:eastAsia="hu-HU"/>
        </w:rPr>
        <w:t xml:space="preserve"> from Eastern</w:t>
      </w:r>
      <w:r w:rsidR="00EC363E" w:rsidRPr="0002056A">
        <w:rPr>
          <w:rFonts w:ascii="Georgia" w:eastAsia="Times New Roman" w:hAnsi="Georgia" w:cs="Times New Roman"/>
          <w:i/>
          <w:color w:val="000000"/>
          <w:lang w:val="en-GB" w:eastAsia="hu-HU"/>
        </w:rPr>
        <w:t>-Central</w:t>
      </w:r>
      <w:r w:rsidRPr="0002056A">
        <w:rPr>
          <w:rFonts w:ascii="Georgia" w:eastAsia="Times New Roman" w:hAnsi="Georgia" w:cs="Times New Roman"/>
          <w:i/>
          <w:color w:val="000000"/>
          <w:lang w:val="en-GB" w:eastAsia="hu-HU"/>
        </w:rPr>
        <w:t xml:space="preserve"> Europe, the Balkans,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continental Western</w:t>
      </w:r>
      <w:r w:rsidR="00490400" w:rsidRPr="0002056A">
        <w:rPr>
          <w:rFonts w:ascii="Georgia" w:eastAsia="Times New Roman" w:hAnsi="Georgia" w:cs="Times New Roman"/>
          <w:i/>
          <w:color w:val="000000"/>
          <w:lang w:val="en-GB" w:eastAsia="hu-HU"/>
        </w:rPr>
        <w:t>-</w:t>
      </w:r>
      <w:r w:rsidRPr="0002056A">
        <w:rPr>
          <w:rFonts w:ascii="Georgia" w:eastAsia="Times New Roman" w:hAnsi="Georgia" w:cs="Times New Roman"/>
          <w:i/>
          <w:color w:val="000000"/>
          <w:lang w:val="en-GB" w:eastAsia="hu-HU"/>
        </w:rPr>
        <w:t>Europe</w:t>
      </w:r>
      <w:r w:rsidRPr="0002056A">
        <w:rPr>
          <w:rFonts w:ascii="Georgia" w:eastAsia="Times New Roman" w:hAnsi="Georgia" w:cs="Times New Roman"/>
          <w:color w:val="000000"/>
          <w:lang w:val="en-GB" w:eastAsia="hu-HU"/>
        </w:rPr>
        <w:t>) compose the lower-middle category</w:t>
      </w:r>
      <w:r w:rsidR="00490400" w:rsidRPr="0002056A">
        <w:rPr>
          <w:rFonts w:ascii="Georgia" w:eastAsia="Times New Roman" w:hAnsi="Georgia" w:cs="Times New Roman"/>
          <w:color w:val="000000"/>
          <w:lang w:val="en-GB" w:eastAsia="hu-HU"/>
        </w:rPr>
        <w:t>, where only minority of the spatial policy directions is present in the NAS</w:t>
      </w:r>
      <w:r w:rsidRPr="0002056A">
        <w:rPr>
          <w:rFonts w:ascii="Georgia" w:eastAsia="Times New Roman" w:hAnsi="Georgia" w:cs="Times New Roman"/>
          <w:color w:val="000000"/>
          <w:lang w:val="en-GB" w:eastAsia="hu-HU"/>
        </w:rPr>
        <w:t xml:space="preserve">. Particularly interesting example is </w:t>
      </w:r>
      <w:r w:rsidRPr="0002056A">
        <w:rPr>
          <w:rFonts w:ascii="Georgia" w:eastAsia="Times New Roman" w:hAnsi="Georgia" w:cs="Times New Roman"/>
          <w:i/>
          <w:color w:val="000000"/>
          <w:lang w:val="en-GB" w:eastAsia="hu-HU"/>
        </w:rPr>
        <w:t>Hungary</w:t>
      </w:r>
      <w:r w:rsidRPr="0002056A">
        <w:rPr>
          <w:rFonts w:ascii="Georgia" w:eastAsia="Times New Roman" w:hAnsi="Georgia" w:cs="Times New Roman"/>
          <w:color w:val="000000"/>
          <w:lang w:val="en-GB" w:eastAsia="hu-HU"/>
        </w:rPr>
        <w:t>, where the then-fresh National Development and Regional Development Concept (NDRDC</w:t>
      </w:r>
      <w:r w:rsidR="00B653A2" w:rsidRPr="0002056A">
        <w:rPr>
          <w:rFonts w:ascii="Georgia" w:eastAsia="Times New Roman" w:hAnsi="Georgia" w:cs="Times New Roman"/>
          <w:color w:val="000000"/>
          <w:lang w:val="en-GB" w:eastAsia="hu-HU"/>
        </w:rPr>
        <w:t xml:space="preserve"> in 2014</w:t>
      </w:r>
      <w:r w:rsidRPr="0002056A">
        <w:rPr>
          <w:rFonts w:ascii="Georgia" w:eastAsia="Times New Roman" w:hAnsi="Georgia" w:cs="Times New Roman"/>
          <w:color w:val="000000"/>
          <w:lang w:val="en-GB" w:eastAsia="hu-HU"/>
        </w:rPr>
        <w:t xml:space="preserve">) contained an energy and climate policy chapter, whose content was based on the </w:t>
      </w:r>
      <w:r w:rsidR="00060F9E" w:rsidRPr="0002056A">
        <w:rPr>
          <w:rFonts w:ascii="Georgia" w:eastAsia="Times New Roman" w:hAnsi="Georgia" w:cs="Times New Roman"/>
          <w:color w:val="000000"/>
          <w:lang w:val="en-GB" w:eastAsia="hu-HU"/>
        </w:rPr>
        <w:t>current</w:t>
      </w:r>
      <w:r w:rsidRPr="0002056A">
        <w:rPr>
          <w:rFonts w:ascii="Georgia" w:eastAsia="Times New Roman" w:hAnsi="Georgia" w:cs="Times New Roman"/>
          <w:color w:val="000000"/>
          <w:lang w:val="en-GB" w:eastAsia="hu-HU"/>
        </w:rPr>
        <w:t xml:space="preserve"> NAS </w:t>
      </w:r>
      <w:r w:rsidR="00060F9E" w:rsidRPr="0002056A">
        <w:rPr>
          <w:rFonts w:ascii="Georgia" w:eastAsia="Times New Roman" w:hAnsi="Georgia" w:cs="Times New Roman"/>
          <w:color w:val="000000"/>
          <w:lang w:val="en-GB" w:eastAsia="hu-HU"/>
        </w:rPr>
        <w:t xml:space="preserve">parts (at that time under elaboration) </w:t>
      </w:r>
      <w:r w:rsidRPr="0002056A">
        <w:rPr>
          <w:rFonts w:ascii="Georgia" w:eastAsia="Times New Roman" w:hAnsi="Georgia" w:cs="Times New Roman"/>
          <w:color w:val="000000"/>
          <w:lang w:val="en-GB" w:eastAsia="hu-HU"/>
        </w:rPr>
        <w:t xml:space="preserve">as well. Sectoral action lines of the climate strategy </w:t>
      </w:r>
      <w:r w:rsidR="0095460C" w:rsidRPr="0002056A">
        <w:rPr>
          <w:rFonts w:ascii="Georgia" w:eastAsia="Times New Roman" w:hAnsi="Georgia" w:cs="Times New Roman"/>
          <w:color w:val="000000"/>
          <w:lang w:val="en-GB" w:eastAsia="hu-HU"/>
        </w:rPr>
        <w:lastRenderedPageBreak/>
        <w:t>were</w:t>
      </w:r>
      <w:r w:rsidRPr="0002056A">
        <w:rPr>
          <w:rFonts w:ascii="Georgia" w:eastAsia="Times New Roman" w:hAnsi="Georgia" w:cs="Times New Roman"/>
          <w:color w:val="000000"/>
          <w:lang w:val="en-GB" w:eastAsia="hu-HU"/>
        </w:rPr>
        <w:t xml:space="preserve"> also reflected in the relevant national spatial development lines. But altogether there </w:t>
      </w:r>
      <w:r w:rsidR="0095460C" w:rsidRPr="0002056A">
        <w:rPr>
          <w:rFonts w:ascii="Georgia" w:eastAsia="Times New Roman" w:hAnsi="Georgia" w:cs="Times New Roman"/>
          <w:color w:val="000000"/>
          <w:lang w:val="en-GB" w:eastAsia="hu-HU"/>
        </w:rPr>
        <w:t>were</w:t>
      </w:r>
      <w:r w:rsidRPr="0002056A">
        <w:rPr>
          <w:rFonts w:ascii="Georgia" w:eastAsia="Times New Roman" w:hAnsi="Georgia" w:cs="Times New Roman"/>
          <w:color w:val="000000"/>
          <w:lang w:val="en-GB" w:eastAsia="hu-HU"/>
        </w:rPr>
        <w:t xml:space="preserve"> few references in the NAS about cross-fertilization with the NDRDC. The worst category, similarly to the other two sub-aspects, is empty.</w:t>
      </w:r>
    </w:p>
    <w:p w14:paraId="147775CB" w14:textId="4F3BFA09" w:rsidR="00582563" w:rsidRPr="0002056A" w:rsidRDefault="00582563" w:rsidP="00596939">
      <w:pPr>
        <w:shd w:val="clear" w:color="auto" w:fill="FFFFFF" w:themeFill="background1"/>
        <w:spacing w:before="120" w:after="120"/>
        <w:jc w:val="both"/>
        <w:rPr>
          <w:lang w:val="en-GB"/>
        </w:rPr>
      </w:pPr>
      <w:r w:rsidRPr="0002056A">
        <w:rPr>
          <w:rFonts w:ascii="Georgia" w:eastAsia="Times New Roman" w:hAnsi="Georgia" w:cs="Times New Roman"/>
          <w:bCs/>
          <w:iCs/>
          <w:lang w:val="en-GB" w:eastAsia="hu-HU"/>
        </w:rPr>
        <w:t xml:space="preserve">As for the </w:t>
      </w:r>
      <w:r w:rsidRPr="0002056A">
        <w:rPr>
          <w:rFonts w:ascii="Georgia" w:eastAsia="Times New Roman" w:hAnsi="Georgia" w:cs="Times New Roman"/>
          <w:b/>
          <w:iCs/>
          <w:lang w:val="en-GB" w:eastAsia="hu-HU"/>
        </w:rPr>
        <w:t xml:space="preserve">consideration of European spatial development objectives, </w:t>
      </w:r>
      <w:r w:rsidRPr="0002056A">
        <w:rPr>
          <w:rFonts w:ascii="Georgia" w:eastAsia="Times New Roman" w:hAnsi="Georgia" w:cs="Times New Roman"/>
          <w:bCs/>
          <w:iCs/>
          <w:lang w:val="en-GB" w:eastAsia="hu-HU"/>
        </w:rPr>
        <w:t>the then-current</w:t>
      </w:r>
      <w:r w:rsidRPr="0002056A">
        <w:rPr>
          <w:rFonts w:ascii="Georgia" w:eastAsia="Times New Roman" w:hAnsi="Georgia" w:cs="Times New Roman"/>
          <w:b/>
          <w:iCs/>
          <w:lang w:val="en-GB" w:eastAsia="hu-HU"/>
        </w:rPr>
        <w:t xml:space="preserve"> </w:t>
      </w:r>
      <w:r w:rsidRPr="0002056A">
        <w:rPr>
          <w:rFonts w:ascii="Georgia" w:hAnsi="Georgia" w:cs="Times New Roman"/>
          <w:bCs/>
          <w:lang w:val="en-GB"/>
        </w:rPr>
        <w:t>highe</w:t>
      </w:r>
      <w:r w:rsidR="00B653A2" w:rsidRPr="0002056A">
        <w:rPr>
          <w:rFonts w:ascii="Georgia" w:hAnsi="Georgia" w:cs="Times New Roman"/>
          <w:bCs/>
          <w:lang w:val="en-GB"/>
        </w:rPr>
        <w:t>st</w:t>
      </w:r>
      <w:r w:rsidRPr="0002056A">
        <w:rPr>
          <w:rFonts w:ascii="Georgia" w:hAnsi="Georgia" w:cs="Times New Roman"/>
          <w:bCs/>
          <w:lang w:val="en-GB"/>
        </w:rPr>
        <w:t xml:space="preserve"> level spatial goals and objectives, the European ones appear in the NAS documents, but </w:t>
      </w:r>
      <w:r w:rsidR="0095460C" w:rsidRPr="0002056A">
        <w:rPr>
          <w:rFonts w:ascii="Georgia" w:hAnsi="Georgia" w:cs="Times New Roman"/>
          <w:bCs/>
          <w:lang w:val="en-GB"/>
        </w:rPr>
        <w:t xml:space="preserve">again, usually </w:t>
      </w:r>
      <w:r w:rsidR="001828CC" w:rsidRPr="0002056A">
        <w:rPr>
          <w:rFonts w:ascii="Georgia" w:hAnsi="Georgia" w:cs="Times New Roman"/>
          <w:bCs/>
          <w:lang w:val="en-GB"/>
        </w:rPr>
        <w:t xml:space="preserve">not </w:t>
      </w:r>
      <w:r w:rsidRPr="0002056A">
        <w:rPr>
          <w:rFonts w:ascii="Georgia" w:hAnsi="Georgia" w:cs="Times New Roman"/>
          <w:bCs/>
          <w:lang w:val="en-GB"/>
        </w:rPr>
        <w:t>directly and not</w:t>
      </w:r>
      <w:r w:rsidR="00B653A2" w:rsidRPr="0002056A">
        <w:rPr>
          <w:rFonts w:ascii="Georgia" w:hAnsi="Georgia" w:cs="Times New Roman"/>
          <w:bCs/>
          <w:lang w:val="en-GB"/>
        </w:rPr>
        <w:t xml:space="preserve"> explicitly</w:t>
      </w:r>
      <w:r w:rsidRPr="0002056A">
        <w:rPr>
          <w:rFonts w:ascii="Georgia" w:hAnsi="Georgia" w:cs="Times New Roman"/>
          <w:bCs/>
          <w:lang w:val="en-GB"/>
        </w:rPr>
        <w:t xml:space="preserve">. </w:t>
      </w:r>
      <w:r w:rsidR="001828CC" w:rsidRPr="0002056A">
        <w:rPr>
          <w:rFonts w:ascii="Georgia" w:hAnsi="Georgia" w:cs="Times New Roman"/>
          <w:bCs/>
          <w:lang w:val="en-GB"/>
        </w:rPr>
        <w:t>Only f</w:t>
      </w:r>
      <w:r w:rsidR="00B653A2" w:rsidRPr="0002056A">
        <w:rPr>
          <w:rFonts w:ascii="Georgia" w:hAnsi="Georgia" w:cs="Times New Roman"/>
          <w:bCs/>
          <w:lang w:val="en-GB"/>
        </w:rPr>
        <w:t>our</w:t>
      </w:r>
      <w:r w:rsidRPr="0002056A">
        <w:rPr>
          <w:rFonts w:ascii="Georgia" w:hAnsi="Georgia" w:cs="Times New Roman"/>
          <w:bCs/>
          <w:lang w:val="en-GB"/>
        </w:rPr>
        <w:t xml:space="preserve"> countries have been found where </w:t>
      </w:r>
      <w:r w:rsidRPr="0002056A">
        <w:rPr>
          <w:rFonts w:ascii="Georgia" w:eastAsia="Times New Roman" w:hAnsi="Georgia" w:cs="Times New Roman"/>
          <w:color w:val="000000"/>
          <w:lang w:val="en-GB" w:eastAsia="hu-HU"/>
        </w:rPr>
        <w:t>all or almost all European regional development objectives</w:t>
      </w:r>
      <w:r w:rsidR="00DF1272" w:rsidRPr="0002056A">
        <w:rPr>
          <w:rFonts w:ascii="Georgia" w:eastAsia="Times New Roman" w:hAnsi="Georgia" w:cs="Times New Roman"/>
          <w:color w:val="000000"/>
          <w:lang w:val="en-GB" w:eastAsia="hu-HU"/>
        </w:rPr>
        <w:t>/priorities</w:t>
      </w:r>
      <w:r w:rsidRPr="0002056A">
        <w:rPr>
          <w:rFonts w:ascii="Georgia" w:eastAsia="Times New Roman" w:hAnsi="Georgia" w:cs="Times New Roman"/>
          <w:color w:val="000000"/>
          <w:lang w:val="en-GB" w:eastAsia="hu-HU"/>
        </w:rPr>
        <w:t xml:space="preserve"> from the then-current T</w:t>
      </w:r>
      <w:r w:rsidR="001828CC" w:rsidRPr="0002056A">
        <w:rPr>
          <w:rFonts w:ascii="Georgia" w:eastAsia="Times New Roman" w:hAnsi="Georgia" w:cs="Times New Roman"/>
          <w:color w:val="000000"/>
          <w:lang w:val="en-GB" w:eastAsia="hu-HU"/>
        </w:rPr>
        <w:t xml:space="preserve">erritorial Agenda </w:t>
      </w:r>
      <w:r w:rsidRPr="0002056A">
        <w:rPr>
          <w:rFonts w:ascii="Georgia" w:eastAsia="Times New Roman" w:hAnsi="Georgia" w:cs="Times New Roman"/>
          <w:color w:val="000000"/>
          <w:lang w:val="en-GB" w:eastAsia="hu-HU"/>
        </w:rPr>
        <w:t>emerge explicitly (in nominated form) in the documents’ vision/objective system/measures.</w:t>
      </w:r>
      <w:r w:rsidRPr="0002056A">
        <w:rPr>
          <w:rFonts w:ascii="Georgia" w:eastAsia="Times New Roman" w:hAnsi="Georgia" w:cs="Times New Roman"/>
          <w:i/>
          <w:color w:val="000000"/>
          <w:lang w:val="en-GB" w:eastAsia="hu-HU"/>
        </w:rPr>
        <w:t xml:space="preserve"> Spain, Türkiye, France </w:t>
      </w:r>
      <w:r w:rsidRPr="0002056A">
        <w:rPr>
          <w:rFonts w:ascii="Georgia" w:eastAsia="Times New Roman" w:hAnsi="Georgia" w:cs="Times New Roman"/>
          <w:color w:val="000000"/>
          <w:lang w:val="en-GB" w:eastAsia="hu-HU"/>
        </w:rPr>
        <w:t xml:space="preserve">and </w:t>
      </w:r>
      <w:r w:rsidRPr="0002056A">
        <w:rPr>
          <w:rFonts w:ascii="Georgia" w:eastAsia="Times New Roman" w:hAnsi="Georgia" w:cs="Times New Roman"/>
          <w:i/>
          <w:color w:val="000000"/>
          <w:lang w:val="en-GB" w:eastAsia="hu-HU"/>
        </w:rPr>
        <w:t xml:space="preserve">Scotland </w:t>
      </w:r>
      <w:r w:rsidRPr="0002056A">
        <w:rPr>
          <w:rFonts w:ascii="Georgia" w:eastAsia="Times New Roman" w:hAnsi="Georgia" w:cs="Times New Roman"/>
          <w:color w:val="000000"/>
          <w:lang w:val="en-GB" w:eastAsia="hu-HU"/>
        </w:rPr>
        <w:t xml:space="preserve">represent all or almost all priorities of the TA2030. Characteristically the last three TA2030 priorities are the most frequently reflected </w:t>
      </w:r>
      <w:r w:rsidR="00041815" w:rsidRPr="0002056A">
        <w:rPr>
          <w:rFonts w:ascii="Georgia" w:eastAsia="Times New Roman" w:hAnsi="Georgia" w:cs="Times New Roman"/>
          <w:color w:val="000000"/>
          <w:lang w:val="en-GB" w:eastAsia="hu-HU"/>
        </w:rPr>
        <w:t xml:space="preserve">ones </w:t>
      </w:r>
      <w:r w:rsidRPr="0002056A">
        <w:rPr>
          <w:rFonts w:ascii="Georgia" w:eastAsia="Times New Roman" w:hAnsi="Georgia" w:cs="Times New Roman"/>
          <w:color w:val="000000"/>
          <w:lang w:val="en-GB" w:eastAsia="hu-HU"/>
        </w:rPr>
        <w:t>in European NAS documents</w:t>
      </w:r>
      <w:r w:rsidR="00041815" w:rsidRPr="0002056A">
        <w:rPr>
          <w:rFonts w:ascii="Georgia" w:eastAsia="Times New Roman" w:hAnsi="Georgia" w:cs="Times New Roman"/>
          <w:color w:val="000000"/>
          <w:lang w:val="en-GB" w:eastAsia="hu-HU"/>
        </w:rPr>
        <w:t xml:space="preserve"> elaborated after 2018</w:t>
      </w:r>
      <w:r w:rsidRPr="0002056A">
        <w:rPr>
          <w:rFonts w:ascii="Georgia" w:eastAsia="Times New Roman" w:hAnsi="Georgia" w:cs="Times New Roman"/>
          <w:color w:val="000000"/>
          <w:lang w:val="en-GB" w:eastAsia="hu-HU"/>
        </w:rPr>
        <w:t>, cherry picking those sectors that are most affected to climate change. The 10</w:t>
      </w:r>
      <w:r w:rsidRPr="0002056A">
        <w:rPr>
          <w:rFonts w:ascii="Georgia" w:hAnsi="Georgia" w:cs="Times New Roman"/>
          <w:bCs/>
          <w:lang w:val="en-GB"/>
        </w:rPr>
        <w:t xml:space="preserve"> countries </w:t>
      </w:r>
      <w:r w:rsidR="00B653A2" w:rsidRPr="0002056A">
        <w:rPr>
          <w:rFonts w:ascii="Georgia" w:hAnsi="Georgia" w:cs="Times New Roman"/>
          <w:bCs/>
          <w:lang w:val="en-GB"/>
        </w:rPr>
        <w:t>in</w:t>
      </w:r>
      <w:r w:rsidRPr="0002056A">
        <w:rPr>
          <w:rFonts w:ascii="Georgia" w:hAnsi="Georgia" w:cs="Times New Roman"/>
          <w:bCs/>
          <w:lang w:val="en-GB"/>
        </w:rPr>
        <w:t xml:space="preserve"> the upper-middle category are from </w:t>
      </w:r>
      <w:r w:rsidR="00B653A2" w:rsidRPr="0002056A">
        <w:rPr>
          <w:rFonts w:ascii="Georgia" w:hAnsi="Georgia" w:cs="Times New Roman"/>
          <w:bCs/>
          <w:lang w:val="en-GB"/>
        </w:rPr>
        <w:t>various</w:t>
      </w:r>
      <w:r w:rsidRPr="0002056A">
        <w:rPr>
          <w:rFonts w:ascii="Georgia" w:hAnsi="Georgia" w:cs="Times New Roman"/>
          <w:bCs/>
          <w:lang w:val="en-GB"/>
        </w:rPr>
        <w:t xml:space="preserve"> parts of Europe: from the South (</w:t>
      </w:r>
      <w:r w:rsidRPr="0002056A">
        <w:rPr>
          <w:rFonts w:ascii="Georgia" w:hAnsi="Georgia" w:cs="Times New Roman"/>
          <w:bCs/>
          <w:i/>
          <w:lang w:val="en-GB"/>
        </w:rPr>
        <w:t>Greece</w:t>
      </w:r>
      <w:r w:rsidRPr="0002056A">
        <w:rPr>
          <w:rFonts w:ascii="Georgia" w:hAnsi="Georgia" w:cs="Times New Roman"/>
          <w:bCs/>
          <w:lang w:val="en-GB"/>
        </w:rPr>
        <w:t>), Eastern</w:t>
      </w:r>
      <w:r w:rsidR="00EF2371" w:rsidRPr="0002056A">
        <w:rPr>
          <w:rFonts w:ascii="Georgia" w:hAnsi="Georgia" w:cs="Times New Roman"/>
          <w:bCs/>
          <w:lang w:val="en-GB"/>
        </w:rPr>
        <w:t>-</w:t>
      </w:r>
      <w:r w:rsidRPr="0002056A">
        <w:rPr>
          <w:rFonts w:ascii="Georgia" w:hAnsi="Georgia" w:cs="Times New Roman"/>
          <w:bCs/>
          <w:lang w:val="en-GB"/>
        </w:rPr>
        <w:t>Europe (</w:t>
      </w:r>
      <w:r w:rsidRPr="0002056A">
        <w:rPr>
          <w:rFonts w:ascii="Georgia" w:hAnsi="Georgia" w:cs="Times New Roman"/>
          <w:bCs/>
          <w:i/>
          <w:lang w:val="en-GB"/>
        </w:rPr>
        <w:t>Lithuania, Poland, Croatia</w:t>
      </w:r>
      <w:r w:rsidRPr="0002056A">
        <w:rPr>
          <w:rFonts w:ascii="Georgia" w:hAnsi="Georgia" w:cs="Times New Roman"/>
          <w:bCs/>
          <w:lang w:val="en-GB"/>
        </w:rPr>
        <w:t>) and North-Western Europe (</w:t>
      </w:r>
      <w:r w:rsidRPr="0002056A">
        <w:rPr>
          <w:rFonts w:ascii="Georgia" w:hAnsi="Georgia" w:cs="Times New Roman"/>
          <w:bCs/>
          <w:i/>
          <w:lang w:val="en-GB"/>
        </w:rPr>
        <w:t>Luxemburg, England, Wales, Germany, Austria, Sweden</w:t>
      </w:r>
      <w:r w:rsidRPr="0002056A">
        <w:rPr>
          <w:rFonts w:ascii="Georgia" w:hAnsi="Georgia" w:cs="Times New Roman"/>
          <w:bCs/>
          <w:lang w:val="en-GB"/>
        </w:rPr>
        <w:t>). The latter subgroup is composed by those adaptation policy leader countries who show</w:t>
      </w:r>
      <w:r w:rsidR="00EF2371" w:rsidRPr="0002056A">
        <w:rPr>
          <w:rFonts w:ascii="Georgia" w:hAnsi="Georgia" w:cs="Times New Roman"/>
          <w:bCs/>
          <w:lang w:val="en-GB"/>
        </w:rPr>
        <w:t>ed</w:t>
      </w:r>
      <w:r w:rsidRPr="0002056A">
        <w:rPr>
          <w:rFonts w:ascii="Georgia" w:hAnsi="Georgia" w:cs="Times New Roman"/>
          <w:bCs/>
          <w:lang w:val="en-GB"/>
        </w:rPr>
        <w:t xml:space="preserve"> the best performances </w:t>
      </w:r>
      <w:r w:rsidR="00B653A2" w:rsidRPr="0002056A">
        <w:rPr>
          <w:rFonts w:ascii="Georgia" w:hAnsi="Georgia" w:cs="Times New Roman"/>
          <w:bCs/>
          <w:lang w:val="en-GB"/>
        </w:rPr>
        <w:t>in</w:t>
      </w:r>
      <w:r w:rsidRPr="0002056A">
        <w:rPr>
          <w:rFonts w:ascii="Georgia" w:hAnsi="Georgia" w:cs="Times New Roman"/>
          <w:bCs/>
          <w:lang w:val="en-GB"/>
        </w:rPr>
        <w:t xml:space="preserve"> the whole analysis. They refer in their NAS to the </w:t>
      </w:r>
      <w:r w:rsidRPr="0002056A">
        <w:rPr>
          <w:rFonts w:ascii="Georgia" w:eastAsia="Times New Roman" w:hAnsi="Georgia" w:cs="Times New Roman"/>
          <w:color w:val="000000"/>
          <w:lang w:val="en-GB" w:eastAsia="hu-HU"/>
        </w:rPr>
        <w:t>majority of European spatial objectives/priorities in objective titles or in the textual parts</w:t>
      </w:r>
      <w:r w:rsidR="00EF2371" w:rsidRPr="0002056A">
        <w:rPr>
          <w:rFonts w:ascii="Georgia" w:eastAsia="Times New Roman" w:hAnsi="Georgia" w:cs="Times New Roman"/>
          <w:color w:val="000000"/>
          <w:lang w:val="en-GB" w:eastAsia="hu-HU"/>
        </w:rPr>
        <w:t>, but mostly implicitly</w:t>
      </w:r>
      <w:r w:rsidR="00BA5AC6" w:rsidRPr="0002056A">
        <w:rPr>
          <w:rFonts w:ascii="Georgia" w:eastAsia="Times New Roman" w:hAnsi="Georgia" w:cs="Times New Roman"/>
          <w:color w:val="000000"/>
          <w:lang w:val="en-GB" w:eastAsia="hu-HU"/>
        </w:rPr>
        <w:t xml:space="preserve"> (in the form of cognate contents)</w:t>
      </w:r>
      <w:r w:rsidRPr="0002056A">
        <w:rPr>
          <w:rFonts w:ascii="Georgia" w:eastAsia="Times New Roman" w:hAnsi="Georgia" w:cs="Times New Roman"/>
          <w:color w:val="000000"/>
          <w:lang w:val="en-GB" w:eastAsia="hu-HU"/>
        </w:rPr>
        <w:t xml:space="preserve">. </w:t>
      </w:r>
      <w:r w:rsidRPr="0002056A">
        <w:rPr>
          <w:rFonts w:ascii="Georgia" w:hAnsi="Georgia" w:cs="Times New Roman"/>
          <w:bCs/>
          <w:lang w:val="en-GB"/>
        </w:rPr>
        <w:t>The lower</w:t>
      </w:r>
      <w:r w:rsidR="00BA5AC6" w:rsidRPr="0002056A">
        <w:rPr>
          <w:rFonts w:ascii="Georgia" w:hAnsi="Georgia" w:cs="Times New Roman"/>
          <w:bCs/>
          <w:lang w:val="en-GB"/>
        </w:rPr>
        <w:t>-</w:t>
      </w:r>
      <w:r w:rsidRPr="0002056A">
        <w:rPr>
          <w:rFonts w:ascii="Georgia" w:hAnsi="Georgia" w:cs="Times New Roman"/>
          <w:bCs/>
          <w:lang w:val="en-GB"/>
        </w:rPr>
        <w:t xml:space="preserve">middle category consists of 27 countries, composing the overwhelming majority of the continent. </w:t>
      </w:r>
      <w:r w:rsidRPr="0002056A">
        <w:rPr>
          <w:rFonts w:ascii="Georgia" w:hAnsi="Georgia" w:cs="Times New Roman"/>
          <w:bCs/>
          <w:iCs/>
          <w:lang w:val="en-GB"/>
        </w:rPr>
        <w:t xml:space="preserve">Majority of the </w:t>
      </w:r>
      <w:r w:rsidRPr="0002056A">
        <w:rPr>
          <w:rFonts w:ascii="Georgia" w:hAnsi="Georgia" w:cs="Times New Roman"/>
          <w:bCs/>
          <w:i/>
          <w:lang w:val="en-GB"/>
        </w:rPr>
        <w:t xml:space="preserve">Northerners </w:t>
      </w:r>
      <w:r w:rsidRPr="0002056A">
        <w:rPr>
          <w:rFonts w:ascii="Georgia" w:hAnsi="Georgia" w:cs="Times New Roman"/>
          <w:bCs/>
          <w:iCs/>
          <w:lang w:val="en-GB"/>
        </w:rPr>
        <w:t>and</w:t>
      </w:r>
      <w:r w:rsidRPr="0002056A">
        <w:rPr>
          <w:rFonts w:ascii="Georgia" w:hAnsi="Georgia" w:cs="Times New Roman"/>
          <w:bCs/>
          <w:i/>
          <w:lang w:val="en-GB"/>
        </w:rPr>
        <w:t xml:space="preserve"> Balkan countries</w:t>
      </w:r>
      <w:r w:rsidRPr="0002056A">
        <w:rPr>
          <w:rFonts w:ascii="Georgia" w:hAnsi="Georgia" w:cs="Times New Roman"/>
          <w:bCs/>
          <w:lang w:val="en-GB"/>
        </w:rPr>
        <w:t xml:space="preserve">, significant part of </w:t>
      </w:r>
      <w:r w:rsidRPr="0002056A">
        <w:rPr>
          <w:rFonts w:ascii="Georgia" w:hAnsi="Georgia" w:cs="Times New Roman"/>
          <w:bCs/>
          <w:i/>
          <w:lang w:val="en-GB"/>
        </w:rPr>
        <w:t>Southerners, Westerners</w:t>
      </w:r>
      <w:r w:rsidRPr="0002056A">
        <w:rPr>
          <w:rFonts w:ascii="Georgia" w:hAnsi="Georgia" w:cs="Times New Roman"/>
          <w:bCs/>
          <w:lang w:val="en-GB"/>
        </w:rPr>
        <w:t xml:space="preserve"> and </w:t>
      </w:r>
      <w:r w:rsidRPr="0002056A">
        <w:rPr>
          <w:rFonts w:ascii="Georgia" w:hAnsi="Georgia" w:cs="Times New Roman"/>
          <w:bCs/>
          <w:i/>
          <w:lang w:val="en-GB"/>
        </w:rPr>
        <w:t>majority of Easterners</w:t>
      </w:r>
      <w:r w:rsidRPr="0002056A">
        <w:rPr>
          <w:rFonts w:ascii="Georgia" w:hAnsi="Georgia" w:cs="Times New Roman"/>
          <w:bCs/>
          <w:lang w:val="en-GB"/>
        </w:rPr>
        <w:t xml:space="preserve"> can be found here. They refer </w:t>
      </w:r>
      <w:r w:rsidRPr="0002056A">
        <w:rPr>
          <w:rFonts w:ascii="Georgia" w:eastAsia="Times New Roman" w:hAnsi="Georgia" w:cs="Times New Roman"/>
          <w:color w:val="000000"/>
          <w:lang w:val="en-GB" w:eastAsia="hu-HU"/>
        </w:rPr>
        <w:t xml:space="preserve">only to a minority of European </w:t>
      </w:r>
      <w:r w:rsidR="00BA5AC6" w:rsidRPr="0002056A">
        <w:rPr>
          <w:rFonts w:ascii="Georgia" w:eastAsia="Times New Roman" w:hAnsi="Georgia" w:cs="Times New Roman"/>
          <w:color w:val="000000"/>
          <w:lang w:val="en-GB" w:eastAsia="hu-HU"/>
        </w:rPr>
        <w:t>spatial development</w:t>
      </w:r>
      <w:r w:rsidRPr="0002056A">
        <w:rPr>
          <w:rFonts w:ascii="Georgia" w:eastAsia="Times New Roman" w:hAnsi="Georgia" w:cs="Times New Roman"/>
          <w:color w:val="000000"/>
          <w:lang w:val="en-GB" w:eastAsia="hu-HU"/>
        </w:rPr>
        <w:t xml:space="preserve"> objectives. The weakest category is empty here, too.</w:t>
      </w:r>
    </w:p>
    <w:p w14:paraId="45EE9FEC" w14:textId="4C4758B8" w:rsidR="00582563" w:rsidRPr="0002056A" w:rsidRDefault="00582563" w:rsidP="00596939">
      <w:pPr>
        <w:shd w:val="clear" w:color="auto" w:fill="FFFFFF" w:themeFill="background1"/>
        <w:spacing w:before="120" w:after="120"/>
        <w:jc w:val="both"/>
        <w:rPr>
          <w:rFonts w:ascii="Georgia" w:hAnsi="Georgia"/>
          <w:lang w:val="en-GB"/>
        </w:rPr>
      </w:pPr>
      <w:r w:rsidRPr="0002056A">
        <w:rPr>
          <w:rFonts w:ascii="Georgia" w:eastAsia="Times New Roman" w:hAnsi="Georgia" w:cs="Times New Roman"/>
          <w:bCs/>
          <w:iCs/>
          <w:lang w:val="en-GB" w:eastAsia="hu-HU"/>
        </w:rPr>
        <w:t>The analysis examined the</w:t>
      </w:r>
      <w:r w:rsidRPr="0002056A">
        <w:rPr>
          <w:rFonts w:ascii="Georgia" w:eastAsia="Times New Roman" w:hAnsi="Georgia" w:cs="Times New Roman"/>
          <w:b/>
          <w:iCs/>
          <w:lang w:val="en-GB" w:eastAsia="hu-HU"/>
        </w:rPr>
        <w:t xml:space="preserve"> emergence of the basic territorial cohesion-related concepts</w:t>
      </w:r>
      <w:r w:rsidR="00B20C93" w:rsidRPr="0002056A">
        <w:rPr>
          <w:rFonts w:ascii="Georgia" w:eastAsia="Times New Roman" w:hAnsi="Georgia" w:cs="Times New Roman"/>
          <w:bCs/>
          <w:iCs/>
          <w:lang w:val="en-GB" w:eastAsia="hu-HU"/>
        </w:rPr>
        <w:t xml:space="preserve"> in the NAS documents</w:t>
      </w:r>
      <w:r w:rsidRPr="0002056A">
        <w:rPr>
          <w:rFonts w:ascii="Georgia" w:eastAsia="Times New Roman" w:hAnsi="Georgia" w:cs="Times New Roman"/>
          <w:bCs/>
          <w:iCs/>
          <w:lang w:val="en-GB" w:eastAsia="hu-HU"/>
        </w:rPr>
        <w:t xml:space="preserve">, </w:t>
      </w:r>
      <w:r w:rsidR="00B20C93" w:rsidRPr="0002056A">
        <w:rPr>
          <w:rFonts w:ascii="Georgia" w:eastAsia="Times New Roman" w:hAnsi="Georgia" w:cs="Times New Roman"/>
          <w:bCs/>
          <w:iCs/>
          <w:lang w:val="en-GB" w:eastAsia="hu-HU"/>
        </w:rPr>
        <w:t xml:space="preserve">too, </w:t>
      </w:r>
      <w:r w:rsidRPr="0002056A">
        <w:rPr>
          <w:rFonts w:ascii="Georgia" w:eastAsia="Times New Roman" w:hAnsi="Georgia" w:cs="Times New Roman"/>
          <w:bCs/>
          <w:iCs/>
          <w:lang w:val="en-GB" w:eastAsia="hu-HU"/>
        </w:rPr>
        <w:t xml:space="preserve">as </w:t>
      </w:r>
      <w:r w:rsidR="00B20C93" w:rsidRPr="0002056A">
        <w:rPr>
          <w:rFonts w:ascii="Georgia" w:eastAsia="Times New Roman" w:hAnsi="Georgia" w:cs="Times New Roman"/>
          <w:bCs/>
          <w:iCs/>
          <w:lang w:val="en-GB" w:eastAsia="hu-HU"/>
        </w:rPr>
        <w:t>manifestation</w:t>
      </w:r>
      <w:r w:rsidRPr="0002056A">
        <w:rPr>
          <w:rFonts w:ascii="Georgia" w:eastAsia="Times New Roman" w:hAnsi="Georgia" w:cs="Times New Roman"/>
          <w:bCs/>
          <w:iCs/>
          <w:lang w:val="en-GB" w:eastAsia="hu-HU"/>
        </w:rPr>
        <w:t xml:space="preserve"> of the European spatial policy </w:t>
      </w:r>
      <w:r w:rsidR="009E6EE9" w:rsidRPr="0002056A">
        <w:rPr>
          <w:rFonts w:ascii="Georgia" w:eastAsia="Times New Roman" w:hAnsi="Georgia" w:cs="Times New Roman"/>
          <w:bCs/>
          <w:iCs/>
          <w:lang w:val="en-GB" w:eastAsia="hu-HU"/>
        </w:rPr>
        <w:t>terminology</w:t>
      </w:r>
      <w:r w:rsidRPr="0002056A">
        <w:rPr>
          <w:rFonts w:ascii="Georgia" w:eastAsia="Times New Roman" w:hAnsi="Georgia" w:cs="Times New Roman"/>
          <w:bCs/>
          <w:iCs/>
          <w:lang w:val="en-GB" w:eastAsia="hu-HU"/>
        </w:rPr>
        <w:t xml:space="preserve">. </w:t>
      </w:r>
      <w:r w:rsidR="009E6EE9" w:rsidRPr="0002056A">
        <w:rPr>
          <w:rFonts w:ascii="Georgia" w:eastAsia="Times New Roman" w:hAnsi="Georgia" w:cs="Times New Roman"/>
          <w:bCs/>
          <w:iCs/>
          <w:lang w:val="en-GB" w:eastAsia="hu-HU"/>
        </w:rPr>
        <w:t>Out of the concepts, m</w:t>
      </w:r>
      <w:r w:rsidRPr="0002056A">
        <w:rPr>
          <w:rFonts w:ascii="Georgia" w:hAnsi="Georgia" w:cs="Times New Roman"/>
          <w:bCs/>
          <w:lang w:val="en-GB"/>
        </w:rPr>
        <w:t xml:space="preserve">ultilevel governance is present almost in every analysed NAS </w:t>
      </w:r>
      <w:r w:rsidR="003842E6" w:rsidRPr="0002056A">
        <w:rPr>
          <w:rFonts w:ascii="Georgia" w:hAnsi="Georgia" w:cs="Times New Roman"/>
          <w:bCs/>
          <w:lang w:val="en-GB"/>
        </w:rPr>
        <w:t>document</w:t>
      </w:r>
      <w:r w:rsidR="009E6EE9" w:rsidRPr="0002056A">
        <w:rPr>
          <w:rFonts w:ascii="Georgia" w:hAnsi="Georgia" w:cs="Times New Roman"/>
          <w:bCs/>
          <w:lang w:val="en-GB"/>
        </w:rPr>
        <w:t xml:space="preserve"> </w:t>
      </w:r>
      <w:r w:rsidRPr="0002056A">
        <w:rPr>
          <w:rFonts w:ascii="Georgia" w:hAnsi="Georgia" w:cs="Times New Roman"/>
          <w:bCs/>
          <w:lang w:val="en-GB"/>
        </w:rPr>
        <w:t xml:space="preserve">(with three exclusions), meanwhile given countries mention even further </w:t>
      </w:r>
      <w:r w:rsidR="009E6EE9" w:rsidRPr="0002056A">
        <w:rPr>
          <w:rFonts w:ascii="Georgia" w:hAnsi="Georgia" w:cs="Times New Roman"/>
          <w:bCs/>
          <w:lang w:val="en-GB"/>
        </w:rPr>
        <w:t>notion</w:t>
      </w:r>
      <w:r w:rsidRPr="0002056A">
        <w:rPr>
          <w:rFonts w:ascii="Georgia" w:hAnsi="Georgia" w:cs="Times New Roman"/>
          <w:bCs/>
          <w:lang w:val="en-GB"/>
        </w:rPr>
        <w:t xml:space="preserve">s: balanced sustainable </w:t>
      </w:r>
      <w:r w:rsidR="009560A0" w:rsidRPr="0002056A">
        <w:rPr>
          <w:rFonts w:ascii="Georgia" w:hAnsi="Georgia" w:cs="Times New Roman"/>
          <w:bCs/>
          <w:lang w:val="en-GB"/>
        </w:rPr>
        <w:t>spat</w:t>
      </w:r>
      <w:r w:rsidRPr="0002056A">
        <w:rPr>
          <w:rFonts w:ascii="Georgia" w:hAnsi="Georgia" w:cs="Times New Roman"/>
          <w:bCs/>
          <w:lang w:val="en-GB"/>
        </w:rPr>
        <w:t>ial development, place-based approach, territorial optimum-searching or spatially integrative nature of adaptation planning. In 6 countries (</w:t>
      </w:r>
      <w:r w:rsidRPr="0002056A">
        <w:rPr>
          <w:rFonts w:ascii="Georgia" w:hAnsi="Georgia" w:cs="Times New Roman"/>
          <w:bCs/>
          <w:i/>
          <w:lang w:val="en-GB"/>
        </w:rPr>
        <w:t>Poland, Austria, the Netherlands, Belgium, England, Scotland)</w:t>
      </w:r>
      <w:r w:rsidRPr="0002056A">
        <w:rPr>
          <w:rFonts w:ascii="Georgia" w:hAnsi="Georgia" w:cs="Times New Roman"/>
          <w:bCs/>
          <w:lang w:val="en-GB"/>
        </w:rPr>
        <w:t xml:space="preserve"> </w:t>
      </w:r>
      <w:r w:rsidRPr="0002056A">
        <w:rPr>
          <w:rFonts w:ascii="Georgia" w:eastAsia="Times New Roman" w:hAnsi="Georgia" w:cs="Times New Roman"/>
          <w:color w:val="000000"/>
          <w:lang w:val="en-GB" w:eastAsia="hu-HU"/>
        </w:rPr>
        <w:t xml:space="preserve">the situation analysis, the vision and the objective system mention at least 4 out of the </w:t>
      </w:r>
      <w:r w:rsidRPr="0002056A">
        <w:rPr>
          <w:rFonts w:ascii="Georgia" w:eastAsia="Times New Roman" w:hAnsi="Georgia" w:cs="Times New Roman"/>
          <w:lang w:val="en-GB" w:eastAsia="hu-HU"/>
        </w:rPr>
        <w:t xml:space="preserve">6 (territorial cohesion, territorial capital, territorial harmony, </w:t>
      </w:r>
      <w:r w:rsidR="009560A0" w:rsidRPr="0002056A">
        <w:rPr>
          <w:rFonts w:ascii="Georgia" w:eastAsia="Times New Roman" w:hAnsi="Georgia" w:cs="Times New Roman"/>
          <w:lang w:val="en-GB" w:eastAsia="hu-HU"/>
        </w:rPr>
        <w:t>spa</w:t>
      </w:r>
      <w:r w:rsidRPr="0002056A">
        <w:rPr>
          <w:rFonts w:ascii="Georgia" w:eastAsia="Times New Roman" w:hAnsi="Georgia" w:cs="Times New Roman"/>
          <w:lang w:val="en-GB" w:eastAsia="hu-HU"/>
        </w:rPr>
        <w:t>tially balanced development, territorial optimum, place-based approach)</w:t>
      </w:r>
      <w:r w:rsidRPr="0002056A">
        <w:rPr>
          <w:rFonts w:ascii="Georgia" w:eastAsia="Times New Roman" w:hAnsi="Georgia" w:cs="Times New Roman"/>
          <w:b/>
          <w:i/>
          <w:color w:val="4472C4" w:themeColor="accent1"/>
          <w:lang w:val="en-GB" w:eastAsia="hu-HU"/>
        </w:rPr>
        <w:t xml:space="preserve"> </w:t>
      </w:r>
      <w:r w:rsidRPr="0002056A">
        <w:rPr>
          <w:rFonts w:ascii="Georgia" w:eastAsia="Times New Roman" w:hAnsi="Georgia" w:cs="Times New Roman"/>
          <w:color w:val="000000"/>
          <w:lang w:val="en-GB" w:eastAsia="hu-HU"/>
        </w:rPr>
        <w:t>concepts. 2-3 of the enlisted aspects appear in some Central-Eastern European (</w:t>
      </w:r>
      <w:r w:rsidRPr="0002056A">
        <w:rPr>
          <w:rFonts w:ascii="Georgia" w:eastAsia="Times New Roman" w:hAnsi="Georgia" w:cs="Times New Roman"/>
          <w:i/>
          <w:color w:val="000000"/>
          <w:lang w:val="en-GB" w:eastAsia="hu-HU"/>
        </w:rPr>
        <w:t>Hungary, Lithuania, Romania, Bulgaria, Kosovo</w:t>
      </w:r>
      <w:r w:rsidRPr="0002056A">
        <w:rPr>
          <w:rFonts w:ascii="Georgia" w:eastAsia="Times New Roman" w:hAnsi="Georgia" w:cs="Times New Roman"/>
          <w:color w:val="000000"/>
          <w:lang w:val="en-GB" w:eastAsia="hu-HU"/>
        </w:rPr>
        <w:t>) and</w:t>
      </w:r>
      <w:r w:rsidRPr="0002056A">
        <w:rPr>
          <w:rFonts w:ascii="Georgia" w:eastAsia="Times New Roman" w:hAnsi="Georgia" w:cs="Times New Roman"/>
          <w:i/>
          <w:color w:val="000000"/>
          <w:lang w:val="en-GB" w:eastAsia="hu-HU"/>
        </w:rPr>
        <w:t xml:space="preserve"> </w:t>
      </w:r>
      <w:r w:rsidRPr="0002056A">
        <w:rPr>
          <w:rFonts w:ascii="Georgia" w:eastAsia="Times New Roman" w:hAnsi="Georgia" w:cs="Times New Roman"/>
          <w:color w:val="000000"/>
          <w:lang w:val="en-GB" w:eastAsia="hu-HU"/>
        </w:rPr>
        <w:t>bigger Southern countries</w:t>
      </w:r>
      <w:r w:rsidRPr="0002056A">
        <w:rPr>
          <w:rFonts w:ascii="Georgia" w:eastAsia="Times New Roman" w:hAnsi="Georgia" w:cs="Times New Roman"/>
          <w:i/>
          <w:color w:val="000000"/>
          <w:lang w:val="en-GB" w:eastAsia="hu-HU"/>
        </w:rPr>
        <w:t xml:space="preserve"> (Spain, Italy, </w:t>
      </w:r>
      <w:r w:rsidR="00A21DC2" w:rsidRPr="0002056A">
        <w:rPr>
          <w:rFonts w:ascii="Georgia" w:eastAsia="Times New Roman" w:hAnsi="Georgia" w:cs="Times New Roman"/>
          <w:i/>
          <w:color w:val="000000"/>
          <w:lang w:val="en-GB" w:eastAsia="hu-HU"/>
        </w:rPr>
        <w:t>Türkiye</w:t>
      </w:r>
      <w:r w:rsidRPr="0002056A">
        <w:rPr>
          <w:rFonts w:ascii="Georgia" w:eastAsia="Times New Roman" w:hAnsi="Georgia" w:cs="Times New Roman"/>
          <w:i/>
          <w:color w:val="000000"/>
          <w:lang w:val="en-GB" w:eastAsia="hu-HU"/>
        </w:rPr>
        <w:t xml:space="preserve">, Portugal), </w:t>
      </w:r>
      <w:r w:rsidRPr="0002056A">
        <w:rPr>
          <w:rFonts w:ascii="Georgia" w:eastAsia="Times New Roman" w:hAnsi="Georgia" w:cs="Times New Roman"/>
          <w:iCs/>
          <w:color w:val="000000"/>
          <w:lang w:val="en-GB" w:eastAsia="hu-HU"/>
        </w:rPr>
        <w:t>furthermore in significant proportion</w:t>
      </w:r>
      <w:r w:rsidRPr="0002056A">
        <w:rPr>
          <w:rFonts w:ascii="Georgia" w:eastAsia="Times New Roman" w:hAnsi="Georgia" w:cs="Times New Roman"/>
          <w:color w:val="000000"/>
          <w:lang w:val="en-GB" w:eastAsia="hu-HU"/>
        </w:rPr>
        <w:t xml:space="preserve"> of the Western and Northern European states</w:t>
      </w:r>
      <w:r w:rsidRPr="0002056A">
        <w:rPr>
          <w:rFonts w:ascii="Georgia" w:eastAsia="Times New Roman" w:hAnsi="Georgia" w:cs="Times New Roman"/>
          <w:i/>
          <w:color w:val="000000"/>
          <w:lang w:val="en-GB" w:eastAsia="hu-HU"/>
        </w:rPr>
        <w:t xml:space="preserve"> (Switzerland, France, Germany, Luxemburg, Ireland, Northern-Ireland, Wales, Norway </w:t>
      </w:r>
      <w:r w:rsidRPr="0002056A">
        <w:rPr>
          <w:rFonts w:ascii="Georgia" w:eastAsia="Times New Roman" w:hAnsi="Georgia" w:cs="Times New Roman"/>
          <w:color w:val="000000"/>
          <w:lang w:val="en-GB" w:eastAsia="hu-HU"/>
        </w:rPr>
        <w:t>and</w:t>
      </w:r>
      <w:r w:rsidRPr="0002056A">
        <w:rPr>
          <w:rFonts w:ascii="Georgia" w:eastAsia="Times New Roman" w:hAnsi="Georgia" w:cs="Times New Roman"/>
          <w:i/>
          <w:color w:val="000000"/>
          <w:lang w:val="en-GB" w:eastAsia="hu-HU"/>
        </w:rPr>
        <w:t xml:space="preserve"> Sweden). </w:t>
      </w:r>
      <w:r w:rsidRPr="0002056A">
        <w:rPr>
          <w:rFonts w:ascii="Georgia" w:eastAsia="Times New Roman" w:hAnsi="Georgia" w:cs="Times New Roman"/>
          <w:color w:val="000000"/>
          <w:lang w:val="en-GB" w:eastAsia="hu-HU"/>
        </w:rPr>
        <w:t xml:space="preserve">The other countries apply only one of the enlisted aspects in their </w:t>
      </w:r>
      <w:r w:rsidR="001C0DD8" w:rsidRPr="0002056A">
        <w:rPr>
          <w:rFonts w:ascii="Georgia" w:eastAsia="Times New Roman" w:hAnsi="Georgia" w:cs="Times New Roman"/>
          <w:color w:val="000000"/>
          <w:lang w:val="en-GB" w:eastAsia="hu-HU"/>
        </w:rPr>
        <w:t xml:space="preserve">NAS </w:t>
      </w:r>
      <w:r w:rsidRPr="0002056A">
        <w:rPr>
          <w:rFonts w:ascii="Georgia" w:eastAsia="Times New Roman" w:hAnsi="Georgia" w:cs="Times New Roman"/>
          <w:color w:val="000000"/>
          <w:lang w:val="en-GB" w:eastAsia="hu-HU"/>
        </w:rPr>
        <w:t>text</w:t>
      </w:r>
      <w:r w:rsidR="001C0DD8" w:rsidRPr="0002056A">
        <w:rPr>
          <w:rFonts w:ascii="Georgia" w:eastAsia="Times New Roman" w:hAnsi="Georgia" w:cs="Times New Roman"/>
          <w:color w:val="000000"/>
          <w:lang w:val="en-GB" w:eastAsia="hu-HU"/>
        </w:rPr>
        <w:t>ual part</w:t>
      </w:r>
      <w:r w:rsidRPr="0002056A">
        <w:rPr>
          <w:rFonts w:ascii="Georgia" w:eastAsia="Times New Roman" w:hAnsi="Georgia" w:cs="Times New Roman"/>
          <w:color w:val="000000"/>
          <w:lang w:val="en-GB" w:eastAsia="hu-HU"/>
        </w:rPr>
        <w:t xml:space="preserve">s (mostly, as </w:t>
      </w:r>
      <w:r w:rsidR="009560A0" w:rsidRPr="0002056A">
        <w:rPr>
          <w:rFonts w:ascii="Georgia" w:eastAsia="Times New Roman" w:hAnsi="Georgia" w:cs="Times New Roman"/>
          <w:color w:val="000000"/>
          <w:lang w:val="en-GB" w:eastAsia="hu-HU"/>
        </w:rPr>
        <w:t>it has</w:t>
      </w:r>
      <w:r w:rsidRPr="0002056A">
        <w:rPr>
          <w:rFonts w:ascii="Georgia" w:eastAsia="Times New Roman" w:hAnsi="Georgia" w:cs="Times New Roman"/>
          <w:color w:val="000000"/>
          <w:lang w:val="en-GB" w:eastAsia="hu-HU"/>
        </w:rPr>
        <w:t xml:space="preserve"> already </w:t>
      </w:r>
      <w:r w:rsidR="009560A0" w:rsidRPr="0002056A">
        <w:rPr>
          <w:rFonts w:ascii="Georgia" w:eastAsia="Times New Roman" w:hAnsi="Georgia" w:cs="Times New Roman"/>
          <w:color w:val="000000"/>
          <w:lang w:val="en-GB" w:eastAsia="hu-HU"/>
        </w:rPr>
        <w:t xml:space="preserve">been </w:t>
      </w:r>
      <w:r w:rsidRPr="0002056A">
        <w:rPr>
          <w:rFonts w:ascii="Georgia" w:eastAsia="Times New Roman" w:hAnsi="Georgia" w:cs="Times New Roman"/>
          <w:color w:val="000000"/>
          <w:lang w:val="en-GB" w:eastAsia="hu-HU"/>
        </w:rPr>
        <w:t>mentioned above, multilevel governance; sometimes place-based approach</w:t>
      </w:r>
      <w:r w:rsidR="009D74A7">
        <w:rPr>
          <w:rFonts w:ascii="Georgia" w:eastAsia="Times New Roman" w:hAnsi="Georgia" w:cs="Times New Roman"/>
          <w:color w:val="000000"/>
          <w:lang w:val="en-GB" w:eastAsia="hu-HU"/>
        </w:rPr>
        <w:t xml:space="preserve"> or </w:t>
      </w:r>
      <w:r w:rsidR="008C275D">
        <w:rPr>
          <w:rFonts w:ascii="Georgia" w:eastAsia="Times New Roman" w:hAnsi="Georgia" w:cs="Times New Roman"/>
          <w:color w:val="000000"/>
          <w:lang w:val="en-GB" w:eastAsia="hu-HU"/>
        </w:rPr>
        <w:t xml:space="preserve">implicitly </w:t>
      </w:r>
      <w:r w:rsidR="009D74A7">
        <w:rPr>
          <w:rFonts w:ascii="Georgia" w:eastAsia="Times New Roman" w:hAnsi="Georgia" w:cs="Times New Roman"/>
          <w:color w:val="000000"/>
          <w:lang w:val="en-GB" w:eastAsia="hu-HU"/>
        </w:rPr>
        <w:t>territorial capital</w:t>
      </w:r>
      <w:r w:rsidRPr="0002056A">
        <w:rPr>
          <w:rFonts w:ascii="Georgia" w:eastAsia="Times New Roman" w:hAnsi="Georgia" w:cs="Times New Roman"/>
          <w:color w:val="000000"/>
          <w:lang w:val="en-GB" w:eastAsia="hu-HU"/>
        </w:rPr>
        <w:t>) or the</w:t>
      </w:r>
      <w:r w:rsidR="003842E6" w:rsidRPr="0002056A">
        <w:rPr>
          <w:rFonts w:ascii="Georgia" w:eastAsia="Times New Roman" w:hAnsi="Georgia" w:cs="Times New Roman"/>
          <w:color w:val="000000"/>
          <w:lang w:val="en-GB" w:eastAsia="hu-HU"/>
        </w:rPr>
        <w:t>y</w:t>
      </w:r>
      <w:r w:rsidRPr="0002056A">
        <w:rPr>
          <w:rFonts w:ascii="Georgia" w:eastAsia="Times New Roman" w:hAnsi="Georgia" w:cs="Times New Roman"/>
          <w:color w:val="000000"/>
          <w:lang w:val="en-GB" w:eastAsia="hu-HU"/>
        </w:rPr>
        <w:t xml:space="preserve"> do not mention any of these.</w:t>
      </w:r>
    </w:p>
    <w:p w14:paraId="74AFDA57" w14:textId="0AB05CD3" w:rsidR="00F72C1A" w:rsidRPr="0002056A" w:rsidRDefault="00F72C1A" w:rsidP="00214BD9">
      <w:pPr>
        <w:pStyle w:val="Cmsor3"/>
        <w:numPr>
          <w:ilvl w:val="2"/>
          <w:numId w:val="4"/>
        </w:numPr>
        <w:rPr>
          <w:lang w:val="en-GB"/>
        </w:rPr>
      </w:pPr>
      <w:bookmarkStart w:id="46" w:name="_Toc225578863"/>
      <w:r w:rsidRPr="0002056A">
        <w:rPr>
          <w:lang w:val="en-GB"/>
        </w:rPr>
        <w:t>Aggregated spatial sensitivity</w:t>
      </w:r>
      <w:r w:rsidR="009F3143" w:rsidRPr="0002056A">
        <w:rPr>
          <w:lang w:val="en-GB"/>
        </w:rPr>
        <w:t xml:space="preserve"> of the analysed countries</w:t>
      </w:r>
      <w:bookmarkEnd w:id="46"/>
    </w:p>
    <w:p w14:paraId="6F06B37C" w14:textId="4B0C2E97" w:rsidR="000C0B8D" w:rsidRPr="0002056A" w:rsidRDefault="00523F57" w:rsidP="00596939">
      <w:pPr>
        <w:spacing w:before="120" w:after="120"/>
        <w:jc w:val="both"/>
        <w:rPr>
          <w:rFonts w:ascii="Georgia" w:hAnsi="Georgia"/>
          <w:lang w:val="en-GB"/>
        </w:rPr>
      </w:pPr>
      <w:r w:rsidRPr="0002056A">
        <w:rPr>
          <w:rFonts w:ascii="Georgia" w:hAnsi="Georgia"/>
          <w:lang w:val="en-GB"/>
        </w:rPr>
        <w:t xml:space="preserve">Following the logic of the dissertation’s spatial sensitivity model, values </w:t>
      </w:r>
      <w:r w:rsidR="006F76C9" w:rsidRPr="0002056A">
        <w:rPr>
          <w:rFonts w:ascii="Georgia" w:hAnsi="Georgia"/>
          <w:lang w:val="en-GB"/>
        </w:rPr>
        <w:t xml:space="preserve">given for the individual sub-aspects were added together in case of each country. The final results </w:t>
      </w:r>
      <w:r w:rsidR="007E001C" w:rsidRPr="0002056A">
        <w:rPr>
          <w:rFonts w:ascii="Georgia" w:hAnsi="Georgia"/>
          <w:lang w:val="en-GB"/>
        </w:rPr>
        <w:t>were</w:t>
      </w:r>
      <w:r w:rsidR="006F76C9" w:rsidRPr="0002056A">
        <w:rPr>
          <w:rFonts w:ascii="Georgia" w:hAnsi="Georgia"/>
          <w:lang w:val="en-GB"/>
        </w:rPr>
        <w:t xml:space="preserve"> also </w:t>
      </w:r>
      <w:r w:rsidR="00C13577" w:rsidRPr="0002056A">
        <w:rPr>
          <w:rFonts w:ascii="Georgia" w:hAnsi="Georgia"/>
          <w:lang w:val="en-GB"/>
        </w:rPr>
        <w:t>ranked,</w:t>
      </w:r>
      <w:r w:rsidR="006F76C9" w:rsidRPr="0002056A">
        <w:rPr>
          <w:rFonts w:ascii="Georgia" w:hAnsi="Georgia"/>
          <w:lang w:val="en-GB"/>
        </w:rPr>
        <w:t xml:space="preserve"> and </w:t>
      </w:r>
      <w:r w:rsidR="009A3D97" w:rsidRPr="0002056A">
        <w:rPr>
          <w:rFonts w:ascii="Georgia" w:hAnsi="Georgia"/>
          <w:lang w:val="en-GB"/>
        </w:rPr>
        <w:t xml:space="preserve">so </w:t>
      </w:r>
      <w:r w:rsidR="006F76C9" w:rsidRPr="0002056A">
        <w:rPr>
          <w:rFonts w:ascii="Georgia" w:hAnsi="Georgia"/>
          <w:lang w:val="en-GB"/>
        </w:rPr>
        <w:t xml:space="preserve">we have gotten </w:t>
      </w:r>
      <w:r w:rsidR="009A3D97" w:rsidRPr="0002056A">
        <w:rPr>
          <w:rFonts w:ascii="Georgia" w:hAnsi="Georgia"/>
          <w:lang w:val="en-GB"/>
        </w:rPr>
        <w:t>a</w:t>
      </w:r>
      <w:r w:rsidR="006F76C9" w:rsidRPr="0002056A">
        <w:rPr>
          <w:rFonts w:ascii="Georgia" w:hAnsi="Georgia"/>
          <w:lang w:val="en-GB"/>
        </w:rPr>
        <w:t xml:space="preserve"> </w:t>
      </w:r>
      <w:r w:rsidR="000C0B8D" w:rsidRPr="0002056A">
        <w:rPr>
          <w:rFonts w:ascii="Georgia" w:hAnsi="Georgia"/>
          <w:lang w:val="en-GB"/>
        </w:rPr>
        <w:t xml:space="preserve">list of European countries’ spatial performance in the field of adaptation policy planning and MRE. </w:t>
      </w:r>
    </w:p>
    <w:p w14:paraId="18417ECD" w14:textId="066770C7" w:rsidR="00723710" w:rsidRPr="0002056A" w:rsidRDefault="000C0B8D" w:rsidP="00596939">
      <w:pPr>
        <w:spacing w:before="120" w:after="120"/>
        <w:jc w:val="both"/>
        <w:rPr>
          <w:rFonts w:ascii="Georgia" w:hAnsi="Georgia"/>
          <w:lang w:val="en-GB"/>
        </w:rPr>
      </w:pPr>
      <w:r w:rsidRPr="0002056A">
        <w:rPr>
          <w:rFonts w:ascii="Georgia" w:hAnsi="Georgia"/>
          <w:lang w:val="en-GB"/>
        </w:rPr>
        <w:t>As for the concrete r</w:t>
      </w:r>
      <w:r w:rsidR="00723710" w:rsidRPr="0002056A">
        <w:rPr>
          <w:rFonts w:ascii="Georgia" w:hAnsi="Georgia"/>
          <w:lang w:val="en-GB"/>
        </w:rPr>
        <w:t>esults</w:t>
      </w:r>
      <w:r w:rsidR="0048306C" w:rsidRPr="0002056A">
        <w:rPr>
          <w:rFonts w:ascii="Georgia" w:hAnsi="Georgia"/>
          <w:lang w:val="en-GB"/>
        </w:rPr>
        <w:t>, the bes</w:t>
      </w:r>
      <w:r w:rsidR="006A6AE1" w:rsidRPr="0002056A">
        <w:rPr>
          <w:rFonts w:ascii="Georgia" w:hAnsi="Georgia"/>
          <w:lang w:val="en-GB"/>
        </w:rPr>
        <w:t>t</w:t>
      </w:r>
      <w:r w:rsidR="0048306C" w:rsidRPr="0002056A">
        <w:rPr>
          <w:rFonts w:ascii="Georgia" w:hAnsi="Georgia"/>
          <w:lang w:val="en-GB"/>
        </w:rPr>
        <w:t xml:space="preserve"> performances can be observed in the </w:t>
      </w:r>
      <w:r w:rsidR="007E001C" w:rsidRPr="0002056A">
        <w:rPr>
          <w:rFonts w:ascii="Georgia" w:hAnsi="Georgia"/>
          <w:lang w:val="en-GB"/>
        </w:rPr>
        <w:t xml:space="preserve">traditional pioneer states of </w:t>
      </w:r>
      <w:r w:rsidR="0048306C" w:rsidRPr="0002056A">
        <w:rPr>
          <w:rFonts w:ascii="Georgia" w:hAnsi="Georgia"/>
          <w:lang w:val="en-GB"/>
        </w:rPr>
        <w:t xml:space="preserve">spatial and adaptation planning &amp; MRE </w:t>
      </w:r>
      <w:r w:rsidR="002E488F" w:rsidRPr="0002056A">
        <w:rPr>
          <w:rFonts w:ascii="Georgia" w:hAnsi="Georgia"/>
          <w:lang w:val="en-GB"/>
        </w:rPr>
        <w:t xml:space="preserve">from </w:t>
      </w:r>
      <w:r w:rsidR="006A6AE1" w:rsidRPr="0002056A">
        <w:rPr>
          <w:rFonts w:ascii="Georgia" w:hAnsi="Georgia"/>
          <w:lang w:val="en-GB"/>
        </w:rPr>
        <w:t xml:space="preserve">Western Europe: </w:t>
      </w:r>
      <w:r w:rsidR="006A6AE1" w:rsidRPr="0002056A">
        <w:rPr>
          <w:rFonts w:ascii="Georgia" w:hAnsi="Georgia"/>
          <w:i/>
          <w:iCs/>
          <w:lang w:val="en-GB"/>
        </w:rPr>
        <w:t>Austria</w:t>
      </w:r>
      <w:r w:rsidR="006A6AE1" w:rsidRPr="0002056A">
        <w:rPr>
          <w:rFonts w:ascii="Georgia" w:hAnsi="Georgia"/>
          <w:lang w:val="en-GB"/>
        </w:rPr>
        <w:t xml:space="preserve"> showed </w:t>
      </w:r>
      <w:r w:rsidR="006A6AE1" w:rsidRPr="0002056A">
        <w:rPr>
          <w:rFonts w:ascii="Georgia" w:hAnsi="Georgia"/>
          <w:lang w:val="en-GB"/>
        </w:rPr>
        <w:lastRenderedPageBreak/>
        <w:t xml:space="preserve">outstanding results, followed by </w:t>
      </w:r>
      <w:r w:rsidR="006A6AE1" w:rsidRPr="0002056A">
        <w:rPr>
          <w:rFonts w:ascii="Georgia" w:hAnsi="Georgia"/>
          <w:i/>
          <w:iCs/>
          <w:lang w:val="en-GB"/>
        </w:rPr>
        <w:t xml:space="preserve">the Netherlands, Scotland, </w:t>
      </w:r>
      <w:r w:rsidR="00B27355" w:rsidRPr="0002056A">
        <w:rPr>
          <w:rFonts w:ascii="Georgia" w:hAnsi="Georgia"/>
          <w:i/>
          <w:iCs/>
          <w:lang w:val="en-GB"/>
        </w:rPr>
        <w:t xml:space="preserve">France, Germany, </w:t>
      </w:r>
      <w:r w:rsidR="006A6AE1" w:rsidRPr="0002056A">
        <w:rPr>
          <w:rFonts w:ascii="Georgia" w:hAnsi="Georgia"/>
          <w:i/>
          <w:iCs/>
          <w:lang w:val="en-GB"/>
        </w:rPr>
        <w:t>Switzerland</w:t>
      </w:r>
      <w:r w:rsidR="006A6AE1" w:rsidRPr="0002056A">
        <w:rPr>
          <w:rFonts w:ascii="Georgia" w:hAnsi="Georgia"/>
          <w:lang w:val="en-GB"/>
        </w:rPr>
        <w:t xml:space="preserve">, </w:t>
      </w:r>
      <w:r w:rsidR="00FF36EE" w:rsidRPr="0002056A">
        <w:rPr>
          <w:rFonts w:ascii="Georgia" w:hAnsi="Georgia"/>
          <w:lang w:val="en-GB"/>
        </w:rPr>
        <w:t>and</w:t>
      </w:r>
      <w:r w:rsidR="00B27355" w:rsidRPr="0002056A">
        <w:rPr>
          <w:rFonts w:ascii="Georgia" w:hAnsi="Georgia"/>
          <w:lang w:val="en-GB"/>
        </w:rPr>
        <w:t xml:space="preserve"> </w:t>
      </w:r>
      <w:r w:rsidR="00B27355" w:rsidRPr="0002056A">
        <w:rPr>
          <w:rFonts w:ascii="Georgia" w:hAnsi="Georgia"/>
          <w:i/>
          <w:iCs/>
          <w:lang w:val="en-GB"/>
        </w:rPr>
        <w:t>England</w:t>
      </w:r>
      <w:r w:rsidR="00C96218" w:rsidRPr="0002056A">
        <w:rPr>
          <w:rFonts w:ascii="Georgia" w:hAnsi="Georgia"/>
          <w:lang w:val="en-GB"/>
        </w:rPr>
        <w:t xml:space="preserve">. These countries perform </w:t>
      </w:r>
      <w:r w:rsidR="000550DF" w:rsidRPr="0002056A">
        <w:rPr>
          <w:rFonts w:ascii="Georgia" w:hAnsi="Georgia"/>
          <w:lang w:val="en-GB"/>
        </w:rPr>
        <w:t xml:space="preserve">exceptionally or </w:t>
      </w:r>
      <w:r w:rsidR="00C96218" w:rsidRPr="0002056A">
        <w:rPr>
          <w:rFonts w:ascii="Georgia" w:hAnsi="Georgia"/>
          <w:lang w:val="en-GB"/>
        </w:rPr>
        <w:t xml:space="preserve">relatively well compared to others in the </w:t>
      </w:r>
      <w:r w:rsidR="002E6CA1" w:rsidRPr="0002056A">
        <w:rPr>
          <w:rFonts w:ascii="Georgia" w:hAnsi="Georgia"/>
          <w:lang w:val="en-GB"/>
        </w:rPr>
        <w:t xml:space="preserve">general spatiality, </w:t>
      </w:r>
      <w:r w:rsidR="009A3D97" w:rsidRPr="0002056A">
        <w:rPr>
          <w:rFonts w:ascii="Georgia" w:hAnsi="Georgia"/>
          <w:lang w:val="en-GB"/>
        </w:rPr>
        <w:t xml:space="preserve">spatial </w:t>
      </w:r>
      <w:r w:rsidR="002E6CA1" w:rsidRPr="0002056A">
        <w:rPr>
          <w:rFonts w:ascii="Georgia" w:hAnsi="Georgia"/>
          <w:lang w:val="en-GB"/>
        </w:rPr>
        <w:t>MRE, action-level</w:t>
      </w:r>
      <w:r w:rsidR="00722DC5" w:rsidRPr="0002056A">
        <w:rPr>
          <w:rFonts w:ascii="Georgia" w:hAnsi="Georgia"/>
          <w:lang w:val="en-GB"/>
        </w:rPr>
        <w:t>’s spatiality</w:t>
      </w:r>
      <w:r w:rsidR="002E6CA1" w:rsidRPr="0002056A">
        <w:rPr>
          <w:rFonts w:ascii="Georgia" w:hAnsi="Georgia"/>
          <w:lang w:val="en-GB"/>
        </w:rPr>
        <w:t xml:space="preserve">, international spatial </w:t>
      </w:r>
      <w:r w:rsidR="00496D8D" w:rsidRPr="0002056A">
        <w:rPr>
          <w:rFonts w:ascii="Georgia" w:hAnsi="Georgia"/>
          <w:lang w:val="en-GB"/>
        </w:rPr>
        <w:t xml:space="preserve">dimension </w:t>
      </w:r>
      <w:r w:rsidR="002E6CA1" w:rsidRPr="0002056A">
        <w:rPr>
          <w:rFonts w:ascii="Georgia" w:hAnsi="Georgia"/>
          <w:lang w:val="en-GB"/>
        </w:rPr>
        <w:t xml:space="preserve">aspects and </w:t>
      </w:r>
      <w:r w:rsidR="00496D8D" w:rsidRPr="0002056A">
        <w:rPr>
          <w:rFonts w:ascii="Georgia" w:hAnsi="Georgia"/>
          <w:lang w:val="en-GB"/>
        </w:rPr>
        <w:t xml:space="preserve">in </w:t>
      </w:r>
      <w:r w:rsidR="002E6CA1" w:rsidRPr="0002056A">
        <w:rPr>
          <w:rFonts w:ascii="Georgia" w:hAnsi="Georgia"/>
          <w:lang w:val="en-GB"/>
        </w:rPr>
        <w:t>spatial policy considerations. The second</w:t>
      </w:r>
      <w:r w:rsidR="00EE5452" w:rsidRPr="0002056A">
        <w:rPr>
          <w:rFonts w:ascii="Georgia" w:hAnsi="Georgia"/>
          <w:lang w:val="en-GB"/>
        </w:rPr>
        <w:t>-</w:t>
      </w:r>
      <w:r w:rsidR="002E6CA1" w:rsidRPr="0002056A">
        <w:rPr>
          <w:rFonts w:ascii="Georgia" w:hAnsi="Georgia"/>
          <w:lang w:val="en-GB"/>
        </w:rPr>
        <w:t>best group also consist</w:t>
      </w:r>
      <w:r w:rsidR="00EE5452" w:rsidRPr="0002056A">
        <w:rPr>
          <w:rFonts w:ascii="Georgia" w:hAnsi="Georgia"/>
          <w:lang w:val="en-GB"/>
        </w:rPr>
        <w:t>s</w:t>
      </w:r>
      <w:r w:rsidR="002E6CA1" w:rsidRPr="0002056A">
        <w:rPr>
          <w:rFonts w:ascii="Georgia" w:hAnsi="Georgia"/>
          <w:lang w:val="en-GB"/>
        </w:rPr>
        <w:t xml:space="preserve"> of </w:t>
      </w:r>
      <w:r w:rsidR="00D219E6" w:rsidRPr="0002056A">
        <w:rPr>
          <w:rFonts w:ascii="Georgia" w:hAnsi="Georgia"/>
          <w:lang w:val="en-GB"/>
        </w:rPr>
        <w:t xml:space="preserve">Northerners </w:t>
      </w:r>
      <w:r w:rsidR="0097643A" w:rsidRPr="0002056A">
        <w:rPr>
          <w:rFonts w:ascii="Georgia" w:hAnsi="Georgia"/>
          <w:lang w:val="en-GB"/>
        </w:rPr>
        <w:t>(</w:t>
      </w:r>
      <w:r w:rsidR="000663D2" w:rsidRPr="0002056A">
        <w:rPr>
          <w:rFonts w:ascii="Georgia" w:hAnsi="Georgia"/>
          <w:i/>
          <w:iCs/>
          <w:lang w:val="en-GB"/>
        </w:rPr>
        <w:t xml:space="preserve">Sweden, </w:t>
      </w:r>
      <w:r w:rsidR="0097643A" w:rsidRPr="0002056A">
        <w:rPr>
          <w:rFonts w:ascii="Georgia" w:hAnsi="Georgia"/>
          <w:i/>
          <w:iCs/>
          <w:lang w:val="en-GB"/>
        </w:rPr>
        <w:t>Denmark</w:t>
      </w:r>
      <w:r w:rsidR="0097643A" w:rsidRPr="0002056A">
        <w:rPr>
          <w:rFonts w:ascii="Georgia" w:hAnsi="Georgia"/>
          <w:lang w:val="en-GB"/>
        </w:rPr>
        <w:t xml:space="preserve">, </w:t>
      </w:r>
      <w:r w:rsidR="0097643A" w:rsidRPr="0002056A">
        <w:rPr>
          <w:rFonts w:ascii="Georgia" w:hAnsi="Georgia"/>
          <w:i/>
          <w:iCs/>
          <w:lang w:val="en-GB"/>
        </w:rPr>
        <w:t>Finland, Norway</w:t>
      </w:r>
      <w:r w:rsidR="0097643A" w:rsidRPr="0002056A">
        <w:rPr>
          <w:rFonts w:ascii="Georgia" w:hAnsi="Georgia"/>
          <w:lang w:val="en-GB"/>
        </w:rPr>
        <w:t xml:space="preserve">) </w:t>
      </w:r>
      <w:r w:rsidR="00D219E6" w:rsidRPr="0002056A">
        <w:rPr>
          <w:rFonts w:ascii="Georgia" w:hAnsi="Georgia"/>
          <w:lang w:val="en-GB"/>
        </w:rPr>
        <w:t xml:space="preserve">and </w:t>
      </w:r>
      <w:r w:rsidR="000663D2" w:rsidRPr="0002056A">
        <w:rPr>
          <w:rFonts w:ascii="Georgia" w:hAnsi="Georgia"/>
          <w:lang w:val="en-GB"/>
        </w:rPr>
        <w:t xml:space="preserve">a </w:t>
      </w:r>
      <w:r w:rsidR="00D219E6" w:rsidRPr="0002056A">
        <w:rPr>
          <w:rFonts w:ascii="Georgia" w:hAnsi="Georgia"/>
          <w:lang w:val="en-GB"/>
        </w:rPr>
        <w:t>Western</w:t>
      </w:r>
      <w:r w:rsidR="009A3D97" w:rsidRPr="0002056A">
        <w:rPr>
          <w:rFonts w:ascii="Georgia" w:hAnsi="Georgia"/>
          <w:lang w:val="en-GB"/>
        </w:rPr>
        <w:t xml:space="preserve"> country part</w:t>
      </w:r>
      <w:r w:rsidR="0097643A" w:rsidRPr="0002056A">
        <w:rPr>
          <w:rFonts w:ascii="Georgia" w:hAnsi="Georgia"/>
          <w:lang w:val="en-GB"/>
        </w:rPr>
        <w:t xml:space="preserve"> (</w:t>
      </w:r>
      <w:r w:rsidR="0097643A" w:rsidRPr="0002056A">
        <w:rPr>
          <w:rFonts w:ascii="Georgia" w:hAnsi="Georgia"/>
          <w:i/>
          <w:iCs/>
          <w:lang w:val="en-GB"/>
        </w:rPr>
        <w:t>Northern Ireland</w:t>
      </w:r>
      <w:r w:rsidR="0097643A" w:rsidRPr="0002056A">
        <w:rPr>
          <w:rFonts w:ascii="Georgia" w:hAnsi="Georgia"/>
          <w:lang w:val="en-GB"/>
        </w:rPr>
        <w:t>)</w:t>
      </w:r>
      <w:r w:rsidR="00D219E6" w:rsidRPr="0002056A">
        <w:rPr>
          <w:rFonts w:ascii="Georgia" w:hAnsi="Georgia"/>
          <w:lang w:val="en-GB"/>
        </w:rPr>
        <w:t>, but here emerge the best Eastern-Central Europeans (</w:t>
      </w:r>
      <w:r w:rsidR="00D219E6" w:rsidRPr="0002056A">
        <w:rPr>
          <w:rFonts w:ascii="Georgia" w:hAnsi="Georgia"/>
          <w:i/>
          <w:iCs/>
          <w:lang w:val="en-GB"/>
        </w:rPr>
        <w:t>Poland, Hungary, Lithuania</w:t>
      </w:r>
      <w:r w:rsidR="00D219E6" w:rsidRPr="0002056A">
        <w:rPr>
          <w:rFonts w:ascii="Georgia" w:hAnsi="Georgia"/>
          <w:lang w:val="en-GB"/>
        </w:rPr>
        <w:t xml:space="preserve">), </w:t>
      </w:r>
      <w:r w:rsidR="00496D8D" w:rsidRPr="0002056A">
        <w:rPr>
          <w:rFonts w:ascii="Georgia" w:hAnsi="Georgia"/>
          <w:lang w:val="en-GB"/>
        </w:rPr>
        <w:t xml:space="preserve">and </w:t>
      </w:r>
      <w:r w:rsidR="00D219E6" w:rsidRPr="0002056A">
        <w:rPr>
          <w:rFonts w:ascii="Georgia" w:hAnsi="Georgia"/>
          <w:lang w:val="en-GB"/>
        </w:rPr>
        <w:t>the big Southerners (</w:t>
      </w:r>
      <w:r w:rsidR="00216AD0" w:rsidRPr="0002056A">
        <w:rPr>
          <w:rFonts w:ascii="Georgia" w:hAnsi="Georgia"/>
          <w:i/>
          <w:iCs/>
          <w:lang w:val="en-GB"/>
        </w:rPr>
        <w:t>Türkiye</w:t>
      </w:r>
      <w:r w:rsidR="00D219E6" w:rsidRPr="0002056A">
        <w:rPr>
          <w:rFonts w:ascii="Georgia" w:hAnsi="Georgia"/>
          <w:i/>
          <w:iCs/>
          <w:lang w:val="en-GB"/>
        </w:rPr>
        <w:t>, Spain, Portuga</w:t>
      </w:r>
      <w:r w:rsidR="00D452C5" w:rsidRPr="0002056A">
        <w:rPr>
          <w:rFonts w:ascii="Georgia" w:hAnsi="Georgia"/>
          <w:i/>
          <w:iCs/>
          <w:lang w:val="en-GB"/>
        </w:rPr>
        <w:t>l</w:t>
      </w:r>
      <w:r w:rsidR="00D219E6" w:rsidRPr="0002056A">
        <w:rPr>
          <w:rFonts w:ascii="Georgia" w:hAnsi="Georgia"/>
          <w:i/>
          <w:iCs/>
          <w:lang w:val="en-GB"/>
        </w:rPr>
        <w:t>, Greece, Italy</w:t>
      </w:r>
      <w:r w:rsidR="00D219E6" w:rsidRPr="0002056A">
        <w:rPr>
          <w:rFonts w:ascii="Georgia" w:hAnsi="Georgia"/>
          <w:lang w:val="en-GB"/>
        </w:rPr>
        <w:t>)</w:t>
      </w:r>
      <w:r w:rsidR="0097643A" w:rsidRPr="0002056A">
        <w:rPr>
          <w:rFonts w:ascii="Georgia" w:hAnsi="Georgia"/>
          <w:lang w:val="en-GB"/>
        </w:rPr>
        <w:t xml:space="preserve"> as well. The </w:t>
      </w:r>
      <w:r w:rsidR="0097643A" w:rsidRPr="0002056A">
        <w:rPr>
          <w:rFonts w:ascii="Georgia" w:hAnsi="Georgia"/>
          <w:i/>
          <w:iCs/>
          <w:lang w:val="en-GB"/>
        </w:rPr>
        <w:t>Central</w:t>
      </w:r>
      <w:r w:rsidR="00496D8D" w:rsidRPr="0002056A">
        <w:rPr>
          <w:rFonts w:ascii="Georgia" w:hAnsi="Georgia"/>
          <w:i/>
          <w:iCs/>
          <w:lang w:val="en-GB"/>
        </w:rPr>
        <w:t>-</w:t>
      </w:r>
      <w:r w:rsidR="0097643A" w:rsidRPr="0002056A">
        <w:rPr>
          <w:rFonts w:ascii="Georgia" w:hAnsi="Georgia"/>
          <w:i/>
          <w:iCs/>
          <w:lang w:val="en-GB"/>
        </w:rPr>
        <w:t>Eastern European countries</w:t>
      </w:r>
      <w:r w:rsidR="0097643A" w:rsidRPr="0002056A">
        <w:rPr>
          <w:rFonts w:ascii="Georgia" w:hAnsi="Georgia"/>
          <w:lang w:val="en-GB"/>
        </w:rPr>
        <w:t xml:space="preserve"> perform well in general spatiality and situation analysis</w:t>
      </w:r>
      <w:r w:rsidR="00496D8D" w:rsidRPr="0002056A">
        <w:rPr>
          <w:rFonts w:ascii="Georgia" w:hAnsi="Georgia"/>
          <w:lang w:val="en-GB"/>
        </w:rPr>
        <w:t>-</w:t>
      </w:r>
      <w:r w:rsidR="0097643A" w:rsidRPr="0002056A">
        <w:rPr>
          <w:rFonts w:ascii="Georgia" w:hAnsi="Georgia"/>
          <w:lang w:val="en-GB"/>
        </w:rPr>
        <w:t>related sub</w:t>
      </w:r>
      <w:r w:rsidR="000663D2" w:rsidRPr="0002056A">
        <w:rPr>
          <w:rFonts w:ascii="Georgia" w:hAnsi="Georgia"/>
          <w:lang w:val="en-GB"/>
        </w:rPr>
        <w:t>-</w:t>
      </w:r>
      <w:r w:rsidR="0097643A" w:rsidRPr="0002056A">
        <w:rPr>
          <w:rFonts w:ascii="Georgia" w:hAnsi="Georgia"/>
          <w:lang w:val="en-GB"/>
        </w:rPr>
        <w:t xml:space="preserve">aspects, the </w:t>
      </w:r>
      <w:r w:rsidR="0097643A" w:rsidRPr="0002056A">
        <w:rPr>
          <w:rFonts w:ascii="Georgia" w:hAnsi="Georgia"/>
          <w:i/>
          <w:iCs/>
          <w:lang w:val="en-GB"/>
        </w:rPr>
        <w:t>Southerners</w:t>
      </w:r>
      <w:r w:rsidR="0097643A" w:rsidRPr="0002056A">
        <w:rPr>
          <w:rFonts w:ascii="Georgia" w:hAnsi="Georgia"/>
          <w:lang w:val="en-GB"/>
        </w:rPr>
        <w:t xml:space="preserve"> in </w:t>
      </w:r>
      <w:r w:rsidR="004B443C" w:rsidRPr="0002056A">
        <w:rPr>
          <w:rFonts w:ascii="Georgia" w:hAnsi="Georgia"/>
          <w:lang w:val="en-GB"/>
        </w:rPr>
        <w:t xml:space="preserve">the </w:t>
      </w:r>
      <w:r w:rsidR="0097643A" w:rsidRPr="0002056A">
        <w:rPr>
          <w:rFonts w:ascii="Georgia" w:hAnsi="Georgia"/>
          <w:lang w:val="en-GB"/>
        </w:rPr>
        <w:t>international sp</w:t>
      </w:r>
      <w:r w:rsidR="00722DC5" w:rsidRPr="0002056A">
        <w:rPr>
          <w:rFonts w:ascii="Georgia" w:hAnsi="Georgia"/>
          <w:lang w:val="en-GB"/>
        </w:rPr>
        <w:t>atial considerations</w:t>
      </w:r>
      <w:r w:rsidR="0097643A" w:rsidRPr="0002056A">
        <w:rPr>
          <w:rFonts w:ascii="Georgia" w:hAnsi="Georgia"/>
          <w:lang w:val="en-GB"/>
        </w:rPr>
        <w:t xml:space="preserve"> </w:t>
      </w:r>
      <w:r w:rsidR="006D74F4" w:rsidRPr="0002056A">
        <w:rPr>
          <w:rFonts w:ascii="Georgia" w:hAnsi="Georgia"/>
          <w:lang w:val="en-GB"/>
        </w:rPr>
        <w:t xml:space="preserve">and the action-level planning’s spatiality. The weakest results are shown mostly by </w:t>
      </w:r>
      <w:r w:rsidR="000550DF" w:rsidRPr="0002056A">
        <w:rPr>
          <w:rFonts w:ascii="Georgia" w:hAnsi="Georgia"/>
          <w:i/>
          <w:iCs/>
          <w:lang w:val="en-GB"/>
        </w:rPr>
        <w:t>Central-Eastern</w:t>
      </w:r>
      <w:r w:rsidR="000550DF" w:rsidRPr="0002056A">
        <w:rPr>
          <w:rFonts w:ascii="Georgia" w:hAnsi="Georgia"/>
          <w:lang w:val="en-GB"/>
        </w:rPr>
        <w:t xml:space="preserve"> </w:t>
      </w:r>
      <w:r w:rsidR="00C857BD" w:rsidRPr="0002056A">
        <w:rPr>
          <w:rFonts w:ascii="Georgia" w:hAnsi="Georgia"/>
          <w:lang w:val="en-GB"/>
        </w:rPr>
        <w:t>(</w:t>
      </w:r>
      <w:r w:rsidR="00C857BD" w:rsidRPr="0002056A">
        <w:rPr>
          <w:rFonts w:ascii="Georgia" w:hAnsi="Georgia"/>
          <w:i/>
          <w:iCs/>
          <w:lang w:val="en-GB"/>
        </w:rPr>
        <w:t>Romania, Slovakia, Bulgaria</w:t>
      </w:r>
      <w:r w:rsidR="00C857BD" w:rsidRPr="0002056A">
        <w:rPr>
          <w:rFonts w:ascii="Georgia" w:hAnsi="Georgia"/>
          <w:lang w:val="en-GB"/>
        </w:rPr>
        <w:t xml:space="preserve">) </w:t>
      </w:r>
      <w:r w:rsidR="006D74F4" w:rsidRPr="0002056A">
        <w:rPr>
          <w:rFonts w:ascii="Georgia" w:hAnsi="Georgia"/>
          <w:lang w:val="en-GB"/>
        </w:rPr>
        <w:t xml:space="preserve">and </w:t>
      </w:r>
      <w:r w:rsidR="000550DF" w:rsidRPr="0002056A">
        <w:rPr>
          <w:rFonts w:ascii="Georgia" w:hAnsi="Georgia"/>
          <w:i/>
          <w:iCs/>
          <w:lang w:val="en-GB"/>
        </w:rPr>
        <w:t>South-Eastern</w:t>
      </w:r>
      <w:r w:rsidR="000550DF" w:rsidRPr="0002056A">
        <w:rPr>
          <w:rFonts w:ascii="Georgia" w:hAnsi="Georgia"/>
          <w:lang w:val="en-GB"/>
        </w:rPr>
        <w:t xml:space="preserve"> </w:t>
      </w:r>
      <w:r w:rsidR="006D74F4" w:rsidRPr="0002056A">
        <w:rPr>
          <w:rFonts w:ascii="Georgia" w:hAnsi="Georgia"/>
          <w:lang w:val="en-GB"/>
        </w:rPr>
        <w:t>(</w:t>
      </w:r>
      <w:r w:rsidR="006D74F4" w:rsidRPr="0002056A">
        <w:rPr>
          <w:rFonts w:ascii="Georgia" w:hAnsi="Georgia"/>
          <w:i/>
          <w:iCs/>
          <w:lang w:val="en-GB"/>
        </w:rPr>
        <w:t>Balkan</w:t>
      </w:r>
      <w:r w:rsidR="006D74F4" w:rsidRPr="0002056A">
        <w:rPr>
          <w:rFonts w:ascii="Georgia" w:hAnsi="Georgia"/>
          <w:lang w:val="en-GB"/>
        </w:rPr>
        <w:t xml:space="preserve">) countries </w:t>
      </w:r>
      <w:r w:rsidR="00163A96" w:rsidRPr="0002056A">
        <w:rPr>
          <w:rFonts w:ascii="Georgia" w:hAnsi="Georgia"/>
          <w:lang w:val="en-GB"/>
        </w:rPr>
        <w:t>(</w:t>
      </w:r>
      <w:r w:rsidR="00163A96" w:rsidRPr="0002056A">
        <w:rPr>
          <w:rFonts w:ascii="Georgia" w:hAnsi="Georgia"/>
          <w:i/>
          <w:iCs/>
          <w:lang w:val="en-GB"/>
        </w:rPr>
        <w:t>Montenegro, Macedonia, Kosovo, Albania</w:t>
      </w:r>
      <w:r w:rsidR="00163A96" w:rsidRPr="0002056A">
        <w:rPr>
          <w:rFonts w:ascii="Georgia" w:hAnsi="Georgia"/>
          <w:lang w:val="en-GB"/>
        </w:rPr>
        <w:t xml:space="preserve">) </w:t>
      </w:r>
      <w:r w:rsidR="006D74F4" w:rsidRPr="0002056A">
        <w:rPr>
          <w:rFonts w:ascii="Georgia" w:hAnsi="Georgia"/>
          <w:lang w:val="en-GB"/>
        </w:rPr>
        <w:t xml:space="preserve">as well as the smaller </w:t>
      </w:r>
      <w:r w:rsidR="00722DC5" w:rsidRPr="0002056A">
        <w:rPr>
          <w:rFonts w:ascii="Georgia" w:hAnsi="Georgia"/>
          <w:i/>
          <w:iCs/>
          <w:lang w:val="en-GB"/>
        </w:rPr>
        <w:t>S</w:t>
      </w:r>
      <w:r w:rsidR="006D74F4" w:rsidRPr="0002056A">
        <w:rPr>
          <w:rFonts w:ascii="Georgia" w:hAnsi="Georgia"/>
          <w:i/>
          <w:iCs/>
          <w:lang w:val="en-GB"/>
        </w:rPr>
        <w:t>outherners</w:t>
      </w:r>
      <w:r w:rsidR="000550DF" w:rsidRPr="0002056A">
        <w:rPr>
          <w:rFonts w:ascii="Georgia" w:hAnsi="Georgia"/>
          <w:lang w:val="en-GB"/>
        </w:rPr>
        <w:t xml:space="preserve"> (</w:t>
      </w:r>
      <w:r w:rsidR="000550DF" w:rsidRPr="0002056A">
        <w:rPr>
          <w:rFonts w:ascii="Georgia" w:hAnsi="Georgia"/>
          <w:i/>
          <w:iCs/>
          <w:lang w:val="en-GB"/>
        </w:rPr>
        <w:t>Malta, Cyprus</w:t>
      </w:r>
      <w:r w:rsidR="000550DF" w:rsidRPr="0002056A">
        <w:rPr>
          <w:rFonts w:ascii="Georgia" w:hAnsi="Georgia"/>
          <w:lang w:val="en-GB"/>
        </w:rPr>
        <w:t>)</w:t>
      </w:r>
      <w:r w:rsidR="007D22BE" w:rsidRPr="0002056A">
        <w:rPr>
          <w:rFonts w:ascii="Georgia" w:hAnsi="Georgia"/>
          <w:lang w:val="en-GB"/>
        </w:rPr>
        <w:t xml:space="preserve"> (Figure 30)</w:t>
      </w:r>
      <w:r w:rsidR="006D74F4" w:rsidRPr="0002056A">
        <w:rPr>
          <w:rFonts w:ascii="Georgia" w:hAnsi="Georgia"/>
          <w:lang w:val="en-GB"/>
        </w:rPr>
        <w:t>.</w:t>
      </w:r>
    </w:p>
    <w:p w14:paraId="72D33E74" w14:textId="09818CA1" w:rsidR="00F72C1A" w:rsidRPr="0002056A" w:rsidRDefault="00146F80" w:rsidP="007D22BE">
      <w:pPr>
        <w:jc w:val="center"/>
        <w:rPr>
          <w:lang w:val="en-GB"/>
        </w:rPr>
      </w:pPr>
      <w:r w:rsidRPr="0002056A">
        <w:rPr>
          <w:noProof/>
          <w:lang w:val="en-GB"/>
          <w14:ligatures w14:val="standardContextual"/>
        </w:rPr>
        <w:drawing>
          <wp:inline distT="0" distB="0" distL="0" distR="0" wp14:anchorId="49FCC0AC" wp14:editId="35B24913">
            <wp:extent cx="5579374" cy="4710364"/>
            <wp:effectExtent l="19050" t="19050" r="21590" b="14605"/>
            <wp:docPr id="1802444581" name="Kép 11" descr="A képen térkép, szöveg,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44581" name="Kép 11" descr="A képen térkép, szöveg, atlasz látható&#10;&#10;Előfordulhat, hogy az AI által létrehozott tartalom helytele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82708" cy="4713178"/>
                    </a:xfrm>
                    <a:prstGeom prst="rect">
                      <a:avLst/>
                    </a:prstGeom>
                    <a:ln w="15875">
                      <a:solidFill>
                        <a:schemeClr val="tx1">
                          <a:lumMod val="75000"/>
                          <a:lumOff val="25000"/>
                        </a:schemeClr>
                      </a:solidFill>
                    </a:ln>
                  </pic:spPr>
                </pic:pic>
              </a:graphicData>
            </a:graphic>
          </wp:inline>
        </w:drawing>
      </w:r>
    </w:p>
    <w:p w14:paraId="4F7C7086" w14:textId="13AC4C5E" w:rsidR="0093269E" w:rsidRPr="0002056A" w:rsidRDefault="0093269E" w:rsidP="003353B7">
      <w:pPr>
        <w:jc w:val="center"/>
        <w:rPr>
          <w:rFonts w:ascii="Georgia" w:hAnsi="Georgia"/>
          <w:i/>
          <w:iCs/>
          <w:sz w:val="18"/>
          <w:szCs w:val="18"/>
          <w:lang w:val="en-GB"/>
        </w:rPr>
      </w:pPr>
      <w:r w:rsidRPr="0002056A">
        <w:rPr>
          <w:rFonts w:ascii="Georgia" w:hAnsi="Georgia"/>
          <w:b/>
          <w:bCs/>
          <w:sz w:val="18"/>
          <w:szCs w:val="18"/>
          <w:lang w:val="en-GB"/>
        </w:rPr>
        <w:t xml:space="preserve">Figure </w:t>
      </w:r>
      <w:r w:rsidR="003353B7" w:rsidRPr="0002056A">
        <w:rPr>
          <w:rFonts w:ascii="Georgia" w:hAnsi="Georgia"/>
          <w:b/>
          <w:bCs/>
          <w:sz w:val="18"/>
          <w:szCs w:val="18"/>
          <w:lang w:val="en-GB"/>
        </w:rPr>
        <w:t>30</w:t>
      </w:r>
      <w:r w:rsidRPr="0002056A">
        <w:rPr>
          <w:rFonts w:ascii="Georgia" w:hAnsi="Georgia"/>
          <w:b/>
          <w:bCs/>
          <w:sz w:val="18"/>
          <w:szCs w:val="18"/>
          <w:lang w:val="en-GB"/>
        </w:rPr>
        <w:t xml:space="preserve">: </w:t>
      </w:r>
      <w:r w:rsidR="00064C02" w:rsidRPr="0002056A">
        <w:rPr>
          <w:rFonts w:ascii="Georgia" w:hAnsi="Georgia"/>
          <w:b/>
          <w:bCs/>
          <w:sz w:val="18"/>
          <w:szCs w:val="18"/>
          <w:lang w:val="en-GB"/>
        </w:rPr>
        <w:t>Aggregated s</w:t>
      </w:r>
      <w:r w:rsidR="00184D6C" w:rsidRPr="0002056A">
        <w:rPr>
          <w:rFonts w:ascii="Georgia" w:hAnsi="Georgia"/>
          <w:b/>
          <w:bCs/>
          <w:sz w:val="18"/>
          <w:szCs w:val="18"/>
          <w:lang w:val="en-GB"/>
        </w:rPr>
        <w:t>patial sensitivity of the analysed countries' adaptation policy planning</w:t>
      </w:r>
      <w:r w:rsidR="006852B2" w:rsidRPr="0002056A">
        <w:rPr>
          <w:rFonts w:ascii="Georgia" w:hAnsi="Georgia"/>
          <w:b/>
          <w:bCs/>
          <w:sz w:val="18"/>
          <w:szCs w:val="18"/>
          <w:lang w:val="en-GB"/>
        </w:rPr>
        <w:t xml:space="preserve"> and MRE</w:t>
      </w:r>
      <w:r w:rsidRPr="0002056A">
        <w:rPr>
          <w:rFonts w:ascii="Georgia" w:hAnsi="Georgia"/>
          <w:b/>
          <w:bCs/>
          <w:sz w:val="18"/>
          <w:szCs w:val="18"/>
          <w:lang w:val="en-GB"/>
        </w:rPr>
        <w:t xml:space="preserve">. </w:t>
      </w:r>
      <w:r w:rsidRPr="0002056A">
        <w:rPr>
          <w:rFonts w:ascii="Georgia" w:hAnsi="Georgia"/>
          <w:i/>
          <w:iCs/>
          <w:sz w:val="18"/>
          <w:szCs w:val="18"/>
          <w:lang w:val="en-GB"/>
        </w:rPr>
        <w:t>Source: own editing.</w:t>
      </w:r>
    </w:p>
    <w:p w14:paraId="31A73995" w14:textId="77777777" w:rsidR="00B05DE6" w:rsidRPr="0002056A" w:rsidRDefault="00B05DE6" w:rsidP="00B05DE6">
      <w:pPr>
        <w:spacing w:before="120" w:after="120"/>
        <w:jc w:val="both"/>
        <w:rPr>
          <w:rFonts w:ascii="Georgia" w:hAnsi="Georgia"/>
          <w:lang w:val="en-GB"/>
        </w:rPr>
      </w:pPr>
      <w:r w:rsidRPr="0002056A">
        <w:rPr>
          <w:rFonts w:ascii="Georgia" w:hAnsi="Georgia"/>
          <w:lang w:val="en-GB"/>
        </w:rPr>
        <w:t xml:space="preserve">The other thing that comes to our mind is the level of the values: basically weak (or mediocre at best) results can be observed as the outcome of the analysis. Even the best-performing countries show medium-level performance at best, reaching the half or a bit above than the half of the maximum available points. This outcome calls our attention that spatial thinking and the prevalence of spatial approaches have not become the dominant direction in climate adaptation planning in Europe yet, at least at the national level. </w:t>
      </w:r>
    </w:p>
    <w:p w14:paraId="7758C4B2" w14:textId="77777777" w:rsidR="00B05DE6" w:rsidRPr="0002056A" w:rsidRDefault="00B05DE6" w:rsidP="00B05DE6">
      <w:pPr>
        <w:spacing w:before="120" w:after="120"/>
        <w:jc w:val="both"/>
        <w:rPr>
          <w:rFonts w:ascii="Georgia" w:hAnsi="Georgia"/>
          <w:lang w:val="en-GB"/>
        </w:rPr>
      </w:pPr>
      <w:r w:rsidRPr="0002056A">
        <w:rPr>
          <w:rFonts w:ascii="Georgia" w:hAnsi="Georgia"/>
          <w:b/>
          <w:bCs/>
          <w:lang w:val="en-GB"/>
        </w:rPr>
        <w:lastRenderedPageBreak/>
        <w:t>Among the main aspects</w:t>
      </w:r>
      <w:r w:rsidRPr="0002056A">
        <w:rPr>
          <w:rFonts w:ascii="Georgia" w:hAnsi="Georgia"/>
          <w:lang w:val="en-GB"/>
        </w:rPr>
        <w:t>, “</w:t>
      </w:r>
      <w:r w:rsidRPr="0002056A">
        <w:rPr>
          <w:rFonts w:ascii="Georgia" w:hAnsi="Georgia"/>
          <w:i/>
          <w:iCs/>
          <w:lang w:val="en-GB"/>
        </w:rPr>
        <w:t>general spatiality</w:t>
      </w:r>
      <w:r w:rsidRPr="0002056A">
        <w:rPr>
          <w:rFonts w:ascii="Georgia" w:hAnsi="Georgia"/>
          <w:lang w:val="en-GB"/>
        </w:rPr>
        <w:t>” (with an average of 49,26% of the available points were reached by the countries), and “</w:t>
      </w:r>
      <w:r w:rsidRPr="0002056A">
        <w:rPr>
          <w:rFonts w:ascii="Georgia" w:hAnsi="Georgia"/>
          <w:i/>
          <w:iCs/>
          <w:lang w:val="en-GB"/>
        </w:rPr>
        <w:t>consideration of national and European spatial policy objectives</w:t>
      </w:r>
      <w:r w:rsidRPr="0002056A">
        <w:rPr>
          <w:rFonts w:ascii="Georgia" w:hAnsi="Georgia"/>
          <w:lang w:val="en-GB"/>
        </w:rPr>
        <w:t>” (40,97%) performed relatively better; meanwhile “</w:t>
      </w:r>
      <w:r w:rsidRPr="0002056A">
        <w:rPr>
          <w:rFonts w:ascii="Georgia" w:hAnsi="Georgia"/>
          <w:i/>
          <w:iCs/>
          <w:lang w:val="en-GB"/>
        </w:rPr>
        <w:t>spatiality of operational actions</w:t>
      </w:r>
      <w:r w:rsidRPr="0002056A">
        <w:rPr>
          <w:rFonts w:ascii="Georgia" w:hAnsi="Georgia"/>
          <w:lang w:val="en-GB"/>
        </w:rPr>
        <w:t>” (30,4%), “</w:t>
      </w:r>
      <w:r w:rsidRPr="0002056A">
        <w:rPr>
          <w:rFonts w:ascii="Georgia" w:hAnsi="Georgia"/>
          <w:i/>
          <w:iCs/>
          <w:lang w:val="en-GB"/>
        </w:rPr>
        <w:t>inter- and transnational spatial aspects of adaptation</w:t>
      </w:r>
      <w:r w:rsidRPr="0002056A">
        <w:rPr>
          <w:rFonts w:ascii="Georgia" w:hAnsi="Georgia"/>
          <w:lang w:val="en-GB"/>
        </w:rPr>
        <w:t>” (31,7%) and “</w:t>
      </w:r>
      <w:r w:rsidRPr="0002056A">
        <w:rPr>
          <w:rFonts w:ascii="Georgia" w:hAnsi="Georgia"/>
          <w:i/>
          <w:iCs/>
          <w:lang w:val="en-GB"/>
        </w:rPr>
        <w:t>spatiality of adaptation MRE activities</w:t>
      </w:r>
      <w:r w:rsidRPr="0002056A">
        <w:rPr>
          <w:rFonts w:ascii="Georgia" w:hAnsi="Georgia"/>
          <w:lang w:val="en-GB"/>
        </w:rPr>
        <w:t xml:space="preserve">” (32%) closer to the </w:t>
      </w:r>
      <w:r w:rsidRPr="0002056A">
        <w:rPr>
          <w:rFonts w:ascii="Georgia" w:hAnsi="Georgia"/>
          <w:i/>
          <w:iCs/>
          <w:lang w:val="en-GB"/>
        </w:rPr>
        <w:t>average value of the</w:t>
      </w:r>
      <w:r w:rsidRPr="0002056A">
        <w:rPr>
          <w:rFonts w:ascii="Georgia" w:hAnsi="Georgia"/>
          <w:lang w:val="en-GB"/>
        </w:rPr>
        <w:t xml:space="preserve"> </w:t>
      </w:r>
      <w:r w:rsidRPr="0002056A">
        <w:rPr>
          <w:rFonts w:ascii="Georgia" w:hAnsi="Georgia"/>
          <w:i/>
          <w:iCs/>
          <w:lang w:val="en-GB"/>
        </w:rPr>
        <w:t>aggregated composite indicator</w:t>
      </w:r>
      <w:r w:rsidRPr="0002056A">
        <w:rPr>
          <w:rFonts w:ascii="Georgia" w:hAnsi="Georgia"/>
          <w:lang w:val="en-GB"/>
        </w:rPr>
        <w:t xml:space="preserve"> (30,63%). These average results cover some very good individual performances of course, but the majority of the countries perform mediocre or weak in these main aspects.</w:t>
      </w:r>
    </w:p>
    <w:p w14:paraId="28DE6BB7" w14:textId="40977D57" w:rsidR="009306F4" w:rsidRPr="0002056A" w:rsidRDefault="00D31C98" w:rsidP="00596939">
      <w:pPr>
        <w:spacing w:before="120" w:after="120"/>
        <w:jc w:val="both"/>
        <w:rPr>
          <w:lang w:val="en-GB"/>
        </w:rPr>
      </w:pPr>
      <w:r w:rsidRPr="0002056A">
        <w:rPr>
          <w:rFonts w:ascii="Georgia" w:hAnsi="Georgia"/>
          <w:lang w:val="en-GB"/>
        </w:rPr>
        <w:t>The two weakest-performing main aspects “</w:t>
      </w:r>
      <w:r w:rsidRPr="0002056A">
        <w:rPr>
          <w:rFonts w:ascii="Georgia" w:hAnsi="Georgia"/>
          <w:i/>
          <w:iCs/>
          <w:lang w:val="en-GB"/>
        </w:rPr>
        <w:t>spatiality of situation analyses/assessments</w:t>
      </w:r>
      <w:r w:rsidRPr="0002056A">
        <w:rPr>
          <w:rFonts w:ascii="Georgia" w:hAnsi="Georgia"/>
          <w:lang w:val="en-GB"/>
        </w:rPr>
        <w:t>” (</w:t>
      </w:r>
      <w:r w:rsidRPr="0002056A">
        <w:rPr>
          <w:rFonts w:ascii="Calibri" w:hAnsi="Calibri" w:cs="Calibri"/>
          <w:lang w:val="en-GB"/>
        </w:rPr>
        <w:t>≈</w:t>
      </w:r>
      <w:r w:rsidRPr="0002056A">
        <w:rPr>
          <w:rFonts w:ascii="Georgia" w:hAnsi="Georgia"/>
          <w:lang w:val="en-GB"/>
        </w:rPr>
        <w:t>19%) and “</w:t>
      </w:r>
      <w:r w:rsidRPr="0002056A">
        <w:rPr>
          <w:rFonts w:ascii="Georgia" w:hAnsi="Georgia"/>
          <w:i/>
          <w:iCs/>
          <w:lang w:val="en-GB"/>
        </w:rPr>
        <w:t xml:space="preserve">spatial </w:t>
      </w:r>
      <w:r w:rsidR="00216AD0" w:rsidRPr="0002056A">
        <w:rPr>
          <w:rFonts w:ascii="Georgia" w:hAnsi="Georgia"/>
          <w:i/>
          <w:iCs/>
          <w:lang w:val="en-GB"/>
        </w:rPr>
        <w:t>emphases</w:t>
      </w:r>
      <w:r w:rsidRPr="0002056A">
        <w:rPr>
          <w:rFonts w:ascii="Georgia" w:hAnsi="Georgia"/>
          <w:i/>
          <w:iCs/>
          <w:lang w:val="en-GB"/>
        </w:rPr>
        <w:t xml:space="preserve"> in NAS objective systems</w:t>
      </w:r>
      <w:r w:rsidRPr="0002056A">
        <w:rPr>
          <w:rFonts w:ascii="Georgia" w:hAnsi="Georgia"/>
          <w:lang w:val="en-GB"/>
        </w:rPr>
        <w:t xml:space="preserve">” (21,16%) indicate that meanwhile the more tangible operational actions and MRE activities put somehow stronger emphasis on spatial considerations, the first steps of strategic planning, namely evidence-based assessments and objective planning put the smallest weight on spatial differences and spatially oriented topics in the analysed national climate policy activities. This fact is a good indicator of the general weakness of spatial approach in the adaptation planning cycle, right at the roots of the activities. </w:t>
      </w:r>
    </w:p>
    <w:p w14:paraId="2083E343" w14:textId="5F966453" w:rsidR="003314AF" w:rsidRPr="0002056A" w:rsidRDefault="003314AF" w:rsidP="00214BD9">
      <w:pPr>
        <w:pStyle w:val="Cmsor2"/>
        <w:numPr>
          <w:ilvl w:val="1"/>
          <w:numId w:val="10"/>
        </w:numPr>
        <w:rPr>
          <w:rFonts w:asciiTheme="minorHAnsi" w:hAnsiTheme="minorHAnsi" w:cstheme="minorHAnsi"/>
          <w:b w:val="0"/>
          <w:bCs w:val="0"/>
          <w:i/>
          <w:iCs/>
          <w:lang w:val="en-GB"/>
        </w:rPr>
      </w:pPr>
      <w:bookmarkStart w:id="47" w:name="_Toc225578864"/>
      <w:r w:rsidRPr="0002056A">
        <w:rPr>
          <w:rFonts w:asciiTheme="minorHAnsi" w:hAnsiTheme="minorHAnsi" w:cstheme="minorHAnsi"/>
          <w:b w:val="0"/>
          <w:bCs w:val="0"/>
          <w:i/>
          <w:iCs/>
          <w:lang w:val="en-GB"/>
        </w:rPr>
        <w:t xml:space="preserve">Influential factors of spatial sensitivity in </w:t>
      </w:r>
      <w:r w:rsidR="006852B2" w:rsidRPr="0002056A">
        <w:rPr>
          <w:rFonts w:asciiTheme="minorHAnsi" w:hAnsiTheme="minorHAnsi" w:cstheme="minorHAnsi"/>
          <w:b w:val="0"/>
          <w:bCs w:val="0"/>
          <w:i/>
          <w:iCs/>
          <w:lang w:val="en-GB"/>
        </w:rPr>
        <w:t>climate</w:t>
      </w:r>
      <w:r w:rsidRPr="0002056A">
        <w:rPr>
          <w:rFonts w:asciiTheme="minorHAnsi" w:hAnsiTheme="minorHAnsi" w:cstheme="minorHAnsi"/>
          <w:b w:val="0"/>
          <w:bCs w:val="0"/>
          <w:i/>
          <w:iCs/>
          <w:lang w:val="en-GB"/>
        </w:rPr>
        <w:t xml:space="preserve"> adaptation </w:t>
      </w:r>
      <w:r w:rsidR="00940EFD" w:rsidRPr="0002056A">
        <w:rPr>
          <w:rFonts w:asciiTheme="minorHAnsi" w:hAnsiTheme="minorHAnsi" w:cstheme="minorHAnsi"/>
          <w:b w:val="0"/>
          <w:bCs w:val="0"/>
          <w:i/>
          <w:iCs/>
          <w:lang w:val="en-GB"/>
        </w:rPr>
        <w:t xml:space="preserve">policy </w:t>
      </w:r>
      <w:r w:rsidRPr="0002056A">
        <w:rPr>
          <w:rFonts w:asciiTheme="minorHAnsi" w:hAnsiTheme="minorHAnsi" w:cstheme="minorHAnsi"/>
          <w:b w:val="0"/>
          <w:bCs w:val="0"/>
          <w:i/>
          <w:iCs/>
          <w:lang w:val="en-GB"/>
        </w:rPr>
        <w:t>p</w:t>
      </w:r>
      <w:r w:rsidR="00940EFD" w:rsidRPr="0002056A">
        <w:rPr>
          <w:rFonts w:asciiTheme="minorHAnsi" w:hAnsiTheme="minorHAnsi" w:cstheme="minorHAnsi"/>
          <w:b w:val="0"/>
          <w:bCs w:val="0"/>
          <w:i/>
          <w:iCs/>
          <w:lang w:val="en-GB"/>
        </w:rPr>
        <w:t>lanning</w:t>
      </w:r>
      <w:bookmarkEnd w:id="47"/>
    </w:p>
    <w:p w14:paraId="4C2D1BAF" w14:textId="5EDC3E60" w:rsidR="00803A4A" w:rsidRPr="0002056A" w:rsidRDefault="00940EFD" w:rsidP="00596939">
      <w:pPr>
        <w:spacing w:before="120" w:after="120"/>
        <w:jc w:val="both"/>
        <w:rPr>
          <w:rFonts w:ascii="Georgia" w:hAnsi="Georgia" w:cs="Times New Roman"/>
          <w:bCs/>
          <w:lang w:val="en-GB"/>
        </w:rPr>
      </w:pPr>
      <w:r w:rsidRPr="0002056A">
        <w:rPr>
          <w:rFonts w:ascii="Georgia" w:hAnsi="Georgia" w:cs="Times New Roman"/>
          <w:bCs/>
          <w:lang w:val="en-GB"/>
        </w:rPr>
        <w:t>An i</w:t>
      </w:r>
      <w:r w:rsidR="00B05591" w:rsidRPr="0002056A">
        <w:rPr>
          <w:rFonts w:ascii="Georgia" w:hAnsi="Georgia" w:cs="Times New Roman"/>
          <w:bCs/>
          <w:lang w:val="en-GB"/>
        </w:rPr>
        <w:t xml:space="preserve">nteresting </w:t>
      </w:r>
      <w:r w:rsidR="006852B2" w:rsidRPr="0002056A">
        <w:rPr>
          <w:rFonts w:ascii="Georgia" w:hAnsi="Georgia" w:cs="Times New Roman"/>
          <w:bCs/>
          <w:lang w:val="en-GB"/>
        </w:rPr>
        <w:t xml:space="preserve">challenge </w:t>
      </w:r>
      <w:r w:rsidRPr="0002056A">
        <w:rPr>
          <w:rFonts w:ascii="Georgia" w:hAnsi="Georgia" w:cs="Times New Roman"/>
          <w:bCs/>
          <w:lang w:val="en-GB"/>
        </w:rPr>
        <w:t>is</w:t>
      </w:r>
      <w:r w:rsidR="006852B2" w:rsidRPr="0002056A">
        <w:rPr>
          <w:rFonts w:ascii="Georgia" w:hAnsi="Georgia" w:cs="Times New Roman"/>
          <w:bCs/>
          <w:lang w:val="en-GB"/>
        </w:rPr>
        <w:t xml:space="preserve"> to identify</w:t>
      </w:r>
      <w:r w:rsidR="00B05591" w:rsidRPr="0002056A">
        <w:rPr>
          <w:rFonts w:ascii="Georgia" w:hAnsi="Georgia" w:cs="Times New Roman"/>
          <w:bCs/>
          <w:lang w:val="en-GB"/>
        </w:rPr>
        <w:t xml:space="preserve"> whether which factors the most influential </w:t>
      </w:r>
      <w:r w:rsidR="006852B2" w:rsidRPr="0002056A">
        <w:rPr>
          <w:rFonts w:ascii="Georgia" w:hAnsi="Georgia" w:cs="Times New Roman"/>
          <w:bCs/>
          <w:lang w:val="en-GB"/>
        </w:rPr>
        <w:t xml:space="preserve">are </w:t>
      </w:r>
      <w:r w:rsidR="00B05591" w:rsidRPr="0002056A">
        <w:rPr>
          <w:rFonts w:ascii="Georgia" w:hAnsi="Georgia" w:cs="Times New Roman"/>
          <w:bCs/>
          <w:lang w:val="en-GB"/>
        </w:rPr>
        <w:t xml:space="preserve">regarding the spatial sensitivity values of the analysed countries. </w:t>
      </w:r>
      <w:r w:rsidR="006542B6" w:rsidRPr="0002056A">
        <w:rPr>
          <w:rFonts w:ascii="Georgia" w:hAnsi="Georgia" w:cs="Times New Roman"/>
          <w:bCs/>
          <w:lang w:val="en-GB"/>
        </w:rPr>
        <w:t xml:space="preserve">To find an adequate answer to this question </w:t>
      </w:r>
      <w:r w:rsidR="006542B6" w:rsidRPr="0002056A">
        <w:rPr>
          <w:rFonts w:ascii="Georgia" w:hAnsi="Georgia" w:cs="Times New Roman"/>
          <w:b/>
          <w:lang w:val="en-GB"/>
        </w:rPr>
        <w:t xml:space="preserve">the dissertation </w:t>
      </w:r>
      <w:r w:rsidR="00B05591" w:rsidRPr="0002056A">
        <w:rPr>
          <w:rFonts w:ascii="Georgia" w:hAnsi="Georgia" w:cs="Times New Roman"/>
          <w:b/>
          <w:lang w:val="en-GB"/>
        </w:rPr>
        <w:t xml:space="preserve">collected </w:t>
      </w:r>
      <w:r w:rsidR="004F3F44" w:rsidRPr="0002056A">
        <w:rPr>
          <w:rFonts w:ascii="Georgia" w:hAnsi="Georgia" w:cs="Times New Roman"/>
          <w:b/>
          <w:lang w:val="en-GB"/>
        </w:rPr>
        <w:t xml:space="preserve">several indices </w:t>
      </w:r>
      <w:r w:rsidR="009F6163" w:rsidRPr="0002056A">
        <w:rPr>
          <w:rFonts w:ascii="Georgia" w:hAnsi="Georgia" w:cs="Times New Roman"/>
          <w:b/>
          <w:lang w:val="en-GB"/>
        </w:rPr>
        <w:t xml:space="preserve">with a potential </w:t>
      </w:r>
      <w:r w:rsidR="004F3F44" w:rsidRPr="0002056A">
        <w:rPr>
          <w:rFonts w:ascii="Georgia" w:hAnsi="Georgia" w:cs="Times New Roman"/>
          <w:b/>
          <w:lang w:val="en-GB"/>
        </w:rPr>
        <w:t>t</w:t>
      </w:r>
      <w:r w:rsidR="00BE18FC" w:rsidRPr="0002056A">
        <w:rPr>
          <w:rFonts w:ascii="Georgia" w:hAnsi="Georgia" w:cs="Times New Roman"/>
          <w:b/>
          <w:lang w:val="en-GB"/>
        </w:rPr>
        <w:t>o</w:t>
      </w:r>
      <w:r w:rsidR="004F3F44" w:rsidRPr="0002056A">
        <w:rPr>
          <w:rFonts w:ascii="Georgia" w:hAnsi="Georgia" w:cs="Times New Roman"/>
          <w:b/>
          <w:lang w:val="en-GB"/>
        </w:rPr>
        <w:t xml:space="preserve"> depict </w:t>
      </w:r>
      <w:r w:rsidR="009F6163" w:rsidRPr="0002056A">
        <w:rPr>
          <w:rFonts w:ascii="Georgia" w:hAnsi="Georgia" w:cs="Times New Roman"/>
          <w:b/>
          <w:lang w:val="en-GB"/>
        </w:rPr>
        <w:t xml:space="preserve">a given perspective of </w:t>
      </w:r>
      <w:r w:rsidR="004F3F44" w:rsidRPr="0002056A">
        <w:rPr>
          <w:rFonts w:ascii="Georgia" w:hAnsi="Georgia" w:cs="Times New Roman"/>
          <w:b/>
          <w:lang w:val="en-GB"/>
        </w:rPr>
        <w:t xml:space="preserve">the </w:t>
      </w:r>
      <w:r w:rsidR="00BE18FC" w:rsidRPr="0002056A">
        <w:rPr>
          <w:rFonts w:ascii="Georgia" w:hAnsi="Georgia" w:cs="Times New Roman"/>
          <w:b/>
          <w:lang w:val="en-GB"/>
        </w:rPr>
        <w:t>multi</w:t>
      </w:r>
      <w:r w:rsidR="009F6163" w:rsidRPr="0002056A">
        <w:rPr>
          <w:rFonts w:ascii="Georgia" w:hAnsi="Georgia" w:cs="Times New Roman"/>
          <w:b/>
          <w:lang w:val="en-GB"/>
        </w:rPr>
        <w:t xml:space="preserve">dimensional </w:t>
      </w:r>
      <w:r w:rsidR="00BE18FC" w:rsidRPr="0002056A">
        <w:rPr>
          <w:rFonts w:ascii="Georgia" w:hAnsi="Georgia" w:cs="Times New Roman"/>
          <w:b/>
          <w:lang w:val="en-GB"/>
        </w:rPr>
        <w:t>environment</w:t>
      </w:r>
      <w:r w:rsidR="00BE18FC" w:rsidRPr="0002056A">
        <w:rPr>
          <w:rFonts w:ascii="Georgia" w:hAnsi="Georgia" w:cs="Times New Roman"/>
          <w:bCs/>
          <w:lang w:val="en-GB"/>
        </w:rPr>
        <w:t xml:space="preserve"> influencing the performance of adaptation planning activities from a spatial point of view. </w:t>
      </w:r>
      <w:r w:rsidR="00F516F4" w:rsidRPr="0002056A">
        <w:rPr>
          <w:rFonts w:ascii="Georgia" w:hAnsi="Georgia" w:cs="Times New Roman"/>
          <w:bCs/>
          <w:lang w:val="en-GB"/>
        </w:rPr>
        <w:t>S</w:t>
      </w:r>
      <w:r w:rsidR="00B05591" w:rsidRPr="0002056A">
        <w:rPr>
          <w:rFonts w:ascii="Georgia" w:hAnsi="Georgia" w:cs="Times New Roman"/>
          <w:bCs/>
          <w:lang w:val="en-GB"/>
        </w:rPr>
        <w:t xml:space="preserve">ome </w:t>
      </w:r>
      <w:r w:rsidR="00F516F4" w:rsidRPr="0002056A">
        <w:rPr>
          <w:rFonts w:ascii="Georgia" w:hAnsi="Georgia" w:cs="Times New Roman"/>
          <w:bCs/>
          <w:lang w:val="en-GB"/>
        </w:rPr>
        <w:t xml:space="preserve">of these indices are </w:t>
      </w:r>
      <w:r w:rsidR="00B05591" w:rsidRPr="0002056A">
        <w:rPr>
          <w:rFonts w:ascii="Georgia" w:hAnsi="Georgia" w:cs="Times New Roman"/>
          <w:bCs/>
          <w:lang w:val="en-GB"/>
        </w:rPr>
        <w:t>physical (size of the country, number of climat</w:t>
      </w:r>
      <w:r w:rsidR="00F14D57" w:rsidRPr="0002056A">
        <w:rPr>
          <w:rFonts w:ascii="Georgia" w:hAnsi="Georgia" w:cs="Times New Roman"/>
          <w:bCs/>
          <w:lang w:val="en-GB"/>
        </w:rPr>
        <w:t>ic</w:t>
      </w:r>
      <w:r w:rsidR="00B05591" w:rsidRPr="0002056A">
        <w:rPr>
          <w:rFonts w:ascii="Georgia" w:hAnsi="Georgia" w:cs="Times New Roman"/>
          <w:bCs/>
          <w:lang w:val="en-GB"/>
        </w:rPr>
        <w:t xml:space="preserve"> zones in a given country according to the EEA classification, </w:t>
      </w:r>
      <w:r w:rsidR="00AA56F3" w:rsidRPr="0002056A">
        <w:rPr>
          <w:rFonts w:ascii="Georgia" w:hAnsi="Georgia" w:cs="Times New Roman"/>
          <w:bCs/>
          <w:lang w:val="en-GB"/>
        </w:rPr>
        <w:t xml:space="preserve">population, population density, </w:t>
      </w:r>
      <w:r w:rsidR="00B05591" w:rsidRPr="0002056A">
        <w:rPr>
          <w:rFonts w:ascii="Georgia" w:hAnsi="Georgia" w:cs="Times New Roman"/>
          <w:bCs/>
          <w:lang w:val="en-GB"/>
        </w:rPr>
        <w:t xml:space="preserve">urbanisation), </w:t>
      </w:r>
      <w:r w:rsidR="00F516F4" w:rsidRPr="0002056A">
        <w:rPr>
          <w:rFonts w:ascii="Georgia" w:hAnsi="Georgia" w:cs="Times New Roman"/>
          <w:bCs/>
          <w:lang w:val="en-GB"/>
        </w:rPr>
        <w:t xml:space="preserve">some are </w:t>
      </w:r>
      <w:r w:rsidR="00B05591" w:rsidRPr="0002056A">
        <w:rPr>
          <w:rFonts w:ascii="Georgia" w:hAnsi="Georgia" w:cs="Times New Roman"/>
          <w:bCs/>
          <w:lang w:val="en-GB"/>
        </w:rPr>
        <w:t>economic (GDP/capita</w:t>
      </w:r>
      <w:r w:rsidR="00F14D57" w:rsidRPr="0002056A">
        <w:rPr>
          <w:rFonts w:ascii="Georgia" w:hAnsi="Georgia" w:cs="Times New Roman"/>
          <w:bCs/>
          <w:lang w:val="en-GB"/>
        </w:rPr>
        <w:t>, GINI index</w:t>
      </w:r>
      <w:r w:rsidR="00AA56F3" w:rsidRPr="0002056A">
        <w:rPr>
          <w:rFonts w:ascii="Georgia" w:hAnsi="Georgia" w:cs="Times New Roman"/>
          <w:bCs/>
          <w:lang w:val="en-GB"/>
        </w:rPr>
        <w:t>, use of renewable energy sources</w:t>
      </w:r>
      <w:r w:rsidR="00B05591" w:rsidRPr="0002056A">
        <w:rPr>
          <w:rFonts w:ascii="Georgia" w:hAnsi="Georgia" w:cs="Times New Roman"/>
          <w:bCs/>
          <w:lang w:val="en-GB"/>
        </w:rPr>
        <w:t xml:space="preserve">), </w:t>
      </w:r>
      <w:r w:rsidR="00F516F4" w:rsidRPr="0002056A">
        <w:rPr>
          <w:rFonts w:ascii="Georgia" w:hAnsi="Georgia" w:cs="Times New Roman"/>
          <w:bCs/>
          <w:lang w:val="en-GB"/>
        </w:rPr>
        <w:t xml:space="preserve">some are </w:t>
      </w:r>
      <w:r w:rsidR="00B05591" w:rsidRPr="0002056A">
        <w:rPr>
          <w:rFonts w:ascii="Georgia" w:hAnsi="Georgia" w:cs="Times New Roman"/>
          <w:bCs/>
          <w:lang w:val="en-GB"/>
        </w:rPr>
        <w:t xml:space="preserve">social (HDI, </w:t>
      </w:r>
      <w:r w:rsidR="00F14D57" w:rsidRPr="0002056A">
        <w:rPr>
          <w:rFonts w:ascii="Georgia" w:hAnsi="Georgia" w:cs="Times New Roman"/>
          <w:bCs/>
          <w:lang w:val="en-GB"/>
        </w:rPr>
        <w:t xml:space="preserve">life expectancy, </w:t>
      </w:r>
      <w:r w:rsidR="00B05591" w:rsidRPr="0002056A">
        <w:rPr>
          <w:rFonts w:ascii="Georgia" w:hAnsi="Georgia" w:cs="Times New Roman"/>
          <w:bCs/>
          <w:lang w:val="en-GB"/>
        </w:rPr>
        <w:t xml:space="preserve">education level), spatial governance- </w:t>
      </w:r>
      <w:r w:rsidR="00F14D57" w:rsidRPr="0002056A">
        <w:rPr>
          <w:rFonts w:ascii="Georgia" w:hAnsi="Georgia" w:cs="Times New Roman"/>
          <w:bCs/>
          <w:lang w:val="en-GB"/>
        </w:rPr>
        <w:t xml:space="preserve">(type of governance, development of spatial planning sector) </w:t>
      </w:r>
      <w:r w:rsidR="00B05591" w:rsidRPr="0002056A">
        <w:rPr>
          <w:rFonts w:ascii="Georgia" w:hAnsi="Georgia" w:cs="Times New Roman"/>
          <w:bCs/>
          <w:lang w:val="en-GB"/>
        </w:rPr>
        <w:t>or adaptation policy-related (number of implemented adaptation cycles)</w:t>
      </w:r>
      <w:r w:rsidR="009F42B6" w:rsidRPr="0002056A">
        <w:rPr>
          <w:rFonts w:ascii="Georgia" w:hAnsi="Georgia" w:cs="Times New Roman"/>
          <w:bCs/>
          <w:lang w:val="en-GB"/>
        </w:rPr>
        <w:t>. T</w:t>
      </w:r>
      <w:r w:rsidR="00B05591" w:rsidRPr="0002056A">
        <w:rPr>
          <w:rFonts w:ascii="Georgia" w:hAnsi="Georgia" w:cs="Times New Roman"/>
          <w:bCs/>
          <w:lang w:val="en-GB"/>
        </w:rPr>
        <w:t xml:space="preserve">o find out which the strongest influence </w:t>
      </w:r>
      <w:r w:rsidR="009F42B6" w:rsidRPr="0002056A">
        <w:rPr>
          <w:rFonts w:ascii="Georgia" w:hAnsi="Georgia" w:cs="Times New Roman"/>
          <w:bCs/>
          <w:lang w:val="en-GB"/>
        </w:rPr>
        <w:t>h</w:t>
      </w:r>
      <w:r w:rsidR="008E0AF9" w:rsidRPr="0002056A">
        <w:rPr>
          <w:rFonts w:ascii="Georgia" w:hAnsi="Georgia" w:cs="Times New Roman"/>
          <w:bCs/>
          <w:lang w:val="en-GB"/>
        </w:rPr>
        <w:t>as</w:t>
      </w:r>
      <w:r w:rsidR="009F42B6" w:rsidRPr="0002056A">
        <w:rPr>
          <w:rFonts w:ascii="Georgia" w:hAnsi="Georgia" w:cs="Times New Roman"/>
          <w:bCs/>
          <w:lang w:val="en-GB"/>
        </w:rPr>
        <w:t xml:space="preserve"> </w:t>
      </w:r>
      <w:r w:rsidR="00B05591" w:rsidRPr="0002056A">
        <w:rPr>
          <w:rFonts w:ascii="Georgia" w:hAnsi="Georgia" w:cs="Times New Roman"/>
          <w:bCs/>
          <w:lang w:val="en-GB"/>
        </w:rPr>
        <w:t>on spatial sensitivity</w:t>
      </w:r>
      <w:r w:rsidR="009F42B6" w:rsidRPr="0002056A">
        <w:rPr>
          <w:rFonts w:ascii="Georgia" w:hAnsi="Georgia" w:cs="Times New Roman"/>
          <w:bCs/>
          <w:lang w:val="en-GB"/>
        </w:rPr>
        <w:t>, a</w:t>
      </w:r>
      <w:r w:rsidR="00AA56F3" w:rsidRPr="0002056A">
        <w:rPr>
          <w:rFonts w:ascii="Georgia" w:hAnsi="Georgia" w:cs="Times New Roman"/>
          <w:bCs/>
          <w:lang w:val="en-GB"/>
        </w:rPr>
        <w:t xml:space="preserve"> correlation analysis has been conducted for these indices and the spatial sensitivity composite indicator</w:t>
      </w:r>
      <w:r w:rsidR="008F50AE" w:rsidRPr="0002056A">
        <w:rPr>
          <w:rFonts w:ascii="Georgia" w:hAnsi="Georgia" w:cs="Times New Roman"/>
          <w:bCs/>
          <w:lang w:val="en-GB"/>
        </w:rPr>
        <w:t xml:space="preserve">. Table </w:t>
      </w:r>
      <w:r w:rsidR="008E0AF9" w:rsidRPr="0002056A">
        <w:rPr>
          <w:rFonts w:ascii="Georgia" w:hAnsi="Georgia" w:cs="Times New Roman"/>
          <w:bCs/>
          <w:lang w:val="en-GB"/>
        </w:rPr>
        <w:t xml:space="preserve">4 </w:t>
      </w:r>
      <w:r w:rsidR="008F50AE" w:rsidRPr="0002056A">
        <w:rPr>
          <w:rFonts w:ascii="Georgia" w:hAnsi="Georgia" w:cs="Times New Roman"/>
          <w:bCs/>
          <w:lang w:val="en-GB"/>
        </w:rPr>
        <w:t>below shows the applied indices and their data sources.</w:t>
      </w:r>
    </w:p>
    <w:p w14:paraId="5031AD02" w14:textId="59DD527D" w:rsidR="00972688" w:rsidRPr="0002056A" w:rsidRDefault="00972688" w:rsidP="008F50AE">
      <w:pPr>
        <w:spacing w:before="120" w:after="120" w:line="240" w:lineRule="auto"/>
        <w:jc w:val="both"/>
        <w:rPr>
          <w:rFonts w:ascii="Georgia" w:hAnsi="Georgia" w:cs="Times New Roman"/>
          <w:bCs/>
          <w:lang w:val="en-GB"/>
        </w:rPr>
        <w:sectPr w:rsidR="00972688" w:rsidRPr="0002056A" w:rsidSect="0068518D">
          <w:pgSz w:w="11906" w:h="16838"/>
          <w:pgMar w:top="1417" w:right="1417" w:bottom="1417" w:left="1417" w:header="708" w:footer="708" w:gutter="0"/>
          <w:cols w:space="708"/>
          <w:docGrid w:linePitch="360"/>
        </w:sectPr>
      </w:pPr>
    </w:p>
    <w:p w14:paraId="7F941E48" w14:textId="2A14B89E" w:rsidR="00B05591" w:rsidRPr="0002056A" w:rsidRDefault="0039050F" w:rsidP="0039050F">
      <w:pPr>
        <w:spacing w:before="120" w:after="120" w:line="240" w:lineRule="auto"/>
        <w:jc w:val="center"/>
        <w:rPr>
          <w:rFonts w:ascii="Georgia" w:hAnsi="Georgia" w:cs="Times New Roman"/>
          <w:i/>
          <w:sz w:val="18"/>
          <w:szCs w:val="18"/>
          <w:lang w:val="en-GB"/>
        </w:rPr>
      </w:pPr>
      <w:r w:rsidRPr="0002056A">
        <w:rPr>
          <w:rFonts w:ascii="Georgia" w:hAnsi="Georgia" w:cs="Times New Roman"/>
          <w:b/>
          <w:sz w:val="18"/>
          <w:szCs w:val="18"/>
          <w:lang w:val="en-GB"/>
        </w:rPr>
        <w:lastRenderedPageBreak/>
        <w:t xml:space="preserve">Table </w:t>
      </w:r>
      <w:r w:rsidR="00E80EAD" w:rsidRPr="0002056A">
        <w:rPr>
          <w:rFonts w:ascii="Georgia" w:hAnsi="Georgia" w:cs="Times New Roman"/>
          <w:b/>
          <w:sz w:val="18"/>
          <w:szCs w:val="18"/>
          <w:lang w:val="en-GB"/>
        </w:rPr>
        <w:t>4:</w:t>
      </w:r>
      <w:r w:rsidR="008E0AF9" w:rsidRPr="0002056A">
        <w:rPr>
          <w:rFonts w:ascii="Georgia" w:hAnsi="Georgia" w:cs="Times New Roman"/>
          <w:b/>
          <w:sz w:val="18"/>
          <w:szCs w:val="18"/>
          <w:lang w:val="en-GB"/>
        </w:rPr>
        <w:t xml:space="preserve"> </w:t>
      </w:r>
      <w:r w:rsidRPr="0002056A">
        <w:rPr>
          <w:rFonts w:ascii="Georgia" w:hAnsi="Georgia" w:cs="Times New Roman"/>
          <w:b/>
          <w:sz w:val="18"/>
          <w:szCs w:val="18"/>
          <w:lang w:val="en-GB"/>
        </w:rPr>
        <w:t>Spatial sensitivity composite indicator values and other physical, social, economic and planning-related indicators of the analysed countr</w:t>
      </w:r>
      <w:r w:rsidR="007077FD" w:rsidRPr="0002056A">
        <w:rPr>
          <w:rFonts w:ascii="Georgia" w:hAnsi="Georgia" w:cs="Times New Roman"/>
          <w:b/>
          <w:sz w:val="18"/>
          <w:szCs w:val="18"/>
          <w:lang w:val="en-GB"/>
        </w:rPr>
        <w:t>ies</w:t>
      </w:r>
      <w:r w:rsidRPr="0002056A">
        <w:rPr>
          <w:rFonts w:ascii="Georgia" w:hAnsi="Georgia" w:cs="Times New Roman"/>
          <w:b/>
          <w:sz w:val="18"/>
          <w:szCs w:val="18"/>
          <w:lang w:val="en-GB"/>
        </w:rPr>
        <w:t xml:space="preserve">. </w:t>
      </w:r>
      <w:r w:rsidRPr="0002056A">
        <w:rPr>
          <w:rFonts w:ascii="Georgia" w:hAnsi="Georgia" w:cs="Times New Roman"/>
          <w:i/>
          <w:sz w:val="18"/>
          <w:szCs w:val="18"/>
          <w:lang w:val="en-GB"/>
        </w:rPr>
        <w:t>Source: own editing.</w:t>
      </w:r>
    </w:p>
    <w:tbl>
      <w:tblPr>
        <w:tblW w:w="16272" w:type="dxa"/>
        <w:jc w:val="center"/>
        <w:tblCellMar>
          <w:left w:w="70" w:type="dxa"/>
          <w:right w:w="70" w:type="dxa"/>
        </w:tblCellMar>
        <w:tblLook w:val="04A0" w:firstRow="1" w:lastRow="0" w:firstColumn="1" w:lastColumn="0" w:noHBand="0" w:noVBand="1"/>
      </w:tblPr>
      <w:tblGrid>
        <w:gridCol w:w="812"/>
        <w:gridCol w:w="1008"/>
        <w:gridCol w:w="1141"/>
        <w:gridCol w:w="992"/>
        <w:gridCol w:w="1056"/>
        <w:gridCol w:w="1051"/>
        <w:gridCol w:w="1209"/>
        <w:gridCol w:w="1093"/>
        <w:gridCol w:w="761"/>
        <w:gridCol w:w="1051"/>
        <w:gridCol w:w="761"/>
        <w:gridCol w:w="1052"/>
        <w:gridCol w:w="1107"/>
        <w:gridCol w:w="1210"/>
        <w:gridCol w:w="1034"/>
        <w:gridCol w:w="1060"/>
      </w:tblGrid>
      <w:tr w:rsidR="003F4410" w:rsidRPr="0002056A" w14:paraId="707C7AEF" w14:textId="77777777" w:rsidTr="0092731D">
        <w:trPr>
          <w:trHeight w:val="2138"/>
          <w:tblHeader/>
          <w:jc w:val="center"/>
        </w:trPr>
        <w:tc>
          <w:tcPr>
            <w:tcW w:w="686" w:type="dxa"/>
            <w:tcBorders>
              <w:top w:val="single" w:sz="8" w:space="0" w:color="auto"/>
              <w:left w:val="single" w:sz="8" w:space="0" w:color="auto"/>
              <w:bottom w:val="double" w:sz="6" w:space="0" w:color="auto"/>
              <w:right w:val="single" w:sz="4" w:space="0" w:color="auto"/>
            </w:tcBorders>
            <w:vAlign w:val="center"/>
            <w:hideMark/>
          </w:tcPr>
          <w:p w14:paraId="6A5F2F7B" w14:textId="77777777" w:rsidR="003F4410" w:rsidRPr="0092731D" w:rsidRDefault="003F4410" w:rsidP="003F4410">
            <w:pPr>
              <w:spacing w:after="0" w:line="240" w:lineRule="auto"/>
              <w:jc w:val="center"/>
              <w:rPr>
                <w:rFonts w:ascii="Georgia" w:eastAsia="Times New Roman" w:hAnsi="Georgia" w:cs="Calibri"/>
                <w:b/>
                <w:bCs/>
                <w:color w:val="000000"/>
                <w:sz w:val="16"/>
                <w:szCs w:val="16"/>
                <w:lang w:val="en-GB" w:eastAsia="hu-HU"/>
              </w:rPr>
            </w:pPr>
            <w:r w:rsidRPr="0092731D">
              <w:rPr>
                <w:rFonts w:ascii="Georgia" w:eastAsia="Times New Roman" w:hAnsi="Georgia" w:cs="Calibri"/>
                <w:b/>
                <w:bCs/>
                <w:color w:val="000000"/>
                <w:sz w:val="16"/>
                <w:szCs w:val="16"/>
                <w:lang w:val="en-GB" w:eastAsia="hu-HU"/>
              </w:rPr>
              <w:t>Country (or country part)</w:t>
            </w:r>
          </w:p>
        </w:tc>
        <w:tc>
          <w:tcPr>
            <w:tcW w:w="1008" w:type="dxa"/>
            <w:tcBorders>
              <w:top w:val="single" w:sz="8" w:space="0" w:color="auto"/>
              <w:left w:val="nil"/>
              <w:bottom w:val="double" w:sz="6" w:space="0" w:color="auto"/>
              <w:right w:val="nil"/>
            </w:tcBorders>
            <w:shd w:val="clear" w:color="auto" w:fill="C5E0B3" w:themeFill="accent6" w:themeFillTint="66"/>
            <w:vAlign w:val="center"/>
            <w:hideMark/>
          </w:tcPr>
          <w:p w14:paraId="60AD766C" w14:textId="7777777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Spatial sensitivity composite indicator</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own calculation</w:t>
            </w:r>
          </w:p>
        </w:tc>
        <w:tc>
          <w:tcPr>
            <w:tcW w:w="1141" w:type="dxa"/>
            <w:tcBorders>
              <w:top w:val="single" w:sz="8" w:space="0" w:color="auto"/>
              <w:left w:val="nil"/>
              <w:bottom w:val="double" w:sz="6" w:space="0" w:color="auto"/>
              <w:right w:val="nil"/>
            </w:tcBorders>
            <w:vAlign w:val="center"/>
            <w:hideMark/>
          </w:tcPr>
          <w:p w14:paraId="79A4E6EC" w14:textId="7777777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Size of the country (km</w:t>
            </w:r>
            <w:r w:rsidRPr="0002056A">
              <w:rPr>
                <w:rFonts w:ascii="Georgia" w:eastAsia="Times New Roman" w:hAnsi="Georgia" w:cstheme="minorHAnsi"/>
                <w:b/>
                <w:bCs/>
                <w:color w:val="000000"/>
                <w:sz w:val="16"/>
                <w:szCs w:val="16"/>
                <w:vertAlign w:val="superscript"/>
                <w:lang w:val="en-GB" w:eastAsia="hu-HU"/>
              </w:rPr>
              <w:t>2</w:t>
            </w:r>
            <w:r w:rsidRPr="0002056A">
              <w:rPr>
                <w:rFonts w:ascii="Georgia" w:eastAsia="Times New Roman" w:hAnsi="Georgia" w:cstheme="minorHAnsi"/>
                <w:b/>
                <w:bCs/>
                <w:color w:val="000000"/>
                <w:sz w:val="16"/>
                <w:szCs w:val="16"/>
                <w:lang w:val="en-GB" w:eastAsia="hu-HU"/>
              </w:rPr>
              <w:t xml:space="preserve">) </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Eurostat, 2025; CIA word factbook (CYP); UNECE (ALB, BIH, MAC, ICE, MON, NOR, SWI, SRB) and Britannica.com (WAL, SCO, ENG, NIR).</w:t>
            </w:r>
          </w:p>
        </w:tc>
        <w:tc>
          <w:tcPr>
            <w:tcW w:w="992" w:type="dxa"/>
            <w:tcBorders>
              <w:top w:val="single" w:sz="8" w:space="0" w:color="auto"/>
              <w:left w:val="nil"/>
              <w:bottom w:val="double" w:sz="6" w:space="0" w:color="auto"/>
              <w:right w:val="nil"/>
            </w:tcBorders>
            <w:shd w:val="clear" w:color="000000" w:fill="FFFFFF"/>
            <w:vAlign w:val="center"/>
            <w:hideMark/>
          </w:tcPr>
          <w:p w14:paraId="463BD5D5" w14:textId="63AF744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Number of </w:t>
            </w:r>
            <w:r w:rsidR="00216AD0" w:rsidRPr="0002056A">
              <w:rPr>
                <w:rFonts w:ascii="Georgia" w:eastAsia="Times New Roman" w:hAnsi="Georgia" w:cstheme="minorHAnsi"/>
                <w:b/>
                <w:bCs/>
                <w:color w:val="000000"/>
                <w:sz w:val="16"/>
                <w:szCs w:val="16"/>
                <w:lang w:val="en-GB" w:eastAsia="hu-HU"/>
              </w:rPr>
              <w:t>climatic</w:t>
            </w:r>
            <w:r w:rsidRPr="0002056A">
              <w:rPr>
                <w:rFonts w:ascii="Georgia" w:eastAsia="Times New Roman" w:hAnsi="Georgia" w:cstheme="minorHAnsi"/>
                <w:b/>
                <w:bCs/>
                <w:color w:val="000000"/>
                <w:sz w:val="16"/>
                <w:szCs w:val="16"/>
                <w:lang w:val="en-GB" w:eastAsia="hu-HU"/>
              </w:rPr>
              <w:t xml:space="preserve"> regions within the country</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EEA Report 1/2017 - Climate change, impacts and vulnerability in Europe 2016</w:t>
            </w:r>
          </w:p>
        </w:tc>
        <w:tc>
          <w:tcPr>
            <w:tcW w:w="1056" w:type="dxa"/>
            <w:tcBorders>
              <w:top w:val="single" w:sz="8" w:space="0" w:color="auto"/>
              <w:left w:val="nil"/>
              <w:bottom w:val="double" w:sz="6" w:space="0" w:color="auto"/>
              <w:right w:val="nil"/>
            </w:tcBorders>
            <w:vAlign w:val="center"/>
            <w:hideMark/>
          </w:tcPr>
          <w:p w14:paraId="00872E04" w14:textId="7777777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Population (1000 capita) </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World Bank (2024)</w:t>
            </w:r>
          </w:p>
        </w:tc>
        <w:tc>
          <w:tcPr>
            <w:tcW w:w="1051" w:type="dxa"/>
            <w:tcBorders>
              <w:top w:val="single" w:sz="8" w:space="0" w:color="auto"/>
              <w:left w:val="nil"/>
              <w:bottom w:val="double" w:sz="6" w:space="0" w:color="auto"/>
              <w:right w:val="nil"/>
            </w:tcBorders>
            <w:vAlign w:val="center"/>
            <w:hideMark/>
          </w:tcPr>
          <w:p w14:paraId="5CFCF690" w14:textId="2379F376"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Population density (capita / km</w:t>
            </w:r>
            <w:r w:rsidRPr="0002056A">
              <w:rPr>
                <w:rFonts w:ascii="Georgia" w:eastAsia="Times New Roman" w:hAnsi="Georgia" w:cstheme="minorHAnsi"/>
                <w:b/>
                <w:bCs/>
                <w:color w:val="000000"/>
                <w:sz w:val="16"/>
                <w:szCs w:val="16"/>
                <w:vertAlign w:val="superscript"/>
                <w:lang w:val="en-GB" w:eastAsia="hu-HU"/>
              </w:rPr>
              <w:t>2</w:t>
            </w:r>
            <w:r w:rsidRPr="0002056A">
              <w:rPr>
                <w:rFonts w:ascii="Georgia" w:eastAsia="Times New Roman" w:hAnsi="Georgia" w:cstheme="minorHAnsi"/>
                <w:b/>
                <w:bCs/>
                <w:color w:val="000000"/>
                <w:sz w:val="16"/>
                <w:szCs w:val="16"/>
                <w:lang w:val="en-GB" w:eastAsia="hu-HU"/>
              </w:rPr>
              <w:t xml:space="preserve">) </w:t>
            </w:r>
            <w:r w:rsidRPr="0002056A">
              <w:rPr>
                <w:rFonts w:ascii="Georgia" w:eastAsia="Times New Roman" w:hAnsi="Georgia" w:cstheme="minorHAnsi"/>
                <w:i/>
                <w:iCs/>
                <w:color w:val="000000"/>
                <w:sz w:val="14"/>
                <w:szCs w:val="14"/>
                <w:lang w:val="en-GB" w:eastAsia="hu-HU"/>
              </w:rPr>
              <w:t>SOURCE: UNECE</w:t>
            </w:r>
            <w:r w:rsidRPr="0002056A">
              <w:rPr>
                <w:rFonts w:ascii="Georgia" w:eastAsia="Times New Roman" w:hAnsi="Georgia" w:cstheme="minorHAnsi"/>
                <w:i/>
                <w:iCs/>
                <w:color w:val="000000"/>
                <w:sz w:val="16"/>
                <w:szCs w:val="16"/>
                <w:lang w:val="en-GB" w:eastAsia="hu-HU"/>
              </w:rPr>
              <w:t xml:space="preserve"> </w:t>
            </w:r>
          </w:p>
        </w:tc>
        <w:tc>
          <w:tcPr>
            <w:tcW w:w="1209" w:type="dxa"/>
            <w:tcBorders>
              <w:top w:val="single" w:sz="8" w:space="0" w:color="auto"/>
              <w:left w:val="nil"/>
              <w:bottom w:val="double" w:sz="6" w:space="0" w:color="auto"/>
              <w:right w:val="nil"/>
            </w:tcBorders>
            <w:shd w:val="clear" w:color="000000" w:fill="FFFFFF"/>
            <w:vAlign w:val="center"/>
            <w:hideMark/>
          </w:tcPr>
          <w:p w14:paraId="6F8BEB78" w14:textId="187DC64E"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Degree of urbanization (% of urban population) </w:t>
            </w:r>
            <w:r w:rsidRPr="0002056A">
              <w:rPr>
                <w:rFonts w:ascii="Georgia" w:eastAsia="Times New Roman" w:hAnsi="Georgia" w:cstheme="minorHAnsi"/>
                <w:i/>
                <w:iCs/>
                <w:color w:val="000000"/>
                <w:sz w:val="14"/>
                <w:szCs w:val="14"/>
                <w:lang w:val="en-GB" w:eastAsia="hu-HU"/>
              </w:rPr>
              <w:t>SOURCE: World Bank, 2024.</w:t>
            </w:r>
            <w:r w:rsidRPr="0002056A">
              <w:rPr>
                <w:rFonts w:ascii="Georgia" w:eastAsia="Times New Roman" w:hAnsi="Georgia" w:cstheme="minorHAnsi"/>
                <w:i/>
                <w:iCs/>
                <w:color w:val="000000"/>
                <w:sz w:val="16"/>
                <w:szCs w:val="16"/>
                <w:lang w:val="en-GB" w:eastAsia="hu-HU"/>
              </w:rPr>
              <w:t xml:space="preserve"> </w:t>
            </w:r>
          </w:p>
        </w:tc>
        <w:tc>
          <w:tcPr>
            <w:tcW w:w="1093" w:type="dxa"/>
            <w:tcBorders>
              <w:top w:val="single" w:sz="8" w:space="0" w:color="auto"/>
              <w:left w:val="nil"/>
              <w:bottom w:val="double" w:sz="6" w:space="0" w:color="auto"/>
              <w:right w:val="nil"/>
            </w:tcBorders>
            <w:shd w:val="clear" w:color="000000" w:fill="FFFFFF"/>
            <w:vAlign w:val="center"/>
            <w:hideMark/>
          </w:tcPr>
          <w:p w14:paraId="65D55B3E" w14:textId="647B59B5"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GDP/capita (PPP, $)</w:t>
            </w:r>
            <w:r w:rsidRPr="0002056A">
              <w:rPr>
                <w:rFonts w:ascii="Georgia" w:eastAsia="Times New Roman" w:hAnsi="Georgia" w:cstheme="minorHAnsi"/>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UNECE, 2024.</w:t>
            </w:r>
          </w:p>
        </w:tc>
        <w:tc>
          <w:tcPr>
            <w:tcW w:w="761" w:type="dxa"/>
            <w:tcBorders>
              <w:top w:val="single" w:sz="8" w:space="0" w:color="auto"/>
              <w:left w:val="nil"/>
              <w:bottom w:val="double" w:sz="6" w:space="0" w:color="auto"/>
              <w:right w:val="nil"/>
            </w:tcBorders>
            <w:shd w:val="clear" w:color="000000" w:fill="FFFFFF"/>
            <w:vAlign w:val="center"/>
            <w:hideMark/>
          </w:tcPr>
          <w:p w14:paraId="451A5515" w14:textId="6B2D60B0"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GINI-index </w:t>
            </w:r>
            <w:r w:rsidRPr="0002056A">
              <w:rPr>
                <w:rFonts w:ascii="Georgia" w:eastAsia="Times New Roman" w:hAnsi="Georgia" w:cstheme="minorHAnsi"/>
                <w:i/>
                <w:iCs/>
                <w:color w:val="000000"/>
                <w:sz w:val="14"/>
                <w:szCs w:val="14"/>
                <w:lang w:val="en-GB" w:eastAsia="hu-HU"/>
              </w:rPr>
              <w:t>SOURCE: World Bank, 2018.</w:t>
            </w:r>
          </w:p>
        </w:tc>
        <w:tc>
          <w:tcPr>
            <w:tcW w:w="1051" w:type="dxa"/>
            <w:tcBorders>
              <w:top w:val="single" w:sz="8" w:space="0" w:color="auto"/>
              <w:left w:val="nil"/>
              <w:bottom w:val="double" w:sz="6" w:space="0" w:color="auto"/>
              <w:right w:val="nil"/>
            </w:tcBorders>
            <w:shd w:val="clear" w:color="000000" w:fill="FFFFFF"/>
            <w:vAlign w:val="center"/>
            <w:hideMark/>
          </w:tcPr>
          <w:p w14:paraId="1E3ECE43" w14:textId="46E31FB2"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Population with tertiary education (%)</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OECD, 2023.</w:t>
            </w:r>
          </w:p>
        </w:tc>
        <w:tc>
          <w:tcPr>
            <w:tcW w:w="761" w:type="dxa"/>
            <w:tcBorders>
              <w:top w:val="single" w:sz="8" w:space="0" w:color="auto"/>
              <w:left w:val="nil"/>
              <w:bottom w:val="double" w:sz="6" w:space="0" w:color="auto"/>
              <w:right w:val="nil"/>
            </w:tcBorders>
            <w:shd w:val="clear" w:color="000000" w:fill="FFFFFF"/>
            <w:vAlign w:val="center"/>
            <w:hideMark/>
          </w:tcPr>
          <w:p w14:paraId="35B681B8" w14:textId="77777777" w:rsidR="00CE0D12"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HDI-index</w:t>
            </w:r>
          </w:p>
          <w:p w14:paraId="6A7BACB1" w14:textId="18DEC84A" w:rsidR="003F4410" w:rsidRPr="0002056A" w:rsidRDefault="003F4410" w:rsidP="003F4410">
            <w:pPr>
              <w:spacing w:after="0" w:line="240" w:lineRule="auto"/>
              <w:jc w:val="center"/>
              <w:rPr>
                <w:rFonts w:ascii="Georgia" w:eastAsia="Times New Roman" w:hAnsi="Georgia" w:cstheme="minorHAnsi"/>
                <w:b/>
                <w:bCs/>
                <w:color w:val="000000"/>
                <w:sz w:val="14"/>
                <w:szCs w:val="14"/>
                <w:lang w:val="en-GB" w:eastAsia="hu-HU"/>
              </w:rPr>
            </w:pPr>
            <w:r w:rsidRPr="0002056A">
              <w:rPr>
                <w:rFonts w:ascii="Georgia" w:eastAsia="Times New Roman" w:hAnsi="Georgia" w:cstheme="minorHAnsi"/>
                <w:i/>
                <w:iCs/>
                <w:color w:val="000000"/>
                <w:sz w:val="14"/>
                <w:szCs w:val="14"/>
                <w:lang w:val="en-GB" w:eastAsia="hu-HU"/>
              </w:rPr>
              <w:t>SOURCE: UNDP, 2023</w:t>
            </w:r>
            <w:r w:rsidRPr="0002056A">
              <w:rPr>
                <w:rFonts w:ascii="Georgia" w:eastAsia="Times New Roman" w:hAnsi="Georgia" w:cstheme="minorHAnsi"/>
                <w:color w:val="000000"/>
                <w:sz w:val="14"/>
                <w:szCs w:val="14"/>
                <w:lang w:val="en-GB" w:eastAsia="hu-HU"/>
              </w:rPr>
              <w:t>.</w:t>
            </w:r>
          </w:p>
        </w:tc>
        <w:tc>
          <w:tcPr>
            <w:tcW w:w="1052" w:type="dxa"/>
            <w:tcBorders>
              <w:top w:val="single" w:sz="8" w:space="0" w:color="auto"/>
              <w:left w:val="nil"/>
              <w:bottom w:val="double" w:sz="6" w:space="0" w:color="auto"/>
              <w:right w:val="nil"/>
            </w:tcBorders>
            <w:shd w:val="clear" w:color="000000" w:fill="FFFFFF"/>
            <w:vAlign w:val="center"/>
            <w:hideMark/>
          </w:tcPr>
          <w:p w14:paraId="4A972673" w14:textId="77777777" w:rsidR="00CE0D12"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Life expectancy at birth (year)</w:t>
            </w:r>
          </w:p>
          <w:p w14:paraId="259CDFAA" w14:textId="220590F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i/>
                <w:iCs/>
                <w:color w:val="000000"/>
                <w:sz w:val="14"/>
                <w:szCs w:val="14"/>
                <w:lang w:val="en-GB" w:eastAsia="hu-HU"/>
              </w:rPr>
              <w:t>SOURCE: UN World Population Prospects via Our Worls in Data, 2023.</w:t>
            </w:r>
          </w:p>
        </w:tc>
        <w:tc>
          <w:tcPr>
            <w:tcW w:w="1107" w:type="dxa"/>
            <w:tcBorders>
              <w:top w:val="single" w:sz="8" w:space="0" w:color="auto"/>
              <w:left w:val="nil"/>
              <w:bottom w:val="double" w:sz="6" w:space="0" w:color="auto"/>
              <w:right w:val="nil"/>
            </w:tcBorders>
            <w:shd w:val="clear" w:color="000000" w:fill="FFFFFF"/>
            <w:vAlign w:val="center"/>
            <w:hideMark/>
          </w:tcPr>
          <w:p w14:paraId="26C82F7C" w14:textId="77777777" w:rsidR="00CE0D12"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Type of spatial governance </w:t>
            </w:r>
          </w:p>
          <w:p w14:paraId="0E3D3CAD" w14:textId="4C3E8572"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2"/>
                <w:szCs w:val="12"/>
                <w:lang w:val="en-GB" w:eastAsia="hu-HU"/>
              </w:rPr>
              <w:t>(</w:t>
            </w:r>
            <w:r w:rsidRPr="0002056A">
              <w:rPr>
                <w:rFonts w:ascii="Georgia" w:eastAsia="Times New Roman" w:hAnsi="Georgia" w:cstheme="minorHAnsi"/>
                <w:color w:val="000000"/>
                <w:sz w:val="12"/>
                <w:szCs w:val="12"/>
                <w:lang w:val="en-GB" w:eastAsia="hu-HU"/>
              </w:rPr>
              <w:t>8: federal, 6: regionalised or highly decentr</w:t>
            </w:r>
            <w:r w:rsidR="00CE0D12" w:rsidRPr="0002056A">
              <w:rPr>
                <w:rFonts w:ascii="Georgia" w:eastAsia="Times New Roman" w:hAnsi="Georgia" w:cstheme="minorHAnsi"/>
                <w:color w:val="000000"/>
                <w:sz w:val="12"/>
                <w:szCs w:val="12"/>
                <w:lang w:val="en-GB" w:eastAsia="hu-HU"/>
              </w:rPr>
              <w:t>.</w:t>
            </w:r>
            <w:r w:rsidRPr="0002056A">
              <w:rPr>
                <w:rFonts w:ascii="Georgia" w:eastAsia="Times New Roman" w:hAnsi="Georgia" w:cstheme="minorHAnsi"/>
                <w:color w:val="000000"/>
                <w:sz w:val="12"/>
                <w:szCs w:val="12"/>
                <w:lang w:val="en-GB" w:eastAsia="hu-HU"/>
              </w:rPr>
              <w:t xml:space="preserve"> unitary, 4: lowly decentralised unit</w:t>
            </w:r>
            <w:r w:rsidR="00225871" w:rsidRPr="0002056A">
              <w:rPr>
                <w:rFonts w:ascii="Georgia" w:eastAsia="Times New Roman" w:hAnsi="Georgia" w:cstheme="minorHAnsi"/>
                <w:color w:val="000000"/>
                <w:sz w:val="12"/>
                <w:szCs w:val="12"/>
                <w:lang w:val="en-GB" w:eastAsia="hu-HU"/>
              </w:rPr>
              <w:t>ary</w:t>
            </w:r>
            <w:r w:rsidR="0039050F" w:rsidRPr="0002056A">
              <w:rPr>
                <w:rFonts w:ascii="Georgia" w:eastAsia="Times New Roman" w:hAnsi="Georgia" w:cstheme="minorHAnsi"/>
                <w:color w:val="000000"/>
                <w:sz w:val="12"/>
                <w:szCs w:val="12"/>
                <w:lang w:val="en-GB" w:eastAsia="hu-HU"/>
              </w:rPr>
              <w:t>.</w:t>
            </w:r>
            <w:r w:rsidRPr="0002056A">
              <w:rPr>
                <w:rFonts w:ascii="Georgia" w:eastAsia="Times New Roman" w:hAnsi="Georgia" w:cstheme="minorHAnsi"/>
                <w:color w:val="000000"/>
                <w:sz w:val="12"/>
                <w:szCs w:val="12"/>
                <w:lang w:val="en-GB" w:eastAsia="hu-HU"/>
              </w:rPr>
              <w:t>, 2: centralised unit</w:t>
            </w:r>
            <w:r w:rsidR="00225871" w:rsidRPr="0002056A">
              <w:rPr>
                <w:rFonts w:ascii="Georgia" w:eastAsia="Times New Roman" w:hAnsi="Georgia" w:cstheme="minorHAnsi"/>
                <w:color w:val="000000"/>
                <w:sz w:val="12"/>
                <w:szCs w:val="12"/>
                <w:lang w:val="en-GB" w:eastAsia="hu-HU"/>
              </w:rPr>
              <w:t>ary</w:t>
            </w:r>
            <w:r w:rsidRPr="0002056A">
              <w:rPr>
                <w:rFonts w:ascii="Georgia" w:eastAsia="Times New Roman" w:hAnsi="Georgia" w:cstheme="minorHAnsi"/>
                <w:color w:val="000000"/>
                <w:sz w:val="12"/>
                <w:szCs w:val="12"/>
                <w:lang w:val="en-GB" w:eastAsia="hu-HU"/>
              </w:rPr>
              <w:t>).</w:t>
            </w:r>
            <w:r w:rsidRPr="0002056A">
              <w:rPr>
                <w:rFonts w:ascii="Georgia" w:eastAsia="Times New Roman" w:hAnsi="Georgia" w:cstheme="minorHAnsi"/>
                <w:b/>
                <w:bCs/>
                <w:color w:val="000000"/>
                <w:sz w:val="16"/>
                <w:szCs w:val="16"/>
                <w:lang w:val="en-GB" w:eastAsia="hu-HU"/>
              </w:rPr>
              <w:t xml:space="preserve"> </w:t>
            </w:r>
            <w:r w:rsidR="0039050F" w:rsidRPr="0002056A">
              <w:rPr>
                <w:rFonts w:ascii="Georgia" w:eastAsia="Times New Roman" w:hAnsi="Georgia" w:cstheme="minorHAnsi"/>
                <w:i/>
                <w:iCs/>
                <w:color w:val="000000"/>
                <w:sz w:val="12"/>
                <w:szCs w:val="12"/>
                <w:lang w:val="en-GB" w:eastAsia="hu-HU"/>
              </w:rPr>
              <w:t>SOURCE: Egger</w:t>
            </w:r>
            <w:r w:rsidRPr="0002056A">
              <w:rPr>
                <w:rFonts w:ascii="Georgia" w:eastAsia="Times New Roman" w:hAnsi="Georgia" w:cstheme="minorHAnsi"/>
                <w:i/>
                <w:iCs/>
                <w:color w:val="000000"/>
                <w:sz w:val="12"/>
                <w:szCs w:val="12"/>
                <w:lang w:val="en-GB" w:eastAsia="hu-HU"/>
              </w:rPr>
              <w:t>, C.</w:t>
            </w:r>
            <w:r w:rsidR="0054559A" w:rsidRPr="0002056A">
              <w:rPr>
                <w:rFonts w:ascii="Georgia" w:eastAsia="Times New Roman" w:hAnsi="Georgia" w:cstheme="minorHAnsi"/>
                <w:i/>
                <w:iCs/>
                <w:color w:val="000000"/>
                <w:sz w:val="12"/>
                <w:szCs w:val="12"/>
                <w:lang w:val="en-GB" w:eastAsia="hu-HU"/>
              </w:rPr>
              <w:t xml:space="preserve"> et. al</w:t>
            </w:r>
            <w:r w:rsidRPr="0002056A">
              <w:rPr>
                <w:rFonts w:ascii="Georgia" w:eastAsia="Times New Roman" w:hAnsi="Georgia" w:cstheme="minorHAnsi"/>
                <w:i/>
                <w:iCs/>
                <w:color w:val="000000"/>
                <w:sz w:val="12"/>
                <w:szCs w:val="12"/>
                <w:lang w:val="en-GB" w:eastAsia="hu-HU"/>
              </w:rPr>
              <w:t>. (ed.), 2024</w:t>
            </w:r>
            <w:r w:rsidR="00387CB2" w:rsidRPr="0002056A">
              <w:rPr>
                <w:rFonts w:ascii="Georgia" w:eastAsia="Times New Roman" w:hAnsi="Georgia" w:cstheme="minorHAnsi"/>
                <w:i/>
                <w:iCs/>
                <w:color w:val="000000"/>
                <w:sz w:val="12"/>
                <w:szCs w:val="12"/>
                <w:lang w:val="en-GB" w:eastAsia="hu-HU"/>
              </w:rPr>
              <w:t>;</w:t>
            </w:r>
            <w:r w:rsidR="00DF3273" w:rsidRPr="0002056A">
              <w:rPr>
                <w:rFonts w:ascii="Georgia" w:eastAsia="Times New Roman" w:hAnsi="Georgia" w:cstheme="minorHAnsi"/>
                <w:i/>
                <w:iCs/>
                <w:color w:val="000000"/>
                <w:sz w:val="12"/>
                <w:szCs w:val="12"/>
                <w:lang w:val="en-GB" w:eastAsia="hu-HU"/>
              </w:rPr>
              <w:t xml:space="preserve"> and </w:t>
            </w:r>
            <w:r w:rsidR="00387CB2" w:rsidRPr="0002056A">
              <w:rPr>
                <w:rFonts w:ascii="Georgia" w:eastAsia="Times New Roman" w:hAnsi="Georgia" w:cstheme="minorHAnsi"/>
                <w:i/>
                <w:iCs/>
                <w:color w:val="000000"/>
                <w:sz w:val="12"/>
                <w:szCs w:val="12"/>
                <w:lang w:val="en-GB" w:eastAsia="hu-HU"/>
              </w:rPr>
              <w:t>H</w:t>
            </w:r>
            <w:r w:rsidR="00DF3273" w:rsidRPr="0002056A">
              <w:rPr>
                <w:rFonts w:ascii="Georgia" w:eastAsia="Times New Roman" w:hAnsi="Georgia" w:cstheme="minorHAnsi"/>
                <w:i/>
                <w:iCs/>
                <w:color w:val="000000"/>
                <w:sz w:val="12"/>
                <w:szCs w:val="12"/>
                <w:lang w:val="en-GB" w:eastAsia="hu-HU"/>
              </w:rPr>
              <w:t>ague; Harrop; McCormick (ed)., 2021.</w:t>
            </w:r>
          </w:p>
        </w:tc>
        <w:tc>
          <w:tcPr>
            <w:tcW w:w="1210" w:type="dxa"/>
            <w:tcBorders>
              <w:top w:val="single" w:sz="8" w:space="0" w:color="auto"/>
              <w:left w:val="nil"/>
              <w:bottom w:val="double" w:sz="6" w:space="0" w:color="auto"/>
              <w:right w:val="nil"/>
            </w:tcBorders>
            <w:shd w:val="clear" w:color="000000" w:fill="FFFFFF"/>
            <w:vAlign w:val="center"/>
            <w:hideMark/>
          </w:tcPr>
          <w:p w14:paraId="5E4D6A00" w14:textId="677B2DD1" w:rsidR="003F4410" w:rsidRPr="0002056A" w:rsidRDefault="003F4410" w:rsidP="003F4410">
            <w:pPr>
              <w:spacing w:after="0" w:line="240" w:lineRule="auto"/>
              <w:jc w:val="center"/>
              <w:rPr>
                <w:rFonts w:ascii="Georgia" w:eastAsia="Times New Roman" w:hAnsi="Georgia" w:cstheme="minorHAnsi"/>
                <w:i/>
                <w:iCs/>
                <w:color w:val="000000"/>
                <w:sz w:val="12"/>
                <w:szCs w:val="12"/>
                <w:lang w:val="en-GB" w:eastAsia="hu-HU"/>
              </w:rPr>
            </w:pPr>
            <w:r w:rsidRPr="0002056A">
              <w:rPr>
                <w:rFonts w:ascii="Georgia" w:eastAsia="Times New Roman" w:hAnsi="Georgia" w:cstheme="minorHAnsi"/>
                <w:b/>
                <w:bCs/>
                <w:color w:val="000000"/>
                <w:sz w:val="16"/>
                <w:szCs w:val="16"/>
                <w:lang w:val="en-GB" w:eastAsia="hu-HU"/>
              </w:rPr>
              <w:t>Spatial planning sector's development</w:t>
            </w:r>
            <w:r w:rsidRPr="0002056A">
              <w:rPr>
                <w:rFonts w:ascii="Georgia" w:eastAsia="Times New Roman" w:hAnsi="Georgia" w:cstheme="minorHAnsi"/>
                <w:i/>
                <w:iCs/>
                <w:color w:val="000000"/>
                <w:sz w:val="12"/>
                <w:szCs w:val="12"/>
                <w:lang w:val="en-GB" w:eastAsia="hu-HU"/>
              </w:rPr>
              <w:t xml:space="preserve"> </w:t>
            </w:r>
            <w:r w:rsidRPr="0002056A">
              <w:rPr>
                <w:rFonts w:ascii="Georgia" w:eastAsia="Times New Roman" w:hAnsi="Georgia" w:cstheme="minorHAnsi"/>
                <w:color w:val="000000"/>
                <w:sz w:val="12"/>
                <w:szCs w:val="12"/>
                <w:lang w:val="en-GB" w:eastAsia="hu-HU"/>
              </w:rPr>
              <w:t>(8: state-led; 6: market-led; 4: misled performative or proto-conformative; 2: conformative systems)</w:t>
            </w:r>
            <w:r w:rsidRPr="0002056A">
              <w:rPr>
                <w:rFonts w:ascii="Georgia" w:eastAsia="Times New Roman" w:hAnsi="Georgia" w:cstheme="minorHAnsi"/>
                <w:i/>
                <w:iCs/>
                <w:color w:val="000000"/>
                <w:sz w:val="12"/>
                <w:szCs w:val="12"/>
                <w:lang w:val="en-GB" w:eastAsia="hu-HU"/>
              </w:rPr>
              <w:br/>
            </w:r>
            <w:r w:rsidRPr="0002056A">
              <w:rPr>
                <w:rFonts w:ascii="Georgia" w:eastAsia="Times New Roman" w:hAnsi="Georgia" w:cstheme="minorHAnsi"/>
                <w:i/>
                <w:iCs/>
                <w:color w:val="000000"/>
                <w:sz w:val="14"/>
                <w:szCs w:val="14"/>
                <w:lang w:val="en-GB" w:eastAsia="hu-HU"/>
              </w:rPr>
              <w:t>SOURCE: Dombi, 20</w:t>
            </w:r>
            <w:r w:rsidR="00DF3273" w:rsidRPr="0002056A">
              <w:rPr>
                <w:rFonts w:ascii="Georgia" w:eastAsia="Times New Roman" w:hAnsi="Georgia" w:cstheme="minorHAnsi"/>
                <w:i/>
                <w:iCs/>
                <w:color w:val="000000"/>
                <w:sz w:val="14"/>
                <w:szCs w:val="14"/>
                <w:lang w:val="en-GB" w:eastAsia="hu-HU"/>
              </w:rPr>
              <w:t>19</w:t>
            </w:r>
            <w:r w:rsidRPr="0002056A">
              <w:rPr>
                <w:rFonts w:ascii="Georgia" w:eastAsia="Times New Roman" w:hAnsi="Georgia" w:cstheme="minorHAnsi"/>
                <w:i/>
                <w:iCs/>
                <w:color w:val="000000"/>
                <w:sz w:val="14"/>
                <w:szCs w:val="14"/>
                <w:lang w:val="en-GB" w:eastAsia="hu-HU"/>
              </w:rPr>
              <w:t>.</w:t>
            </w:r>
          </w:p>
        </w:tc>
        <w:tc>
          <w:tcPr>
            <w:tcW w:w="1034" w:type="dxa"/>
            <w:tcBorders>
              <w:top w:val="single" w:sz="8" w:space="0" w:color="auto"/>
              <w:left w:val="nil"/>
              <w:bottom w:val="double" w:sz="6" w:space="0" w:color="auto"/>
              <w:right w:val="nil"/>
            </w:tcBorders>
            <w:shd w:val="clear" w:color="000000" w:fill="FFFFFF"/>
            <w:vAlign w:val="center"/>
            <w:hideMark/>
          </w:tcPr>
          <w:p w14:paraId="5AE861D5" w14:textId="7B99A6C7"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 xml:space="preserve">Nr. of adaptation planning cycles started </w:t>
            </w:r>
            <w:r w:rsidRPr="0002056A">
              <w:rPr>
                <w:rFonts w:ascii="Georgia" w:eastAsia="Times New Roman" w:hAnsi="Georgia" w:cstheme="minorHAnsi"/>
                <w:b/>
                <w:bCs/>
                <w:color w:val="000000"/>
                <w:sz w:val="16"/>
                <w:szCs w:val="16"/>
                <w:lang w:val="en-GB" w:eastAsia="hu-HU"/>
              </w:rPr>
              <w:br/>
            </w:r>
            <w:r w:rsidRPr="0002056A">
              <w:rPr>
                <w:rFonts w:ascii="Georgia" w:eastAsia="Times New Roman" w:hAnsi="Georgia" w:cstheme="minorHAnsi"/>
                <w:i/>
                <w:iCs/>
                <w:color w:val="000000"/>
                <w:sz w:val="14"/>
                <w:szCs w:val="14"/>
                <w:lang w:val="en-GB" w:eastAsia="hu-HU"/>
              </w:rPr>
              <w:t>SOURCE: EEA and NAS documents</w:t>
            </w:r>
          </w:p>
        </w:tc>
        <w:tc>
          <w:tcPr>
            <w:tcW w:w="1060" w:type="dxa"/>
            <w:tcBorders>
              <w:top w:val="single" w:sz="8" w:space="0" w:color="auto"/>
              <w:left w:val="nil"/>
              <w:bottom w:val="double" w:sz="6" w:space="0" w:color="auto"/>
              <w:right w:val="single" w:sz="8" w:space="0" w:color="auto"/>
            </w:tcBorders>
            <w:shd w:val="clear" w:color="000000" w:fill="FFFFFF"/>
            <w:vAlign w:val="center"/>
            <w:hideMark/>
          </w:tcPr>
          <w:p w14:paraId="1FFE0E6F" w14:textId="50A02A29" w:rsidR="003F4410" w:rsidRPr="0002056A" w:rsidRDefault="003F4410" w:rsidP="003F4410">
            <w:pPr>
              <w:spacing w:after="0" w:line="240" w:lineRule="auto"/>
              <w:jc w:val="center"/>
              <w:rPr>
                <w:rFonts w:ascii="Georgia" w:eastAsia="Times New Roman" w:hAnsi="Georgia" w:cstheme="minorHAnsi"/>
                <w:b/>
                <w:bCs/>
                <w:color w:val="000000"/>
                <w:sz w:val="16"/>
                <w:szCs w:val="16"/>
                <w:lang w:val="en-GB" w:eastAsia="hu-HU"/>
              </w:rPr>
            </w:pPr>
            <w:r w:rsidRPr="0002056A">
              <w:rPr>
                <w:rFonts w:ascii="Georgia" w:eastAsia="Times New Roman" w:hAnsi="Georgia" w:cstheme="minorHAnsi"/>
                <w:b/>
                <w:bCs/>
                <w:color w:val="000000"/>
                <w:sz w:val="16"/>
                <w:szCs w:val="16"/>
                <w:lang w:val="en-GB" w:eastAsia="hu-HU"/>
              </w:rPr>
              <w:t>Proportion of renew</w:t>
            </w:r>
            <w:r w:rsidR="00F10A50" w:rsidRPr="0002056A">
              <w:rPr>
                <w:rFonts w:ascii="Georgia" w:eastAsia="Times New Roman" w:hAnsi="Georgia" w:cstheme="minorHAnsi"/>
                <w:b/>
                <w:bCs/>
                <w:color w:val="000000"/>
                <w:sz w:val="16"/>
                <w:szCs w:val="16"/>
                <w:lang w:val="en-GB" w:eastAsia="hu-HU"/>
              </w:rPr>
              <w:t>.</w:t>
            </w:r>
            <w:r w:rsidRPr="0002056A">
              <w:rPr>
                <w:rFonts w:ascii="Georgia" w:eastAsia="Times New Roman" w:hAnsi="Georgia" w:cstheme="minorHAnsi"/>
                <w:b/>
                <w:bCs/>
                <w:color w:val="000000"/>
                <w:sz w:val="16"/>
                <w:szCs w:val="16"/>
                <w:lang w:val="en-GB" w:eastAsia="hu-HU"/>
              </w:rPr>
              <w:t xml:space="preserve"> sources (+ waste) energy in electr</w:t>
            </w:r>
            <w:r w:rsidR="00F10A50" w:rsidRPr="0002056A">
              <w:rPr>
                <w:rFonts w:ascii="Georgia" w:eastAsia="Times New Roman" w:hAnsi="Georgia" w:cstheme="minorHAnsi"/>
                <w:b/>
                <w:bCs/>
                <w:color w:val="000000"/>
                <w:sz w:val="16"/>
                <w:szCs w:val="16"/>
                <w:lang w:val="en-GB" w:eastAsia="hu-HU"/>
              </w:rPr>
              <w:t>icity prod. (</w:t>
            </w:r>
            <w:r w:rsidRPr="0002056A">
              <w:rPr>
                <w:rFonts w:ascii="Georgia" w:eastAsia="Times New Roman" w:hAnsi="Georgia" w:cstheme="minorHAnsi"/>
                <w:b/>
                <w:bCs/>
                <w:color w:val="000000"/>
                <w:sz w:val="16"/>
                <w:szCs w:val="16"/>
                <w:lang w:val="en-GB" w:eastAsia="hu-HU"/>
              </w:rPr>
              <w:t xml:space="preserve">%) </w:t>
            </w:r>
            <w:r w:rsidRPr="0002056A">
              <w:rPr>
                <w:rFonts w:ascii="Georgia" w:eastAsia="Times New Roman" w:hAnsi="Georgia" w:cstheme="minorHAnsi"/>
                <w:i/>
                <w:iCs/>
                <w:color w:val="000000"/>
                <w:sz w:val="14"/>
                <w:szCs w:val="14"/>
                <w:lang w:val="en-GB" w:eastAsia="hu-HU"/>
              </w:rPr>
              <w:t>SOURCE: International Energy Agency (2023)</w:t>
            </w:r>
          </w:p>
        </w:tc>
      </w:tr>
      <w:tr w:rsidR="002E2D1F" w:rsidRPr="0002056A" w14:paraId="015BB5FC" w14:textId="77777777" w:rsidTr="0092731D">
        <w:trPr>
          <w:trHeight w:val="320"/>
          <w:jc w:val="center"/>
        </w:trPr>
        <w:tc>
          <w:tcPr>
            <w:tcW w:w="686" w:type="dxa"/>
            <w:tcBorders>
              <w:top w:val="nil"/>
              <w:left w:val="single" w:sz="8" w:space="0" w:color="auto"/>
              <w:bottom w:val="nil"/>
              <w:right w:val="single" w:sz="4" w:space="0" w:color="auto"/>
            </w:tcBorders>
            <w:noWrap/>
            <w:vAlign w:val="bottom"/>
            <w:hideMark/>
          </w:tcPr>
          <w:p w14:paraId="72850F05"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ALB</w:t>
            </w:r>
          </w:p>
        </w:tc>
        <w:tc>
          <w:tcPr>
            <w:tcW w:w="1008" w:type="dxa"/>
            <w:tcBorders>
              <w:top w:val="nil"/>
              <w:left w:val="nil"/>
              <w:bottom w:val="nil"/>
              <w:right w:val="nil"/>
            </w:tcBorders>
            <w:shd w:val="clear" w:color="auto" w:fill="C5E0B3" w:themeFill="accent6" w:themeFillTint="66"/>
            <w:noWrap/>
            <w:vAlign w:val="bottom"/>
            <w:hideMark/>
          </w:tcPr>
          <w:p w14:paraId="759E17BE" w14:textId="5C86DEE3"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36,00</w:t>
            </w:r>
          </w:p>
        </w:tc>
        <w:tc>
          <w:tcPr>
            <w:tcW w:w="1141" w:type="dxa"/>
            <w:tcBorders>
              <w:top w:val="nil"/>
              <w:left w:val="nil"/>
              <w:bottom w:val="nil"/>
              <w:right w:val="nil"/>
            </w:tcBorders>
            <w:shd w:val="clear" w:color="000000" w:fill="FFFFFF"/>
            <w:noWrap/>
            <w:vAlign w:val="bottom"/>
            <w:hideMark/>
          </w:tcPr>
          <w:p w14:paraId="4D01C7A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28748,00</w:t>
            </w:r>
          </w:p>
        </w:tc>
        <w:tc>
          <w:tcPr>
            <w:tcW w:w="992" w:type="dxa"/>
            <w:tcBorders>
              <w:top w:val="nil"/>
              <w:left w:val="nil"/>
              <w:bottom w:val="nil"/>
              <w:right w:val="nil"/>
            </w:tcBorders>
            <w:shd w:val="clear" w:color="000000" w:fill="FFFFFF"/>
            <w:noWrap/>
            <w:vAlign w:val="bottom"/>
            <w:hideMark/>
          </w:tcPr>
          <w:p w14:paraId="58549C8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410662A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2714,63</w:t>
            </w:r>
          </w:p>
        </w:tc>
        <w:tc>
          <w:tcPr>
            <w:tcW w:w="1051" w:type="dxa"/>
            <w:tcBorders>
              <w:top w:val="nil"/>
              <w:left w:val="nil"/>
              <w:bottom w:val="nil"/>
              <w:right w:val="nil"/>
            </w:tcBorders>
            <w:shd w:val="clear" w:color="000000" w:fill="FFFFFF"/>
            <w:noWrap/>
            <w:vAlign w:val="bottom"/>
            <w:hideMark/>
          </w:tcPr>
          <w:p w14:paraId="2D03788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97,82</w:t>
            </w:r>
          </w:p>
        </w:tc>
        <w:tc>
          <w:tcPr>
            <w:tcW w:w="1209" w:type="dxa"/>
            <w:tcBorders>
              <w:top w:val="nil"/>
              <w:left w:val="nil"/>
              <w:bottom w:val="nil"/>
              <w:right w:val="nil"/>
            </w:tcBorders>
            <w:shd w:val="clear" w:color="000000" w:fill="FFFFFF"/>
            <w:noWrap/>
            <w:vAlign w:val="bottom"/>
            <w:hideMark/>
          </w:tcPr>
          <w:p w14:paraId="7934E24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65,38</w:t>
            </w:r>
          </w:p>
        </w:tc>
        <w:tc>
          <w:tcPr>
            <w:tcW w:w="1093" w:type="dxa"/>
            <w:tcBorders>
              <w:top w:val="nil"/>
              <w:left w:val="nil"/>
              <w:bottom w:val="nil"/>
              <w:right w:val="nil"/>
            </w:tcBorders>
            <w:shd w:val="clear" w:color="000000" w:fill="FFFFFF"/>
            <w:noWrap/>
            <w:vAlign w:val="bottom"/>
            <w:hideMark/>
          </w:tcPr>
          <w:p w14:paraId="7CD8F5C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26693,00</w:t>
            </w:r>
          </w:p>
        </w:tc>
        <w:tc>
          <w:tcPr>
            <w:tcW w:w="761" w:type="dxa"/>
            <w:tcBorders>
              <w:top w:val="nil"/>
              <w:left w:val="nil"/>
              <w:bottom w:val="nil"/>
              <w:right w:val="nil"/>
            </w:tcBorders>
            <w:shd w:val="clear" w:color="000000" w:fill="FFFFFF"/>
            <w:noWrap/>
            <w:vAlign w:val="bottom"/>
            <w:hideMark/>
          </w:tcPr>
          <w:p w14:paraId="2A5A0AF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30,10</w:t>
            </w:r>
          </w:p>
        </w:tc>
        <w:tc>
          <w:tcPr>
            <w:tcW w:w="1051" w:type="dxa"/>
            <w:tcBorders>
              <w:top w:val="nil"/>
              <w:left w:val="nil"/>
              <w:bottom w:val="nil"/>
              <w:right w:val="nil"/>
            </w:tcBorders>
            <w:shd w:val="clear" w:color="000000" w:fill="FFFFFF"/>
            <w:noWrap/>
            <w:vAlign w:val="bottom"/>
            <w:hideMark/>
          </w:tcPr>
          <w:p w14:paraId="5B62A12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17,32</w:t>
            </w:r>
          </w:p>
        </w:tc>
        <w:tc>
          <w:tcPr>
            <w:tcW w:w="761" w:type="dxa"/>
            <w:tcBorders>
              <w:top w:val="nil"/>
              <w:left w:val="nil"/>
              <w:bottom w:val="nil"/>
              <w:right w:val="nil"/>
            </w:tcBorders>
            <w:shd w:val="clear" w:color="000000" w:fill="FFFFFF"/>
            <w:noWrap/>
            <w:vAlign w:val="bottom"/>
            <w:hideMark/>
          </w:tcPr>
          <w:p w14:paraId="71CE558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0,81</w:t>
            </w:r>
          </w:p>
        </w:tc>
        <w:tc>
          <w:tcPr>
            <w:tcW w:w="1052" w:type="dxa"/>
            <w:tcBorders>
              <w:top w:val="nil"/>
              <w:left w:val="nil"/>
              <w:bottom w:val="nil"/>
              <w:right w:val="nil"/>
            </w:tcBorders>
            <w:shd w:val="clear" w:color="000000" w:fill="FFFFFF"/>
            <w:noWrap/>
            <w:vAlign w:val="bottom"/>
            <w:hideMark/>
          </w:tcPr>
          <w:p w14:paraId="13B4D50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79,60</w:t>
            </w:r>
          </w:p>
        </w:tc>
        <w:tc>
          <w:tcPr>
            <w:tcW w:w="1107" w:type="dxa"/>
            <w:tcBorders>
              <w:top w:val="nil"/>
              <w:left w:val="nil"/>
              <w:bottom w:val="nil"/>
              <w:right w:val="nil"/>
            </w:tcBorders>
            <w:shd w:val="clear" w:color="000000" w:fill="FFFFFF"/>
            <w:noWrap/>
            <w:vAlign w:val="bottom"/>
            <w:hideMark/>
          </w:tcPr>
          <w:p w14:paraId="1B5CEFB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765239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5E12FEB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19C3A34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100,00</w:t>
            </w:r>
          </w:p>
        </w:tc>
      </w:tr>
      <w:tr w:rsidR="002E2D1F" w:rsidRPr="0002056A" w14:paraId="6F3970DF"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6613A3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ENG</w:t>
            </w:r>
          </w:p>
        </w:tc>
        <w:tc>
          <w:tcPr>
            <w:tcW w:w="1008" w:type="dxa"/>
            <w:tcBorders>
              <w:top w:val="nil"/>
              <w:left w:val="nil"/>
              <w:bottom w:val="nil"/>
              <w:right w:val="nil"/>
            </w:tcBorders>
            <w:shd w:val="clear" w:color="auto" w:fill="C5E0B3" w:themeFill="accent6" w:themeFillTint="66"/>
            <w:noWrap/>
            <w:vAlign w:val="bottom"/>
            <w:hideMark/>
          </w:tcPr>
          <w:p w14:paraId="4B026C1A" w14:textId="4D782C7E"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77,00</w:t>
            </w:r>
          </w:p>
        </w:tc>
        <w:tc>
          <w:tcPr>
            <w:tcW w:w="1141" w:type="dxa"/>
            <w:tcBorders>
              <w:top w:val="nil"/>
              <w:left w:val="nil"/>
              <w:bottom w:val="nil"/>
              <w:right w:val="nil"/>
            </w:tcBorders>
            <w:shd w:val="clear" w:color="000000" w:fill="FFFFFF"/>
            <w:noWrap/>
            <w:vAlign w:val="bottom"/>
            <w:hideMark/>
          </w:tcPr>
          <w:p w14:paraId="36FA01E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130278,00</w:t>
            </w:r>
          </w:p>
        </w:tc>
        <w:tc>
          <w:tcPr>
            <w:tcW w:w="992" w:type="dxa"/>
            <w:tcBorders>
              <w:top w:val="nil"/>
              <w:left w:val="nil"/>
              <w:bottom w:val="nil"/>
              <w:right w:val="nil"/>
            </w:tcBorders>
            <w:shd w:val="clear" w:color="000000" w:fill="FFFFFF"/>
            <w:hideMark/>
          </w:tcPr>
          <w:p w14:paraId="3026E5D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5F4B249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67690,32</w:t>
            </w:r>
          </w:p>
        </w:tc>
        <w:tc>
          <w:tcPr>
            <w:tcW w:w="1051" w:type="dxa"/>
            <w:tcBorders>
              <w:top w:val="nil"/>
              <w:left w:val="nil"/>
              <w:bottom w:val="nil"/>
              <w:right w:val="nil"/>
            </w:tcBorders>
            <w:shd w:val="clear" w:color="000000" w:fill="FFFFFF"/>
            <w:noWrap/>
            <w:vAlign w:val="bottom"/>
            <w:hideMark/>
          </w:tcPr>
          <w:p w14:paraId="60C6BDD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519,58</w:t>
            </w:r>
          </w:p>
        </w:tc>
        <w:tc>
          <w:tcPr>
            <w:tcW w:w="1209" w:type="dxa"/>
            <w:tcBorders>
              <w:top w:val="nil"/>
              <w:left w:val="nil"/>
              <w:bottom w:val="nil"/>
              <w:right w:val="nil"/>
            </w:tcBorders>
            <w:shd w:val="clear" w:color="000000" w:fill="FFFFFF"/>
            <w:noWrap/>
            <w:vAlign w:val="bottom"/>
            <w:hideMark/>
          </w:tcPr>
          <w:p w14:paraId="436EDCC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68,73</w:t>
            </w:r>
          </w:p>
        </w:tc>
        <w:tc>
          <w:tcPr>
            <w:tcW w:w="1093" w:type="dxa"/>
            <w:tcBorders>
              <w:top w:val="nil"/>
              <w:left w:val="nil"/>
              <w:bottom w:val="nil"/>
              <w:right w:val="nil"/>
            </w:tcBorders>
            <w:shd w:val="clear" w:color="000000" w:fill="FFFFFF"/>
            <w:hideMark/>
          </w:tcPr>
          <w:p w14:paraId="0F18335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51407,20</w:t>
            </w:r>
          </w:p>
        </w:tc>
        <w:tc>
          <w:tcPr>
            <w:tcW w:w="761" w:type="dxa"/>
            <w:tcBorders>
              <w:top w:val="nil"/>
              <w:left w:val="nil"/>
              <w:bottom w:val="nil"/>
              <w:right w:val="nil"/>
            </w:tcBorders>
            <w:shd w:val="clear" w:color="000000" w:fill="FFFFFF"/>
            <w:noWrap/>
            <w:vAlign w:val="bottom"/>
            <w:hideMark/>
          </w:tcPr>
          <w:p w14:paraId="2E76EFF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35,00</w:t>
            </w:r>
          </w:p>
        </w:tc>
        <w:tc>
          <w:tcPr>
            <w:tcW w:w="1051" w:type="dxa"/>
            <w:tcBorders>
              <w:top w:val="nil"/>
              <w:left w:val="nil"/>
              <w:bottom w:val="nil"/>
              <w:right w:val="nil"/>
            </w:tcBorders>
            <w:shd w:val="clear" w:color="000000" w:fill="FFFFFF"/>
            <w:noWrap/>
            <w:vAlign w:val="bottom"/>
            <w:hideMark/>
          </w:tcPr>
          <w:p w14:paraId="23E0C2A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40,00</w:t>
            </w:r>
          </w:p>
        </w:tc>
        <w:tc>
          <w:tcPr>
            <w:tcW w:w="761" w:type="dxa"/>
            <w:tcBorders>
              <w:top w:val="nil"/>
              <w:left w:val="nil"/>
              <w:bottom w:val="nil"/>
              <w:right w:val="nil"/>
            </w:tcBorders>
            <w:shd w:val="clear" w:color="000000" w:fill="FFFFFF"/>
            <w:noWrap/>
            <w:vAlign w:val="bottom"/>
            <w:hideMark/>
          </w:tcPr>
          <w:p w14:paraId="0097638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0,95</w:t>
            </w:r>
          </w:p>
        </w:tc>
        <w:tc>
          <w:tcPr>
            <w:tcW w:w="1052" w:type="dxa"/>
            <w:tcBorders>
              <w:top w:val="nil"/>
              <w:left w:val="nil"/>
              <w:bottom w:val="nil"/>
              <w:right w:val="nil"/>
            </w:tcBorders>
            <w:shd w:val="clear" w:color="000000" w:fill="FFFFFF"/>
            <w:noWrap/>
            <w:vAlign w:val="bottom"/>
            <w:hideMark/>
          </w:tcPr>
          <w:p w14:paraId="4AD2A9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81,10</w:t>
            </w:r>
          </w:p>
        </w:tc>
        <w:tc>
          <w:tcPr>
            <w:tcW w:w="1107" w:type="dxa"/>
            <w:tcBorders>
              <w:top w:val="nil"/>
              <w:left w:val="nil"/>
              <w:bottom w:val="nil"/>
              <w:right w:val="nil"/>
            </w:tcBorders>
            <w:shd w:val="clear" w:color="000000" w:fill="FFFFFF"/>
            <w:noWrap/>
            <w:vAlign w:val="bottom"/>
            <w:hideMark/>
          </w:tcPr>
          <w:p w14:paraId="0EB03F5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1A79FF4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55436CD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60" w:type="dxa"/>
            <w:tcBorders>
              <w:top w:val="nil"/>
              <w:left w:val="nil"/>
              <w:bottom w:val="nil"/>
              <w:right w:val="single" w:sz="8" w:space="0" w:color="auto"/>
            </w:tcBorders>
            <w:shd w:val="clear" w:color="000000" w:fill="FFFFFF"/>
            <w:noWrap/>
            <w:vAlign w:val="bottom"/>
            <w:hideMark/>
          </w:tcPr>
          <w:p w14:paraId="16B3150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41,50</w:t>
            </w:r>
          </w:p>
        </w:tc>
      </w:tr>
      <w:tr w:rsidR="002E2D1F" w:rsidRPr="0002056A" w14:paraId="5A9EA25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09AC0CFB"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AUT</w:t>
            </w:r>
          </w:p>
        </w:tc>
        <w:tc>
          <w:tcPr>
            <w:tcW w:w="1008" w:type="dxa"/>
            <w:tcBorders>
              <w:top w:val="nil"/>
              <w:left w:val="nil"/>
              <w:bottom w:val="nil"/>
              <w:right w:val="nil"/>
            </w:tcBorders>
            <w:shd w:val="clear" w:color="auto" w:fill="C5E0B3" w:themeFill="accent6" w:themeFillTint="66"/>
            <w:noWrap/>
            <w:vAlign w:val="bottom"/>
            <w:hideMark/>
          </w:tcPr>
          <w:p w14:paraId="287AB74D" w14:textId="0E2C523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97,00</w:t>
            </w:r>
          </w:p>
        </w:tc>
        <w:tc>
          <w:tcPr>
            <w:tcW w:w="1141" w:type="dxa"/>
            <w:tcBorders>
              <w:top w:val="nil"/>
              <w:left w:val="nil"/>
              <w:bottom w:val="nil"/>
              <w:right w:val="nil"/>
            </w:tcBorders>
            <w:shd w:val="clear" w:color="000000" w:fill="FFFFFF"/>
            <w:noWrap/>
            <w:vAlign w:val="bottom"/>
            <w:hideMark/>
          </w:tcPr>
          <w:p w14:paraId="06D6CEB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83882,00</w:t>
            </w:r>
          </w:p>
        </w:tc>
        <w:tc>
          <w:tcPr>
            <w:tcW w:w="992" w:type="dxa"/>
            <w:tcBorders>
              <w:top w:val="nil"/>
              <w:left w:val="nil"/>
              <w:bottom w:val="nil"/>
              <w:right w:val="nil"/>
            </w:tcBorders>
            <w:shd w:val="clear" w:color="000000" w:fill="FFFFFF"/>
            <w:hideMark/>
          </w:tcPr>
          <w:p w14:paraId="79C49F0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07161FB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9178,48</w:t>
            </w:r>
          </w:p>
        </w:tc>
        <w:tc>
          <w:tcPr>
            <w:tcW w:w="1051" w:type="dxa"/>
            <w:tcBorders>
              <w:top w:val="nil"/>
              <w:left w:val="nil"/>
              <w:bottom w:val="nil"/>
              <w:right w:val="nil"/>
            </w:tcBorders>
            <w:shd w:val="clear" w:color="000000" w:fill="FFFFFF"/>
            <w:noWrap/>
            <w:vAlign w:val="bottom"/>
            <w:hideMark/>
          </w:tcPr>
          <w:p w14:paraId="76CABA3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108,90</w:t>
            </w:r>
          </w:p>
        </w:tc>
        <w:tc>
          <w:tcPr>
            <w:tcW w:w="1209" w:type="dxa"/>
            <w:tcBorders>
              <w:top w:val="nil"/>
              <w:left w:val="nil"/>
              <w:bottom w:val="nil"/>
              <w:right w:val="nil"/>
            </w:tcBorders>
            <w:shd w:val="clear" w:color="000000" w:fill="FFFFFF"/>
            <w:noWrap/>
            <w:vAlign w:val="bottom"/>
            <w:hideMark/>
          </w:tcPr>
          <w:p w14:paraId="5A56C5E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59,82</w:t>
            </w:r>
          </w:p>
        </w:tc>
        <w:tc>
          <w:tcPr>
            <w:tcW w:w="1093" w:type="dxa"/>
            <w:tcBorders>
              <w:top w:val="nil"/>
              <w:left w:val="nil"/>
              <w:bottom w:val="nil"/>
              <w:right w:val="nil"/>
            </w:tcBorders>
            <w:shd w:val="clear" w:color="000000" w:fill="FFFFFF"/>
            <w:noWrap/>
            <w:vAlign w:val="bottom"/>
            <w:hideMark/>
          </w:tcPr>
          <w:p w14:paraId="4DF39E9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71962,00</w:t>
            </w:r>
          </w:p>
        </w:tc>
        <w:tc>
          <w:tcPr>
            <w:tcW w:w="761" w:type="dxa"/>
            <w:tcBorders>
              <w:top w:val="nil"/>
              <w:left w:val="nil"/>
              <w:bottom w:val="nil"/>
              <w:right w:val="nil"/>
            </w:tcBorders>
            <w:shd w:val="clear" w:color="000000" w:fill="FFFFFF"/>
            <w:noWrap/>
            <w:vAlign w:val="bottom"/>
            <w:hideMark/>
          </w:tcPr>
          <w:p w14:paraId="1618C98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30,80</w:t>
            </w:r>
          </w:p>
        </w:tc>
        <w:tc>
          <w:tcPr>
            <w:tcW w:w="1051" w:type="dxa"/>
            <w:tcBorders>
              <w:top w:val="nil"/>
              <w:left w:val="nil"/>
              <w:bottom w:val="nil"/>
              <w:right w:val="nil"/>
            </w:tcBorders>
            <w:shd w:val="clear" w:color="000000" w:fill="FFFFFF"/>
            <w:noWrap/>
            <w:vAlign w:val="bottom"/>
            <w:hideMark/>
          </w:tcPr>
          <w:p w14:paraId="4FF6EC8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33,60</w:t>
            </w:r>
          </w:p>
        </w:tc>
        <w:tc>
          <w:tcPr>
            <w:tcW w:w="761" w:type="dxa"/>
            <w:tcBorders>
              <w:top w:val="nil"/>
              <w:left w:val="nil"/>
              <w:bottom w:val="nil"/>
              <w:right w:val="nil"/>
            </w:tcBorders>
            <w:shd w:val="clear" w:color="000000" w:fill="FFFFFF"/>
            <w:noWrap/>
            <w:vAlign w:val="bottom"/>
            <w:hideMark/>
          </w:tcPr>
          <w:p w14:paraId="4EDC8CE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0,93</w:t>
            </w:r>
          </w:p>
        </w:tc>
        <w:tc>
          <w:tcPr>
            <w:tcW w:w="1052" w:type="dxa"/>
            <w:tcBorders>
              <w:top w:val="nil"/>
              <w:left w:val="nil"/>
              <w:bottom w:val="nil"/>
              <w:right w:val="nil"/>
            </w:tcBorders>
            <w:shd w:val="clear" w:color="000000" w:fill="FFFFFF"/>
            <w:noWrap/>
            <w:vAlign w:val="bottom"/>
            <w:hideMark/>
          </w:tcPr>
          <w:p w14:paraId="7E17151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82,00</w:t>
            </w:r>
          </w:p>
        </w:tc>
        <w:tc>
          <w:tcPr>
            <w:tcW w:w="1107" w:type="dxa"/>
            <w:tcBorders>
              <w:top w:val="nil"/>
              <w:left w:val="nil"/>
              <w:bottom w:val="nil"/>
              <w:right w:val="nil"/>
            </w:tcBorders>
            <w:shd w:val="clear" w:color="000000" w:fill="FFFFFF"/>
            <w:noWrap/>
            <w:vAlign w:val="bottom"/>
            <w:hideMark/>
          </w:tcPr>
          <w:p w14:paraId="56903D7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7693B84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1C10794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60" w:type="dxa"/>
            <w:tcBorders>
              <w:top w:val="nil"/>
              <w:left w:val="nil"/>
              <w:bottom w:val="nil"/>
              <w:right w:val="single" w:sz="8" w:space="0" w:color="auto"/>
            </w:tcBorders>
            <w:shd w:val="clear" w:color="000000" w:fill="FFFFFF"/>
            <w:noWrap/>
            <w:vAlign w:val="bottom"/>
            <w:hideMark/>
          </w:tcPr>
          <w:p w14:paraId="3F09160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86,28</w:t>
            </w:r>
          </w:p>
        </w:tc>
      </w:tr>
      <w:tr w:rsidR="002E2D1F" w:rsidRPr="0002056A" w14:paraId="2C0B610D"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2C7E736"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BEL</w:t>
            </w:r>
          </w:p>
        </w:tc>
        <w:tc>
          <w:tcPr>
            <w:tcW w:w="1008" w:type="dxa"/>
            <w:tcBorders>
              <w:top w:val="nil"/>
              <w:left w:val="nil"/>
              <w:bottom w:val="nil"/>
              <w:right w:val="nil"/>
            </w:tcBorders>
            <w:shd w:val="clear" w:color="auto" w:fill="C5E0B3" w:themeFill="accent6" w:themeFillTint="66"/>
            <w:noWrap/>
            <w:vAlign w:val="bottom"/>
            <w:hideMark/>
          </w:tcPr>
          <w:p w14:paraId="19FDCE26" w14:textId="15CA9E30"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46,00</w:t>
            </w:r>
          </w:p>
        </w:tc>
        <w:tc>
          <w:tcPr>
            <w:tcW w:w="1141" w:type="dxa"/>
            <w:tcBorders>
              <w:top w:val="nil"/>
              <w:left w:val="nil"/>
              <w:bottom w:val="nil"/>
              <w:right w:val="nil"/>
            </w:tcBorders>
            <w:shd w:val="clear" w:color="000000" w:fill="FFFFFF"/>
            <w:noWrap/>
            <w:vAlign w:val="bottom"/>
            <w:hideMark/>
          </w:tcPr>
          <w:p w14:paraId="38DA3EE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30667,00</w:t>
            </w:r>
          </w:p>
        </w:tc>
        <w:tc>
          <w:tcPr>
            <w:tcW w:w="992" w:type="dxa"/>
            <w:tcBorders>
              <w:top w:val="nil"/>
              <w:left w:val="nil"/>
              <w:bottom w:val="nil"/>
              <w:right w:val="nil"/>
            </w:tcBorders>
            <w:shd w:val="clear" w:color="000000" w:fill="FFFFFF"/>
            <w:hideMark/>
          </w:tcPr>
          <w:p w14:paraId="27AB049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66DD1B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11876,85</w:t>
            </w:r>
          </w:p>
        </w:tc>
        <w:tc>
          <w:tcPr>
            <w:tcW w:w="1051" w:type="dxa"/>
            <w:tcBorders>
              <w:top w:val="nil"/>
              <w:left w:val="nil"/>
              <w:bottom w:val="nil"/>
              <w:right w:val="nil"/>
            </w:tcBorders>
            <w:shd w:val="clear" w:color="000000" w:fill="FFFFFF"/>
            <w:noWrap/>
            <w:vAlign w:val="bottom"/>
            <w:hideMark/>
          </w:tcPr>
          <w:p w14:paraId="4B67ADB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385,88</w:t>
            </w:r>
          </w:p>
        </w:tc>
        <w:tc>
          <w:tcPr>
            <w:tcW w:w="1209" w:type="dxa"/>
            <w:tcBorders>
              <w:top w:val="nil"/>
              <w:left w:val="nil"/>
              <w:bottom w:val="nil"/>
              <w:right w:val="nil"/>
            </w:tcBorders>
            <w:shd w:val="clear" w:color="000000" w:fill="FFFFFF"/>
            <w:noWrap/>
            <w:vAlign w:val="bottom"/>
            <w:hideMark/>
          </w:tcPr>
          <w:p w14:paraId="63810E3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98,22</w:t>
            </w:r>
          </w:p>
        </w:tc>
        <w:tc>
          <w:tcPr>
            <w:tcW w:w="1093" w:type="dxa"/>
            <w:tcBorders>
              <w:top w:val="nil"/>
              <w:left w:val="nil"/>
              <w:bottom w:val="nil"/>
              <w:right w:val="nil"/>
            </w:tcBorders>
            <w:shd w:val="clear" w:color="000000" w:fill="FFFFFF"/>
            <w:hideMark/>
          </w:tcPr>
          <w:p w14:paraId="690A422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72289,00</w:t>
            </w:r>
          </w:p>
        </w:tc>
        <w:tc>
          <w:tcPr>
            <w:tcW w:w="761" w:type="dxa"/>
            <w:tcBorders>
              <w:top w:val="nil"/>
              <w:left w:val="nil"/>
              <w:bottom w:val="nil"/>
              <w:right w:val="nil"/>
            </w:tcBorders>
            <w:shd w:val="clear" w:color="000000" w:fill="FFFFFF"/>
            <w:noWrap/>
            <w:vAlign w:val="bottom"/>
            <w:hideMark/>
          </w:tcPr>
          <w:p w14:paraId="499959B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27,20</w:t>
            </w:r>
          </w:p>
        </w:tc>
        <w:tc>
          <w:tcPr>
            <w:tcW w:w="1051" w:type="dxa"/>
            <w:tcBorders>
              <w:top w:val="nil"/>
              <w:left w:val="nil"/>
              <w:bottom w:val="nil"/>
              <w:right w:val="nil"/>
            </w:tcBorders>
            <w:shd w:val="clear" w:color="000000" w:fill="FFFFFF"/>
            <w:noWrap/>
            <w:vAlign w:val="bottom"/>
            <w:hideMark/>
          </w:tcPr>
          <w:p w14:paraId="1B12AEA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39,10</w:t>
            </w:r>
          </w:p>
        </w:tc>
        <w:tc>
          <w:tcPr>
            <w:tcW w:w="761" w:type="dxa"/>
            <w:tcBorders>
              <w:top w:val="nil"/>
              <w:left w:val="nil"/>
              <w:bottom w:val="nil"/>
              <w:right w:val="nil"/>
            </w:tcBorders>
            <w:shd w:val="clear" w:color="000000" w:fill="FFFFFF"/>
            <w:noWrap/>
            <w:vAlign w:val="bottom"/>
            <w:hideMark/>
          </w:tcPr>
          <w:p w14:paraId="36C1E30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0,95</w:t>
            </w:r>
          </w:p>
        </w:tc>
        <w:tc>
          <w:tcPr>
            <w:tcW w:w="1052" w:type="dxa"/>
            <w:tcBorders>
              <w:top w:val="nil"/>
              <w:left w:val="nil"/>
              <w:bottom w:val="nil"/>
              <w:right w:val="nil"/>
            </w:tcBorders>
            <w:shd w:val="clear" w:color="000000" w:fill="FFFFFF"/>
            <w:noWrap/>
            <w:vAlign w:val="bottom"/>
            <w:hideMark/>
          </w:tcPr>
          <w:p w14:paraId="472E5DA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82,10</w:t>
            </w:r>
          </w:p>
        </w:tc>
        <w:tc>
          <w:tcPr>
            <w:tcW w:w="1107" w:type="dxa"/>
            <w:tcBorders>
              <w:top w:val="nil"/>
              <w:left w:val="nil"/>
              <w:bottom w:val="nil"/>
              <w:right w:val="nil"/>
            </w:tcBorders>
            <w:shd w:val="clear" w:color="000000" w:fill="FFFFFF"/>
            <w:noWrap/>
            <w:vAlign w:val="bottom"/>
            <w:hideMark/>
          </w:tcPr>
          <w:p w14:paraId="58CBA3A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17527BF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526B5A7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7B7AAB5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35,86</w:t>
            </w:r>
          </w:p>
        </w:tc>
      </w:tr>
      <w:tr w:rsidR="002E2D1F" w:rsidRPr="0002056A" w14:paraId="75A0E6F2"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B96F7BA"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BIH</w:t>
            </w:r>
          </w:p>
        </w:tc>
        <w:tc>
          <w:tcPr>
            <w:tcW w:w="1008" w:type="dxa"/>
            <w:tcBorders>
              <w:top w:val="nil"/>
              <w:left w:val="nil"/>
              <w:bottom w:val="nil"/>
              <w:right w:val="nil"/>
            </w:tcBorders>
            <w:shd w:val="clear" w:color="auto" w:fill="C5E0B3" w:themeFill="accent6" w:themeFillTint="66"/>
            <w:noWrap/>
            <w:vAlign w:val="bottom"/>
            <w:hideMark/>
          </w:tcPr>
          <w:p w14:paraId="79AA89C3" w14:textId="792BEE1E"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56,00</w:t>
            </w:r>
          </w:p>
        </w:tc>
        <w:tc>
          <w:tcPr>
            <w:tcW w:w="1141" w:type="dxa"/>
            <w:tcBorders>
              <w:top w:val="nil"/>
              <w:left w:val="nil"/>
              <w:bottom w:val="nil"/>
              <w:right w:val="nil"/>
            </w:tcBorders>
            <w:shd w:val="clear" w:color="000000" w:fill="FFFFFF"/>
            <w:noWrap/>
            <w:vAlign w:val="bottom"/>
            <w:hideMark/>
          </w:tcPr>
          <w:p w14:paraId="1E73ECF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51197,00</w:t>
            </w:r>
          </w:p>
        </w:tc>
        <w:tc>
          <w:tcPr>
            <w:tcW w:w="992" w:type="dxa"/>
            <w:tcBorders>
              <w:top w:val="nil"/>
              <w:left w:val="nil"/>
              <w:bottom w:val="nil"/>
              <w:right w:val="nil"/>
            </w:tcBorders>
            <w:shd w:val="clear" w:color="000000" w:fill="FFFFFF"/>
            <w:hideMark/>
          </w:tcPr>
          <w:p w14:paraId="60565B3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6BF6B34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3164,24</w:t>
            </w:r>
          </w:p>
        </w:tc>
        <w:tc>
          <w:tcPr>
            <w:tcW w:w="1051" w:type="dxa"/>
            <w:tcBorders>
              <w:top w:val="nil"/>
              <w:left w:val="nil"/>
              <w:bottom w:val="nil"/>
              <w:right w:val="nil"/>
            </w:tcBorders>
            <w:shd w:val="clear" w:color="000000" w:fill="FFFFFF"/>
            <w:noWrap/>
            <w:vAlign w:val="bottom"/>
            <w:hideMark/>
          </w:tcPr>
          <w:p w14:paraId="7249C57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67,45</w:t>
            </w:r>
          </w:p>
        </w:tc>
        <w:tc>
          <w:tcPr>
            <w:tcW w:w="1209" w:type="dxa"/>
            <w:tcBorders>
              <w:top w:val="nil"/>
              <w:left w:val="nil"/>
              <w:bottom w:val="nil"/>
              <w:right w:val="nil"/>
            </w:tcBorders>
            <w:shd w:val="clear" w:color="000000" w:fill="FFFFFF"/>
            <w:noWrap/>
            <w:vAlign w:val="bottom"/>
            <w:hideMark/>
          </w:tcPr>
          <w:p w14:paraId="1329A2D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50,71</w:t>
            </w:r>
          </w:p>
        </w:tc>
        <w:tc>
          <w:tcPr>
            <w:tcW w:w="1093" w:type="dxa"/>
            <w:tcBorders>
              <w:top w:val="nil"/>
              <w:left w:val="nil"/>
              <w:bottom w:val="nil"/>
              <w:right w:val="nil"/>
            </w:tcBorders>
            <w:shd w:val="clear" w:color="000000" w:fill="FFFFFF"/>
            <w:hideMark/>
          </w:tcPr>
          <w:p w14:paraId="3F5859D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20630,00</w:t>
            </w:r>
          </w:p>
        </w:tc>
        <w:tc>
          <w:tcPr>
            <w:tcW w:w="761" w:type="dxa"/>
            <w:tcBorders>
              <w:top w:val="nil"/>
              <w:left w:val="nil"/>
              <w:bottom w:val="nil"/>
              <w:right w:val="nil"/>
            </w:tcBorders>
            <w:shd w:val="clear" w:color="000000" w:fill="FFFFFF"/>
            <w:noWrap/>
            <w:vAlign w:val="bottom"/>
            <w:hideMark/>
          </w:tcPr>
          <w:p w14:paraId="3B7B30C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33,00</w:t>
            </w:r>
          </w:p>
        </w:tc>
        <w:tc>
          <w:tcPr>
            <w:tcW w:w="1051" w:type="dxa"/>
            <w:tcBorders>
              <w:top w:val="nil"/>
              <w:left w:val="nil"/>
              <w:bottom w:val="nil"/>
              <w:right w:val="nil"/>
            </w:tcBorders>
            <w:shd w:val="clear" w:color="000000" w:fill="FFFFFF"/>
            <w:noWrap/>
            <w:vAlign w:val="bottom"/>
            <w:hideMark/>
          </w:tcPr>
          <w:p w14:paraId="000AE11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14,70</w:t>
            </w:r>
          </w:p>
        </w:tc>
        <w:tc>
          <w:tcPr>
            <w:tcW w:w="761" w:type="dxa"/>
            <w:tcBorders>
              <w:top w:val="nil"/>
              <w:left w:val="nil"/>
              <w:bottom w:val="nil"/>
              <w:right w:val="nil"/>
            </w:tcBorders>
            <w:shd w:val="clear" w:color="000000" w:fill="FFFFFF"/>
            <w:noWrap/>
            <w:vAlign w:val="bottom"/>
            <w:hideMark/>
          </w:tcPr>
          <w:p w14:paraId="3C69FBE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0,80</w:t>
            </w:r>
          </w:p>
        </w:tc>
        <w:tc>
          <w:tcPr>
            <w:tcW w:w="1052" w:type="dxa"/>
            <w:tcBorders>
              <w:top w:val="nil"/>
              <w:left w:val="nil"/>
              <w:bottom w:val="nil"/>
              <w:right w:val="nil"/>
            </w:tcBorders>
            <w:shd w:val="clear" w:color="000000" w:fill="FFFFFF"/>
            <w:noWrap/>
            <w:vAlign w:val="bottom"/>
            <w:hideMark/>
          </w:tcPr>
          <w:p w14:paraId="48F2CBB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77,90</w:t>
            </w:r>
          </w:p>
        </w:tc>
        <w:tc>
          <w:tcPr>
            <w:tcW w:w="1107" w:type="dxa"/>
            <w:tcBorders>
              <w:top w:val="nil"/>
              <w:left w:val="nil"/>
              <w:bottom w:val="nil"/>
              <w:right w:val="nil"/>
            </w:tcBorders>
            <w:shd w:val="clear" w:color="000000" w:fill="FFFFFF"/>
            <w:noWrap/>
            <w:vAlign w:val="bottom"/>
            <w:hideMark/>
          </w:tcPr>
          <w:p w14:paraId="257E862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01EC2E2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5CB34E4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65CFF2C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43,10</w:t>
            </w:r>
          </w:p>
        </w:tc>
      </w:tr>
      <w:tr w:rsidR="002E2D1F" w:rsidRPr="0002056A" w14:paraId="4A83D758"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8C8D663"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BUL</w:t>
            </w:r>
          </w:p>
        </w:tc>
        <w:tc>
          <w:tcPr>
            <w:tcW w:w="1008" w:type="dxa"/>
            <w:tcBorders>
              <w:top w:val="nil"/>
              <w:left w:val="nil"/>
              <w:bottom w:val="nil"/>
              <w:right w:val="nil"/>
            </w:tcBorders>
            <w:shd w:val="clear" w:color="auto" w:fill="C5E0B3" w:themeFill="accent6" w:themeFillTint="66"/>
            <w:noWrap/>
            <w:vAlign w:val="bottom"/>
            <w:hideMark/>
          </w:tcPr>
          <w:p w14:paraId="0BD57334" w14:textId="2C7FA35F"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37,00</w:t>
            </w:r>
          </w:p>
        </w:tc>
        <w:tc>
          <w:tcPr>
            <w:tcW w:w="1141" w:type="dxa"/>
            <w:tcBorders>
              <w:top w:val="nil"/>
              <w:left w:val="nil"/>
              <w:bottom w:val="nil"/>
              <w:right w:val="nil"/>
            </w:tcBorders>
            <w:shd w:val="clear" w:color="000000" w:fill="FFFFFF"/>
            <w:noWrap/>
            <w:vAlign w:val="bottom"/>
            <w:hideMark/>
          </w:tcPr>
          <w:p w14:paraId="16B1403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110996,00</w:t>
            </w:r>
          </w:p>
        </w:tc>
        <w:tc>
          <w:tcPr>
            <w:tcW w:w="992" w:type="dxa"/>
            <w:tcBorders>
              <w:top w:val="nil"/>
              <w:left w:val="nil"/>
              <w:bottom w:val="nil"/>
              <w:right w:val="nil"/>
            </w:tcBorders>
            <w:shd w:val="clear" w:color="000000" w:fill="FFFFFF"/>
            <w:hideMark/>
          </w:tcPr>
          <w:p w14:paraId="28F8A1B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6561DF3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6444,37</w:t>
            </w:r>
          </w:p>
        </w:tc>
        <w:tc>
          <w:tcPr>
            <w:tcW w:w="1051" w:type="dxa"/>
            <w:tcBorders>
              <w:top w:val="nil"/>
              <w:left w:val="nil"/>
              <w:bottom w:val="nil"/>
              <w:right w:val="nil"/>
            </w:tcBorders>
            <w:shd w:val="clear" w:color="000000" w:fill="FFFFFF"/>
            <w:noWrap/>
            <w:vAlign w:val="bottom"/>
            <w:hideMark/>
          </w:tcPr>
          <w:p w14:paraId="76BD687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58,08</w:t>
            </w:r>
          </w:p>
        </w:tc>
        <w:tc>
          <w:tcPr>
            <w:tcW w:w="1209" w:type="dxa"/>
            <w:tcBorders>
              <w:top w:val="nil"/>
              <w:left w:val="nil"/>
              <w:bottom w:val="nil"/>
              <w:right w:val="nil"/>
            </w:tcBorders>
            <w:shd w:val="clear" w:color="000000" w:fill="FFFFFF"/>
            <w:noWrap/>
            <w:vAlign w:val="bottom"/>
            <w:hideMark/>
          </w:tcPr>
          <w:p w14:paraId="5B5CB5F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77,04</w:t>
            </w:r>
          </w:p>
        </w:tc>
        <w:tc>
          <w:tcPr>
            <w:tcW w:w="1093" w:type="dxa"/>
            <w:tcBorders>
              <w:top w:val="nil"/>
              <w:left w:val="nil"/>
              <w:bottom w:val="nil"/>
              <w:right w:val="nil"/>
            </w:tcBorders>
            <w:shd w:val="clear" w:color="000000" w:fill="FFFFFF"/>
            <w:noWrap/>
            <w:vAlign w:val="bottom"/>
            <w:hideMark/>
          </w:tcPr>
          <w:p w14:paraId="0EBE2CA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72289,00</w:t>
            </w:r>
          </w:p>
        </w:tc>
        <w:tc>
          <w:tcPr>
            <w:tcW w:w="761" w:type="dxa"/>
            <w:tcBorders>
              <w:top w:val="nil"/>
              <w:left w:val="nil"/>
              <w:bottom w:val="nil"/>
              <w:right w:val="nil"/>
            </w:tcBorders>
            <w:shd w:val="clear" w:color="000000" w:fill="FFFFFF"/>
            <w:noWrap/>
            <w:vAlign w:val="bottom"/>
            <w:hideMark/>
          </w:tcPr>
          <w:p w14:paraId="30C3238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41,30</w:t>
            </w:r>
          </w:p>
        </w:tc>
        <w:tc>
          <w:tcPr>
            <w:tcW w:w="1051" w:type="dxa"/>
            <w:tcBorders>
              <w:top w:val="nil"/>
              <w:left w:val="nil"/>
              <w:bottom w:val="nil"/>
              <w:right w:val="nil"/>
            </w:tcBorders>
            <w:shd w:val="clear" w:color="000000" w:fill="FFFFFF"/>
            <w:noWrap/>
            <w:vAlign w:val="bottom"/>
            <w:hideMark/>
          </w:tcPr>
          <w:p w14:paraId="4936183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26,70</w:t>
            </w:r>
          </w:p>
        </w:tc>
        <w:tc>
          <w:tcPr>
            <w:tcW w:w="761" w:type="dxa"/>
            <w:tcBorders>
              <w:top w:val="nil"/>
              <w:left w:val="nil"/>
              <w:bottom w:val="nil"/>
              <w:right w:val="nil"/>
            </w:tcBorders>
            <w:shd w:val="clear" w:color="000000" w:fill="FFFFFF"/>
            <w:noWrap/>
            <w:vAlign w:val="bottom"/>
            <w:hideMark/>
          </w:tcPr>
          <w:p w14:paraId="3B4B64E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0,80</w:t>
            </w:r>
          </w:p>
        </w:tc>
        <w:tc>
          <w:tcPr>
            <w:tcW w:w="1052" w:type="dxa"/>
            <w:tcBorders>
              <w:top w:val="nil"/>
              <w:left w:val="nil"/>
              <w:bottom w:val="nil"/>
              <w:right w:val="nil"/>
            </w:tcBorders>
            <w:shd w:val="clear" w:color="000000" w:fill="FFFFFF"/>
            <w:noWrap/>
            <w:vAlign w:val="bottom"/>
            <w:hideMark/>
          </w:tcPr>
          <w:p w14:paraId="566A958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75,60</w:t>
            </w:r>
          </w:p>
        </w:tc>
        <w:tc>
          <w:tcPr>
            <w:tcW w:w="1107" w:type="dxa"/>
            <w:tcBorders>
              <w:top w:val="nil"/>
              <w:left w:val="nil"/>
              <w:bottom w:val="nil"/>
              <w:right w:val="nil"/>
            </w:tcBorders>
            <w:shd w:val="clear" w:color="000000" w:fill="FFFFFF"/>
            <w:noWrap/>
            <w:vAlign w:val="bottom"/>
            <w:hideMark/>
          </w:tcPr>
          <w:p w14:paraId="51F680C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78B7495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2A85F39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6FDE9EE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25,11</w:t>
            </w:r>
          </w:p>
        </w:tc>
      </w:tr>
      <w:tr w:rsidR="002E2D1F" w:rsidRPr="0002056A" w14:paraId="0A18ADFC"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EE91E84"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CYP</w:t>
            </w:r>
          </w:p>
        </w:tc>
        <w:tc>
          <w:tcPr>
            <w:tcW w:w="1008" w:type="dxa"/>
            <w:tcBorders>
              <w:top w:val="nil"/>
              <w:left w:val="nil"/>
              <w:bottom w:val="nil"/>
              <w:right w:val="nil"/>
            </w:tcBorders>
            <w:shd w:val="clear" w:color="auto" w:fill="C5E0B3" w:themeFill="accent6" w:themeFillTint="66"/>
            <w:noWrap/>
            <w:vAlign w:val="bottom"/>
            <w:hideMark/>
          </w:tcPr>
          <w:p w14:paraId="104475BD" w14:textId="3DEF1378"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12,00</w:t>
            </w:r>
          </w:p>
        </w:tc>
        <w:tc>
          <w:tcPr>
            <w:tcW w:w="1141" w:type="dxa"/>
            <w:tcBorders>
              <w:top w:val="nil"/>
              <w:left w:val="nil"/>
              <w:bottom w:val="nil"/>
              <w:right w:val="nil"/>
            </w:tcBorders>
            <w:shd w:val="clear" w:color="000000" w:fill="FFFFFF"/>
            <w:noWrap/>
            <w:vAlign w:val="bottom"/>
            <w:hideMark/>
          </w:tcPr>
          <w:p w14:paraId="2D65879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78871,00</w:t>
            </w:r>
          </w:p>
        </w:tc>
        <w:tc>
          <w:tcPr>
            <w:tcW w:w="992" w:type="dxa"/>
            <w:tcBorders>
              <w:top w:val="nil"/>
              <w:left w:val="nil"/>
              <w:bottom w:val="nil"/>
              <w:right w:val="nil"/>
            </w:tcBorders>
            <w:shd w:val="clear" w:color="000000" w:fill="FFFFFF"/>
            <w:hideMark/>
          </w:tcPr>
          <w:p w14:paraId="2B0F5A9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0713F9B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10882,17</w:t>
            </w:r>
          </w:p>
        </w:tc>
        <w:tc>
          <w:tcPr>
            <w:tcW w:w="1051" w:type="dxa"/>
            <w:tcBorders>
              <w:top w:val="nil"/>
              <w:left w:val="nil"/>
              <w:bottom w:val="nil"/>
              <w:right w:val="nil"/>
            </w:tcBorders>
            <w:shd w:val="clear" w:color="000000" w:fill="FFFFFF"/>
            <w:noWrap/>
            <w:vAlign w:val="bottom"/>
            <w:hideMark/>
          </w:tcPr>
          <w:p w14:paraId="245F18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137,75</w:t>
            </w:r>
          </w:p>
        </w:tc>
        <w:tc>
          <w:tcPr>
            <w:tcW w:w="1209" w:type="dxa"/>
            <w:tcBorders>
              <w:top w:val="nil"/>
              <w:left w:val="nil"/>
              <w:bottom w:val="nil"/>
              <w:right w:val="nil"/>
            </w:tcBorders>
            <w:shd w:val="clear" w:color="000000" w:fill="FFFFFF"/>
            <w:noWrap/>
            <w:vAlign w:val="bottom"/>
            <w:hideMark/>
          </w:tcPr>
          <w:p w14:paraId="6F3BC37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74,74</w:t>
            </w:r>
          </w:p>
        </w:tc>
        <w:tc>
          <w:tcPr>
            <w:tcW w:w="1093" w:type="dxa"/>
            <w:tcBorders>
              <w:top w:val="nil"/>
              <w:left w:val="nil"/>
              <w:bottom w:val="nil"/>
              <w:right w:val="nil"/>
            </w:tcBorders>
            <w:shd w:val="clear" w:color="000000" w:fill="FFFFFF"/>
            <w:hideMark/>
          </w:tcPr>
          <w:p w14:paraId="62C755D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55803,00</w:t>
            </w:r>
          </w:p>
        </w:tc>
        <w:tc>
          <w:tcPr>
            <w:tcW w:w="761" w:type="dxa"/>
            <w:tcBorders>
              <w:top w:val="nil"/>
              <w:left w:val="nil"/>
              <w:bottom w:val="nil"/>
              <w:right w:val="nil"/>
            </w:tcBorders>
            <w:shd w:val="clear" w:color="000000" w:fill="FFFFFF"/>
            <w:noWrap/>
            <w:vAlign w:val="bottom"/>
            <w:hideMark/>
          </w:tcPr>
          <w:p w14:paraId="14352B9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25,00</w:t>
            </w:r>
          </w:p>
        </w:tc>
        <w:tc>
          <w:tcPr>
            <w:tcW w:w="1051" w:type="dxa"/>
            <w:tcBorders>
              <w:top w:val="nil"/>
              <w:left w:val="nil"/>
              <w:bottom w:val="nil"/>
              <w:right w:val="nil"/>
            </w:tcBorders>
            <w:shd w:val="clear" w:color="000000" w:fill="FFFFFF"/>
            <w:noWrap/>
            <w:vAlign w:val="bottom"/>
            <w:hideMark/>
          </w:tcPr>
          <w:p w14:paraId="56D61DD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23,50</w:t>
            </w:r>
          </w:p>
        </w:tc>
        <w:tc>
          <w:tcPr>
            <w:tcW w:w="761" w:type="dxa"/>
            <w:tcBorders>
              <w:top w:val="nil"/>
              <w:left w:val="nil"/>
              <w:bottom w:val="nil"/>
              <w:right w:val="nil"/>
            </w:tcBorders>
            <w:shd w:val="clear" w:color="000000" w:fill="FFFFFF"/>
            <w:noWrap/>
            <w:vAlign w:val="bottom"/>
            <w:hideMark/>
          </w:tcPr>
          <w:p w14:paraId="6F42AC3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6BD5E39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79,80</w:t>
            </w:r>
          </w:p>
        </w:tc>
        <w:tc>
          <w:tcPr>
            <w:tcW w:w="1107" w:type="dxa"/>
            <w:tcBorders>
              <w:top w:val="nil"/>
              <w:left w:val="nil"/>
              <w:bottom w:val="nil"/>
              <w:right w:val="nil"/>
            </w:tcBorders>
            <w:shd w:val="clear" w:color="000000" w:fill="FFFFFF"/>
            <w:noWrap/>
            <w:vAlign w:val="bottom"/>
            <w:hideMark/>
          </w:tcPr>
          <w:p w14:paraId="078A073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210" w:type="dxa"/>
            <w:tcBorders>
              <w:top w:val="nil"/>
              <w:left w:val="nil"/>
              <w:bottom w:val="nil"/>
              <w:right w:val="nil"/>
            </w:tcBorders>
            <w:shd w:val="clear" w:color="000000" w:fill="FFFFFF"/>
            <w:noWrap/>
            <w:vAlign w:val="bottom"/>
            <w:hideMark/>
          </w:tcPr>
          <w:p w14:paraId="55442C6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3367B68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2CD1DD0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16,01</w:t>
            </w:r>
          </w:p>
        </w:tc>
      </w:tr>
      <w:tr w:rsidR="002E2D1F" w:rsidRPr="0002056A" w14:paraId="0040EB55"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6FD7539E"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CZH</w:t>
            </w:r>
          </w:p>
        </w:tc>
        <w:tc>
          <w:tcPr>
            <w:tcW w:w="1008" w:type="dxa"/>
            <w:tcBorders>
              <w:top w:val="nil"/>
              <w:left w:val="nil"/>
              <w:bottom w:val="nil"/>
              <w:right w:val="nil"/>
            </w:tcBorders>
            <w:shd w:val="clear" w:color="auto" w:fill="C5E0B3" w:themeFill="accent6" w:themeFillTint="66"/>
            <w:noWrap/>
            <w:vAlign w:val="bottom"/>
            <w:hideMark/>
          </w:tcPr>
          <w:p w14:paraId="32AFC1A5" w14:textId="557B393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42,00</w:t>
            </w:r>
          </w:p>
        </w:tc>
        <w:tc>
          <w:tcPr>
            <w:tcW w:w="1141" w:type="dxa"/>
            <w:tcBorders>
              <w:top w:val="nil"/>
              <w:left w:val="nil"/>
              <w:bottom w:val="nil"/>
              <w:right w:val="nil"/>
            </w:tcBorders>
            <w:shd w:val="clear" w:color="000000" w:fill="FFFFFF"/>
            <w:noWrap/>
            <w:vAlign w:val="bottom"/>
            <w:hideMark/>
          </w:tcPr>
          <w:p w14:paraId="1BA4AA7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9251,00</w:t>
            </w:r>
          </w:p>
        </w:tc>
        <w:tc>
          <w:tcPr>
            <w:tcW w:w="992" w:type="dxa"/>
            <w:tcBorders>
              <w:top w:val="nil"/>
              <w:left w:val="nil"/>
              <w:bottom w:val="nil"/>
              <w:right w:val="nil"/>
            </w:tcBorders>
            <w:shd w:val="clear" w:color="000000" w:fill="FFFFFF"/>
            <w:hideMark/>
          </w:tcPr>
          <w:p w14:paraId="172D453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3EC4431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939,95</w:t>
            </w:r>
          </w:p>
        </w:tc>
        <w:tc>
          <w:tcPr>
            <w:tcW w:w="1051" w:type="dxa"/>
            <w:tcBorders>
              <w:top w:val="nil"/>
              <w:left w:val="nil"/>
              <w:bottom w:val="nil"/>
              <w:right w:val="nil"/>
            </w:tcBorders>
            <w:shd w:val="clear" w:color="000000" w:fill="FFFFFF"/>
            <w:noWrap/>
            <w:vAlign w:val="bottom"/>
            <w:hideMark/>
          </w:tcPr>
          <w:p w14:paraId="0A4E9E7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103,56</w:t>
            </w:r>
          </w:p>
        </w:tc>
        <w:tc>
          <w:tcPr>
            <w:tcW w:w="1209" w:type="dxa"/>
            <w:tcBorders>
              <w:top w:val="nil"/>
              <w:left w:val="nil"/>
              <w:bottom w:val="nil"/>
              <w:right w:val="nil"/>
            </w:tcBorders>
            <w:shd w:val="clear" w:color="000000" w:fill="FFFFFF"/>
            <w:noWrap/>
            <w:vAlign w:val="bottom"/>
            <w:hideMark/>
          </w:tcPr>
          <w:p w14:paraId="05226EF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67,08</w:t>
            </w:r>
          </w:p>
        </w:tc>
        <w:tc>
          <w:tcPr>
            <w:tcW w:w="1093" w:type="dxa"/>
            <w:tcBorders>
              <w:top w:val="nil"/>
              <w:left w:val="nil"/>
              <w:bottom w:val="nil"/>
              <w:right w:val="nil"/>
            </w:tcBorders>
            <w:shd w:val="clear" w:color="000000" w:fill="FFFFFF"/>
            <w:hideMark/>
          </w:tcPr>
          <w:p w14:paraId="15088A0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59152,00</w:t>
            </w:r>
          </w:p>
        </w:tc>
        <w:tc>
          <w:tcPr>
            <w:tcW w:w="761" w:type="dxa"/>
            <w:tcBorders>
              <w:top w:val="nil"/>
              <w:left w:val="nil"/>
              <w:bottom w:val="nil"/>
              <w:right w:val="nil"/>
            </w:tcBorders>
            <w:shd w:val="clear" w:color="000000" w:fill="FFFFFF"/>
            <w:noWrap/>
            <w:vAlign w:val="bottom"/>
            <w:hideMark/>
          </w:tcPr>
          <w:p w14:paraId="03A3BEC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32,70</w:t>
            </w:r>
          </w:p>
        </w:tc>
        <w:tc>
          <w:tcPr>
            <w:tcW w:w="1051" w:type="dxa"/>
            <w:tcBorders>
              <w:top w:val="nil"/>
              <w:left w:val="nil"/>
              <w:bottom w:val="nil"/>
              <w:right w:val="nil"/>
            </w:tcBorders>
            <w:shd w:val="clear" w:color="000000" w:fill="FFFFFF"/>
            <w:noWrap/>
            <w:vAlign w:val="bottom"/>
            <w:hideMark/>
          </w:tcPr>
          <w:p w14:paraId="3BDBA84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45,70</w:t>
            </w:r>
          </w:p>
        </w:tc>
        <w:tc>
          <w:tcPr>
            <w:tcW w:w="761" w:type="dxa"/>
            <w:tcBorders>
              <w:top w:val="nil"/>
              <w:left w:val="nil"/>
              <w:bottom w:val="nil"/>
              <w:right w:val="nil"/>
            </w:tcBorders>
            <w:shd w:val="clear" w:color="000000" w:fill="FFFFFF"/>
            <w:noWrap/>
            <w:vAlign w:val="bottom"/>
            <w:hideMark/>
          </w:tcPr>
          <w:p w14:paraId="74D34B2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0,91</w:t>
            </w:r>
          </w:p>
        </w:tc>
        <w:tc>
          <w:tcPr>
            <w:tcW w:w="1052" w:type="dxa"/>
            <w:tcBorders>
              <w:top w:val="nil"/>
              <w:left w:val="nil"/>
              <w:bottom w:val="nil"/>
              <w:right w:val="nil"/>
            </w:tcBorders>
            <w:shd w:val="clear" w:color="000000" w:fill="FFFFFF"/>
            <w:noWrap/>
            <w:vAlign w:val="bottom"/>
            <w:hideMark/>
          </w:tcPr>
          <w:p w14:paraId="68F84E6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81,60</w:t>
            </w:r>
          </w:p>
        </w:tc>
        <w:tc>
          <w:tcPr>
            <w:tcW w:w="1107" w:type="dxa"/>
            <w:tcBorders>
              <w:top w:val="nil"/>
              <w:left w:val="nil"/>
              <w:bottom w:val="nil"/>
              <w:right w:val="nil"/>
            </w:tcBorders>
            <w:shd w:val="clear" w:color="000000" w:fill="FFFFFF"/>
            <w:noWrap/>
            <w:vAlign w:val="bottom"/>
            <w:hideMark/>
          </w:tcPr>
          <w:p w14:paraId="18E470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0EBCC95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7B8535E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072695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20,48</w:t>
            </w:r>
          </w:p>
        </w:tc>
      </w:tr>
      <w:tr w:rsidR="002E2D1F" w:rsidRPr="0002056A" w14:paraId="67FBA8F4"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5590C77C"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DEN</w:t>
            </w:r>
          </w:p>
        </w:tc>
        <w:tc>
          <w:tcPr>
            <w:tcW w:w="1008" w:type="dxa"/>
            <w:tcBorders>
              <w:top w:val="nil"/>
              <w:left w:val="nil"/>
              <w:bottom w:val="nil"/>
              <w:right w:val="nil"/>
            </w:tcBorders>
            <w:shd w:val="clear" w:color="auto" w:fill="C5E0B3" w:themeFill="accent6" w:themeFillTint="66"/>
            <w:noWrap/>
            <w:vAlign w:val="bottom"/>
            <w:hideMark/>
          </w:tcPr>
          <w:p w14:paraId="2E41D550" w14:textId="30B58A3B"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51,00</w:t>
            </w:r>
          </w:p>
        </w:tc>
        <w:tc>
          <w:tcPr>
            <w:tcW w:w="1141" w:type="dxa"/>
            <w:tcBorders>
              <w:top w:val="nil"/>
              <w:left w:val="nil"/>
              <w:bottom w:val="nil"/>
              <w:right w:val="nil"/>
            </w:tcBorders>
            <w:shd w:val="clear" w:color="000000" w:fill="FFFFFF"/>
            <w:noWrap/>
            <w:vAlign w:val="bottom"/>
            <w:hideMark/>
          </w:tcPr>
          <w:p w14:paraId="2EA12A3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43925,00</w:t>
            </w:r>
          </w:p>
        </w:tc>
        <w:tc>
          <w:tcPr>
            <w:tcW w:w="992" w:type="dxa"/>
            <w:tcBorders>
              <w:top w:val="nil"/>
              <w:left w:val="nil"/>
              <w:bottom w:val="nil"/>
              <w:right w:val="nil"/>
            </w:tcBorders>
            <w:shd w:val="clear" w:color="000000" w:fill="FFFFFF"/>
            <w:hideMark/>
          </w:tcPr>
          <w:p w14:paraId="77DC624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5CB24A4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5976,99</w:t>
            </w:r>
          </w:p>
        </w:tc>
        <w:tc>
          <w:tcPr>
            <w:tcW w:w="1051" w:type="dxa"/>
            <w:tcBorders>
              <w:top w:val="nil"/>
              <w:left w:val="nil"/>
              <w:bottom w:val="nil"/>
              <w:right w:val="nil"/>
            </w:tcBorders>
            <w:shd w:val="clear" w:color="000000" w:fill="FFFFFF"/>
            <w:noWrap/>
            <w:vAlign w:val="bottom"/>
            <w:hideMark/>
          </w:tcPr>
          <w:p w14:paraId="3ED776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454,18</w:t>
            </w:r>
          </w:p>
        </w:tc>
        <w:tc>
          <w:tcPr>
            <w:tcW w:w="1209" w:type="dxa"/>
            <w:tcBorders>
              <w:top w:val="nil"/>
              <w:left w:val="nil"/>
              <w:bottom w:val="nil"/>
              <w:right w:val="nil"/>
            </w:tcBorders>
            <w:shd w:val="clear" w:color="000000" w:fill="FFFFFF"/>
            <w:noWrap/>
            <w:vAlign w:val="bottom"/>
            <w:hideMark/>
          </w:tcPr>
          <w:p w14:paraId="6ADCAE8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88,63</w:t>
            </w:r>
          </w:p>
        </w:tc>
        <w:tc>
          <w:tcPr>
            <w:tcW w:w="1093" w:type="dxa"/>
            <w:tcBorders>
              <w:top w:val="nil"/>
              <w:left w:val="nil"/>
              <w:bottom w:val="nil"/>
              <w:right w:val="nil"/>
            </w:tcBorders>
            <w:shd w:val="clear" w:color="000000" w:fill="FFFFFF"/>
            <w:hideMark/>
          </w:tcPr>
          <w:p w14:paraId="2F1F59C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78603,00</w:t>
            </w:r>
          </w:p>
        </w:tc>
        <w:tc>
          <w:tcPr>
            <w:tcW w:w="761" w:type="dxa"/>
            <w:tcBorders>
              <w:top w:val="nil"/>
              <w:left w:val="nil"/>
              <w:bottom w:val="nil"/>
              <w:right w:val="nil"/>
            </w:tcBorders>
            <w:shd w:val="clear" w:color="000000" w:fill="FFFFFF"/>
            <w:noWrap/>
            <w:vAlign w:val="bottom"/>
            <w:hideMark/>
          </w:tcPr>
          <w:p w14:paraId="60C3720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28,20</w:t>
            </w:r>
          </w:p>
        </w:tc>
        <w:tc>
          <w:tcPr>
            <w:tcW w:w="1051" w:type="dxa"/>
            <w:tcBorders>
              <w:top w:val="nil"/>
              <w:left w:val="nil"/>
              <w:bottom w:val="nil"/>
              <w:right w:val="nil"/>
            </w:tcBorders>
            <w:shd w:val="clear" w:color="000000" w:fill="FFFFFF"/>
            <w:noWrap/>
            <w:vAlign w:val="bottom"/>
            <w:hideMark/>
          </w:tcPr>
          <w:p w14:paraId="44F9FE0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35,50</w:t>
            </w:r>
          </w:p>
        </w:tc>
        <w:tc>
          <w:tcPr>
            <w:tcW w:w="761" w:type="dxa"/>
            <w:tcBorders>
              <w:top w:val="nil"/>
              <w:left w:val="nil"/>
              <w:bottom w:val="nil"/>
              <w:right w:val="nil"/>
            </w:tcBorders>
            <w:shd w:val="clear" w:color="000000" w:fill="FFFFFF"/>
            <w:noWrap/>
            <w:vAlign w:val="bottom"/>
            <w:hideMark/>
          </w:tcPr>
          <w:p w14:paraId="45937F6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0,96</w:t>
            </w:r>
          </w:p>
        </w:tc>
        <w:tc>
          <w:tcPr>
            <w:tcW w:w="1052" w:type="dxa"/>
            <w:tcBorders>
              <w:top w:val="nil"/>
              <w:left w:val="nil"/>
              <w:bottom w:val="nil"/>
              <w:right w:val="nil"/>
            </w:tcBorders>
            <w:shd w:val="clear" w:color="000000" w:fill="FFFFFF"/>
            <w:noWrap/>
            <w:vAlign w:val="bottom"/>
            <w:hideMark/>
          </w:tcPr>
          <w:p w14:paraId="468B6DF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81,90</w:t>
            </w:r>
          </w:p>
        </w:tc>
        <w:tc>
          <w:tcPr>
            <w:tcW w:w="1107" w:type="dxa"/>
            <w:tcBorders>
              <w:top w:val="nil"/>
              <w:left w:val="nil"/>
              <w:bottom w:val="nil"/>
              <w:right w:val="nil"/>
            </w:tcBorders>
            <w:shd w:val="clear" w:color="000000" w:fill="FFFFFF"/>
            <w:noWrap/>
            <w:vAlign w:val="bottom"/>
            <w:hideMark/>
          </w:tcPr>
          <w:p w14:paraId="6E070EA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1FCACA2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41BB1D8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269981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88,84</w:t>
            </w:r>
          </w:p>
        </w:tc>
      </w:tr>
      <w:tr w:rsidR="002E2D1F" w:rsidRPr="0002056A" w14:paraId="1173FE5D"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C8D7E3E"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NIR</w:t>
            </w:r>
          </w:p>
        </w:tc>
        <w:tc>
          <w:tcPr>
            <w:tcW w:w="1008" w:type="dxa"/>
            <w:tcBorders>
              <w:top w:val="nil"/>
              <w:left w:val="nil"/>
              <w:bottom w:val="nil"/>
              <w:right w:val="nil"/>
            </w:tcBorders>
            <w:shd w:val="clear" w:color="auto" w:fill="C5E0B3" w:themeFill="accent6" w:themeFillTint="66"/>
            <w:noWrap/>
            <w:vAlign w:val="bottom"/>
            <w:hideMark/>
          </w:tcPr>
          <w:p w14:paraId="1B30F60E" w14:textId="62FDD4E1"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55,00</w:t>
            </w:r>
          </w:p>
        </w:tc>
        <w:tc>
          <w:tcPr>
            <w:tcW w:w="1141" w:type="dxa"/>
            <w:tcBorders>
              <w:top w:val="nil"/>
              <w:left w:val="nil"/>
              <w:bottom w:val="nil"/>
              <w:right w:val="nil"/>
            </w:tcBorders>
            <w:shd w:val="clear" w:color="000000" w:fill="FFFFFF"/>
            <w:noWrap/>
            <w:vAlign w:val="bottom"/>
            <w:hideMark/>
          </w:tcPr>
          <w:p w14:paraId="405C2F4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13562,00</w:t>
            </w:r>
          </w:p>
        </w:tc>
        <w:tc>
          <w:tcPr>
            <w:tcW w:w="992" w:type="dxa"/>
            <w:tcBorders>
              <w:top w:val="nil"/>
              <w:left w:val="nil"/>
              <w:bottom w:val="nil"/>
              <w:right w:val="nil"/>
            </w:tcBorders>
            <w:shd w:val="clear" w:color="000000" w:fill="FFFFFF"/>
            <w:hideMark/>
          </w:tcPr>
          <w:p w14:paraId="2B8EBFD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1E62570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1920,38</w:t>
            </w:r>
          </w:p>
        </w:tc>
        <w:tc>
          <w:tcPr>
            <w:tcW w:w="1051" w:type="dxa"/>
            <w:tcBorders>
              <w:top w:val="nil"/>
              <w:left w:val="nil"/>
              <w:bottom w:val="nil"/>
              <w:right w:val="nil"/>
            </w:tcBorders>
            <w:shd w:val="clear" w:color="000000" w:fill="FFFFFF"/>
            <w:noWrap/>
            <w:vAlign w:val="bottom"/>
            <w:hideMark/>
          </w:tcPr>
          <w:p w14:paraId="3DB24D3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141,60</w:t>
            </w:r>
          </w:p>
        </w:tc>
        <w:tc>
          <w:tcPr>
            <w:tcW w:w="1209" w:type="dxa"/>
            <w:tcBorders>
              <w:top w:val="nil"/>
              <w:left w:val="nil"/>
              <w:bottom w:val="nil"/>
              <w:right w:val="nil"/>
            </w:tcBorders>
            <w:shd w:val="clear" w:color="000000" w:fill="FFFFFF"/>
            <w:noWrap/>
            <w:vAlign w:val="bottom"/>
            <w:hideMark/>
          </w:tcPr>
          <w:p w14:paraId="7C47FE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86,73</w:t>
            </w:r>
          </w:p>
        </w:tc>
        <w:tc>
          <w:tcPr>
            <w:tcW w:w="1093" w:type="dxa"/>
            <w:tcBorders>
              <w:top w:val="nil"/>
              <w:left w:val="nil"/>
              <w:bottom w:val="nil"/>
              <w:right w:val="nil"/>
            </w:tcBorders>
            <w:shd w:val="clear" w:color="000000" w:fill="FFFFFF"/>
            <w:hideMark/>
          </w:tcPr>
          <w:p w14:paraId="70FB936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49007,90</w:t>
            </w:r>
          </w:p>
        </w:tc>
        <w:tc>
          <w:tcPr>
            <w:tcW w:w="761" w:type="dxa"/>
            <w:tcBorders>
              <w:top w:val="nil"/>
              <w:left w:val="nil"/>
              <w:bottom w:val="nil"/>
              <w:right w:val="nil"/>
            </w:tcBorders>
            <w:shd w:val="clear" w:color="000000" w:fill="FFFFFF"/>
            <w:noWrap/>
            <w:vAlign w:val="bottom"/>
            <w:hideMark/>
          </w:tcPr>
          <w:p w14:paraId="7E537A1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27,00</w:t>
            </w:r>
          </w:p>
        </w:tc>
        <w:tc>
          <w:tcPr>
            <w:tcW w:w="1051" w:type="dxa"/>
            <w:tcBorders>
              <w:top w:val="nil"/>
              <w:left w:val="nil"/>
              <w:bottom w:val="nil"/>
              <w:right w:val="nil"/>
            </w:tcBorders>
            <w:shd w:val="clear" w:color="000000" w:fill="FFFFFF"/>
            <w:noWrap/>
            <w:vAlign w:val="bottom"/>
            <w:hideMark/>
          </w:tcPr>
          <w:p w14:paraId="6380895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32,10</w:t>
            </w:r>
          </w:p>
        </w:tc>
        <w:tc>
          <w:tcPr>
            <w:tcW w:w="761" w:type="dxa"/>
            <w:tcBorders>
              <w:top w:val="nil"/>
              <w:left w:val="nil"/>
              <w:bottom w:val="nil"/>
              <w:right w:val="nil"/>
            </w:tcBorders>
            <w:shd w:val="clear" w:color="000000" w:fill="FFFFFF"/>
            <w:noWrap/>
            <w:vAlign w:val="bottom"/>
            <w:hideMark/>
          </w:tcPr>
          <w:p w14:paraId="5520E01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0,91</w:t>
            </w:r>
          </w:p>
        </w:tc>
        <w:tc>
          <w:tcPr>
            <w:tcW w:w="1052" w:type="dxa"/>
            <w:tcBorders>
              <w:top w:val="nil"/>
              <w:left w:val="nil"/>
              <w:bottom w:val="nil"/>
              <w:right w:val="nil"/>
            </w:tcBorders>
            <w:shd w:val="clear" w:color="000000" w:fill="FFFFFF"/>
            <w:noWrap/>
            <w:vAlign w:val="bottom"/>
            <w:hideMark/>
          </w:tcPr>
          <w:p w14:paraId="694188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79,70</w:t>
            </w:r>
          </w:p>
        </w:tc>
        <w:tc>
          <w:tcPr>
            <w:tcW w:w="1107" w:type="dxa"/>
            <w:tcBorders>
              <w:top w:val="nil"/>
              <w:left w:val="nil"/>
              <w:bottom w:val="nil"/>
              <w:right w:val="nil"/>
            </w:tcBorders>
            <w:shd w:val="clear" w:color="000000" w:fill="FFFFFF"/>
            <w:noWrap/>
            <w:vAlign w:val="bottom"/>
            <w:hideMark/>
          </w:tcPr>
          <w:p w14:paraId="122DE8C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0646D7A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66CB191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60" w:type="dxa"/>
            <w:tcBorders>
              <w:top w:val="nil"/>
              <w:left w:val="nil"/>
              <w:bottom w:val="nil"/>
              <w:right w:val="single" w:sz="8" w:space="0" w:color="auto"/>
            </w:tcBorders>
            <w:shd w:val="clear" w:color="000000" w:fill="FFFFFF"/>
            <w:noWrap/>
            <w:vAlign w:val="bottom"/>
            <w:hideMark/>
          </w:tcPr>
          <w:p w14:paraId="188DC2B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45,60</w:t>
            </w:r>
          </w:p>
        </w:tc>
      </w:tr>
      <w:tr w:rsidR="002E2D1F" w:rsidRPr="0002056A" w14:paraId="6B8639C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29F1F061"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MAC</w:t>
            </w:r>
          </w:p>
        </w:tc>
        <w:tc>
          <w:tcPr>
            <w:tcW w:w="1008" w:type="dxa"/>
            <w:tcBorders>
              <w:top w:val="nil"/>
              <w:left w:val="nil"/>
              <w:bottom w:val="nil"/>
              <w:right w:val="nil"/>
            </w:tcBorders>
            <w:shd w:val="clear" w:color="auto" w:fill="C5E0B3" w:themeFill="accent6" w:themeFillTint="66"/>
            <w:noWrap/>
            <w:vAlign w:val="bottom"/>
            <w:hideMark/>
          </w:tcPr>
          <w:p w14:paraId="419F94BA" w14:textId="32937BB6"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19,00</w:t>
            </w:r>
          </w:p>
        </w:tc>
        <w:tc>
          <w:tcPr>
            <w:tcW w:w="1141" w:type="dxa"/>
            <w:tcBorders>
              <w:top w:val="nil"/>
              <w:left w:val="nil"/>
              <w:bottom w:val="nil"/>
              <w:right w:val="nil"/>
            </w:tcBorders>
            <w:shd w:val="clear" w:color="000000" w:fill="FFFFFF"/>
            <w:noWrap/>
            <w:vAlign w:val="bottom"/>
            <w:hideMark/>
          </w:tcPr>
          <w:p w14:paraId="2219751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25713,00</w:t>
            </w:r>
          </w:p>
        </w:tc>
        <w:tc>
          <w:tcPr>
            <w:tcW w:w="992" w:type="dxa"/>
            <w:tcBorders>
              <w:top w:val="nil"/>
              <w:left w:val="nil"/>
              <w:bottom w:val="nil"/>
              <w:right w:val="nil"/>
            </w:tcBorders>
            <w:shd w:val="clear" w:color="000000" w:fill="FFFFFF"/>
            <w:hideMark/>
          </w:tcPr>
          <w:p w14:paraId="45ADE52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3B3D9F7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1792,18</w:t>
            </w:r>
          </w:p>
        </w:tc>
        <w:tc>
          <w:tcPr>
            <w:tcW w:w="1051" w:type="dxa"/>
            <w:tcBorders>
              <w:top w:val="nil"/>
              <w:left w:val="nil"/>
              <w:bottom w:val="nil"/>
              <w:right w:val="nil"/>
            </w:tcBorders>
            <w:shd w:val="clear" w:color="000000" w:fill="FFFFFF"/>
            <w:noWrap/>
            <w:vAlign w:val="bottom"/>
            <w:hideMark/>
          </w:tcPr>
          <w:p w14:paraId="461AF02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71,44</w:t>
            </w:r>
          </w:p>
        </w:tc>
        <w:tc>
          <w:tcPr>
            <w:tcW w:w="1209" w:type="dxa"/>
            <w:tcBorders>
              <w:top w:val="nil"/>
              <w:left w:val="nil"/>
              <w:bottom w:val="nil"/>
              <w:right w:val="nil"/>
            </w:tcBorders>
            <w:shd w:val="clear" w:color="000000" w:fill="FFFFFF"/>
            <w:noWrap/>
            <w:vAlign w:val="bottom"/>
            <w:hideMark/>
          </w:tcPr>
          <w:p w14:paraId="127B8E7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59,87</w:t>
            </w:r>
          </w:p>
        </w:tc>
        <w:tc>
          <w:tcPr>
            <w:tcW w:w="1093" w:type="dxa"/>
            <w:tcBorders>
              <w:top w:val="nil"/>
              <w:left w:val="nil"/>
              <w:bottom w:val="nil"/>
              <w:right w:val="nil"/>
            </w:tcBorders>
            <w:shd w:val="clear" w:color="000000" w:fill="FFFFFF"/>
            <w:hideMark/>
          </w:tcPr>
          <w:p w14:paraId="2915289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24387,00</w:t>
            </w:r>
          </w:p>
        </w:tc>
        <w:tc>
          <w:tcPr>
            <w:tcW w:w="761" w:type="dxa"/>
            <w:tcBorders>
              <w:top w:val="nil"/>
              <w:left w:val="nil"/>
              <w:bottom w:val="nil"/>
              <w:right w:val="nil"/>
            </w:tcBorders>
            <w:shd w:val="clear" w:color="000000" w:fill="FFFFFF"/>
            <w:noWrap/>
            <w:vAlign w:val="bottom"/>
            <w:hideMark/>
          </w:tcPr>
          <w:p w14:paraId="2BC3465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33,00</w:t>
            </w:r>
          </w:p>
        </w:tc>
        <w:tc>
          <w:tcPr>
            <w:tcW w:w="1051" w:type="dxa"/>
            <w:tcBorders>
              <w:top w:val="nil"/>
              <w:left w:val="nil"/>
              <w:bottom w:val="nil"/>
              <w:right w:val="nil"/>
            </w:tcBorders>
            <w:shd w:val="clear" w:color="000000" w:fill="FFFFFF"/>
            <w:noWrap/>
            <w:vAlign w:val="bottom"/>
            <w:hideMark/>
          </w:tcPr>
          <w:p w14:paraId="7D6EE38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20,00</w:t>
            </w:r>
          </w:p>
        </w:tc>
        <w:tc>
          <w:tcPr>
            <w:tcW w:w="761" w:type="dxa"/>
            <w:tcBorders>
              <w:top w:val="nil"/>
              <w:left w:val="nil"/>
              <w:bottom w:val="nil"/>
              <w:right w:val="nil"/>
            </w:tcBorders>
            <w:shd w:val="clear" w:color="000000" w:fill="FFFFFF"/>
            <w:noWrap/>
            <w:vAlign w:val="bottom"/>
            <w:hideMark/>
          </w:tcPr>
          <w:p w14:paraId="221C97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0,82</w:t>
            </w:r>
          </w:p>
        </w:tc>
        <w:tc>
          <w:tcPr>
            <w:tcW w:w="1052" w:type="dxa"/>
            <w:tcBorders>
              <w:top w:val="nil"/>
              <w:left w:val="nil"/>
              <w:bottom w:val="nil"/>
              <w:right w:val="nil"/>
            </w:tcBorders>
            <w:shd w:val="clear" w:color="000000" w:fill="FFFFFF"/>
            <w:noWrap/>
            <w:vAlign w:val="bottom"/>
            <w:hideMark/>
          </w:tcPr>
          <w:p w14:paraId="3DFC402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77,40</w:t>
            </w:r>
          </w:p>
        </w:tc>
        <w:tc>
          <w:tcPr>
            <w:tcW w:w="1107" w:type="dxa"/>
            <w:tcBorders>
              <w:top w:val="nil"/>
              <w:left w:val="nil"/>
              <w:bottom w:val="nil"/>
              <w:right w:val="nil"/>
            </w:tcBorders>
            <w:shd w:val="clear" w:color="000000" w:fill="FFFFFF"/>
            <w:noWrap/>
            <w:vAlign w:val="bottom"/>
            <w:hideMark/>
          </w:tcPr>
          <w:p w14:paraId="1136CE3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7E922C4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48BAB71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3E0F499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32,00</w:t>
            </w:r>
          </w:p>
        </w:tc>
      </w:tr>
      <w:tr w:rsidR="002E2D1F" w:rsidRPr="0002056A" w14:paraId="18E5C83D"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76496E3"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EST</w:t>
            </w:r>
          </w:p>
        </w:tc>
        <w:tc>
          <w:tcPr>
            <w:tcW w:w="1008" w:type="dxa"/>
            <w:tcBorders>
              <w:top w:val="nil"/>
              <w:left w:val="nil"/>
              <w:bottom w:val="nil"/>
              <w:right w:val="nil"/>
            </w:tcBorders>
            <w:shd w:val="clear" w:color="auto" w:fill="C5E0B3" w:themeFill="accent6" w:themeFillTint="66"/>
            <w:noWrap/>
            <w:vAlign w:val="bottom"/>
            <w:hideMark/>
          </w:tcPr>
          <w:p w14:paraId="08FD5078" w14:textId="46FCC114"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49,00</w:t>
            </w:r>
          </w:p>
        </w:tc>
        <w:tc>
          <w:tcPr>
            <w:tcW w:w="1141" w:type="dxa"/>
            <w:tcBorders>
              <w:top w:val="nil"/>
              <w:left w:val="nil"/>
              <w:bottom w:val="nil"/>
              <w:right w:val="nil"/>
            </w:tcBorders>
            <w:shd w:val="clear" w:color="000000" w:fill="FFFFFF"/>
            <w:noWrap/>
            <w:vAlign w:val="bottom"/>
            <w:hideMark/>
          </w:tcPr>
          <w:p w14:paraId="7904C27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45336,00</w:t>
            </w:r>
          </w:p>
        </w:tc>
        <w:tc>
          <w:tcPr>
            <w:tcW w:w="992" w:type="dxa"/>
            <w:tcBorders>
              <w:top w:val="nil"/>
              <w:left w:val="nil"/>
              <w:bottom w:val="nil"/>
              <w:right w:val="nil"/>
            </w:tcBorders>
            <w:shd w:val="clear" w:color="000000" w:fill="FFFFFF"/>
            <w:hideMark/>
          </w:tcPr>
          <w:p w14:paraId="46A4416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266D792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1371,99</w:t>
            </w:r>
          </w:p>
        </w:tc>
        <w:tc>
          <w:tcPr>
            <w:tcW w:w="1051" w:type="dxa"/>
            <w:tcBorders>
              <w:top w:val="nil"/>
              <w:left w:val="nil"/>
              <w:bottom w:val="nil"/>
              <w:right w:val="nil"/>
            </w:tcBorders>
            <w:shd w:val="clear" w:color="000000" w:fill="FFFFFF"/>
            <w:noWrap/>
            <w:vAlign w:val="bottom"/>
            <w:hideMark/>
          </w:tcPr>
          <w:p w14:paraId="50CDFFF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30,29</w:t>
            </w:r>
          </w:p>
        </w:tc>
        <w:tc>
          <w:tcPr>
            <w:tcW w:w="1209" w:type="dxa"/>
            <w:tcBorders>
              <w:top w:val="nil"/>
              <w:left w:val="nil"/>
              <w:bottom w:val="nil"/>
              <w:right w:val="nil"/>
            </w:tcBorders>
            <w:shd w:val="clear" w:color="000000" w:fill="FFFFFF"/>
            <w:noWrap/>
            <w:vAlign w:val="bottom"/>
            <w:hideMark/>
          </w:tcPr>
          <w:p w14:paraId="09E0CFE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70,02</w:t>
            </w:r>
          </w:p>
        </w:tc>
        <w:tc>
          <w:tcPr>
            <w:tcW w:w="1093" w:type="dxa"/>
            <w:tcBorders>
              <w:top w:val="nil"/>
              <w:left w:val="nil"/>
              <w:bottom w:val="nil"/>
              <w:right w:val="nil"/>
            </w:tcBorders>
            <w:shd w:val="clear" w:color="000000" w:fill="FFFFFF"/>
            <w:hideMark/>
          </w:tcPr>
          <w:p w14:paraId="109423A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49237,00</w:t>
            </w:r>
          </w:p>
        </w:tc>
        <w:tc>
          <w:tcPr>
            <w:tcW w:w="761" w:type="dxa"/>
            <w:tcBorders>
              <w:top w:val="nil"/>
              <w:left w:val="nil"/>
              <w:bottom w:val="nil"/>
              <w:right w:val="nil"/>
            </w:tcBorders>
            <w:shd w:val="clear" w:color="000000" w:fill="FFFFFF"/>
            <w:noWrap/>
            <w:vAlign w:val="bottom"/>
            <w:hideMark/>
          </w:tcPr>
          <w:p w14:paraId="1E28EF5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30,30</w:t>
            </w:r>
          </w:p>
        </w:tc>
        <w:tc>
          <w:tcPr>
            <w:tcW w:w="1051" w:type="dxa"/>
            <w:tcBorders>
              <w:top w:val="nil"/>
              <w:left w:val="nil"/>
              <w:bottom w:val="nil"/>
              <w:right w:val="nil"/>
            </w:tcBorders>
            <w:shd w:val="clear" w:color="000000" w:fill="FFFFFF"/>
            <w:noWrap/>
            <w:vAlign w:val="bottom"/>
            <w:hideMark/>
          </w:tcPr>
          <w:p w14:paraId="2372105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36,00</w:t>
            </w:r>
          </w:p>
        </w:tc>
        <w:tc>
          <w:tcPr>
            <w:tcW w:w="761" w:type="dxa"/>
            <w:tcBorders>
              <w:top w:val="nil"/>
              <w:left w:val="nil"/>
              <w:bottom w:val="nil"/>
              <w:right w:val="nil"/>
            </w:tcBorders>
            <w:shd w:val="clear" w:color="000000" w:fill="FFFFFF"/>
            <w:noWrap/>
            <w:vAlign w:val="bottom"/>
            <w:hideMark/>
          </w:tcPr>
          <w:p w14:paraId="69E943C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0,90</w:t>
            </w:r>
          </w:p>
        </w:tc>
        <w:tc>
          <w:tcPr>
            <w:tcW w:w="1052" w:type="dxa"/>
            <w:tcBorders>
              <w:top w:val="nil"/>
              <w:left w:val="nil"/>
              <w:bottom w:val="nil"/>
              <w:right w:val="nil"/>
            </w:tcBorders>
            <w:shd w:val="clear" w:color="000000" w:fill="FFFFFF"/>
            <w:noWrap/>
            <w:vAlign w:val="bottom"/>
            <w:hideMark/>
          </w:tcPr>
          <w:p w14:paraId="34DAEEC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79,20</w:t>
            </w:r>
          </w:p>
        </w:tc>
        <w:tc>
          <w:tcPr>
            <w:tcW w:w="1107" w:type="dxa"/>
            <w:tcBorders>
              <w:top w:val="nil"/>
              <w:left w:val="nil"/>
              <w:bottom w:val="nil"/>
              <w:right w:val="nil"/>
            </w:tcBorders>
            <w:shd w:val="clear" w:color="000000" w:fill="FFFFFF"/>
            <w:noWrap/>
            <w:vAlign w:val="bottom"/>
            <w:hideMark/>
          </w:tcPr>
          <w:p w14:paraId="4E074A4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08B9FEB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626D28F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10C962F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38,50</w:t>
            </w:r>
          </w:p>
        </w:tc>
      </w:tr>
      <w:tr w:rsidR="002E2D1F" w:rsidRPr="0002056A" w14:paraId="607F2DCF"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23F9C55"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FIN</w:t>
            </w:r>
          </w:p>
        </w:tc>
        <w:tc>
          <w:tcPr>
            <w:tcW w:w="1008" w:type="dxa"/>
            <w:tcBorders>
              <w:top w:val="nil"/>
              <w:left w:val="nil"/>
              <w:bottom w:val="nil"/>
              <w:right w:val="nil"/>
            </w:tcBorders>
            <w:shd w:val="clear" w:color="auto" w:fill="C5E0B3" w:themeFill="accent6" w:themeFillTint="66"/>
            <w:noWrap/>
            <w:vAlign w:val="bottom"/>
            <w:hideMark/>
          </w:tcPr>
          <w:p w14:paraId="1D5D505B" w14:textId="1D755874"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72,00</w:t>
            </w:r>
          </w:p>
        </w:tc>
        <w:tc>
          <w:tcPr>
            <w:tcW w:w="1141" w:type="dxa"/>
            <w:tcBorders>
              <w:top w:val="nil"/>
              <w:left w:val="nil"/>
              <w:bottom w:val="nil"/>
              <w:right w:val="nil"/>
            </w:tcBorders>
            <w:shd w:val="clear" w:color="000000" w:fill="FFFFFF"/>
            <w:noWrap/>
            <w:vAlign w:val="bottom"/>
            <w:hideMark/>
          </w:tcPr>
          <w:p w14:paraId="1FE086F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338363,00</w:t>
            </w:r>
          </w:p>
        </w:tc>
        <w:tc>
          <w:tcPr>
            <w:tcW w:w="992" w:type="dxa"/>
            <w:tcBorders>
              <w:top w:val="nil"/>
              <w:left w:val="nil"/>
              <w:bottom w:val="nil"/>
              <w:right w:val="nil"/>
            </w:tcBorders>
            <w:shd w:val="clear" w:color="000000" w:fill="FFFFFF"/>
            <w:hideMark/>
          </w:tcPr>
          <w:p w14:paraId="03A70F7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3B084E1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5637,22</w:t>
            </w:r>
          </w:p>
        </w:tc>
        <w:tc>
          <w:tcPr>
            <w:tcW w:w="1051" w:type="dxa"/>
            <w:tcBorders>
              <w:top w:val="nil"/>
              <w:left w:val="nil"/>
              <w:bottom w:val="nil"/>
              <w:right w:val="nil"/>
            </w:tcBorders>
            <w:shd w:val="clear" w:color="000000" w:fill="FFFFFF"/>
            <w:noWrap/>
            <w:vAlign w:val="bottom"/>
            <w:hideMark/>
          </w:tcPr>
          <w:p w14:paraId="48A8EC1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16,51</w:t>
            </w:r>
          </w:p>
        </w:tc>
        <w:tc>
          <w:tcPr>
            <w:tcW w:w="1209" w:type="dxa"/>
            <w:tcBorders>
              <w:top w:val="nil"/>
              <w:left w:val="nil"/>
              <w:bottom w:val="nil"/>
              <w:right w:val="nil"/>
            </w:tcBorders>
            <w:shd w:val="clear" w:color="000000" w:fill="FFFFFF"/>
            <w:noWrap/>
            <w:vAlign w:val="bottom"/>
            <w:hideMark/>
          </w:tcPr>
          <w:p w14:paraId="13756A5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85,87</w:t>
            </w:r>
          </w:p>
        </w:tc>
        <w:tc>
          <w:tcPr>
            <w:tcW w:w="1093" w:type="dxa"/>
            <w:tcBorders>
              <w:top w:val="nil"/>
              <w:left w:val="nil"/>
              <w:bottom w:val="nil"/>
              <w:right w:val="nil"/>
            </w:tcBorders>
            <w:shd w:val="clear" w:color="000000" w:fill="FFFFFF"/>
            <w:vAlign w:val="center"/>
            <w:hideMark/>
          </w:tcPr>
          <w:p w14:paraId="1A7CA85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64033,00</w:t>
            </w:r>
          </w:p>
        </w:tc>
        <w:tc>
          <w:tcPr>
            <w:tcW w:w="761" w:type="dxa"/>
            <w:tcBorders>
              <w:top w:val="nil"/>
              <w:left w:val="nil"/>
              <w:bottom w:val="nil"/>
              <w:right w:val="nil"/>
            </w:tcBorders>
            <w:shd w:val="clear" w:color="000000" w:fill="FFFFFF"/>
            <w:noWrap/>
            <w:vAlign w:val="bottom"/>
            <w:hideMark/>
          </w:tcPr>
          <w:p w14:paraId="3B525E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27,30</w:t>
            </w:r>
          </w:p>
        </w:tc>
        <w:tc>
          <w:tcPr>
            <w:tcW w:w="1051" w:type="dxa"/>
            <w:tcBorders>
              <w:top w:val="nil"/>
              <w:left w:val="nil"/>
              <w:bottom w:val="nil"/>
              <w:right w:val="nil"/>
            </w:tcBorders>
            <w:shd w:val="clear" w:color="000000" w:fill="FFFFFF"/>
            <w:noWrap/>
            <w:vAlign w:val="bottom"/>
            <w:hideMark/>
          </w:tcPr>
          <w:p w14:paraId="6200595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35,70</w:t>
            </w:r>
          </w:p>
        </w:tc>
        <w:tc>
          <w:tcPr>
            <w:tcW w:w="761" w:type="dxa"/>
            <w:tcBorders>
              <w:top w:val="nil"/>
              <w:left w:val="nil"/>
              <w:bottom w:val="nil"/>
              <w:right w:val="nil"/>
            </w:tcBorders>
            <w:shd w:val="clear" w:color="000000" w:fill="FFFFFF"/>
            <w:noWrap/>
            <w:vAlign w:val="bottom"/>
            <w:hideMark/>
          </w:tcPr>
          <w:p w14:paraId="4270870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0,95</w:t>
            </w:r>
          </w:p>
        </w:tc>
        <w:tc>
          <w:tcPr>
            <w:tcW w:w="1052" w:type="dxa"/>
            <w:tcBorders>
              <w:top w:val="nil"/>
              <w:left w:val="nil"/>
              <w:bottom w:val="nil"/>
              <w:right w:val="nil"/>
            </w:tcBorders>
            <w:shd w:val="clear" w:color="000000" w:fill="FFFFFF"/>
            <w:noWrap/>
            <w:vAlign w:val="bottom"/>
            <w:hideMark/>
          </w:tcPr>
          <w:p w14:paraId="71F9976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81,90</w:t>
            </w:r>
          </w:p>
        </w:tc>
        <w:tc>
          <w:tcPr>
            <w:tcW w:w="1107" w:type="dxa"/>
            <w:tcBorders>
              <w:top w:val="nil"/>
              <w:left w:val="nil"/>
              <w:bottom w:val="nil"/>
              <w:right w:val="nil"/>
            </w:tcBorders>
            <w:shd w:val="clear" w:color="000000" w:fill="FFFFFF"/>
            <w:noWrap/>
            <w:vAlign w:val="bottom"/>
            <w:hideMark/>
          </w:tcPr>
          <w:p w14:paraId="0F32EFB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30220AA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2500839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1FC4EB2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52,69</w:t>
            </w:r>
          </w:p>
        </w:tc>
      </w:tr>
      <w:tr w:rsidR="002E2D1F" w:rsidRPr="0002056A" w14:paraId="3876F9C6"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0A0D3FD6"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FRA</w:t>
            </w:r>
          </w:p>
        </w:tc>
        <w:tc>
          <w:tcPr>
            <w:tcW w:w="1008" w:type="dxa"/>
            <w:tcBorders>
              <w:top w:val="nil"/>
              <w:left w:val="nil"/>
              <w:bottom w:val="nil"/>
              <w:right w:val="nil"/>
            </w:tcBorders>
            <w:shd w:val="clear" w:color="auto" w:fill="C5E0B3" w:themeFill="accent6" w:themeFillTint="66"/>
            <w:noWrap/>
            <w:vAlign w:val="bottom"/>
            <w:hideMark/>
          </w:tcPr>
          <w:p w14:paraId="39569BDB" w14:textId="5794F4B5"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81,00</w:t>
            </w:r>
          </w:p>
        </w:tc>
        <w:tc>
          <w:tcPr>
            <w:tcW w:w="1141" w:type="dxa"/>
            <w:tcBorders>
              <w:top w:val="nil"/>
              <w:left w:val="nil"/>
              <w:bottom w:val="nil"/>
              <w:right w:val="nil"/>
            </w:tcBorders>
            <w:shd w:val="clear" w:color="000000" w:fill="FFFFFF"/>
            <w:noWrap/>
            <w:vAlign w:val="bottom"/>
            <w:hideMark/>
          </w:tcPr>
          <w:p w14:paraId="4AA5F35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638475,00</w:t>
            </w:r>
          </w:p>
        </w:tc>
        <w:tc>
          <w:tcPr>
            <w:tcW w:w="992" w:type="dxa"/>
            <w:tcBorders>
              <w:top w:val="nil"/>
              <w:left w:val="nil"/>
              <w:bottom w:val="nil"/>
              <w:right w:val="nil"/>
            </w:tcBorders>
            <w:shd w:val="clear" w:color="000000" w:fill="FFFFFF"/>
            <w:hideMark/>
          </w:tcPr>
          <w:p w14:paraId="5B75B8E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56" w:type="dxa"/>
            <w:tcBorders>
              <w:top w:val="nil"/>
              <w:left w:val="nil"/>
              <w:bottom w:val="nil"/>
              <w:right w:val="nil"/>
            </w:tcBorders>
            <w:shd w:val="clear" w:color="000000" w:fill="FFFFFF"/>
            <w:noWrap/>
            <w:vAlign w:val="bottom"/>
            <w:hideMark/>
          </w:tcPr>
          <w:p w14:paraId="4E42933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68516,68</w:t>
            </w:r>
          </w:p>
        </w:tc>
        <w:tc>
          <w:tcPr>
            <w:tcW w:w="1051" w:type="dxa"/>
            <w:tcBorders>
              <w:top w:val="nil"/>
              <w:left w:val="nil"/>
              <w:bottom w:val="nil"/>
              <w:right w:val="nil"/>
            </w:tcBorders>
            <w:shd w:val="clear" w:color="000000" w:fill="FFFFFF"/>
            <w:noWrap/>
            <w:vAlign w:val="bottom"/>
            <w:hideMark/>
          </w:tcPr>
          <w:p w14:paraId="6B175C8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123,97</w:t>
            </w:r>
          </w:p>
        </w:tc>
        <w:tc>
          <w:tcPr>
            <w:tcW w:w="1209" w:type="dxa"/>
            <w:tcBorders>
              <w:top w:val="nil"/>
              <w:left w:val="nil"/>
              <w:bottom w:val="nil"/>
              <w:right w:val="nil"/>
            </w:tcBorders>
            <w:shd w:val="clear" w:color="000000" w:fill="FFFFFF"/>
            <w:noWrap/>
            <w:vAlign w:val="bottom"/>
            <w:hideMark/>
          </w:tcPr>
          <w:p w14:paraId="7A45B14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82,04</w:t>
            </w:r>
          </w:p>
        </w:tc>
        <w:tc>
          <w:tcPr>
            <w:tcW w:w="1093" w:type="dxa"/>
            <w:tcBorders>
              <w:top w:val="nil"/>
              <w:left w:val="nil"/>
              <w:bottom w:val="nil"/>
              <w:right w:val="nil"/>
            </w:tcBorders>
            <w:shd w:val="clear" w:color="000000" w:fill="FFFFFF"/>
            <w:vAlign w:val="center"/>
            <w:hideMark/>
          </w:tcPr>
          <w:p w14:paraId="5EAF1C4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61258,00</w:t>
            </w:r>
          </w:p>
        </w:tc>
        <w:tc>
          <w:tcPr>
            <w:tcW w:w="761" w:type="dxa"/>
            <w:tcBorders>
              <w:top w:val="nil"/>
              <w:left w:val="nil"/>
              <w:bottom w:val="nil"/>
              <w:right w:val="nil"/>
            </w:tcBorders>
            <w:shd w:val="clear" w:color="000000" w:fill="FFFFFF"/>
            <w:noWrap/>
            <w:vAlign w:val="bottom"/>
            <w:hideMark/>
          </w:tcPr>
          <w:p w14:paraId="7EDDADA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32,40</w:t>
            </w:r>
          </w:p>
        </w:tc>
        <w:tc>
          <w:tcPr>
            <w:tcW w:w="1051" w:type="dxa"/>
            <w:tcBorders>
              <w:top w:val="nil"/>
              <w:left w:val="nil"/>
              <w:bottom w:val="nil"/>
              <w:right w:val="nil"/>
            </w:tcBorders>
            <w:shd w:val="clear" w:color="000000" w:fill="FFFFFF"/>
            <w:noWrap/>
            <w:vAlign w:val="bottom"/>
            <w:hideMark/>
          </w:tcPr>
          <w:p w14:paraId="195AFCC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37,60</w:t>
            </w:r>
          </w:p>
        </w:tc>
        <w:tc>
          <w:tcPr>
            <w:tcW w:w="761" w:type="dxa"/>
            <w:tcBorders>
              <w:top w:val="nil"/>
              <w:left w:val="nil"/>
              <w:bottom w:val="nil"/>
              <w:right w:val="nil"/>
            </w:tcBorders>
            <w:shd w:val="clear" w:color="000000" w:fill="FFFFFF"/>
            <w:noWrap/>
            <w:vAlign w:val="bottom"/>
            <w:hideMark/>
          </w:tcPr>
          <w:p w14:paraId="529FA7A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51F03B5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83,30</w:t>
            </w:r>
          </w:p>
        </w:tc>
        <w:tc>
          <w:tcPr>
            <w:tcW w:w="1107" w:type="dxa"/>
            <w:tcBorders>
              <w:top w:val="nil"/>
              <w:left w:val="nil"/>
              <w:bottom w:val="nil"/>
              <w:right w:val="nil"/>
            </w:tcBorders>
            <w:shd w:val="clear" w:color="000000" w:fill="FFFFFF"/>
            <w:noWrap/>
            <w:vAlign w:val="bottom"/>
            <w:hideMark/>
          </w:tcPr>
          <w:p w14:paraId="08223C6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2472DD5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65A1D1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60" w:type="dxa"/>
            <w:tcBorders>
              <w:top w:val="nil"/>
              <w:left w:val="nil"/>
              <w:bottom w:val="nil"/>
              <w:right w:val="single" w:sz="8" w:space="0" w:color="auto"/>
            </w:tcBorders>
            <w:shd w:val="clear" w:color="000000" w:fill="FFFFFF"/>
            <w:noWrap/>
            <w:vAlign w:val="bottom"/>
            <w:hideMark/>
          </w:tcPr>
          <w:p w14:paraId="0BDD00D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27,94</w:t>
            </w:r>
          </w:p>
        </w:tc>
      </w:tr>
      <w:tr w:rsidR="002E2D1F" w:rsidRPr="0002056A" w14:paraId="75F60C07"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758F274"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GRE</w:t>
            </w:r>
          </w:p>
        </w:tc>
        <w:tc>
          <w:tcPr>
            <w:tcW w:w="1008" w:type="dxa"/>
            <w:tcBorders>
              <w:top w:val="nil"/>
              <w:left w:val="nil"/>
              <w:bottom w:val="nil"/>
              <w:right w:val="nil"/>
            </w:tcBorders>
            <w:shd w:val="clear" w:color="auto" w:fill="C5E0B3" w:themeFill="accent6" w:themeFillTint="66"/>
            <w:noWrap/>
            <w:vAlign w:val="bottom"/>
            <w:hideMark/>
          </w:tcPr>
          <w:p w14:paraId="3A5A1798" w14:textId="30D614F6"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56,00</w:t>
            </w:r>
          </w:p>
        </w:tc>
        <w:tc>
          <w:tcPr>
            <w:tcW w:w="1141" w:type="dxa"/>
            <w:tcBorders>
              <w:top w:val="nil"/>
              <w:left w:val="nil"/>
              <w:bottom w:val="nil"/>
              <w:right w:val="nil"/>
            </w:tcBorders>
            <w:shd w:val="clear" w:color="000000" w:fill="FFFFFF"/>
            <w:noWrap/>
            <w:vAlign w:val="bottom"/>
            <w:hideMark/>
          </w:tcPr>
          <w:p w14:paraId="2D47F8B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131694,00</w:t>
            </w:r>
          </w:p>
        </w:tc>
        <w:tc>
          <w:tcPr>
            <w:tcW w:w="992" w:type="dxa"/>
            <w:tcBorders>
              <w:top w:val="nil"/>
              <w:left w:val="nil"/>
              <w:bottom w:val="nil"/>
              <w:right w:val="nil"/>
            </w:tcBorders>
            <w:shd w:val="clear" w:color="000000" w:fill="FFFFFF"/>
            <w:hideMark/>
          </w:tcPr>
          <w:p w14:paraId="3D1C42F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0040EA9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10388,81</w:t>
            </w:r>
          </w:p>
        </w:tc>
        <w:tc>
          <w:tcPr>
            <w:tcW w:w="1051" w:type="dxa"/>
            <w:tcBorders>
              <w:top w:val="nil"/>
              <w:left w:val="nil"/>
              <w:bottom w:val="nil"/>
              <w:right w:val="nil"/>
            </w:tcBorders>
            <w:shd w:val="clear" w:color="000000" w:fill="FFFFFF"/>
            <w:noWrap/>
            <w:vAlign w:val="bottom"/>
            <w:hideMark/>
          </w:tcPr>
          <w:p w14:paraId="5573C6C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79,05</w:t>
            </w:r>
          </w:p>
        </w:tc>
        <w:tc>
          <w:tcPr>
            <w:tcW w:w="1209" w:type="dxa"/>
            <w:tcBorders>
              <w:top w:val="nil"/>
              <w:left w:val="nil"/>
              <w:bottom w:val="nil"/>
              <w:right w:val="nil"/>
            </w:tcBorders>
            <w:shd w:val="clear" w:color="000000" w:fill="FFFFFF"/>
            <w:noWrap/>
            <w:vAlign w:val="bottom"/>
            <w:hideMark/>
          </w:tcPr>
          <w:p w14:paraId="559D445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80,98</w:t>
            </w:r>
          </w:p>
        </w:tc>
        <w:tc>
          <w:tcPr>
            <w:tcW w:w="1093" w:type="dxa"/>
            <w:tcBorders>
              <w:top w:val="nil"/>
              <w:left w:val="nil"/>
              <w:bottom w:val="nil"/>
              <w:right w:val="nil"/>
            </w:tcBorders>
            <w:shd w:val="clear" w:color="000000" w:fill="FFFFFF"/>
            <w:vAlign w:val="center"/>
            <w:hideMark/>
          </w:tcPr>
          <w:p w14:paraId="0D539E7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43478,00</w:t>
            </w:r>
          </w:p>
        </w:tc>
        <w:tc>
          <w:tcPr>
            <w:tcW w:w="761" w:type="dxa"/>
            <w:tcBorders>
              <w:top w:val="nil"/>
              <w:left w:val="nil"/>
              <w:bottom w:val="nil"/>
              <w:right w:val="nil"/>
            </w:tcBorders>
            <w:shd w:val="clear" w:color="000000" w:fill="FFFFFF"/>
            <w:noWrap/>
            <w:vAlign w:val="bottom"/>
            <w:hideMark/>
          </w:tcPr>
          <w:p w14:paraId="5BF3F5E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32,90</w:t>
            </w:r>
          </w:p>
        </w:tc>
        <w:tc>
          <w:tcPr>
            <w:tcW w:w="1051" w:type="dxa"/>
            <w:tcBorders>
              <w:top w:val="nil"/>
              <w:left w:val="nil"/>
              <w:bottom w:val="nil"/>
              <w:right w:val="nil"/>
            </w:tcBorders>
            <w:shd w:val="clear" w:color="000000" w:fill="FFFFFF"/>
            <w:noWrap/>
            <w:vAlign w:val="bottom"/>
            <w:hideMark/>
          </w:tcPr>
          <w:p w14:paraId="392E811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29,90</w:t>
            </w:r>
          </w:p>
        </w:tc>
        <w:tc>
          <w:tcPr>
            <w:tcW w:w="761" w:type="dxa"/>
            <w:tcBorders>
              <w:top w:val="nil"/>
              <w:left w:val="nil"/>
              <w:bottom w:val="nil"/>
              <w:right w:val="nil"/>
            </w:tcBorders>
            <w:shd w:val="clear" w:color="000000" w:fill="FFFFFF"/>
            <w:noWrap/>
            <w:vAlign w:val="bottom"/>
            <w:hideMark/>
          </w:tcPr>
          <w:p w14:paraId="481BB3E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0,91</w:t>
            </w:r>
          </w:p>
        </w:tc>
        <w:tc>
          <w:tcPr>
            <w:tcW w:w="1052" w:type="dxa"/>
            <w:tcBorders>
              <w:top w:val="nil"/>
              <w:left w:val="nil"/>
              <w:bottom w:val="nil"/>
              <w:right w:val="nil"/>
            </w:tcBorders>
            <w:shd w:val="clear" w:color="000000" w:fill="FFFFFF"/>
            <w:noWrap/>
            <w:vAlign w:val="bottom"/>
            <w:hideMark/>
          </w:tcPr>
          <w:p w14:paraId="69D0E57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81,90</w:t>
            </w:r>
          </w:p>
        </w:tc>
        <w:tc>
          <w:tcPr>
            <w:tcW w:w="1107" w:type="dxa"/>
            <w:tcBorders>
              <w:top w:val="nil"/>
              <w:left w:val="nil"/>
              <w:bottom w:val="nil"/>
              <w:right w:val="nil"/>
            </w:tcBorders>
            <w:shd w:val="clear" w:color="000000" w:fill="FFFFFF"/>
            <w:noWrap/>
            <w:vAlign w:val="bottom"/>
            <w:hideMark/>
          </w:tcPr>
          <w:p w14:paraId="0DFF72C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1BE200E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4849468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3E23941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49,39</w:t>
            </w:r>
          </w:p>
        </w:tc>
      </w:tr>
      <w:tr w:rsidR="002E2D1F" w:rsidRPr="0002056A" w14:paraId="14B5D882"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B384D2B"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NRL</w:t>
            </w:r>
          </w:p>
        </w:tc>
        <w:tc>
          <w:tcPr>
            <w:tcW w:w="1008" w:type="dxa"/>
            <w:tcBorders>
              <w:top w:val="nil"/>
              <w:left w:val="nil"/>
              <w:bottom w:val="nil"/>
              <w:right w:val="nil"/>
            </w:tcBorders>
            <w:shd w:val="clear" w:color="auto" w:fill="C5E0B3" w:themeFill="accent6" w:themeFillTint="66"/>
            <w:noWrap/>
            <w:vAlign w:val="bottom"/>
            <w:hideMark/>
          </w:tcPr>
          <w:p w14:paraId="39F568BA" w14:textId="29D263D9"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84,00</w:t>
            </w:r>
          </w:p>
        </w:tc>
        <w:tc>
          <w:tcPr>
            <w:tcW w:w="1141" w:type="dxa"/>
            <w:tcBorders>
              <w:top w:val="nil"/>
              <w:left w:val="nil"/>
              <w:bottom w:val="nil"/>
              <w:right w:val="nil"/>
            </w:tcBorders>
            <w:shd w:val="clear" w:color="000000" w:fill="FFFFFF"/>
            <w:noWrap/>
            <w:vAlign w:val="bottom"/>
            <w:hideMark/>
          </w:tcPr>
          <w:p w14:paraId="16BF760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37391,00</w:t>
            </w:r>
          </w:p>
        </w:tc>
        <w:tc>
          <w:tcPr>
            <w:tcW w:w="992" w:type="dxa"/>
            <w:tcBorders>
              <w:top w:val="nil"/>
              <w:left w:val="nil"/>
              <w:bottom w:val="nil"/>
              <w:right w:val="nil"/>
            </w:tcBorders>
            <w:shd w:val="clear" w:color="000000" w:fill="FFFFFF"/>
            <w:hideMark/>
          </w:tcPr>
          <w:p w14:paraId="4A1F7E7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3543CDE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17994,24</w:t>
            </w:r>
          </w:p>
        </w:tc>
        <w:tc>
          <w:tcPr>
            <w:tcW w:w="1051" w:type="dxa"/>
            <w:tcBorders>
              <w:top w:val="nil"/>
              <w:left w:val="nil"/>
              <w:bottom w:val="nil"/>
              <w:right w:val="nil"/>
            </w:tcBorders>
            <w:shd w:val="clear" w:color="000000" w:fill="FFFFFF"/>
            <w:noWrap/>
            <w:vAlign w:val="bottom"/>
            <w:hideMark/>
          </w:tcPr>
          <w:p w14:paraId="05402BD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430,50</w:t>
            </w:r>
          </w:p>
        </w:tc>
        <w:tc>
          <w:tcPr>
            <w:tcW w:w="1209" w:type="dxa"/>
            <w:tcBorders>
              <w:top w:val="nil"/>
              <w:left w:val="nil"/>
              <w:bottom w:val="nil"/>
              <w:right w:val="nil"/>
            </w:tcBorders>
            <w:shd w:val="clear" w:color="000000" w:fill="FFFFFF"/>
            <w:noWrap/>
            <w:vAlign w:val="bottom"/>
            <w:hideMark/>
          </w:tcPr>
          <w:p w14:paraId="09DE545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59,87</w:t>
            </w:r>
          </w:p>
        </w:tc>
        <w:tc>
          <w:tcPr>
            <w:tcW w:w="1093" w:type="dxa"/>
            <w:tcBorders>
              <w:top w:val="nil"/>
              <w:left w:val="nil"/>
              <w:bottom w:val="nil"/>
              <w:right w:val="nil"/>
            </w:tcBorders>
            <w:shd w:val="clear" w:color="000000" w:fill="FFFFFF"/>
            <w:vAlign w:val="center"/>
            <w:hideMark/>
          </w:tcPr>
          <w:p w14:paraId="3156256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83354,00</w:t>
            </w:r>
          </w:p>
        </w:tc>
        <w:tc>
          <w:tcPr>
            <w:tcW w:w="761" w:type="dxa"/>
            <w:tcBorders>
              <w:top w:val="nil"/>
              <w:left w:val="nil"/>
              <w:bottom w:val="nil"/>
              <w:right w:val="nil"/>
            </w:tcBorders>
            <w:shd w:val="clear" w:color="000000" w:fill="FFFFFF"/>
            <w:noWrap/>
            <w:vAlign w:val="bottom"/>
            <w:hideMark/>
          </w:tcPr>
          <w:p w14:paraId="50E6E40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28,10</w:t>
            </w:r>
          </w:p>
        </w:tc>
        <w:tc>
          <w:tcPr>
            <w:tcW w:w="1051" w:type="dxa"/>
            <w:tcBorders>
              <w:top w:val="nil"/>
              <w:left w:val="nil"/>
              <w:bottom w:val="nil"/>
              <w:right w:val="nil"/>
            </w:tcBorders>
            <w:shd w:val="clear" w:color="000000" w:fill="FFFFFF"/>
            <w:noWrap/>
            <w:vAlign w:val="bottom"/>
            <w:hideMark/>
          </w:tcPr>
          <w:p w14:paraId="44C685B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38,40</w:t>
            </w:r>
          </w:p>
        </w:tc>
        <w:tc>
          <w:tcPr>
            <w:tcW w:w="761" w:type="dxa"/>
            <w:tcBorders>
              <w:top w:val="nil"/>
              <w:left w:val="nil"/>
              <w:bottom w:val="nil"/>
              <w:right w:val="nil"/>
            </w:tcBorders>
            <w:shd w:val="clear" w:color="000000" w:fill="FFFFFF"/>
            <w:noWrap/>
            <w:vAlign w:val="bottom"/>
            <w:hideMark/>
          </w:tcPr>
          <w:p w14:paraId="0F044E3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0,96</w:t>
            </w:r>
          </w:p>
        </w:tc>
        <w:tc>
          <w:tcPr>
            <w:tcW w:w="1052" w:type="dxa"/>
            <w:tcBorders>
              <w:top w:val="nil"/>
              <w:left w:val="nil"/>
              <w:bottom w:val="nil"/>
              <w:right w:val="nil"/>
            </w:tcBorders>
            <w:shd w:val="clear" w:color="000000" w:fill="FFFFFF"/>
            <w:noWrap/>
            <w:vAlign w:val="bottom"/>
            <w:hideMark/>
          </w:tcPr>
          <w:p w14:paraId="333874A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82,20</w:t>
            </w:r>
          </w:p>
        </w:tc>
        <w:tc>
          <w:tcPr>
            <w:tcW w:w="1107" w:type="dxa"/>
            <w:tcBorders>
              <w:top w:val="nil"/>
              <w:left w:val="nil"/>
              <w:bottom w:val="nil"/>
              <w:right w:val="nil"/>
            </w:tcBorders>
            <w:shd w:val="clear" w:color="000000" w:fill="FFFFFF"/>
            <w:noWrap/>
            <w:vAlign w:val="bottom"/>
            <w:hideMark/>
          </w:tcPr>
          <w:p w14:paraId="17E130F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35207A4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3A00BE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49992F3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48,29</w:t>
            </w:r>
          </w:p>
        </w:tc>
      </w:tr>
      <w:tr w:rsidR="002E2D1F" w:rsidRPr="0002056A" w14:paraId="11215431"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F3FA030"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CRO</w:t>
            </w:r>
          </w:p>
        </w:tc>
        <w:tc>
          <w:tcPr>
            <w:tcW w:w="1008" w:type="dxa"/>
            <w:tcBorders>
              <w:top w:val="nil"/>
              <w:left w:val="nil"/>
              <w:bottom w:val="nil"/>
              <w:right w:val="nil"/>
            </w:tcBorders>
            <w:shd w:val="clear" w:color="auto" w:fill="C5E0B3" w:themeFill="accent6" w:themeFillTint="66"/>
            <w:noWrap/>
            <w:vAlign w:val="bottom"/>
            <w:hideMark/>
          </w:tcPr>
          <w:p w14:paraId="66F10450" w14:textId="39B79D5E"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38,00</w:t>
            </w:r>
          </w:p>
        </w:tc>
        <w:tc>
          <w:tcPr>
            <w:tcW w:w="1141" w:type="dxa"/>
            <w:tcBorders>
              <w:top w:val="nil"/>
              <w:left w:val="nil"/>
              <w:bottom w:val="nil"/>
              <w:right w:val="nil"/>
            </w:tcBorders>
            <w:shd w:val="clear" w:color="000000" w:fill="FFFFFF"/>
            <w:noWrap/>
            <w:vAlign w:val="bottom"/>
            <w:hideMark/>
          </w:tcPr>
          <w:p w14:paraId="473F57B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56594,00</w:t>
            </w:r>
          </w:p>
        </w:tc>
        <w:tc>
          <w:tcPr>
            <w:tcW w:w="992" w:type="dxa"/>
            <w:tcBorders>
              <w:top w:val="nil"/>
              <w:left w:val="nil"/>
              <w:bottom w:val="nil"/>
              <w:right w:val="nil"/>
            </w:tcBorders>
            <w:shd w:val="clear" w:color="000000" w:fill="FFFFFF"/>
            <w:hideMark/>
          </w:tcPr>
          <w:p w14:paraId="6414DB7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0F34A28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3866,29</w:t>
            </w:r>
          </w:p>
        </w:tc>
        <w:tc>
          <w:tcPr>
            <w:tcW w:w="1051" w:type="dxa"/>
            <w:tcBorders>
              <w:top w:val="nil"/>
              <w:left w:val="nil"/>
              <w:bottom w:val="nil"/>
              <w:right w:val="nil"/>
            </w:tcBorders>
            <w:shd w:val="clear" w:color="000000" w:fill="FFFFFF"/>
            <w:noWrap/>
            <w:vAlign w:val="bottom"/>
            <w:hideMark/>
          </w:tcPr>
          <w:p w14:paraId="714CBCC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68,20</w:t>
            </w:r>
          </w:p>
        </w:tc>
        <w:tc>
          <w:tcPr>
            <w:tcW w:w="1209" w:type="dxa"/>
            <w:tcBorders>
              <w:top w:val="nil"/>
              <w:left w:val="nil"/>
              <w:bottom w:val="nil"/>
              <w:right w:val="nil"/>
            </w:tcBorders>
            <w:shd w:val="clear" w:color="000000" w:fill="FFFFFF"/>
            <w:noWrap/>
            <w:vAlign w:val="bottom"/>
            <w:hideMark/>
          </w:tcPr>
          <w:p w14:paraId="27F3426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58,95</w:t>
            </w:r>
          </w:p>
        </w:tc>
        <w:tc>
          <w:tcPr>
            <w:tcW w:w="1093" w:type="dxa"/>
            <w:tcBorders>
              <w:top w:val="nil"/>
              <w:left w:val="nil"/>
              <w:bottom w:val="nil"/>
              <w:right w:val="nil"/>
            </w:tcBorders>
            <w:shd w:val="clear" w:color="000000" w:fill="FFFFFF"/>
            <w:vAlign w:val="center"/>
            <w:hideMark/>
          </w:tcPr>
          <w:p w14:paraId="3A46A20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47758,00</w:t>
            </w:r>
          </w:p>
        </w:tc>
        <w:tc>
          <w:tcPr>
            <w:tcW w:w="761" w:type="dxa"/>
            <w:tcBorders>
              <w:top w:val="nil"/>
              <w:left w:val="nil"/>
              <w:bottom w:val="nil"/>
              <w:right w:val="nil"/>
            </w:tcBorders>
            <w:shd w:val="clear" w:color="000000" w:fill="FFFFFF"/>
            <w:noWrap/>
            <w:vAlign w:val="bottom"/>
            <w:hideMark/>
          </w:tcPr>
          <w:p w14:paraId="42C222F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29,70</w:t>
            </w:r>
          </w:p>
        </w:tc>
        <w:tc>
          <w:tcPr>
            <w:tcW w:w="1051" w:type="dxa"/>
            <w:tcBorders>
              <w:top w:val="nil"/>
              <w:left w:val="nil"/>
              <w:bottom w:val="nil"/>
              <w:right w:val="nil"/>
            </w:tcBorders>
            <w:shd w:val="clear" w:color="000000" w:fill="FFFFFF"/>
            <w:noWrap/>
            <w:vAlign w:val="bottom"/>
            <w:hideMark/>
          </w:tcPr>
          <w:p w14:paraId="2CC3F0F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24,80</w:t>
            </w:r>
          </w:p>
        </w:tc>
        <w:tc>
          <w:tcPr>
            <w:tcW w:w="761" w:type="dxa"/>
            <w:tcBorders>
              <w:top w:val="nil"/>
              <w:left w:val="nil"/>
              <w:bottom w:val="nil"/>
              <w:right w:val="nil"/>
            </w:tcBorders>
            <w:shd w:val="clear" w:color="000000" w:fill="FFFFFF"/>
            <w:noWrap/>
            <w:vAlign w:val="bottom"/>
            <w:hideMark/>
          </w:tcPr>
          <w:p w14:paraId="7400E78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0,89</w:t>
            </w:r>
          </w:p>
        </w:tc>
        <w:tc>
          <w:tcPr>
            <w:tcW w:w="1052" w:type="dxa"/>
            <w:tcBorders>
              <w:top w:val="nil"/>
              <w:left w:val="nil"/>
              <w:bottom w:val="nil"/>
              <w:right w:val="nil"/>
            </w:tcBorders>
            <w:shd w:val="clear" w:color="000000" w:fill="FFFFFF"/>
            <w:noWrap/>
            <w:vAlign w:val="bottom"/>
            <w:hideMark/>
          </w:tcPr>
          <w:p w14:paraId="61BF538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78,60</w:t>
            </w:r>
          </w:p>
        </w:tc>
        <w:tc>
          <w:tcPr>
            <w:tcW w:w="1107" w:type="dxa"/>
            <w:tcBorders>
              <w:top w:val="nil"/>
              <w:left w:val="nil"/>
              <w:bottom w:val="nil"/>
              <w:right w:val="nil"/>
            </w:tcBorders>
            <w:shd w:val="clear" w:color="000000" w:fill="FFFFFF"/>
            <w:noWrap/>
            <w:vAlign w:val="bottom"/>
            <w:hideMark/>
          </w:tcPr>
          <w:p w14:paraId="03F342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264BCD2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450AD73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BEE543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70,20</w:t>
            </w:r>
          </w:p>
        </w:tc>
      </w:tr>
      <w:tr w:rsidR="002E2D1F" w:rsidRPr="0002056A" w14:paraId="2CB9A72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6A79499"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IRL</w:t>
            </w:r>
          </w:p>
        </w:tc>
        <w:tc>
          <w:tcPr>
            <w:tcW w:w="1008" w:type="dxa"/>
            <w:tcBorders>
              <w:top w:val="nil"/>
              <w:left w:val="nil"/>
              <w:bottom w:val="nil"/>
              <w:right w:val="nil"/>
            </w:tcBorders>
            <w:shd w:val="clear" w:color="auto" w:fill="C5E0B3" w:themeFill="accent6" w:themeFillTint="66"/>
            <w:noWrap/>
            <w:vAlign w:val="bottom"/>
            <w:hideMark/>
          </w:tcPr>
          <w:p w14:paraId="25FC7F49" w14:textId="76EA8F2F"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46,00</w:t>
            </w:r>
          </w:p>
        </w:tc>
        <w:tc>
          <w:tcPr>
            <w:tcW w:w="1141" w:type="dxa"/>
            <w:tcBorders>
              <w:top w:val="nil"/>
              <w:left w:val="nil"/>
              <w:bottom w:val="nil"/>
              <w:right w:val="nil"/>
            </w:tcBorders>
            <w:shd w:val="clear" w:color="000000" w:fill="FFFFFF"/>
            <w:noWrap/>
            <w:vAlign w:val="bottom"/>
            <w:hideMark/>
          </w:tcPr>
          <w:p w14:paraId="62ABD4D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69647,00</w:t>
            </w:r>
          </w:p>
        </w:tc>
        <w:tc>
          <w:tcPr>
            <w:tcW w:w="992" w:type="dxa"/>
            <w:tcBorders>
              <w:top w:val="nil"/>
              <w:left w:val="nil"/>
              <w:bottom w:val="nil"/>
              <w:right w:val="nil"/>
            </w:tcBorders>
            <w:shd w:val="clear" w:color="000000" w:fill="FFFFFF"/>
            <w:hideMark/>
          </w:tcPr>
          <w:p w14:paraId="7511BE6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44C193D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5380,26</w:t>
            </w:r>
          </w:p>
        </w:tc>
        <w:tc>
          <w:tcPr>
            <w:tcW w:w="1051" w:type="dxa"/>
            <w:tcBorders>
              <w:top w:val="nil"/>
              <w:left w:val="nil"/>
              <w:bottom w:val="nil"/>
              <w:right w:val="nil"/>
            </w:tcBorders>
            <w:shd w:val="clear" w:color="000000" w:fill="FFFFFF"/>
            <w:noWrap/>
            <w:vAlign w:val="bottom"/>
            <w:hideMark/>
          </w:tcPr>
          <w:p w14:paraId="51524C3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75,59</w:t>
            </w:r>
          </w:p>
        </w:tc>
        <w:tc>
          <w:tcPr>
            <w:tcW w:w="1209" w:type="dxa"/>
            <w:tcBorders>
              <w:top w:val="nil"/>
              <w:left w:val="nil"/>
              <w:bottom w:val="nil"/>
              <w:right w:val="nil"/>
            </w:tcBorders>
            <w:shd w:val="clear" w:color="000000" w:fill="FFFFFF"/>
            <w:noWrap/>
            <w:vAlign w:val="bottom"/>
            <w:hideMark/>
          </w:tcPr>
          <w:p w14:paraId="5D43C0E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64,76</w:t>
            </w:r>
          </w:p>
        </w:tc>
        <w:tc>
          <w:tcPr>
            <w:tcW w:w="1093" w:type="dxa"/>
            <w:tcBorders>
              <w:top w:val="nil"/>
              <w:left w:val="nil"/>
              <w:bottom w:val="nil"/>
              <w:right w:val="nil"/>
            </w:tcBorders>
            <w:shd w:val="clear" w:color="000000" w:fill="FFFFFF"/>
            <w:vAlign w:val="center"/>
            <w:hideMark/>
          </w:tcPr>
          <w:p w14:paraId="0B4BA08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131060,00</w:t>
            </w:r>
          </w:p>
        </w:tc>
        <w:tc>
          <w:tcPr>
            <w:tcW w:w="761" w:type="dxa"/>
            <w:tcBorders>
              <w:top w:val="nil"/>
              <w:left w:val="nil"/>
              <w:bottom w:val="nil"/>
              <w:right w:val="nil"/>
            </w:tcBorders>
            <w:shd w:val="clear" w:color="000000" w:fill="FFFFFF"/>
            <w:noWrap/>
            <w:vAlign w:val="bottom"/>
            <w:hideMark/>
          </w:tcPr>
          <w:p w14:paraId="6F5B242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30,60</w:t>
            </w:r>
          </w:p>
        </w:tc>
        <w:tc>
          <w:tcPr>
            <w:tcW w:w="1051" w:type="dxa"/>
            <w:tcBorders>
              <w:top w:val="nil"/>
              <w:left w:val="nil"/>
              <w:bottom w:val="nil"/>
              <w:right w:val="nil"/>
            </w:tcBorders>
            <w:shd w:val="clear" w:color="000000" w:fill="FFFFFF"/>
            <w:noWrap/>
            <w:vAlign w:val="bottom"/>
            <w:hideMark/>
          </w:tcPr>
          <w:p w14:paraId="1685D6D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46,60</w:t>
            </w:r>
          </w:p>
        </w:tc>
        <w:tc>
          <w:tcPr>
            <w:tcW w:w="761" w:type="dxa"/>
            <w:tcBorders>
              <w:top w:val="nil"/>
              <w:left w:val="nil"/>
              <w:bottom w:val="nil"/>
              <w:right w:val="nil"/>
            </w:tcBorders>
            <w:shd w:val="clear" w:color="000000" w:fill="FFFFFF"/>
            <w:noWrap/>
            <w:vAlign w:val="bottom"/>
            <w:hideMark/>
          </w:tcPr>
          <w:p w14:paraId="278FA94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0,95</w:t>
            </w:r>
          </w:p>
        </w:tc>
        <w:tc>
          <w:tcPr>
            <w:tcW w:w="1052" w:type="dxa"/>
            <w:tcBorders>
              <w:top w:val="nil"/>
              <w:left w:val="nil"/>
              <w:bottom w:val="nil"/>
              <w:right w:val="nil"/>
            </w:tcBorders>
            <w:shd w:val="clear" w:color="000000" w:fill="FFFFFF"/>
            <w:noWrap/>
            <w:vAlign w:val="bottom"/>
            <w:hideMark/>
          </w:tcPr>
          <w:p w14:paraId="4D5E0B5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82,40</w:t>
            </w:r>
          </w:p>
        </w:tc>
        <w:tc>
          <w:tcPr>
            <w:tcW w:w="1107" w:type="dxa"/>
            <w:tcBorders>
              <w:top w:val="nil"/>
              <w:left w:val="nil"/>
              <w:bottom w:val="nil"/>
              <w:right w:val="nil"/>
            </w:tcBorders>
            <w:shd w:val="clear" w:color="000000" w:fill="FFFFFF"/>
            <w:noWrap/>
            <w:vAlign w:val="bottom"/>
            <w:hideMark/>
          </w:tcPr>
          <w:p w14:paraId="2BE50C4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0D15B2B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147556D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7492545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46,78</w:t>
            </w:r>
          </w:p>
        </w:tc>
      </w:tr>
      <w:tr w:rsidR="002E2D1F" w:rsidRPr="0002056A" w14:paraId="1305C017"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694F5E0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ICE</w:t>
            </w:r>
          </w:p>
        </w:tc>
        <w:tc>
          <w:tcPr>
            <w:tcW w:w="1008" w:type="dxa"/>
            <w:tcBorders>
              <w:top w:val="nil"/>
              <w:left w:val="nil"/>
              <w:bottom w:val="nil"/>
              <w:right w:val="nil"/>
            </w:tcBorders>
            <w:shd w:val="clear" w:color="auto" w:fill="C5E0B3" w:themeFill="accent6" w:themeFillTint="66"/>
            <w:noWrap/>
            <w:vAlign w:val="bottom"/>
            <w:hideMark/>
          </w:tcPr>
          <w:p w14:paraId="24D66BD0" w14:textId="21ED6783"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25,00</w:t>
            </w:r>
          </w:p>
        </w:tc>
        <w:tc>
          <w:tcPr>
            <w:tcW w:w="1141" w:type="dxa"/>
            <w:tcBorders>
              <w:top w:val="nil"/>
              <w:left w:val="nil"/>
              <w:bottom w:val="nil"/>
              <w:right w:val="nil"/>
            </w:tcBorders>
            <w:shd w:val="clear" w:color="000000" w:fill="FFFFFF"/>
            <w:hideMark/>
          </w:tcPr>
          <w:p w14:paraId="50F2D26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103000,00</w:t>
            </w:r>
          </w:p>
        </w:tc>
        <w:tc>
          <w:tcPr>
            <w:tcW w:w="992" w:type="dxa"/>
            <w:tcBorders>
              <w:top w:val="nil"/>
              <w:left w:val="nil"/>
              <w:bottom w:val="nil"/>
              <w:right w:val="nil"/>
            </w:tcBorders>
            <w:shd w:val="clear" w:color="000000" w:fill="FFFFFF"/>
            <w:hideMark/>
          </w:tcPr>
          <w:p w14:paraId="0E7F342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40FFA6F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404,61</w:t>
            </w:r>
          </w:p>
        </w:tc>
        <w:tc>
          <w:tcPr>
            <w:tcW w:w="1051" w:type="dxa"/>
            <w:tcBorders>
              <w:top w:val="nil"/>
              <w:left w:val="nil"/>
              <w:bottom w:val="nil"/>
              <w:right w:val="nil"/>
            </w:tcBorders>
            <w:shd w:val="clear" w:color="000000" w:fill="FFFFFF"/>
            <w:noWrap/>
            <w:vAlign w:val="bottom"/>
            <w:hideMark/>
          </w:tcPr>
          <w:p w14:paraId="2AB5F8F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3,75</w:t>
            </w:r>
          </w:p>
        </w:tc>
        <w:tc>
          <w:tcPr>
            <w:tcW w:w="1209" w:type="dxa"/>
            <w:tcBorders>
              <w:top w:val="nil"/>
              <w:left w:val="nil"/>
              <w:bottom w:val="nil"/>
              <w:right w:val="nil"/>
            </w:tcBorders>
            <w:shd w:val="clear" w:color="000000" w:fill="FFFFFF"/>
            <w:noWrap/>
            <w:vAlign w:val="bottom"/>
            <w:hideMark/>
          </w:tcPr>
          <w:p w14:paraId="221C4F3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94,09</w:t>
            </w:r>
          </w:p>
        </w:tc>
        <w:tc>
          <w:tcPr>
            <w:tcW w:w="1093" w:type="dxa"/>
            <w:tcBorders>
              <w:top w:val="nil"/>
              <w:left w:val="nil"/>
              <w:bottom w:val="nil"/>
              <w:right w:val="nil"/>
            </w:tcBorders>
            <w:shd w:val="clear" w:color="000000" w:fill="FFFFFF"/>
            <w:vAlign w:val="center"/>
            <w:hideMark/>
          </w:tcPr>
          <w:p w14:paraId="331852D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81904,00</w:t>
            </w:r>
          </w:p>
        </w:tc>
        <w:tc>
          <w:tcPr>
            <w:tcW w:w="761" w:type="dxa"/>
            <w:tcBorders>
              <w:top w:val="nil"/>
              <w:left w:val="nil"/>
              <w:bottom w:val="nil"/>
              <w:right w:val="nil"/>
            </w:tcBorders>
            <w:shd w:val="clear" w:color="000000" w:fill="FFFFFF"/>
            <w:noWrap/>
            <w:vAlign w:val="bottom"/>
            <w:hideMark/>
          </w:tcPr>
          <w:p w14:paraId="472DE13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26,60</w:t>
            </w:r>
          </w:p>
        </w:tc>
        <w:tc>
          <w:tcPr>
            <w:tcW w:w="1051" w:type="dxa"/>
            <w:tcBorders>
              <w:top w:val="nil"/>
              <w:left w:val="nil"/>
              <w:bottom w:val="nil"/>
              <w:right w:val="nil"/>
            </w:tcBorders>
            <w:shd w:val="clear" w:color="000000" w:fill="FFFFFF"/>
            <w:noWrap/>
            <w:vAlign w:val="bottom"/>
            <w:hideMark/>
          </w:tcPr>
          <w:p w14:paraId="4626954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37,50</w:t>
            </w:r>
          </w:p>
        </w:tc>
        <w:tc>
          <w:tcPr>
            <w:tcW w:w="761" w:type="dxa"/>
            <w:tcBorders>
              <w:top w:val="nil"/>
              <w:left w:val="nil"/>
              <w:bottom w:val="nil"/>
              <w:right w:val="nil"/>
            </w:tcBorders>
            <w:shd w:val="clear" w:color="000000" w:fill="FFFFFF"/>
            <w:noWrap/>
            <w:vAlign w:val="bottom"/>
            <w:hideMark/>
          </w:tcPr>
          <w:p w14:paraId="513AE1B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0,97</w:t>
            </w:r>
          </w:p>
        </w:tc>
        <w:tc>
          <w:tcPr>
            <w:tcW w:w="1052" w:type="dxa"/>
            <w:tcBorders>
              <w:top w:val="nil"/>
              <w:left w:val="nil"/>
              <w:bottom w:val="nil"/>
              <w:right w:val="nil"/>
            </w:tcBorders>
            <w:shd w:val="clear" w:color="000000" w:fill="FFFFFF"/>
            <w:noWrap/>
            <w:vAlign w:val="bottom"/>
            <w:hideMark/>
          </w:tcPr>
          <w:p w14:paraId="5AF250D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82,70</w:t>
            </w:r>
          </w:p>
        </w:tc>
        <w:tc>
          <w:tcPr>
            <w:tcW w:w="1107" w:type="dxa"/>
            <w:tcBorders>
              <w:top w:val="nil"/>
              <w:left w:val="nil"/>
              <w:bottom w:val="nil"/>
              <w:right w:val="nil"/>
            </w:tcBorders>
            <w:shd w:val="clear" w:color="000000" w:fill="FFFFFF"/>
            <w:noWrap/>
            <w:vAlign w:val="bottom"/>
            <w:hideMark/>
          </w:tcPr>
          <w:p w14:paraId="1D154C9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528CF1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199D9E1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EC5BD8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100,00</w:t>
            </w:r>
          </w:p>
        </w:tc>
      </w:tr>
      <w:tr w:rsidR="002E2D1F" w:rsidRPr="0002056A" w14:paraId="22430184"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5EA6DB1D"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KOS</w:t>
            </w:r>
          </w:p>
        </w:tc>
        <w:tc>
          <w:tcPr>
            <w:tcW w:w="1008" w:type="dxa"/>
            <w:tcBorders>
              <w:top w:val="nil"/>
              <w:left w:val="nil"/>
              <w:bottom w:val="nil"/>
              <w:right w:val="nil"/>
            </w:tcBorders>
            <w:shd w:val="clear" w:color="auto" w:fill="C5E0B3" w:themeFill="accent6" w:themeFillTint="66"/>
            <w:noWrap/>
            <w:vAlign w:val="bottom"/>
            <w:hideMark/>
          </w:tcPr>
          <w:p w14:paraId="4230E08B" w14:textId="07D98FF1"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36,00</w:t>
            </w:r>
          </w:p>
        </w:tc>
        <w:tc>
          <w:tcPr>
            <w:tcW w:w="1141" w:type="dxa"/>
            <w:tcBorders>
              <w:top w:val="nil"/>
              <w:left w:val="nil"/>
              <w:bottom w:val="nil"/>
              <w:right w:val="nil"/>
            </w:tcBorders>
            <w:shd w:val="clear" w:color="000000" w:fill="FFFFFF"/>
            <w:noWrap/>
            <w:vAlign w:val="bottom"/>
            <w:hideMark/>
          </w:tcPr>
          <w:p w14:paraId="68231BB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10887,00</w:t>
            </w:r>
          </w:p>
        </w:tc>
        <w:tc>
          <w:tcPr>
            <w:tcW w:w="992" w:type="dxa"/>
            <w:tcBorders>
              <w:top w:val="nil"/>
              <w:left w:val="nil"/>
              <w:bottom w:val="nil"/>
              <w:right w:val="nil"/>
            </w:tcBorders>
            <w:shd w:val="clear" w:color="000000" w:fill="FFFFFF"/>
            <w:hideMark/>
          </w:tcPr>
          <w:p w14:paraId="25EC53C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765656D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1980,00</w:t>
            </w:r>
          </w:p>
        </w:tc>
        <w:tc>
          <w:tcPr>
            <w:tcW w:w="1051" w:type="dxa"/>
            <w:tcBorders>
              <w:top w:val="nil"/>
              <w:left w:val="nil"/>
              <w:bottom w:val="nil"/>
              <w:right w:val="nil"/>
            </w:tcBorders>
            <w:shd w:val="clear" w:color="000000" w:fill="FFFFFF"/>
            <w:noWrap/>
            <w:vAlign w:val="bottom"/>
            <w:hideMark/>
          </w:tcPr>
          <w:p w14:paraId="694DC79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140,29</w:t>
            </w:r>
          </w:p>
        </w:tc>
        <w:tc>
          <w:tcPr>
            <w:tcW w:w="1209" w:type="dxa"/>
            <w:tcBorders>
              <w:top w:val="nil"/>
              <w:left w:val="nil"/>
              <w:bottom w:val="nil"/>
              <w:right w:val="nil"/>
            </w:tcBorders>
            <w:shd w:val="clear" w:color="000000" w:fill="FFFFFF"/>
            <w:noWrap/>
            <w:vAlign w:val="bottom"/>
            <w:hideMark/>
          </w:tcPr>
          <w:p w14:paraId="67EE34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50,00</w:t>
            </w:r>
          </w:p>
        </w:tc>
        <w:tc>
          <w:tcPr>
            <w:tcW w:w="1093" w:type="dxa"/>
            <w:tcBorders>
              <w:top w:val="nil"/>
              <w:left w:val="nil"/>
              <w:bottom w:val="nil"/>
              <w:right w:val="nil"/>
            </w:tcBorders>
            <w:shd w:val="clear" w:color="000000" w:fill="FFFFFF"/>
            <w:noWrap/>
            <w:vAlign w:val="bottom"/>
            <w:hideMark/>
          </w:tcPr>
          <w:p w14:paraId="384F0AB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18619,80</w:t>
            </w:r>
          </w:p>
        </w:tc>
        <w:tc>
          <w:tcPr>
            <w:tcW w:w="761" w:type="dxa"/>
            <w:tcBorders>
              <w:top w:val="nil"/>
              <w:left w:val="nil"/>
              <w:bottom w:val="nil"/>
              <w:right w:val="nil"/>
            </w:tcBorders>
            <w:shd w:val="clear" w:color="000000" w:fill="FFFFFF"/>
            <w:noWrap/>
            <w:vAlign w:val="bottom"/>
            <w:hideMark/>
          </w:tcPr>
          <w:p w14:paraId="4B5C142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44,60</w:t>
            </w:r>
          </w:p>
        </w:tc>
        <w:tc>
          <w:tcPr>
            <w:tcW w:w="1051" w:type="dxa"/>
            <w:tcBorders>
              <w:top w:val="nil"/>
              <w:left w:val="nil"/>
              <w:bottom w:val="nil"/>
              <w:right w:val="nil"/>
            </w:tcBorders>
            <w:shd w:val="clear" w:color="000000" w:fill="FFFFFF"/>
            <w:noWrap/>
            <w:vAlign w:val="bottom"/>
            <w:hideMark/>
          </w:tcPr>
          <w:p w14:paraId="267F1D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68,73</w:t>
            </w:r>
          </w:p>
        </w:tc>
        <w:tc>
          <w:tcPr>
            <w:tcW w:w="761" w:type="dxa"/>
            <w:tcBorders>
              <w:top w:val="nil"/>
              <w:left w:val="nil"/>
              <w:bottom w:val="nil"/>
              <w:right w:val="nil"/>
            </w:tcBorders>
            <w:shd w:val="clear" w:color="000000" w:fill="FFFFFF"/>
            <w:noWrap/>
            <w:vAlign w:val="bottom"/>
            <w:hideMark/>
          </w:tcPr>
          <w:p w14:paraId="75AADDB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0,76</w:t>
            </w:r>
          </w:p>
        </w:tc>
        <w:tc>
          <w:tcPr>
            <w:tcW w:w="1052" w:type="dxa"/>
            <w:tcBorders>
              <w:top w:val="nil"/>
              <w:left w:val="nil"/>
              <w:bottom w:val="nil"/>
              <w:right w:val="nil"/>
            </w:tcBorders>
            <w:shd w:val="clear" w:color="000000" w:fill="FFFFFF"/>
            <w:noWrap/>
            <w:vAlign w:val="bottom"/>
            <w:hideMark/>
          </w:tcPr>
          <w:p w14:paraId="3707A0A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78,00</w:t>
            </w:r>
          </w:p>
        </w:tc>
        <w:tc>
          <w:tcPr>
            <w:tcW w:w="1107" w:type="dxa"/>
            <w:tcBorders>
              <w:top w:val="nil"/>
              <w:left w:val="nil"/>
              <w:bottom w:val="nil"/>
              <w:right w:val="nil"/>
            </w:tcBorders>
            <w:shd w:val="clear" w:color="000000" w:fill="FFFFFF"/>
            <w:noWrap/>
            <w:vAlign w:val="bottom"/>
            <w:hideMark/>
          </w:tcPr>
          <w:p w14:paraId="3AABCA8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6B84F03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6601162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52BC70D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12,70</w:t>
            </w:r>
          </w:p>
        </w:tc>
      </w:tr>
      <w:tr w:rsidR="002E2D1F" w:rsidRPr="0002056A" w14:paraId="32988FF4"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F9DEB0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lastRenderedPageBreak/>
              <w:t>POL</w:t>
            </w:r>
          </w:p>
        </w:tc>
        <w:tc>
          <w:tcPr>
            <w:tcW w:w="1008" w:type="dxa"/>
            <w:tcBorders>
              <w:top w:val="nil"/>
              <w:left w:val="nil"/>
              <w:bottom w:val="nil"/>
              <w:right w:val="nil"/>
            </w:tcBorders>
            <w:shd w:val="clear" w:color="auto" w:fill="C5E0B3" w:themeFill="accent6" w:themeFillTint="66"/>
            <w:noWrap/>
            <w:vAlign w:val="bottom"/>
            <w:hideMark/>
          </w:tcPr>
          <w:p w14:paraId="684DA58F" w14:textId="335C7BEA"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71,00</w:t>
            </w:r>
          </w:p>
        </w:tc>
        <w:tc>
          <w:tcPr>
            <w:tcW w:w="1141" w:type="dxa"/>
            <w:tcBorders>
              <w:top w:val="nil"/>
              <w:left w:val="nil"/>
              <w:bottom w:val="nil"/>
              <w:right w:val="nil"/>
            </w:tcBorders>
            <w:shd w:val="clear" w:color="000000" w:fill="FFFFFF"/>
            <w:noWrap/>
            <w:vAlign w:val="bottom"/>
            <w:hideMark/>
          </w:tcPr>
          <w:p w14:paraId="05D5464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311928,00</w:t>
            </w:r>
          </w:p>
        </w:tc>
        <w:tc>
          <w:tcPr>
            <w:tcW w:w="992" w:type="dxa"/>
            <w:tcBorders>
              <w:top w:val="nil"/>
              <w:left w:val="nil"/>
              <w:bottom w:val="nil"/>
              <w:right w:val="nil"/>
            </w:tcBorders>
            <w:shd w:val="clear" w:color="000000" w:fill="FFFFFF"/>
            <w:hideMark/>
          </w:tcPr>
          <w:p w14:paraId="61F5D7C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2F63B9C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36554,67</w:t>
            </w:r>
          </w:p>
        </w:tc>
        <w:tc>
          <w:tcPr>
            <w:tcW w:w="1051" w:type="dxa"/>
            <w:tcBorders>
              <w:top w:val="nil"/>
              <w:left w:val="nil"/>
              <w:bottom w:val="nil"/>
              <w:right w:val="nil"/>
            </w:tcBorders>
            <w:shd w:val="clear" w:color="000000" w:fill="FFFFFF"/>
            <w:noWrap/>
            <w:vAlign w:val="bottom"/>
            <w:hideMark/>
          </w:tcPr>
          <w:p w14:paraId="1FDB8C0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117,33</w:t>
            </w:r>
          </w:p>
        </w:tc>
        <w:tc>
          <w:tcPr>
            <w:tcW w:w="1209" w:type="dxa"/>
            <w:tcBorders>
              <w:top w:val="nil"/>
              <w:left w:val="nil"/>
              <w:bottom w:val="nil"/>
              <w:right w:val="nil"/>
            </w:tcBorders>
            <w:shd w:val="clear" w:color="000000" w:fill="FFFFFF"/>
            <w:noWrap/>
            <w:vAlign w:val="bottom"/>
            <w:hideMark/>
          </w:tcPr>
          <w:p w14:paraId="449860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60,33</w:t>
            </w:r>
          </w:p>
        </w:tc>
        <w:tc>
          <w:tcPr>
            <w:tcW w:w="1093" w:type="dxa"/>
            <w:tcBorders>
              <w:top w:val="nil"/>
              <w:left w:val="nil"/>
              <w:bottom w:val="nil"/>
              <w:right w:val="nil"/>
            </w:tcBorders>
            <w:shd w:val="clear" w:color="000000" w:fill="FFFFFF"/>
            <w:vAlign w:val="center"/>
            <w:hideMark/>
          </w:tcPr>
          <w:p w14:paraId="24A8EB2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49118,00</w:t>
            </w:r>
          </w:p>
        </w:tc>
        <w:tc>
          <w:tcPr>
            <w:tcW w:w="761" w:type="dxa"/>
            <w:tcBorders>
              <w:top w:val="nil"/>
              <w:left w:val="nil"/>
              <w:bottom w:val="nil"/>
              <w:right w:val="nil"/>
            </w:tcBorders>
            <w:shd w:val="clear" w:color="000000" w:fill="FFFFFF"/>
            <w:noWrap/>
            <w:vAlign w:val="bottom"/>
            <w:hideMark/>
          </w:tcPr>
          <w:p w14:paraId="7F52CFC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30,20</w:t>
            </w:r>
          </w:p>
        </w:tc>
        <w:tc>
          <w:tcPr>
            <w:tcW w:w="1051" w:type="dxa"/>
            <w:tcBorders>
              <w:top w:val="nil"/>
              <w:left w:val="nil"/>
              <w:bottom w:val="nil"/>
              <w:right w:val="nil"/>
            </w:tcBorders>
            <w:shd w:val="clear" w:color="000000" w:fill="FFFFFF"/>
            <w:noWrap/>
            <w:vAlign w:val="bottom"/>
            <w:hideMark/>
          </w:tcPr>
          <w:p w14:paraId="26F9C22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33,20</w:t>
            </w:r>
          </w:p>
        </w:tc>
        <w:tc>
          <w:tcPr>
            <w:tcW w:w="761" w:type="dxa"/>
            <w:tcBorders>
              <w:top w:val="nil"/>
              <w:left w:val="nil"/>
              <w:bottom w:val="nil"/>
              <w:right w:val="nil"/>
            </w:tcBorders>
            <w:shd w:val="clear" w:color="000000" w:fill="FFFFFF"/>
            <w:noWrap/>
            <w:vAlign w:val="bottom"/>
            <w:hideMark/>
          </w:tcPr>
          <w:p w14:paraId="56997F1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0,91</w:t>
            </w:r>
          </w:p>
        </w:tc>
        <w:tc>
          <w:tcPr>
            <w:tcW w:w="1052" w:type="dxa"/>
            <w:tcBorders>
              <w:top w:val="nil"/>
              <w:left w:val="nil"/>
              <w:bottom w:val="nil"/>
              <w:right w:val="nil"/>
            </w:tcBorders>
            <w:shd w:val="clear" w:color="000000" w:fill="FFFFFF"/>
            <w:noWrap/>
            <w:vAlign w:val="bottom"/>
            <w:hideMark/>
          </w:tcPr>
          <w:p w14:paraId="59ACC4E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78,60</w:t>
            </w:r>
          </w:p>
        </w:tc>
        <w:tc>
          <w:tcPr>
            <w:tcW w:w="1107" w:type="dxa"/>
            <w:tcBorders>
              <w:top w:val="nil"/>
              <w:left w:val="nil"/>
              <w:bottom w:val="nil"/>
              <w:right w:val="nil"/>
            </w:tcBorders>
            <w:shd w:val="clear" w:color="000000" w:fill="FFFFFF"/>
            <w:noWrap/>
            <w:vAlign w:val="bottom"/>
            <w:hideMark/>
          </w:tcPr>
          <w:p w14:paraId="5409E8C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210" w:type="dxa"/>
            <w:tcBorders>
              <w:top w:val="nil"/>
              <w:left w:val="nil"/>
              <w:bottom w:val="nil"/>
              <w:right w:val="nil"/>
            </w:tcBorders>
            <w:shd w:val="clear" w:color="000000" w:fill="FFFFFF"/>
            <w:noWrap/>
            <w:vAlign w:val="bottom"/>
            <w:hideMark/>
          </w:tcPr>
          <w:p w14:paraId="1B3493A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4B115AB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73D0F6C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28,50</w:t>
            </w:r>
          </w:p>
        </w:tc>
      </w:tr>
      <w:tr w:rsidR="002E2D1F" w:rsidRPr="0002056A" w14:paraId="29E840DB"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21D76520"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LAT</w:t>
            </w:r>
          </w:p>
        </w:tc>
        <w:tc>
          <w:tcPr>
            <w:tcW w:w="1008" w:type="dxa"/>
            <w:tcBorders>
              <w:top w:val="nil"/>
              <w:left w:val="nil"/>
              <w:bottom w:val="nil"/>
              <w:right w:val="nil"/>
            </w:tcBorders>
            <w:shd w:val="clear" w:color="auto" w:fill="C5E0B3" w:themeFill="accent6" w:themeFillTint="66"/>
            <w:noWrap/>
            <w:vAlign w:val="bottom"/>
            <w:hideMark/>
          </w:tcPr>
          <w:p w14:paraId="5F4F3C2A" w14:textId="77FF088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45,00</w:t>
            </w:r>
          </w:p>
        </w:tc>
        <w:tc>
          <w:tcPr>
            <w:tcW w:w="1141" w:type="dxa"/>
            <w:tcBorders>
              <w:top w:val="nil"/>
              <w:left w:val="nil"/>
              <w:bottom w:val="nil"/>
              <w:right w:val="nil"/>
            </w:tcBorders>
            <w:shd w:val="clear" w:color="000000" w:fill="FFFFFF"/>
            <w:noWrap/>
            <w:vAlign w:val="bottom"/>
            <w:hideMark/>
          </w:tcPr>
          <w:p w14:paraId="7DC3F24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64594,00</w:t>
            </w:r>
          </w:p>
        </w:tc>
        <w:tc>
          <w:tcPr>
            <w:tcW w:w="992" w:type="dxa"/>
            <w:tcBorders>
              <w:top w:val="nil"/>
              <w:left w:val="nil"/>
              <w:bottom w:val="nil"/>
              <w:right w:val="nil"/>
            </w:tcBorders>
            <w:shd w:val="clear" w:color="000000" w:fill="FFFFFF"/>
            <w:hideMark/>
          </w:tcPr>
          <w:p w14:paraId="61331BA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00B9ECE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1862,44</w:t>
            </w:r>
          </w:p>
        </w:tc>
        <w:tc>
          <w:tcPr>
            <w:tcW w:w="1051" w:type="dxa"/>
            <w:tcBorders>
              <w:top w:val="nil"/>
              <w:left w:val="nil"/>
              <w:bottom w:val="nil"/>
              <w:right w:val="nil"/>
            </w:tcBorders>
            <w:shd w:val="clear" w:color="000000" w:fill="FFFFFF"/>
            <w:noWrap/>
            <w:vAlign w:val="bottom"/>
            <w:hideMark/>
          </w:tcPr>
          <w:p w14:paraId="77C23C1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29,06</w:t>
            </w:r>
          </w:p>
        </w:tc>
        <w:tc>
          <w:tcPr>
            <w:tcW w:w="1209" w:type="dxa"/>
            <w:tcBorders>
              <w:top w:val="nil"/>
              <w:left w:val="nil"/>
              <w:bottom w:val="nil"/>
              <w:right w:val="nil"/>
            </w:tcBorders>
            <w:shd w:val="clear" w:color="000000" w:fill="FFFFFF"/>
            <w:noWrap/>
            <w:vAlign w:val="bottom"/>
            <w:hideMark/>
          </w:tcPr>
          <w:p w14:paraId="71877CC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68,82</w:t>
            </w:r>
          </w:p>
        </w:tc>
        <w:tc>
          <w:tcPr>
            <w:tcW w:w="1093" w:type="dxa"/>
            <w:tcBorders>
              <w:top w:val="nil"/>
              <w:left w:val="nil"/>
              <w:bottom w:val="nil"/>
              <w:right w:val="nil"/>
            </w:tcBorders>
            <w:shd w:val="clear" w:color="000000" w:fill="FFFFFF"/>
            <w:hideMark/>
          </w:tcPr>
          <w:p w14:paraId="75CB5FA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43901,00</w:t>
            </w:r>
          </w:p>
        </w:tc>
        <w:tc>
          <w:tcPr>
            <w:tcW w:w="761" w:type="dxa"/>
            <w:tcBorders>
              <w:top w:val="nil"/>
              <w:left w:val="nil"/>
              <w:bottom w:val="nil"/>
              <w:right w:val="nil"/>
            </w:tcBorders>
            <w:shd w:val="clear" w:color="000000" w:fill="FFFFFF"/>
            <w:noWrap/>
            <w:vAlign w:val="bottom"/>
            <w:hideMark/>
          </w:tcPr>
          <w:p w14:paraId="162220E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35,10</w:t>
            </w:r>
          </w:p>
        </w:tc>
        <w:tc>
          <w:tcPr>
            <w:tcW w:w="1051" w:type="dxa"/>
            <w:tcBorders>
              <w:top w:val="nil"/>
              <w:left w:val="nil"/>
              <w:bottom w:val="nil"/>
              <w:right w:val="nil"/>
            </w:tcBorders>
            <w:shd w:val="clear" w:color="000000" w:fill="FFFFFF"/>
            <w:noWrap/>
            <w:vAlign w:val="bottom"/>
            <w:hideMark/>
          </w:tcPr>
          <w:p w14:paraId="3655FD0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34,00</w:t>
            </w:r>
          </w:p>
        </w:tc>
        <w:tc>
          <w:tcPr>
            <w:tcW w:w="761" w:type="dxa"/>
            <w:tcBorders>
              <w:top w:val="nil"/>
              <w:left w:val="nil"/>
              <w:bottom w:val="nil"/>
              <w:right w:val="nil"/>
            </w:tcBorders>
            <w:shd w:val="clear" w:color="000000" w:fill="FFFFFF"/>
            <w:noWrap/>
            <w:vAlign w:val="bottom"/>
            <w:hideMark/>
          </w:tcPr>
          <w:p w14:paraId="1BD9336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0,89</w:t>
            </w:r>
          </w:p>
        </w:tc>
        <w:tc>
          <w:tcPr>
            <w:tcW w:w="1052" w:type="dxa"/>
            <w:tcBorders>
              <w:top w:val="nil"/>
              <w:left w:val="nil"/>
              <w:bottom w:val="nil"/>
              <w:right w:val="nil"/>
            </w:tcBorders>
            <w:shd w:val="clear" w:color="000000" w:fill="FFFFFF"/>
            <w:noWrap/>
            <w:vAlign w:val="bottom"/>
            <w:hideMark/>
          </w:tcPr>
          <w:p w14:paraId="7696279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76,20</w:t>
            </w:r>
          </w:p>
        </w:tc>
        <w:tc>
          <w:tcPr>
            <w:tcW w:w="1107" w:type="dxa"/>
            <w:tcBorders>
              <w:top w:val="nil"/>
              <w:left w:val="nil"/>
              <w:bottom w:val="nil"/>
              <w:right w:val="nil"/>
            </w:tcBorders>
            <w:shd w:val="clear" w:color="000000" w:fill="FFFFFF"/>
            <w:noWrap/>
            <w:vAlign w:val="bottom"/>
            <w:hideMark/>
          </w:tcPr>
          <w:p w14:paraId="797AEED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7C2A173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75C9296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145B2C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76,70</w:t>
            </w:r>
          </w:p>
        </w:tc>
      </w:tr>
      <w:tr w:rsidR="002E2D1F" w:rsidRPr="0002056A" w14:paraId="02470D33"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E0CCCC0"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LIT</w:t>
            </w:r>
          </w:p>
        </w:tc>
        <w:tc>
          <w:tcPr>
            <w:tcW w:w="1008" w:type="dxa"/>
            <w:tcBorders>
              <w:top w:val="nil"/>
              <w:left w:val="nil"/>
              <w:bottom w:val="nil"/>
              <w:right w:val="nil"/>
            </w:tcBorders>
            <w:shd w:val="clear" w:color="auto" w:fill="C5E0B3" w:themeFill="accent6" w:themeFillTint="66"/>
            <w:noWrap/>
            <w:vAlign w:val="bottom"/>
            <w:hideMark/>
          </w:tcPr>
          <w:p w14:paraId="5C17CE9F" w14:textId="5A4CD972"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56,00</w:t>
            </w:r>
          </w:p>
        </w:tc>
        <w:tc>
          <w:tcPr>
            <w:tcW w:w="1141" w:type="dxa"/>
            <w:tcBorders>
              <w:top w:val="nil"/>
              <w:left w:val="nil"/>
              <w:bottom w:val="nil"/>
              <w:right w:val="nil"/>
            </w:tcBorders>
            <w:shd w:val="clear" w:color="000000" w:fill="FFFFFF"/>
            <w:noWrap/>
            <w:vAlign w:val="bottom"/>
            <w:hideMark/>
          </w:tcPr>
          <w:p w14:paraId="185E80A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65284,00</w:t>
            </w:r>
          </w:p>
        </w:tc>
        <w:tc>
          <w:tcPr>
            <w:tcW w:w="992" w:type="dxa"/>
            <w:tcBorders>
              <w:top w:val="nil"/>
              <w:left w:val="nil"/>
              <w:bottom w:val="nil"/>
              <w:right w:val="nil"/>
            </w:tcBorders>
            <w:shd w:val="clear" w:color="000000" w:fill="FFFFFF"/>
            <w:hideMark/>
          </w:tcPr>
          <w:p w14:paraId="7C7B61A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245E710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2888,05</w:t>
            </w:r>
          </w:p>
        </w:tc>
        <w:tc>
          <w:tcPr>
            <w:tcW w:w="1051" w:type="dxa"/>
            <w:tcBorders>
              <w:top w:val="nil"/>
              <w:left w:val="nil"/>
              <w:bottom w:val="nil"/>
              <w:right w:val="nil"/>
            </w:tcBorders>
            <w:shd w:val="clear" w:color="000000" w:fill="FFFFFF"/>
            <w:noWrap/>
            <w:vAlign w:val="bottom"/>
            <w:hideMark/>
          </w:tcPr>
          <w:p w14:paraId="5623E5D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43,98</w:t>
            </w:r>
          </w:p>
        </w:tc>
        <w:tc>
          <w:tcPr>
            <w:tcW w:w="1209" w:type="dxa"/>
            <w:tcBorders>
              <w:top w:val="nil"/>
              <w:left w:val="nil"/>
              <w:bottom w:val="nil"/>
              <w:right w:val="nil"/>
            </w:tcBorders>
            <w:shd w:val="clear" w:color="000000" w:fill="FFFFFF"/>
            <w:noWrap/>
            <w:vAlign w:val="bottom"/>
            <w:hideMark/>
          </w:tcPr>
          <w:p w14:paraId="3A35A5C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68,94</w:t>
            </w:r>
          </w:p>
        </w:tc>
        <w:tc>
          <w:tcPr>
            <w:tcW w:w="1093" w:type="dxa"/>
            <w:tcBorders>
              <w:top w:val="nil"/>
              <w:left w:val="nil"/>
              <w:bottom w:val="nil"/>
              <w:right w:val="nil"/>
            </w:tcBorders>
            <w:shd w:val="clear" w:color="000000" w:fill="FFFFFF"/>
            <w:vAlign w:val="center"/>
            <w:hideMark/>
          </w:tcPr>
          <w:p w14:paraId="3725850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54414,00</w:t>
            </w:r>
          </w:p>
        </w:tc>
        <w:tc>
          <w:tcPr>
            <w:tcW w:w="761" w:type="dxa"/>
            <w:tcBorders>
              <w:top w:val="nil"/>
              <w:left w:val="nil"/>
              <w:bottom w:val="nil"/>
              <w:right w:val="nil"/>
            </w:tcBorders>
            <w:shd w:val="clear" w:color="000000" w:fill="FFFFFF"/>
            <w:noWrap/>
            <w:vAlign w:val="bottom"/>
            <w:hideMark/>
          </w:tcPr>
          <w:p w14:paraId="356C5CA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35,70</w:t>
            </w:r>
          </w:p>
        </w:tc>
        <w:tc>
          <w:tcPr>
            <w:tcW w:w="1051" w:type="dxa"/>
            <w:tcBorders>
              <w:top w:val="nil"/>
              <w:left w:val="nil"/>
              <w:bottom w:val="nil"/>
              <w:right w:val="nil"/>
            </w:tcBorders>
            <w:shd w:val="clear" w:color="000000" w:fill="FFFFFF"/>
            <w:noWrap/>
            <w:vAlign w:val="bottom"/>
            <w:hideMark/>
          </w:tcPr>
          <w:p w14:paraId="192BD5C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41,00</w:t>
            </w:r>
          </w:p>
        </w:tc>
        <w:tc>
          <w:tcPr>
            <w:tcW w:w="761" w:type="dxa"/>
            <w:tcBorders>
              <w:top w:val="nil"/>
              <w:left w:val="nil"/>
              <w:bottom w:val="nil"/>
              <w:right w:val="nil"/>
            </w:tcBorders>
            <w:shd w:val="clear" w:color="000000" w:fill="FFFFFF"/>
            <w:noWrap/>
            <w:vAlign w:val="bottom"/>
            <w:hideMark/>
          </w:tcPr>
          <w:p w14:paraId="41B4FBF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0,90</w:t>
            </w:r>
          </w:p>
        </w:tc>
        <w:tc>
          <w:tcPr>
            <w:tcW w:w="1052" w:type="dxa"/>
            <w:tcBorders>
              <w:top w:val="nil"/>
              <w:left w:val="nil"/>
              <w:bottom w:val="nil"/>
              <w:right w:val="nil"/>
            </w:tcBorders>
            <w:shd w:val="clear" w:color="000000" w:fill="FFFFFF"/>
            <w:noWrap/>
            <w:vAlign w:val="bottom"/>
            <w:hideMark/>
          </w:tcPr>
          <w:p w14:paraId="573360A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76,00</w:t>
            </w:r>
          </w:p>
        </w:tc>
        <w:tc>
          <w:tcPr>
            <w:tcW w:w="1107" w:type="dxa"/>
            <w:tcBorders>
              <w:top w:val="nil"/>
              <w:left w:val="nil"/>
              <w:bottom w:val="nil"/>
              <w:right w:val="nil"/>
            </w:tcBorders>
            <w:shd w:val="clear" w:color="000000" w:fill="FFFFFF"/>
            <w:noWrap/>
            <w:vAlign w:val="bottom"/>
            <w:hideMark/>
          </w:tcPr>
          <w:p w14:paraId="690F3D9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210" w:type="dxa"/>
            <w:tcBorders>
              <w:top w:val="nil"/>
              <w:left w:val="nil"/>
              <w:bottom w:val="nil"/>
              <w:right w:val="nil"/>
            </w:tcBorders>
            <w:shd w:val="clear" w:color="000000" w:fill="FFFFFF"/>
            <w:noWrap/>
            <w:vAlign w:val="bottom"/>
            <w:hideMark/>
          </w:tcPr>
          <w:p w14:paraId="08BB4ED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14CC0DF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73403B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86,20</w:t>
            </w:r>
          </w:p>
        </w:tc>
      </w:tr>
      <w:tr w:rsidR="002E2D1F" w:rsidRPr="0002056A" w14:paraId="13E38B1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AD20FCD"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LUX</w:t>
            </w:r>
          </w:p>
        </w:tc>
        <w:tc>
          <w:tcPr>
            <w:tcW w:w="1008" w:type="dxa"/>
            <w:tcBorders>
              <w:top w:val="nil"/>
              <w:left w:val="nil"/>
              <w:bottom w:val="nil"/>
              <w:right w:val="nil"/>
            </w:tcBorders>
            <w:shd w:val="clear" w:color="auto" w:fill="C5E0B3" w:themeFill="accent6" w:themeFillTint="66"/>
            <w:noWrap/>
            <w:vAlign w:val="bottom"/>
            <w:hideMark/>
          </w:tcPr>
          <w:p w14:paraId="67B5271B" w14:textId="73687BD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31,00</w:t>
            </w:r>
          </w:p>
        </w:tc>
        <w:tc>
          <w:tcPr>
            <w:tcW w:w="1141" w:type="dxa"/>
            <w:tcBorders>
              <w:top w:val="nil"/>
              <w:left w:val="nil"/>
              <w:bottom w:val="nil"/>
              <w:right w:val="nil"/>
            </w:tcBorders>
            <w:shd w:val="clear" w:color="000000" w:fill="FFFFFF"/>
            <w:noWrap/>
            <w:vAlign w:val="bottom"/>
            <w:hideMark/>
          </w:tcPr>
          <w:p w14:paraId="2BAA1C7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2595,00</w:t>
            </w:r>
          </w:p>
        </w:tc>
        <w:tc>
          <w:tcPr>
            <w:tcW w:w="992" w:type="dxa"/>
            <w:tcBorders>
              <w:top w:val="nil"/>
              <w:left w:val="nil"/>
              <w:bottom w:val="nil"/>
              <w:right w:val="nil"/>
            </w:tcBorders>
            <w:shd w:val="clear" w:color="000000" w:fill="FFFFFF"/>
            <w:hideMark/>
          </w:tcPr>
          <w:p w14:paraId="3813AD8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65F587E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677,72</w:t>
            </w:r>
          </w:p>
        </w:tc>
        <w:tc>
          <w:tcPr>
            <w:tcW w:w="1051" w:type="dxa"/>
            <w:tcBorders>
              <w:top w:val="nil"/>
              <w:left w:val="nil"/>
              <w:bottom w:val="nil"/>
              <w:right w:val="nil"/>
            </w:tcBorders>
            <w:shd w:val="clear" w:color="000000" w:fill="FFFFFF"/>
            <w:noWrap/>
            <w:vAlign w:val="bottom"/>
            <w:hideMark/>
          </w:tcPr>
          <w:p w14:paraId="176CBEE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257,54</w:t>
            </w:r>
          </w:p>
        </w:tc>
        <w:tc>
          <w:tcPr>
            <w:tcW w:w="1209" w:type="dxa"/>
            <w:tcBorders>
              <w:top w:val="nil"/>
              <w:left w:val="nil"/>
              <w:bottom w:val="nil"/>
              <w:right w:val="nil"/>
            </w:tcBorders>
            <w:shd w:val="clear" w:color="000000" w:fill="FFFFFF"/>
            <w:noWrap/>
            <w:vAlign w:val="bottom"/>
            <w:hideMark/>
          </w:tcPr>
          <w:p w14:paraId="41E39C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92,27</w:t>
            </w:r>
          </w:p>
        </w:tc>
        <w:tc>
          <w:tcPr>
            <w:tcW w:w="1093" w:type="dxa"/>
            <w:tcBorders>
              <w:top w:val="nil"/>
              <w:left w:val="nil"/>
              <w:bottom w:val="nil"/>
              <w:right w:val="nil"/>
            </w:tcBorders>
            <w:shd w:val="clear" w:color="000000" w:fill="FFFFFF"/>
            <w:hideMark/>
          </w:tcPr>
          <w:p w14:paraId="53F891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150612,00</w:t>
            </w:r>
          </w:p>
        </w:tc>
        <w:tc>
          <w:tcPr>
            <w:tcW w:w="761" w:type="dxa"/>
            <w:tcBorders>
              <w:top w:val="nil"/>
              <w:left w:val="nil"/>
              <w:bottom w:val="nil"/>
              <w:right w:val="nil"/>
            </w:tcBorders>
            <w:shd w:val="clear" w:color="000000" w:fill="FFFFFF"/>
            <w:noWrap/>
            <w:vAlign w:val="bottom"/>
            <w:hideMark/>
          </w:tcPr>
          <w:p w14:paraId="020220D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35,40</w:t>
            </w:r>
          </w:p>
        </w:tc>
        <w:tc>
          <w:tcPr>
            <w:tcW w:w="1051" w:type="dxa"/>
            <w:tcBorders>
              <w:top w:val="nil"/>
              <w:left w:val="nil"/>
              <w:bottom w:val="nil"/>
              <w:right w:val="nil"/>
            </w:tcBorders>
            <w:shd w:val="clear" w:color="000000" w:fill="FFFFFF"/>
            <w:noWrap/>
            <w:vAlign w:val="bottom"/>
            <w:hideMark/>
          </w:tcPr>
          <w:p w14:paraId="26B37EE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45,70</w:t>
            </w:r>
          </w:p>
        </w:tc>
        <w:tc>
          <w:tcPr>
            <w:tcW w:w="761" w:type="dxa"/>
            <w:tcBorders>
              <w:top w:val="nil"/>
              <w:left w:val="nil"/>
              <w:bottom w:val="nil"/>
              <w:right w:val="nil"/>
            </w:tcBorders>
            <w:shd w:val="clear" w:color="000000" w:fill="FFFFFF"/>
            <w:noWrap/>
            <w:vAlign w:val="bottom"/>
            <w:hideMark/>
          </w:tcPr>
          <w:p w14:paraId="4F1720E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45554FD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82,20</w:t>
            </w:r>
          </w:p>
        </w:tc>
        <w:tc>
          <w:tcPr>
            <w:tcW w:w="1107" w:type="dxa"/>
            <w:tcBorders>
              <w:top w:val="nil"/>
              <w:left w:val="nil"/>
              <w:bottom w:val="nil"/>
              <w:right w:val="nil"/>
            </w:tcBorders>
            <w:shd w:val="clear" w:color="000000" w:fill="FFFFFF"/>
            <w:noWrap/>
            <w:vAlign w:val="bottom"/>
            <w:hideMark/>
          </w:tcPr>
          <w:p w14:paraId="74E5183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13DDD9E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40FD657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542B157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96,60</w:t>
            </w:r>
          </w:p>
        </w:tc>
      </w:tr>
      <w:tr w:rsidR="002E2D1F" w:rsidRPr="0002056A" w14:paraId="63178FAC"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B5CAE4E"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HUN</w:t>
            </w:r>
          </w:p>
        </w:tc>
        <w:tc>
          <w:tcPr>
            <w:tcW w:w="1008" w:type="dxa"/>
            <w:tcBorders>
              <w:top w:val="nil"/>
              <w:left w:val="nil"/>
              <w:bottom w:val="nil"/>
              <w:right w:val="nil"/>
            </w:tcBorders>
            <w:shd w:val="clear" w:color="auto" w:fill="C5E0B3" w:themeFill="accent6" w:themeFillTint="66"/>
            <w:noWrap/>
            <w:vAlign w:val="bottom"/>
            <w:hideMark/>
          </w:tcPr>
          <w:p w14:paraId="4D97A6D9" w14:textId="313866DD"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66,00</w:t>
            </w:r>
          </w:p>
        </w:tc>
        <w:tc>
          <w:tcPr>
            <w:tcW w:w="1141" w:type="dxa"/>
            <w:tcBorders>
              <w:top w:val="nil"/>
              <w:left w:val="nil"/>
              <w:bottom w:val="nil"/>
              <w:right w:val="nil"/>
            </w:tcBorders>
            <w:shd w:val="clear" w:color="000000" w:fill="FFFFFF"/>
            <w:noWrap/>
            <w:vAlign w:val="bottom"/>
            <w:hideMark/>
          </w:tcPr>
          <w:p w14:paraId="4DE8BBB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93012,00</w:t>
            </w:r>
          </w:p>
        </w:tc>
        <w:tc>
          <w:tcPr>
            <w:tcW w:w="992" w:type="dxa"/>
            <w:tcBorders>
              <w:top w:val="nil"/>
              <w:left w:val="nil"/>
              <w:bottom w:val="nil"/>
              <w:right w:val="nil"/>
            </w:tcBorders>
            <w:shd w:val="clear" w:color="000000" w:fill="FFFFFF"/>
            <w:hideMark/>
          </w:tcPr>
          <w:p w14:paraId="7476DA2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0E9C3FF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9562,29</w:t>
            </w:r>
          </w:p>
        </w:tc>
        <w:tc>
          <w:tcPr>
            <w:tcW w:w="1051" w:type="dxa"/>
            <w:tcBorders>
              <w:top w:val="nil"/>
              <w:left w:val="nil"/>
              <w:bottom w:val="nil"/>
              <w:right w:val="nil"/>
            </w:tcBorders>
            <w:shd w:val="clear" w:color="000000" w:fill="FFFFFF"/>
            <w:noWrap/>
            <w:vAlign w:val="bottom"/>
            <w:hideMark/>
          </w:tcPr>
          <w:p w14:paraId="1B4DF3D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103,11</w:t>
            </w:r>
          </w:p>
        </w:tc>
        <w:tc>
          <w:tcPr>
            <w:tcW w:w="1209" w:type="dxa"/>
            <w:tcBorders>
              <w:top w:val="nil"/>
              <w:left w:val="nil"/>
              <w:bottom w:val="nil"/>
              <w:right w:val="nil"/>
            </w:tcBorders>
            <w:shd w:val="clear" w:color="000000" w:fill="FFFFFF"/>
            <w:noWrap/>
            <w:vAlign w:val="bottom"/>
            <w:hideMark/>
          </w:tcPr>
          <w:p w14:paraId="189154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73,18</w:t>
            </w:r>
          </w:p>
        </w:tc>
        <w:tc>
          <w:tcPr>
            <w:tcW w:w="1093" w:type="dxa"/>
            <w:tcBorders>
              <w:top w:val="nil"/>
              <w:left w:val="nil"/>
              <w:bottom w:val="nil"/>
              <w:right w:val="nil"/>
            </w:tcBorders>
            <w:shd w:val="clear" w:color="000000" w:fill="FFFFFF"/>
            <w:vAlign w:val="center"/>
            <w:hideMark/>
          </w:tcPr>
          <w:p w14:paraId="1A517C3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47637,00</w:t>
            </w:r>
          </w:p>
        </w:tc>
        <w:tc>
          <w:tcPr>
            <w:tcW w:w="761" w:type="dxa"/>
            <w:tcBorders>
              <w:top w:val="nil"/>
              <w:left w:val="nil"/>
              <w:bottom w:val="nil"/>
              <w:right w:val="nil"/>
            </w:tcBorders>
            <w:shd w:val="clear" w:color="000000" w:fill="FFFFFF"/>
            <w:noWrap/>
            <w:vAlign w:val="bottom"/>
            <w:hideMark/>
          </w:tcPr>
          <w:p w14:paraId="4317247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29,60</w:t>
            </w:r>
          </w:p>
        </w:tc>
        <w:tc>
          <w:tcPr>
            <w:tcW w:w="1051" w:type="dxa"/>
            <w:tcBorders>
              <w:top w:val="nil"/>
              <w:left w:val="nil"/>
              <w:bottom w:val="nil"/>
              <w:right w:val="nil"/>
            </w:tcBorders>
            <w:shd w:val="clear" w:color="000000" w:fill="FFFFFF"/>
            <w:noWrap/>
            <w:vAlign w:val="bottom"/>
            <w:hideMark/>
          </w:tcPr>
          <w:p w14:paraId="69DFDFC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25,70</w:t>
            </w:r>
          </w:p>
        </w:tc>
        <w:tc>
          <w:tcPr>
            <w:tcW w:w="761" w:type="dxa"/>
            <w:tcBorders>
              <w:top w:val="nil"/>
              <w:left w:val="nil"/>
              <w:bottom w:val="nil"/>
              <w:right w:val="nil"/>
            </w:tcBorders>
            <w:shd w:val="clear" w:color="000000" w:fill="FFFFFF"/>
            <w:noWrap/>
            <w:vAlign w:val="bottom"/>
            <w:hideMark/>
          </w:tcPr>
          <w:p w14:paraId="4C996FC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0,87</w:t>
            </w:r>
          </w:p>
        </w:tc>
        <w:tc>
          <w:tcPr>
            <w:tcW w:w="1052" w:type="dxa"/>
            <w:tcBorders>
              <w:top w:val="nil"/>
              <w:left w:val="nil"/>
              <w:bottom w:val="nil"/>
              <w:right w:val="nil"/>
            </w:tcBorders>
            <w:shd w:val="clear" w:color="000000" w:fill="FFFFFF"/>
            <w:noWrap/>
            <w:vAlign w:val="bottom"/>
            <w:hideMark/>
          </w:tcPr>
          <w:p w14:paraId="3561D08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77,00</w:t>
            </w:r>
          </w:p>
        </w:tc>
        <w:tc>
          <w:tcPr>
            <w:tcW w:w="1107" w:type="dxa"/>
            <w:tcBorders>
              <w:top w:val="nil"/>
              <w:left w:val="nil"/>
              <w:bottom w:val="nil"/>
              <w:right w:val="nil"/>
            </w:tcBorders>
            <w:shd w:val="clear" w:color="000000" w:fill="FFFFFF"/>
            <w:noWrap/>
            <w:vAlign w:val="bottom"/>
            <w:hideMark/>
          </w:tcPr>
          <w:p w14:paraId="04899D7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2E6AB09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4E04E92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2D70FFF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27,40</w:t>
            </w:r>
          </w:p>
        </w:tc>
      </w:tr>
      <w:tr w:rsidR="002E2D1F" w:rsidRPr="0002056A" w14:paraId="539261C8"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9EFB27F"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MAL</w:t>
            </w:r>
          </w:p>
        </w:tc>
        <w:tc>
          <w:tcPr>
            <w:tcW w:w="1008" w:type="dxa"/>
            <w:tcBorders>
              <w:top w:val="nil"/>
              <w:left w:val="nil"/>
              <w:bottom w:val="nil"/>
              <w:right w:val="nil"/>
            </w:tcBorders>
            <w:shd w:val="clear" w:color="auto" w:fill="C5E0B3" w:themeFill="accent6" w:themeFillTint="66"/>
            <w:noWrap/>
            <w:vAlign w:val="bottom"/>
            <w:hideMark/>
          </w:tcPr>
          <w:p w14:paraId="1B9F7307" w14:textId="3027EB6D"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14,00</w:t>
            </w:r>
          </w:p>
        </w:tc>
        <w:tc>
          <w:tcPr>
            <w:tcW w:w="1141" w:type="dxa"/>
            <w:tcBorders>
              <w:top w:val="nil"/>
              <w:left w:val="nil"/>
              <w:bottom w:val="nil"/>
              <w:right w:val="nil"/>
            </w:tcBorders>
            <w:shd w:val="clear" w:color="000000" w:fill="FFFFFF"/>
            <w:noWrap/>
            <w:vAlign w:val="bottom"/>
            <w:hideMark/>
          </w:tcPr>
          <w:p w14:paraId="4F0C928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316,00</w:t>
            </w:r>
          </w:p>
        </w:tc>
        <w:tc>
          <w:tcPr>
            <w:tcW w:w="992" w:type="dxa"/>
            <w:tcBorders>
              <w:top w:val="nil"/>
              <w:left w:val="nil"/>
              <w:bottom w:val="nil"/>
              <w:right w:val="nil"/>
            </w:tcBorders>
            <w:shd w:val="clear" w:color="000000" w:fill="FFFFFF"/>
            <w:hideMark/>
          </w:tcPr>
          <w:p w14:paraId="305F489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526FF3F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574,35</w:t>
            </w:r>
          </w:p>
        </w:tc>
        <w:tc>
          <w:tcPr>
            <w:tcW w:w="1051" w:type="dxa"/>
            <w:tcBorders>
              <w:top w:val="nil"/>
              <w:left w:val="nil"/>
              <w:bottom w:val="nil"/>
              <w:right w:val="nil"/>
            </w:tcBorders>
            <w:shd w:val="clear" w:color="000000" w:fill="FFFFFF"/>
            <w:noWrap/>
            <w:vAlign w:val="bottom"/>
            <w:hideMark/>
          </w:tcPr>
          <w:p w14:paraId="2BEF05E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1750,00</w:t>
            </w:r>
          </w:p>
        </w:tc>
        <w:tc>
          <w:tcPr>
            <w:tcW w:w="1209" w:type="dxa"/>
            <w:tcBorders>
              <w:top w:val="nil"/>
              <w:left w:val="nil"/>
              <w:bottom w:val="nil"/>
              <w:right w:val="nil"/>
            </w:tcBorders>
            <w:shd w:val="clear" w:color="000000" w:fill="FFFFFF"/>
            <w:noWrap/>
            <w:vAlign w:val="bottom"/>
            <w:hideMark/>
          </w:tcPr>
          <w:p w14:paraId="0BC31B9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95,01</w:t>
            </w:r>
          </w:p>
        </w:tc>
        <w:tc>
          <w:tcPr>
            <w:tcW w:w="1093" w:type="dxa"/>
            <w:tcBorders>
              <w:top w:val="nil"/>
              <w:left w:val="nil"/>
              <w:bottom w:val="nil"/>
              <w:right w:val="nil"/>
            </w:tcBorders>
            <w:shd w:val="clear" w:color="000000" w:fill="FFFFFF"/>
            <w:hideMark/>
          </w:tcPr>
          <w:p w14:paraId="5706E03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67725,00</w:t>
            </w:r>
          </w:p>
        </w:tc>
        <w:tc>
          <w:tcPr>
            <w:tcW w:w="761" w:type="dxa"/>
            <w:tcBorders>
              <w:top w:val="nil"/>
              <w:left w:val="nil"/>
              <w:bottom w:val="nil"/>
              <w:right w:val="nil"/>
            </w:tcBorders>
            <w:shd w:val="clear" w:color="000000" w:fill="FFFFFF"/>
            <w:noWrap/>
            <w:vAlign w:val="bottom"/>
            <w:hideMark/>
          </w:tcPr>
          <w:p w14:paraId="3DD4DF8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28,70</w:t>
            </w:r>
          </w:p>
        </w:tc>
        <w:tc>
          <w:tcPr>
            <w:tcW w:w="1051" w:type="dxa"/>
            <w:tcBorders>
              <w:top w:val="nil"/>
              <w:left w:val="nil"/>
              <w:bottom w:val="nil"/>
              <w:right w:val="nil"/>
            </w:tcBorders>
            <w:shd w:val="clear" w:color="000000" w:fill="FFFFFF"/>
            <w:noWrap/>
            <w:vAlign w:val="bottom"/>
            <w:hideMark/>
          </w:tcPr>
          <w:p w14:paraId="2A8FD1F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30,50</w:t>
            </w:r>
          </w:p>
        </w:tc>
        <w:tc>
          <w:tcPr>
            <w:tcW w:w="761" w:type="dxa"/>
            <w:tcBorders>
              <w:top w:val="nil"/>
              <w:left w:val="nil"/>
              <w:bottom w:val="nil"/>
              <w:right w:val="nil"/>
            </w:tcBorders>
            <w:shd w:val="clear" w:color="000000" w:fill="FFFFFF"/>
            <w:noWrap/>
            <w:vAlign w:val="bottom"/>
            <w:hideMark/>
          </w:tcPr>
          <w:p w14:paraId="6A77236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77973B5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83,30</w:t>
            </w:r>
          </w:p>
        </w:tc>
        <w:tc>
          <w:tcPr>
            <w:tcW w:w="1107" w:type="dxa"/>
            <w:tcBorders>
              <w:top w:val="nil"/>
              <w:left w:val="nil"/>
              <w:bottom w:val="nil"/>
              <w:right w:val="nil"/>
            </w:tcBorders>
            <w:shd w:val="clear" w:color="000000" w:fill="FFFFFF"/>
            <w:noWrap/>
            <w:vAlign w:val="bottom"/>
            <w:hideMark/>
          </w:tcPr>
          <w:p w14:paraId="7FCBF5D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210" w:type="dxa"/>
            <w:tcBorders>
              <w:top w:val="nil"/>
              <w:left w:val="nil"/>
              <w:bottom w:val="nil"/>
              <w:right w:val="nil"/>
            </w:tcBorders>
            <w:shd w:val="clear" w:color="000000" w:fill="FFFFFF"/>
            <w:noWrap/>
            <w:vAlign w:val="bottom"/>
            <w:hideMark/>
          </w:tcPr>
          <w:p w14:paraId="4EA2D10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5739117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35FF6F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13,50</w:t>
            </w:r>
          </w:p>
        </w:tc>
      </w:tr>
      <w:tr w:rsidR="002E2D1F" w:rsidRPr="0002056A" w14:paraId="672E732C"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1BE1FC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MON</w:t>
            </w:r>
          </w:p>
        </w:tc>
        <w:tc>
          <w:tcPr>
            <w:tcW w:w="1008" w:type="dxa"/>
            <w:tcBorders>
              <w:top w:val="nil"/>
              <w:left w:val="nil"/>
              <w:bottom w:val="nil"/>
              <w:right w:val="nil"/>
            </w:tcBorders>
            <w:shd w:val="clear" w:color="auto" w:fill="C5E0B3" w:themeFill="accent6" w:themeFillTint="66"/>
            <w:noWrap/>
            <w:vAlign w:val="bottom"/>
            <w:hideMark/>
          </w:tcPr>
          <w:p w14:paraId="65D510BE" w14:textId="67150A05"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9,00</w:t>
            </w:r>
          </w:p>
        </w:tc>
        <w:tc>
          <w:tcPr>
            <w:tcW w:w="1141" w:type="dxa"/>
            <w:tcBorders>
              <w:top w:val="nil"/>
              <w:left w:val="nil"/>
              <w:bottom w:val="nil"/>
              <w:right w:val="nil"/>
            </w:tcBorders>
            <w:shd w:val="clear" w:color="000000" w:fill="FFFFFF"/>
            <w:noWrap/>
            <w:vAlign w:val="bottom"/>
            <w:hideMark/>
          </w:tcPr>
          <w:p w14:paraId="39F03CD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13812,00</w:t>
            </w:r>
          </w:p>
        </w:tc>
        <w:tc>
          <w:tcPr>
            <w:tcW w:w="992" w:type="dxa"/>
            <w:tcBorders>
              <w:top w:val="nil"/>
              <w:left w:val="nil"/>
              <w:bottom w:val="nil"/>
              <w:right w:val="nil"/>
            </w:tcBorders>
            <w:shd w:val="clear" w:color="000000" w:fill="FFFFFF"/>
            <w:hideMark/>
          </w:tcPr>
          <w:p w14:paraId="505BBD1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6A719D7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623,83</w:t>
            </w:r>
          </w:p>
        </w:tc>
        <w:tc>
          <w:tcPr>
            <w:tcW w:w="1051" w:type="dxa"/>
            <w:tcBorders>
              <w:top w:val="nil"/>
              <w:left w:val="nil"/>
              <w:bottom w:val="nil"/>
              <w:right w:val="nil"/>
            </w:tcBorders>
            <w:shd w:val="clear" w:color="000000" w:fill="FFFFFF"/>
            <w:noWrap/>
            <w:vAlign w:val="bottom"/>
            <w:hideMark/>
          </w:tcPr>
          <w:p w14:paraId="23B2484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44,82</w:t>
            </w:r>
          </w:p>
        </w:tc>
        <w:tc>
          <w:tcPr>
            <w:tcW w:w="1209" w:type="dxa"/>
            <w:tcBorders>
              <w:top w:val="nil"/>
              <w:left w:val="nil"/>
              <w:bottom w:val="nil"/>
              <w:right w:val="nil"/>
            </w:tcBorders>
            <w:shd w:val="clear" w:color="000000" w:fill="FFFFFF"/>
            <w:noWrap/>
            <w:vAlign w:val="bottom"/>
            <w:hideMark/>
          </w:tcPr>
          <w:p w14:paraId="098B9D2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68,84</w:t>
            </w:r>
          </w:p>
        </w:tc>
        <w:tc>
          <w:tcPr>
            <w:tcW w:w="1093" w:type="dxa"/>
            <w:tcBorders>
              <w:top w:val="nil"/>
              <w:left w:val="nil"/>
              <w:bottom w:val="nil"/>
              <w:right w:val="nil"/>
            </w:tcBorders>
            <w:shd w:val="clear" w:color="000000" w:fill="FFFFFF"/>
            <w:hideMark/>
          </w:tcPr>
          <w:p w14:paraId="4C19382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32614,00</w:t>
            </w:r>
          </w:p>
        </w:tc>
        <w:tc>
          <w:tcPr>
            <w:tcW w:w="761" w:type="dxa"/>
            <w:tcBorders>
              <w:top w:val="nil"/>
              <w:left w:val="nil"/>
              <w:bottom w:val="nil"/>
              <w:right w:val="nil"/>
            </w:tcBorders>
            <w:shd w:val="clear" w:color="000000" w:fill="FFFFFF"/>
            <w:noWrap/>
            <w:vAlign w:val="bottom"/>
            <w:hideMark/>
          </w:tcPr>
          <w:p w14:paraId="7E8B756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36,80</w:t>
            </w:r>
          </w:p>
        </w:tc>
        <w:tc>
          <w:tcPr>
            <w:tcW w:w="1051" w:type="dxa"/>
            <w:tcBorders>
              <w:top w:val="nil"/>
              <w:left w:val="nil"/>
              <w:bottom w:val="nil"/>
              <w:right w:val="nil"/>
            </w:tcBorders>
            <w:shd w:val="clear" w:color="000000" w:fill="FFFFFF"/>
            <w:noWrap/>
            <w:vAlign w:val="bottom"/>
            <w:hideMark/>
          </w:tcPr>
          <w:p w14:paraId="4724A0D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21,80</w:t>
            </w:r>
          </w:p>
        </w:tc>
        <w:tc>
          <w:tcPr>
            <w:tcW w:w="761" w:type="dxa"/>
            <w:tcBorders>
              <w:top w:val="nil"/>
              <w:left w:val="nil"/>
              <w:bottom w:val="nil"/>
              <w:right w:val="nil"/>
            </w:tcBorders>
            <w:shd w:val="clear" w:color="000000" w:fill="FFFFFF"/>
            <w:noWrap/>
            <w:vAlign w:val="bottom"/>
            <w:hideMark/>
          </w:tcPr>
          <w:p w14:paraId="633BA55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0,86</w:t>
            </w:r>
          </w:p>
        </w:tc>
        <w:tc>
          <w:tcPr>
            <w:tcW w:w="1052" w:type="dxa"/>
            <w:tcBorders>
              <w:top w:val="nil"/>
              <w:left w:val="nil"/>
              <w:bottom w:val="nil"/>
              <w:right w:val="nil"/>
            </w:tcBorders>
            <w:shd w:val="clear" w:color="000000" w:fill="FFFFFF"/>
            <w:noWrap/>
            <w:vAlign w:val="bottom"/>
            <w:hideMark/>
          </w:tcPr>
          <w:p w14:paraId="02429B6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77,10</w:t>
            </w:r>
          </w:p>
        </w:tc>
        <w:tc>
          <w:tcPr>
            <w:tcW w:w="1107" w:type="dxa"/>
            <w:tcBorders>
              <w:top w:val="nil"/>
              <w:left w:val="nil"/>
              <w:bottom w:val="nil"/>
              <w:right w:val="nil"/>
            </w:tcBorders>
            <w:shd w:val="clear" w:color="000000" w:fill="FFFFFF"/>
            <w:noWrap/>
            <w:vAlign w:val="bottom"/>
            <w:hideMark/>
          </w:tcPr>
          <w:p w14:paraId="50516D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EE2BD9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3B901E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22EFDE4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60,90</w:t>
            </w:r>
          </w:p>
        </w:tc>
      </w:tr>
      <w:tr w:rsidR="002E2D1F" w:rsidRPr="0002056A" w14:paraId="67D201BC"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C056015"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GER</w:t>
            </w:r>
          </w:p>
        </w:tc>
        <w:tc>
          <w:tcPr>
            <w:tcW w:w="1008" w:type="dxa"/>
            <w:tcBorders>
              <w:top w:val="nil"/>
              <w:left w:val="nil"/>
              <w:bottom w:val="nil"/>
              <w:right w:val="nil"/>
            </w:tcBorders>
            <w:shd w:val="clear" w:color="auto" w:fill="C5E0B3" w:themeFill="accent6" w:themeFillTint="66"/>
            <w:noWrap/>
            <w:vAlign w:val="bottom"/>
            <w:hideMark/>
          </w:tcPr>
          <w:p w14:paraId="7544048E" w14:textId="65DDDDB9"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83,00</w:t>
            </w:r>
          </w:p>
        </w:tc>
        <w:tc>
          <w:tcPr>
            <w:tcW w:w="1141" w:type="dxa"/>
            <w:tcBorders>
              <w:top w:val="nil"/>
              <w:left w:val="nil"/>
              <w:bottom w:val="nil"/>
              <w:right w:val="nil"/>
            </w:tcBorders>
            <w:shd w:val="clear" w:color="000000" w:fill="FFFFFF"/>
            <w:noWrap/>
            <w:vAlign w:val="bottom"/>
            <w:hideMark/>
          </w:tcPr>
          <w:p w14:paraId="4D6FB06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357569,00</w:t>
            </w:r>
          </w:p>
        </w:tc>
        <w:tc>
          <w:tcPr>
            <w:tcW w:w="992" w:type="dxa"/>
            <w:tcBorders>
              <w:top w:val="nil"/>
              <w:left w:val="nil"/>
              <w:bottom w:val="nil"/>
              <w:right w:val="nil"/>
            </w:tcBorders>
            <w:shd w:val="clear" w:color="000000" w:fill="FFFFFF"/>
            <w:hideMark/>
          </w:tcPr>
          <w:p w14:paraId="50CF19C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341D20F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83510,98</w:t>
            </w:r>
          </w:p>
        </w:tc>
        <w:tc>
          <w:tcPr>
            <w:tcW w:w="1051" w:type="dxa"/>
            <w:tcBorders>
              <w:top w:val="nil"/>
              <w:left w:val="nil"/>
              <w:bottom w:val="nil"/>
              <w:right w:val="nil"/>
            </w:tcBorders>
            <w:shd w:val="clear" w:color="000000" w:fill="FFFFFF"/>
            <w:noWrap/>
            <w:vAlign w:val="bottom"/>
            <w:hideMark/>
          </w:tcPr>
          <w:p w14:paraId="5C86819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233,28</w:t>
            </w:r>
          </w:p>
        </w:tc>
        <w:tc>
          <w:tcPr>
            <w:tcW w:w="1209" w:type="dxa"/>
            <w:tcBorders>
              <w:top w:val="nil"/>
              <w:left w:val="nil"/>
              <w:bottom w:val="nil"/>
              <w:right w:val="nil"/>
            </w:tcBorders>
            <w:shd w:val="clear" w:color="000000" w:fill="FFFFFF"/>
            <w:noWrap/>
            <w:vAlign w:val="bottom"/>
            <w:hideMark/>
          </w:tcPr>
          <w:p w14:paraId="2F2754B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77,90</w:t>
            </w:r>
          </w:p>
        </w:tc>
        <w:tc>
          <w:tcPr>
            <w:tcW w:w="1093" w:type="dxa"/>
            <w:tcBorders>
              <w:top w:val="nil"/>
              <w:left w:val="nil"/>
              <w:bottom w:val="nil"/>
              <w:right w:val="nil"/>
            </w:tcBorders>
            <w:shd w:val="clear" w:color="000000" w:fill="FFFFFF"/>
            <w:hideMark/>
          </w:tcPr>
          <w:p w14:paraId="12EA449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71282,00</w:t>
            </w:r>
          </w:p>
        </w:tc>
        <w:tc>
          <w:tcPr>
            <w:tcW w:w="761" w:type="dxa"/>
            <w:tcBorders>
              <w:top w:val="nil"/>
              <w:left w:val="nil"/>
              <w:bottom w:val="nil"/>
              <w:right w:val="nil"/>
            </w:tcBorders>
            <w:shd w:val="clear" w:color="000000" w:fill="FFFFFF"/>
            <w:noWrap/>
            <w:vAlign w:val="bottom"/>
            <w:hideMark/>
          </w:tcPr>
          <w:p w14:paraId="4056AA6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31,90</w:t>
            </w:r>
          </w:p>
        </w:tc>
        <w:tc>
          <w:tcPr>
            <w:tcW w:w="1051" w:type="dxa"/>
            <w:tcBorders>
              <w:top w:val="nil"/>
              <w:left w:val="nil"/>
              <w:bottom w:val="nil"/>
              <w:right w:val="nil"/>
            </w:tcBorders>
            <w:shd w:val="clear" w:color="000000" w:fill="FFFFFF"/>
            <w:noWrap/>
            <w:vAlign w:val="bottom"/>
            <w:hideMark/>
          </w:tcPr>
          <w:p w14:paraId="57D3FED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29,00</w:t>
            </w:r>
          </w:p>
        </w:tc>
        <w:tc>
          <w:tcPr>
            <w:tcW w:w="761" w:type="dxa"/>
            <w:tcBorders>
              <w:top w:val="nil"/>
              <w:left w:val="nil"/>
              <w:bottom w:val="nil"/>
              <w:right w:val="nil"/>
            </w:tcBorders>
            <w:shd w:val="clear" w:color="000000" w:fill="FFFFFF"/>
            <w:noWrap/>
            <w:vAlign w:val="bottom"/>
            <w:hideMark/>
          </w:tcPr>
          <w:p w14:paraId="7AE38A1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0,96</w:t>
            </w:r>
          </w:p>
        </w:tc>
        <w:tc>
          <w:tcPr>
            <w:tcW w:w="1052" w:type="dxa"/>
            <w:tcBorders>
              <w:top w:val="nil"/>
              <w:left w:val="nil"/>
              <w:bottom w:val="nil"/>
              <w:right w:val="nil"/>
            </w:tcBorders>
            <w:shd w:val="clear" w:color="000000" w:fill="FFFFFF"/>
            <w:noWrap/>
            <w:vAlign w:val="bottom"/>
            <w:hideMark/>
          </w:tcPr>
          <w:p w14:paraId="063673D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81,40</w:t>
            </w:r>
          </w:p>
        </w:tc>
        <w:tc>
          <w:tcPr>
            <w:tcW w:w="1107" w:type="dxa"/>
            <w:tcBorders>
              <w:top w:val="nil"/>
              <w:left w:val="nil"/>
              <w:bottom w:val="nil"/>
              <w:right w:val="nil"/>
            </w:tcBorders>
            <w:shd w:val="clear" w:color="000000" w:fill="FFFFFF"/>
            <w:noWrap/>
            <w:vAlign w:val="bottom"/>
            <w:hideMark/>
          </w:tcPr>
          <w:p w14:paraId="7207024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11F0463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49C1E0A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60" w:type="dxa"/>
            <w:tcBorders>
              <w:top w:val="nil"/>
              <w:left w:val="nil"/>
              <w:bottom w:val="nil"/>
              <w:right w:val="single" w:sz="8" w:space="0" w:color="auto"/>
            </w:tcBorders>
            <w:shd w:val="clear" w:color="000000" w:fill="FFFFFF"/>
            <w:noWrap/>
            <w:vAlign w:val="bottom"/>
            <w:hideMark/>
          </w:tcPr>
          <w:p w14:paraId="2DD537F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55,09</w:t>
            </w:r>
          </w:p>
        </w:tc>
      </w:tr>
      <w:tr w:rsidR="002E2D1F" w:rsidRPr="0002056A" w14:paraId="2D91EDCB"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E9969CD"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NOR</w:t>
            </w:r>
          </w:p>
        </w:tc>
        <w:tc>
          <w:tcPr>
            <w:tcW w:w="1008" w:type="dxa"/>
            <w:tcBorders>
              <w:top w:val="nil"/>
              <w:left w:val="nil"/>
              <w:bottom w:val="nil"/>
              <w:right w:val="nil"/>
            </w:tcBorders>
            <w:shd w:val="clear" w:color="auto" w:fill="C5E0B3" w:themeFill="accent6" w:themeFillTint="66"/>
            <w:noWrap/>
            <w:vAlign w:val="bottom"/>
            <w:hideMark/>
          </w:tcPr>
          <w:p w14:paraId="5E7CDBE0" w14:textId="29BFE11C"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69,00</w:t>
            </w:r>
          </w:p>
        </w:tc>
        <w:tc>
          <w:tcPr>
            <w:tcW w:w="1141" w:type="dxa"/>
            <w:tcBorders>
              <w:top w:val="nil"/>
              <w:left w:val="nil"/>
              <w:bottom w:val="nil"/>
              <w:right w:val="nil"/>
            </w:tcBorders>
            <w:shd w:val="clear" w:color="000000" w:fill="FFFFFF"/>
            <w:noWrap/>
            <w:vAlign w:val="bottom"/>
            <w:hideMark/>
          </w:tcPr>
          <w:p w14:paraId="770C0AB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323769,00</w:t>
            </w:r>
          </w:p>
        </w:tc>
        <w:tc>
          <w:tcPr>
            <w:tcW w:w="992" w:type="dxa"/>
            <w:tcBorders>
              <w:top w:val="nil"/>
              <w:left w:val="nil"/>
              <w:bottom w:val="nil"/>
              <w:right w:val="nil"/>
            </w:tcBorders>
            <w:shd w:val="clear" w:color="000000" w:fill="FFFFFF"/>
            <w:hideMark/>
          </w:tcPr>
          <w:p w14:paraId="2403453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56" w:type="dxa"/>
            <w:tcBorders>
              <w:top w:val="nil"/>
              <w:left w:val="nil"/>
              <w:bottom w:val="nil"/>
              <w:right w:val="nil"/>
            </w:tcBorders>
            <w:shd w:val="clear" w:color="000000" w:fill="FFFFFF"/>
            <w:noWrap/>
            <w:vAlign w:val="bottom"/>
            <w:hideMark/>
          </w:tcPr>
          <w:p w14:paraId="2C829D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5572,27</w:t>
            </w:r>
          </w:p>
        </w:tc>
        <w:tc>
          <w:tcPr>
            <w:tcW w:w="1051" w:type="dxa"/>
            <w:tcBorders>
              <w:top w:val="nil"/>
              <w:left w:val="nil"/>
              <w:bottom w:val="nil"/>
              <w:right w:val="nil"/>
            </w:tcBorders>
            <w:shd w:val="clear" w:color="000000" w:fill="FFFFFF"/>
            <w:noWrap/>
            <w:vAlign w:val="bottom"/>
            <w:hideMark/>
          </w:tcPr>
          <w:p w14:paraId="29D3C30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17,05</w:t>
            </w:r>
          </w:p>
        </w:tc>
        <w:tc>
          <w:tcPr>
            <w:tcW w:w="1209" w:type="dxa"/>
            <w:tcBorders>
              <w:top w:val="nil"/>
              <w:left w:val="nil"/>
              <w:bottom w:val="nil"/>
              <w:right w:val="nil"/>
            </w:tcBorders>
            <w:shd w:val="clear" w:color="000000" w:fill="FFFFFF"/>
            <w:noWrap/>
            <w:vAlign w:val="bottom"/>
            <w:hideMark/>
          </w:tcPr>
          <w:p w14:paraId="3BED9F9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84,32</w:t>
            </w:r>
          </w:p>
        </w:tc>
        <w:tc>
          <w:tcPr>
            <w:tcW w:w="1093" w:type="dxa"/>
            <w:tcBorders>
              <w:top w:val="nil"/>
              <w:left w:val="nil"/>
              <w:bottom w:val="nil"/>
              <w:right w:val="nil"/>
            </w:tcBorders>
            <w:shd w:val="clear" w:color="000000" w:fill="FFFFFF"/>
            <w:hideMark/>
          </w:tcPr>
          <w:p w14:paraId="260F1DB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101008,00</w:t>
            </w:r>
          </w:p>
        </w:tc>
        <w:tc>
          <w:tcPr>
            <w:tcW w:w="761" w:type="dxa"/>
            <w:tcBorders>
              <w:top w:val="nil"/>
              <w:left w:val="nil"/>
              <w:bottom w:val="nil"/>
              <w:right w:val="nil"/>
            </w:tcBorders>
            <w:shd w:val="clear" w:color="000000" w:fill="FFFFFF"/>
            <w:noWrap/>
            <w:vAlign w:val="bottom"/>
            <w:hideMark/>
          </w:tcPr>
          <w:p w14:paraId="2CF4F85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27,60</w:t>
            </w:r>
          </w:p>
        </w:tc>
        <w:tc>
          <w:tcPr>
            <w:tcW w:w="1051" w:type="dxa"/>
            <w:tcBorders>
              <w:top w:val="nil"/>
              <w:left w:val="nil"/>
              <w:bottom w:val="nil"/>
              <w:right w:val="nil"/>
            </w:tcBorders>
            <w:shd w:val="clear" w:color="000000" w:fill="FFFFFF"/>
            <w:noWrap/>
            <w:vAlign w:val="bottom"/>
            <w:hideMark/>
          </w:tcPr>
          <w:p w14:paraId="4CE7CDD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41,90</w:t>
            </w:r>
          </w:p>
        </w:tc>
        <w:tc>
          <w:tcPr>
            <w:tcW w:w="761" w:type="dxa"/>
            <w:tcBorders>
              <w:top w:val="nil"/>
              <w:left w:val="nil"/>
              <w:bottom w:val="nil"/>
              <w:right w:val="nil"/>
            </w:tcBorders>
            <w:shd w:val="clear" w:color="000000" w:fill="FFFFFF"/>
            <w:noWrap/>
            <w:vAlign w:val="bottom"/>
            <w:hideMark/>
          </w:tcPr>
          <w:p w14:paraId="73CF84D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0,97</w:t>
            </w:r>
          </w:p>
        </w:tc>
        <w:tc>
          <w:tcPr>
            <w:tcW w:w="1052" w:type="dxa"/>
            <w:tcBorders>
              <w:top w:val="nil"/>
              <w:left w:val="nil"/>
              <w:bottom w:val="nil"/>
              <w:right w:val="nil"/>
            </w:tcBorders>
            <w:shd w:val="clear" w:color="000000" w:fill="FFFFFF"/>
            <w:noWrap/>
            <w:vAlign w:val="bottom"/>
            <w:hideMark/>
          </w:tcPr>
          <w:p w14:paraId="7B283BF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83,30</w:t>
            </w:r>
          </w:p>
        </w:tc>
        <w:tc>
          <w:tcPr>
            <w:tcW w:w="1107" w:type="dxa"/>
            <w:tcBorders>
              <w:top w:val="nil"/>
              <w:left w:val="nil"/>
              <w:bottom w:val="nil"/>
              <w:right w:val="nil"/>
            </w:tcBorders>
            <w:shd w:val="clear" w:color="000000" w:fill="FFFFFF"/>
            <w:noWrap/>
            <w:vAlign w:val="bottom"/>
            <w:hideMark/>
          </w:tcPr>
          <w:p w14:paraId="5191695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2831D2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0B012B6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46EA823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98,61</w:t>
            </w:r>
          </w:p>
        </w:tc>
      </w:tr>
      <w:tr w:rsidR="002E2D1F" w:rsidRPr="0002056A" w14:paraId="0FA1B4D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525C439C"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ITA</w:t>
            </w:r>
          </w:p>
        </w:tc>
        <w:tc>
          <w:tcPr>
            <w:tcW w:w="1008" w:type="dxa"/>
            <w:tcBorders>
              <w:top w:val="nil"/>
              <w:left w:val="nil"/>
              <w:bottom w:val="nil"/>
              <w:right w:val="nil"/>
            </w:tcBorders>
            <w:shd w:val="clear" w:color="auto" w:fill="C5E0B3" w:themeFill="accent6" w:themeFillTint="66"/>
            <w:noWrap/>
            <w:vAlign w:val="bottom"/>
            <w:hideMark/>
          </w:tcPr>
          <w:p w14:paraId="389AA0B9" w14:textId="455B85D3"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54,00</w:t>
            </w:r>
          </w:p>
        </w:tc>
        <w:tc>
          <w:tcPr>
            <w:tcW w:w="1141" w:type="dxa"/>
            <w:tcBorders>
              <w:top w:val="nil"/>
              <w:left w:val="nil"/>
              <w:bottom w:val="nil"/>
              <w:right w:val="nil"/>
            </w:tcBorders>
            <w:shd w:val="clear" w:color="000000" w:fill="FFFFFF"/>
            <w:noWrap/>
            <w:vAlign w:val="bottom"/>
            <w:hideMark/>
          </w:tcPr>
          <w:p w14:paraId="1F14A60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302073,00</w:t>
            </w:r>
          </w:p>
        </w:tc>
        <w:tc>
          <w:tcPr>
            <w:tcW w:w="992" w:type="dxa"/>
            <w:tcBorders>
              <w:top w:val="nil"/>
              <w:left w:val="nil"/>
              <w:bottom w:val="nil"/>
              <w:right w:val="nil"/>
            </w:tcBorders>
            <w:shd w:val="clear" w:color="000000" w:fill="FFFFFF"/>
            <w:hideMark/>
          </w:tcPr>
          <w:p w14:paraId="76317B8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635D045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58986,09</w:t>
            </w:r>
          </w:p>
        </w:tc>
        <w:tc>
          <w:tcPr>
            <w:tcW w:w="1051" w:type="dxa"/>
            <w:tcBorders>
              <w:top w:val="nil"/>
              <w:left w:val="nil"/>
              <w:bottom w:val="nil"/>
              <w:right w:val="nil"/>
            </w:tcBorders>
            <w:shd w:val="clear" w:color="000000" w:fill="FFFFFF"/>
            <w:noWrap/>
            <w:vAlign w:val="bottom"/>
            <w:hideMark/>
          </w:tcPr>
          <w:p w14:paraId="027B97A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195,74</w:t>
            </w:r>
          </w:p>
        </w:tc>
        <w:tc>
          <w:tcPr>
            <w:tcW w:w="1209" w:type="dxa"/>
            <w:tcBorders>
              <w:top w:val="nil"/>
              <w:left w:val="nil"/>
              <w:bottom w:val="nil"/>
              <w:right w:val="nil"/>
            </w:tcBorders>
            <w:shd w:val="clear" w:color="000000" w:fill="FFFFFF"/>
            <w:noWrap/>
            <w:vAlign w:val="bottom"/>
            <w:hideMark/>
          </w:tcPr>
          <w:p w14:paraId="5A74CD2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72,29</w:t>
            </w:r>
          </w:p>
        </w:tc>
        <w:tc>
          <w:tcPr>
            <w:tcW w:w="1093" w:type="dxa"/>
            <w:tcBorders>
              <w:top w:val="nil"/>
              <w:left w:val="nil"/>
              <w:bottom w:val="nil"/>
              <w:right w:val="nil"/>
            </w:tcBorders>
            <w:shd w:val="clear" w:color="000000" w:fill="FFFFFF"/>
            <w:hideMark/>
          </w:tcPr>
          <w:p w14:paraId="4DEF774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60867,00</w:t>
            </w:r>
          </w:p>
        </w:tc>
        <w:tc>
          <w:tcPr>
            <w:tcW w:w="761" w:type="dxa"/>
            <w:tcBorders>
              <w:top w:val="nil"/>
              <w:left w:val="nil"/>
              <w:bottom w:val="nil"/>
              <w:right w:val="nil"/>
            </w:tcBorders>
            <w:shd w:val="clear" w:color="000000" w:fill="FFFFFF"/>
            <w:noWrap/>
            <w:vAlign w:val="bottom"/>
            <w:hideMark/>
          </w:tcPr>
          <w:p w14:paraId="76C010B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35,20</w:t>
            </w:r>
          </w:p>
        </w:tc>
        <w:tc>
          <w:tcPr>
            <w:tcW w:w="1051" w:type="dxa"/>
            <w:tcBorders>
              <w:top w:val="nil"/>
              <w:left w:val="nil"/>
              <w:bottom w:val="nil"/>
              <w:right w:val="nil"/>
            </w:tcBorders>
            <w:shd w:val="clear" w:color="000000" w:fill="FFFFFF"/>
            <w:noWrap/>
            <w:vAlign w:val="bottom"/>
            <w:hideMark/>
          </w:tcPr>
          <w:p w14:paraId="414F587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19,20</w:t>
            </w:r>
          </w:p>
        </w:tc>
        <w:tc>
          <w:tcPr>
            <w:tcW w:w="761" w:type="dxa"/>
            <w:tcBorders>
              <w:top w:val="nil"/>
              <w:left w:val="nil"/>
              <w:bottom w:val="nil"/>
              <w:right w:val="nil"/>
            </w:tcBorders>
            <w:shd w:val="clear" w:color="000000" w:fill="FFFFFF"/>
            <w:noWrap/>
            <w:vAlign w:val="bottom"/>
            <w:hideMark/>
          </w:tcPr>
          <w:p w14:paraId="1C008DA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5C4694F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83,70</w:t>
            </w:r>
          </w:p>
        </w:tc>
        <w:tc>
          <w:tcPr>
            <w:tcW w:w="1107" w:type="dxa"/>
            <w:tcBorders>
              <w:top w:val="nil"/>
              <w:left w:val="nil"/>
              <w:bottom w:val="nil"/>
              <w:right w:val="nil"/>
            </w:tcBorders>
            <w:shd w:val="clear" w:color="000000" w:fill="FFFFFF"/>
            <w:noWrap/>
            <w:vAlign w:val="bottom"/>
            <w:hideMark/>
          </w:tcPr>
          <w:p w14:paraId="1ACD66A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210" w:type="dxa"/>
            <w:tcBorders>
              <w:top w:val="nil"/>
              <w:left w:val="nil"/>
              <w:bottom w:val="nil"/>
              <w:right w:val="nil"/>
            </w:tcBorders>
            <w:shd w:val="clear" w:color="000000" w:fill="FFFFFF"/>
            <w:noWrap/>
            <w:vAlign w:val="bottom"/>
            <w:hideMark/>
          </w:tcPr>
          <w:p w14:paraId="54E8D55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034E147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6573341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45,50</w:t>
            </w:r>
          </w:p>
        </w:tc>
      </w:tr>
      <w:tr w:rsidR="002E2D1F" w:rsidRPr="0002056A" w14:paraId="48849554"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49A46BB6"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POR</w:t>
            </w:r>
          </w:p>
        </w:tc>
        <w:tc>
          <w:tcPr>
            <w:tcW w:w="1008" w:type="dxa"/>
            <w:tcBorders>
              <w:top w:val="nil"/>
              <w:left w:val="nil"/>
              <w:bottom w:val="nil"/>
              <w:right w:val="nil"/>
            </w:tcBorders>
            <w:shd w:val="clear" w:color="auto" w:fill="C5E0B3" w:themeFill="accent6" w:themeFillTint="66"/>
            <w:noWrap/>
            <w:vAlign w:val="bottom"/>
            <w:hideMark/>
          </w:tcPr>
          <w:p w14:paraId="43C4EE66" w14:textId="56DB84A8"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59,00</w:t>
            </w:r>
          </w:p>
        </w:tc>
        <w:tc>
          <w:tcPr>
            <w:tcW w:w="1141" w:type="dxa"/>
            <w:tcBorders>
              <w:top w:val="nil"/>
              <w:left w:val="nil"/>
              <w:bottom w:val="nil"/>
              <w:right w:val="nil"/>
            </w:tcBorders>
            <w:shd w:val="clear" w:color="000000" w:fill="FFFFFF"/>
            <w:noWrap/>
            <w:vAlign w:val="bottom"/>
            <w:hideMark/>
          </w:tcPr>
          <w:p w14:paraId="74FA8B4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92226,00</w:t>
            </w:r>
          </w:p>
        </w:tc>
        <w:tc>
          <w:tcPr>
            <w:tcW w:w="992" w:type="dxa"/>
            <w:tcBorders>
              <w:top w:val="nil"/>
              <w:left w:val="nil"/>
              <w:bottom w:val="nil"/>
              <w:right w:val="nil"/>
            </w:tcBorders>
            <w:shd w:val="clear" w:color="000000" w:fill="FFFFFF"/>
            <w:hideMark/>
          </w:tcPr>
          <w:p w14:paraId="4ABD326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5743619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10701,64</w:t>
            </w:r>
          </w:p>
        </w:tc>
        <w:tc>
          <w:tcPr>
            <w:tcW w:w="1051" w:type="dxa"/>
            <w:tcBorders>
              <w:top w:val="nil"/>
              <w:left w:val="nil"/>
              <w:bottom w:val="nil"/>
              <w:right w:val="nil"/>
            </w:tcBorders>
            <w:shd w:val="clear" w:color="000000" w:fill="FFFFFF"/>
            <w:noWrap/>
            <w:vAlign w:val="bottom"/>
            <w:hideMark/>
          </w:tcPr>
          <w:p w14:paraId="4F031B2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115,00</w:t>
            </w:r>
          </w:p>
        </w:tc>
        <w:tc>
          <w:tcPr>
            <w:tcW w:w="1209" w:type="dxa"/>
            <w:tcBorders>
              <w:top w:val="nil"/>
              <w:left w:val="nil"/>
              <w:bottom w:val="nil"/>
              <w:right w:val="nil"/>
            </w:tcBorders>
            <w:shd w:val="clear" w:color="000000" w:fill="FFFFFF"/>
            <w:noWrap/>
            <w:vAlign w:val="bottom"/>
            <w:hideMark/>
          </w:tcPr>
          <w:p w14:paraId="4536277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68,42</w:t>
            </w:r>
          </w:p>
        </w:tc>
        <w:tc>
          <w:tcPr>
            <w:tcW w:w="1093" w:type="dxa"/>
            <w:tcBorders>
              <w:top w:val="nil"/>
              <w:left w:val="nil"/>
              <w:bottom w:val="nil"/>
              <w:right w:val="nil"/>
            </w:tcBorders>
            <w:shd w:val="clear" w:color="000000" w:fill="FFFFFF"/>
            <w:hideMark/>
          </w:tcPr>
          <w:p w14:paraId="49961C0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50706,00</w:t>
            </w:r>
          </w:p>
        </w:tc>
        <w:tc>
          <w:tcPr>
            <w:tcW w:w="761" w:type="dxa"/>
            <w:tcBorders>
              <w:top w:val="nil"/>
              <w:left w:val="nil"/>
              <w:bottom w:val="nil"/>
              <w:right w:val="nil"/>
            </w:tcBorders>
            <w:shd w:val="clear" w:color="000000" w:fill="FFFFFF"/>
            <w:noWrap/>
            <w:vAlign w:val="bottom"/>
            <w:hideMark/>
          </w:tcPr>
          <w:p w14:paraId="1EBE6A8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33,50</w:t>
            </w:r>
          </w:p>
        </w:tc>
        <w:tc>
          <w:tcPr>
            <w:tcW w:w="1051" w:type="dxa"/>
            <w:tcBorders>
              <w:top w:val="nil"/>
              <w:left w:val="nil"/>
              <w:bottom w:val="nil"/>
              <w:right w:val="nil"/>
            </w:tcBorders>
            <w:shd w:val="clear" w:color="000000" w:fill="FFFFFF"/>
            <w:noWrap/>
            <w:vAlign w:val="bottom"/>
            <w:hideMark/>
          </w:tcPr>
          <w:p w14:paraId="0A08733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27,20</w:t>
            </w:r>
          </w:p>
        </w:tc>
        <w:tc>
          <w:tcPr>
            <w:tcW w:w="761" w:type="dxa"/>
            <w:tcBorders>
              <w:top w:val="nil"/>
              <w:left w:val="nil"/>
              <w:bottom w:val="nil"/>
              <w:right w:val="nil"/>
            </w:tcBorders>
            <w:shd w:val="clear" w:color="000000" w:fill="FFFFFF"/>
            <w:noWrap/>
            <w:vAlign w:val="bottom"/>
            <w:hideMark/>
          </w:tcPr>
          <w:p w14:paraId="0137C53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0,89</w:t>
            </w:r>
          </w:p>
        </w:tc>
        <w:tc>
          <w:tcPr>
            <w:tcW w:w="1052" w:type="dxa"/>
            <w:tcBorders>
              <w:top w:val="nil"/>
              <w:left w:val="nil"/>
              <w:bottom w:val="nil"/>
              <w:right w:val="nil"/>
            </w:tcBorders>
            <w:shd w:val="clear" w:color="000000" w:fill="FFFFFF"/>
            <w:noWrap/>
            <w:vAlign w:val="bottom"/>
            <w:hideMark/>
          </w:tcPr>
          <w:p w14:paraId="539695F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82,40</w:t>
            </w:r>
          </w:p>
        </w:tc>
        <w:tc>
          <w:tcPr>
            <w:tcW w:w="1107" w:type="dxa"/>
            <w:tcBorders>
              <w:top w:val="nil"/>
              <w:left w:val="nil"/>
              <w:bottom w:val="nil"/>
              <w:right w:val="nil"/>
            </w:tcBorders>
            <w:shd w:val="clear" w:color="000000" w:fill="FFFFFF"/>
            <w:noWrap/>
            <w:vAlign w:val="bottom"/>
            <w:hideMark/>
          </w:tcPr>
          <w:p w14:paraId="530418A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F32572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2946F5A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224B944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76,20</w:t>
            </w:r>
          </w:p>
        </w:tc>
      </w:tr>
      <w:tr w:rsidR="002E2D1F" w:rsidRPr="0002056A" w14:paraId="23959663"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2161851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ROM</w:t>
            </w:r>
          </w:p>
        </w:tc>
        <w:tc>
          <w:tcPr>
            <w:tcW w:w="1008" w:type="dxa"/>
            <w:tcBorders>
              <w:top w:val="nil"/>
              <w:left w:val="nil"/>
              <w:bottom w:val="nil"/>
              <w:right w:val="nil"/>
            </w:tcBorders>
            <w:shd w:val="clear" w:color="auto" w:fill="C5E0B3" w:themeFill="accent6" w:themeFillTint="66"/>
            <w:noWrap/>
            <w:vAlign w:val="bottom"/>
            <w:hideMark/>
          </w:tcPr>
          <w:p w14:paraId="353AB6F1" w14:textId="5EDE8A15"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38,00</w:t>
            </w:r>
          </w:p>
        </w:tc>
        <w:tc>
          <w:tcPr>
            <w:tcW w:w="1141" w:type="dxa"/>
            <w:tcBorders>
              <w:top w:val="nil"/>
              <w:left w:val="nil"/>
              <w:bottom w:val="nil"/>
              <w:right w:val="nil"/>
            </w:tcBorders>
            <w:shd w:val="clear" w:color="000000" w:fill="FFFFFF"/>
            <w:noWrap/>
            <w:vAlign w:val="bottom"/>
            <w:hideMark/>
          </w:tcPr>
          <w:p w14:paraId="2889064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238398,00</w:t>
            </w:r>
          </w:p>
        </w:tc>
        <w:tc>
          <w:tcPr>
            <w:tcW w:w="992" w:type="dxa"/>
            <w:tcBorders>
              <w:top w:val="nil"/>
              <w:left w:val="nil"/>
              <w:bottom w:val="nil"/>
              <w:right w:val="nil"/>
            </w:tcBorders>
            <w:shd w:val="clear" w:color="000000" w:fill="FFFFFF"/>
            <w:hideMark/>
          </w:tcPr>
          <w:p w14:paraId="2BC1C92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444D9E7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19069,35</w:t>
            </w:r>
          </w:p>
        </w:tc>
        <w:tc>
          <w:tcPr>
            <w:tcW w:w="1051" w:type="dxa"/>
            <w:tcBorders>
              <w:top w:val="nil"/>
              <w:left w:val="nil"/>
              <w:bottom w:val="nil"/>
              <w:right w:val="nil"/>
            </w:tcBorders>
            <w:shd w:val="clear" w:color="000000" w:fill="FFFFFF"/>
            <w:noWrap/>
            <w:vAlign w:val="bottom"/>
            <w:hideMark/>
          </w:tcPr>
          <w:p w14:paraId="70C57D9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79,96</w:t>
            </w:r>
          </w:p>
        </w:tc>
        <w:tc>
          <w:tcPr>
            <w:tcW w:w="1209" w:type="dxa"/>
            <w:tcBorders>
              <w:top w:val="nil"/>
              <w:left w:val="nil"/>
              <w:bottom w:val="nil"/>
              <w:right w:val="nil"/>
            </w:tcBorders>
            <w:shd w:val="clear" w:color="000000" w:fill="FFFFFF"/>
            <w:noWrap/>
            <w:vAlign w:val="bottom"/>
            <w:hideMark/>
          </w:tcPr>
          <w:p w14:paraId="637010C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54,88</w:t>
            </w:r>
          </w:p>
        </w:tc>
        <w:tc>
          <w:tcPr>
            <w:tcW w:w="1093" w:type="dxa"/>
            <w:tcBorders>
              <w:top w:val="nil"/>
              <w:left w:val="nil"/>
              <w:bottom w:val="nil"/>
              <w:right w:val="nil"/>
            </w:tcBorders>
            <w:shd w:val="clear" w:color="000000" w:fill="FFFFFF"/>
            <w:hideMark/>
          </w:tcPr>
          <w:p w14:paraId="5D41678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48717,00</w:t>
            </w:r>
          </w:p>
        </w:tc>
        <w:tc>
          <w:tcPr>
            <w:tcW w:w="761" w:type="dxa"/>
            <w:tcBorders>
              <w:top w:val="nil"/>
              <w:left w:val="nil"/>
              <w:bottom w:val="nil"/>
              <w:right w:val="nil"/>
            </w:tcBorders>
            <w:shd w:val="clear" w:color="000000" w:fill="FFFFFF"/>
            <w:noWrap/>
            <w:vAlign w:val="bottom"/>
            <w:hideMark/>
          </w:tcPr>
          <w:p w14:paraId="312E9FA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35,80</w:t>
            </w:r>
          </w:p>
        </w:tc>
        <w:tc>
          <w:tcPr>
            <w:tcW w:w="1051" w:type="dxa"/>
            <w:tcBorders>
              <w:top w:val="nil"/>
              <w:left w:val="nil"/>
              <w:bottom w:val="nil"/>
              <w:right w:val="nil"/>
            </w:tcBorders>
            <w:shd w:val="clear" w:color="000000" w:fill="FFFFFF"/>
            <w:noWrap/>
            <w:vAlign w:val="bottom"/>
            <w:hideMark/>
          </w:tcPr>
          <w:p w14:paraId="64B0C2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16,10</w:t>
            </w:r>
          </w:p>
        </w:tc>
        <w:tc>
          <w:tcPr>
            <w:tcW w:w="761" w:type="dxa"/>
            <w:tcBorders>
              <w:top w:val="nil"/>
              <w:left w:val="nil"/>
              <w:bottom w:val="nil"/>
              <w:right w:val="nil"/>
            </w:tcBorders>
            <w:shd w:val="clear" w:color="000000" w:fill="FFFFFF"/>
            <w:noWrap/>
            <w:vAlign w:val="bottom"/>
            <w:hideMark/>
          </w:tcPr>
          <w:p w14:paraId="6C10955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0,85</w:t>
            </w:r>
          </w:p>
        </w:tc>
        <w:tc>
          <w:tcPr>
            <w:tcW w:w="1052" w:type="dxa"/>
            <w:tcBorders>
              <w:top w:val="nil"/>
              <w:left w:val="nil"/>
              <w:bottom w:val="nil"/>
              <w:right w:val="nil"/>
            </w:tcBorders>
            <w:shd w:val="clear" w:color="000000" w:fill="FFFFFF"/>
            <w:noWrap/>
            <w:vAlign w:val="bottom"/>
            <w:hideMark/>
          </w:tcPr>
          <w:p w14:paraId="533EA5D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75,90</w:t>
            </w:r>
          </w:p>
        </w:tc>
        <w:tc>
          <w:tcPr>
            <w:tcW w:w="1107" w:type="dxa"/>
            <w:tcBorders>
              <w:top w:val="nil"/>
              <w:left w:val="nil"/>
              <w:bottom w:val="nil"/>
              <w:right w:val="nil"/>
            </w:tcBorders>
            <w:shd w:val="clear" w:color="000000" w:fill="FFFFFF"/>
            <w:noWrap/>
            <w:vAlign w:val="bottom"/>
            <w:hideMark/>
          </w:tcPr>
          <w:p w14:paraId="256D049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62560CB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1A33A07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49A03EC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49,70</w:t>
            </w:r>
          </w:p>
        </w:tc>
      </w:tr>
      <w:tr w:rsidR="002E2D1F" w:rsidRPr="0002056A" w14:paraId="6200D208"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CB726FC"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SCO</w:t>
            </w:r>
          </w:p>
        </w:tc>
        <w:tc>
          <w:tcPr>
            <w:tcW w:w="1008" w:type="dxa"/>
            <w:tcBorders>
              <w:top w:val="nil"/>
              <w:left w:val="nil"/>
              <w:bottom w:val="nil"/>
              <w:right w:val="nil"/>
            </w:tcBorders>
            <w:shd w:val="clear" w:color="auto" w:fill="C5E0B3" w:themeFill="accent6" w:themeFillTint="66"/>
            <w:noWrap/>
            <w:vAlign w:val="bottom"/>
            <w:hideMark/>
          </w:tcPr>
          <w:p w14:paraId="595F7546" w14:textId="11C6035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81,00</w:t>
            </w:r>
          </w:p>
        </w:tc>
        <w:tc>
          <w:tcPr>
            <w:tcW w:w="1141" w:type="dxa"/>
            <w:tcBorders>
              <w:top w:val="nil"/>
              <w:left w:val="nil"/>
              <w:bottom w:val="nil"/>
              <w:right w:val="nil"/>
            </w:tcBorders>
            <w:shd w:val="clear" w:color="000000" w:fill="FFFFFF"/>
            <w:noWrap/>
            <w:vAlign w:val="bottom"/>
            <w:hideMark/>
          </w:tcPr>
          <w:p w14:paraId="3E22F59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77925,00</w:t>
            </w:r>
          </w:p>
        </w:tc>
        <w:tc>
          <w:tcPr>
            <w:tcW w:w="992" w:type="dxa"/>
            <w:tcBorders>
              <w:top w:val="nil"/>
              <w:left w:val="nil"/>
              <w:bottom w:val="nil"/>
              <w:right w:val="nil"/>
            </w:tcBorders>
            <w:shd w:val="clear" w:color="000000" w:fill="FFFFFF"/>
            <w:hideMark/>
          </w:tcPr>
          <w:p w14:paraId="5E338E2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nil"/>
              <w:right w:val="nil"/>
            </w:tcBorders>
            <w:shd w:val="clear" w:color="000000" w:fill="FFFFFF"/>
            <w:noWrap/>
            <w:vAlign w:val="bottom"/>
            <w:hideMark/>
          </w:tcPr>
          <w:p w14:paraId="7AE2074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5490,10</w:t>
            </w:r>
          </w:p>
        </w:tc>
        <w:tc>
          <w:tcPr>
            <w:tcW w:w="1051" w:type="dxa"/>
            <w:tcBorders>
              <w:top w:val="nil"/>
              <w:left w:val="nil"/>
              <w:bottom w:val="nil"/>
              <w:right w:val="nil"/>
            </w:tcBorders>
            <w:shd w:val="clear" w:color="000000" w:fill="FFFFFF"/>
            <w:noWrap/>
            <w:vAlign w:val="bottom"/>
            <w:hideMark/>
          </w:tcPr>
          <w:p w14:paraId="4C3EDC3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70,45</w:t>
            </w:r>
          </w:p>
        </w:tc>
        <w:tc>
          <w:tcPr>
            <w:tcW w:w="1209" w:type="dxa"/>
            <w:tcBorders>
              <w:top w:val="nil"/>
              <w:left w:val="nil"/>
              <w:bottom w:val="nil"/>
              <w:right w:val="nil"/>
            </w:tcBorders>
            <w:shd w:val="clear" w:color="000000" w:fill="FFFFFF"/>
            <w:noWrap/>
            <w:vAlign w:val="bottom"/>
            <w:hideMark/>
          </w:tcPr>
          <w:p w14:paraId="2293936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83,61</w:t>
            </w:r>
          </w:p>
        </w:tc>
        <w:tc>
          <w:tcPr>
            <w:tcW w:w="1093" w:type="dxa"/>
            <w:tcBorders>
              <w:top w:val="nil"/>
              <w:left w:val="nil"/>
              <w:bottom w:val="nil"/>
              <w:right w:val="nil"/>
            </w:tcBorders>
            <w:shd w:val="clear" w:color="000000" w:fill="FFFFFF"/>
            <w:hideMark/>
          </w:tcPr>
          <w:p w14:paraId="1289E92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55345,04</w:t>
            </w:r>
          </w:p>
        </w:tc>
        <w:tc>
          <w:tcPr>
            <w:tcW w:w="761" w:type="dxa"/>
            <w:tcBorders>
              <w:top w:val="nil"/>
              <w:left w:val="nil"/>
              <w:bottom w:val="nil"/>
              <w:right w:val="nil"/>
            </w:tcBorders>
            <w:shd w:val="clear" w:color="000000" w:fill="FFFFFF"/>
            <w:noWrap/>
            <w:vAlign w:val="bottom"/>
            <w:hideMark/>
          </w:tcPr>
          <w:p w14:paraId="4FC31D4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32,00</w:t>
            </w:r>
          </w:p>
        </w:tc>
        <w:tc>
          <w:tcPr>
            <w:tcW w:w="1051" w:type="dxa"/>
            <w:tcBorders>
              <w:top w:val="nil"/>
              <w:left w:val="nil"/>
              <w:bottom w:val="nil"/>
              <w:right w:val="nil"/>
            </w:tcBorders>
            <w:shd w:val="clear" w:color="000000" w:fill="FFFFFF"/>
            <w:noWrap/>
            <w:vAlign w:val="bottom"/>
            <w:hideMark/>
          </w:tcPr>
          <w:p w14:paraId="0B46A33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41,00</w:t>
            </w:r>
          </w:p>
        </w:tc>
        <w:tc>
          <w:tcPr>
            <w:tcW w:w="761" w:type="dxa"/>
            <w:tcBorders>
              <w:top w:val="nil"/>
              <w:left w:val="nil"/>
              <w:bottom w:val="nil"/>
              <w:right w:val="nil"/>
            </w:tcBorders>
            <w:shd w:val="clear" w:color="000000" w:fill="FFFFFF"/>
            <w:noWrap/>
            <w:vAlign w:val="bottom"/>
            <w:hideMark/>
          </w:tcPr>
          <w:p w14:paraId="2FEFD22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0,93</w:t>
            </w:r>
          </w:p>
        </w:tc>
        <w:tc>
          <w:tcPr>
            <w:tcW w:w="1052" w:type="dxa"/>
            <w:tcBorders>
              <w:top w:val="nil"/>
              <w:left w:val="nil"/>
              <w:bottom w:val="nil"/>
              <w:right w:val="nil"/>
            </w:tcBorders>
            <w:shd w:val="clear" w:color="000000" w:fill="FFFFFF"/>
            <w:noWrap/>
            <w:vAlign w:val="bottom"/>
            <w:hideMark/>
          </w:tcPr>
          <w:p w14:paraId="1E5D772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78,80</w:t>
            </w:r>
          </w:p>
        </w:tc>
        <w:tc>
          <w:tcPr>
            <w:tcW w:w="1107" w:type="dxa"/>
            <w:tcBorders>
              <w:top w:val="nil"/>
              <w:left w:val="nil"/>
              <w:bottom w:val="nil"/>
              <w:right w:val="nil"/>
            </w:tcBorders>
            <w:shd w:val="clear" w:color="000000" w:fill="FFFFFF"/>
            <w:noWrap/>
            <w:vAlign w:val="bottom"/>
            <w:hideMark/>
          </w:tcPr>
          <w:p w14:paraId="02B12FB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627F844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5103402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04C0581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70,30</w:t>
            </w:r>
          </w:p>
        </w:tc>
      </w:tr>
      <w:tr w:rsidR="002E2D1F" w:rsidRPr="0002056A" w14:paraId="142FB31D"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54866F05"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SPA</w:t>
            </w:r>
          </w:p>
        </w:tc>
        <w:tc>
          <w:tcPr>
            <w:tcW w:w="1008" w:type="dxa"/>
            <w:tcBorders>
              <w:top w:val="nil"/>
              <w:left w:val="nil"/>
              <w:bottom w:val="nil"/>
              <w:right w:val="nil"/>
            </w:tcBorders>
            <w:shd w:val="clear" w:color="auto" w:fill="C5E0B3" w:themeFill="accent6" w:themeFillTint="66"/>
            <w:noWrap/>
            <w:vAlign w:val="bottom"/>
            <w:hideMark/>
          </w:tcPr>
          <w:p w14:paraId="445E0528" w14:textId="2AE9EFFA"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63,00</w:t>
            </w:r>
          </w:p>
        </w:tc>
        <w:tc>
          <w:tcPr>
            <w:tcW w:w="1141" w:type="dxa"/>
            <w:tcBorders>
              <w:top w:val="nil"/>
              <w:left w:val="nil"/>
              <w:bottom w:val="nil"/>
              <w:right w:val="nil"/>
            </w:tcBorders>
            <w:shd w:val="clear" w:color="000000" w:fill="FFFFFF"/>
            <w:noWrap/>
            <w:vAlign w:val="bottom"/>
            <w:hideMark/>
          </w:tcPr>
          <w:p w14:paraId="65F8B06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505983,00</w:t>
            </w:r>
          </w:p>
        </w:tc>
        <w:tc>
          <w:tcPr>
            <w:tcW w:w="992" w:type="dxa"/>
            <w:tcBorders>
              <w:top w:val="nil"/>
              <w:left w:val="nil"/>
              <w:bottom w:val="nil"/>
              <w:right w:val="nil"/>
            </w:tcBorders>
            <w:shd w:val="clear" w:color="000000" w:fill="FFFFFF"/>
            <w:hideMark/>
          </w:tcPr>
          <w:p w14:paraId="1094A70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31D88D3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48807,15</w:t>
            </w:r>
          </w:p>
        </w:tc>
        <w:tc>
          <w:tcPr>
            <w:tcW w:w="1051" w:type="dxa"/>
            <w:tcBorders>
              <w:top w:val="nil"/>
              <w:left w:val="nil"/>
              <w:bottom w:val="nil"/>
              <w:right w:val="nil"/>
            </w:tcBorders>
            <w:shd w:val="clear" w:color="000000" w:fill="FFFFFF"/>
            <w:noWrap/>
            <w:vAlign w:val="bottom"/>
            <w:hideMark/>
          </w:tcPr>
          <w:p w14:paraId="5BAD358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95,56</w:t>
            </w:r>
          </w:p>
        </w:tc>
        <w:tc>
          <w:tcPr>
            <w:tcW w:w="1209" w:type="dxa"/>
            <w:tcBorders>
              <w:top w:val="nil"/>
              <w:left w:val="nil"/>
              <w:bottom w:val="nil"/>
              <w:right w:val="nil"/>
            </w:tcBorders>
            <w:shd w:val="clear" w:color="000000" w:fill="FFFFFF"/>
            <w:noWrap/>
            <w:vAlign w:val="bottom"/>
            <w:hideMark/>
          </w:tcPr>
          <w:p w14:paraId="1EEAE2F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81,80</w:t>
            </w:r>
          </w:p>
        </w:tc>
        <w:tc>
          <w:tcPr>
            <w:tcW w:w="1093" w:type="dxa"/>
            <w:tcBorders>
              <w:top w:val="nil"/>
              <w:left w:val="nil"/>
              <w:bottom w:val="nil"/>
              <w:right w:val="nil"/>
            </w:tcBorders>
            <w:shd w:val="clear" w:color="000000" w:fill="FFFFFF"/>
            <w:hideMark/>
          </w:tcPr>
          <w:p w14:paraId="3411172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56898,00</w:t>
            </w:r>
          </w:p>
        </w:tc>
        <w:tc>
          <w:tcPr>
            <w:tcW w:w="761" w:type="dxa"/>
            <w:tcBorders>
              <w:top w:val="nil"/>
              <w:left w:val="nil"/>
              <w:bottom w:val="nil"/>
              <w:right w:val="nil"/>
            </w:tcBorders>
            <w:shd w:val="clear" w:color="000000" w:fill="FFFFFF"/>
            <w:noWrap/>
            <w:vAlign w:val="bottom"/>
            <w:hideMark/>
          </w:tcPr>
          <w:p w14:paraId="0EB2510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34,70</w:t>
            </w:r>
          </w:p>
        </w:tc>
        <w:tc>
          <w:tcPr>
            <w:tcW w:w="1051" w:type="dxa"/>
            <w:tcBorders>
              <w:top w:val="nil"/>
              <w:left w:val="nil"/>
              <w:bottom w:val="nil"/>
              <w:right w:val="nil"/>
            </w:tcBorders>
            <w:shd w:val="clear" w:color="000000" w:fill="FFFFFF"/>
            <w:noWrap/>
            <w:vAlign w:val="bottom"/>
            <w:hideMark/>
          </w:tcPr>
          <w:p w14:paraId="69DBE1F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37,10</w:t>
            </w:r>
          </w:p>
        </w:tc>
        <w:tc>
          <w:tcPr>
            <w:tcW w:w="761" w:type="dxa"/>
            <w:tcBorders>
              <w:top w:val="nil"/>
              <w:left w:val="nil"/>
              <w:bottom w:val="nil"/>
              <w:right w:val="nil"/>
            </w:tcBorders>
            <w:shd w:val="clear" w:color="000000" w:fill="FFFFFF"/>
            <w:noWrap/>
            <w:vAlign w:val="bottom"/>
            <w:hideMark/>
          </w:tcPr>
          <w:p w14:paraId="3378D22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0,92</w:t>
            </w:r>
          </w:p>
        </w:tc>
        <w:tc>
          <w:tcPr>
            <w:tcW w:w="1052" w:type="dxa"/>
            <w:tcBorders>
              <w:top w:val="nil"/>
              <w:left w:val="nil"/>
              <w:bottom w:val="nil"/>
              <w:right w:val="nil"/>
            </w:tcBorders>
            <w:shd w:val="clear" w:color="000000" w:fill="FFFFFF"/>
            <w:noWrap/>
            <w:vAlign w:val="bottom"/>
            <w:hideMark/>
          </w:tcPr>
          <w:p w14:paraId="3D2384C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83,70</w:t>
            </w:r>
          </w:p>
        </w:tc>
        <w:tc>
          <w:tcPr>
            <w:tcW w:w="1107" w:type="dxa"/>
            <w:tcBorders>
              <w:top w:val="nil"/>
              <w:left w:val="nil"/>
              <w:bottom w:val="nil"/>
              <w:right w:val="nil"/>
            </w:tcBorders>
            <w:shd w:val="clear" w:color="000000" w:fill="FFFFFF"/>
            <w:noWrap/>
            <w:vAlign w:val="bottom"/>
            <w:hideMark/>
          </w:tcPr>
          <w:p w14:paraId="16A89E6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210" w:type="dxa"/>
            <w:tcBorders>
              <w:top w:val="nil"/>
              <w:left w:val="nil"/>
              <w:bottom w:val="nil"/>
              <w:right w:val="nil"/>
            </w:tcBorders>
            <w:shd w:val="clear" w:color="000000" w:fill="FFFFFF"/>
            <w:noWrap/>
            <w:vAlign w:val="bottom"/>
            <w:hideMark/>
          </w:tcPr>
          <w:p w14:paraId="5DD0C6E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2D6B79B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0F2832C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52,90</w:t>
            </w:r>
          </w:p>
        </w:tc>
      </w:tr>
      <w:tr w:rsidR="002E2D1F" w:rsidRPr="0002056A" w14:paraId="08BE0D14"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04F71E54"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SWI</w:t>
            </w:r>
          </w:p>
        </w:tc>
        <w:tc>
          <w:tcPr>
            <w:tcW w:w="1008" w:type="dxa"/>
            <w:tcBorders>
              <w:top w:val="nil"/>
              <w:left w:val="nil"/>
              <w:bottom w:val="nil"/>
              <w:right w:val="nil"/>
            </w:tcBorders>
            <w:shd w:val="clear" w:color="auto" w:fill="C5E0B3" w:themeFill="accent6" w:themeFillTint="66"/>
            <w:noWrap/>
            <w:vAlign w:val="bottom"/>
            <w:hideMark/>
          </w:tcPr>
          <w:p w14:paraId="1753383C" w14:textId="2C729BCF"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80,00</w:t>
            </w:r>
          </w:p>
        </w:tc>
        <w:tc>
          <w:tcPr>
            <w:tcW w:w="1141" w:type="dxa"/>
            <w:tcBorders>
              <w:top w:val="nil"/>
              <w:left w:val="nil"/>
              <w:bottom w:val="nil"/>
              <w:right w:val="nil"/>
            </w:tcBorders>
            <w:shd w:val="clear" w:color="000000" w:fill="FFFFFF"/>
            <w:noWrap/>
            <w:vAlign w:val="bottom"/>
            <w:hideMark/>
          </w:tcPr>
          <w:p w14:paraId="6EA126B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41285,00</w:t>
            </w:r>
          </w:p>
        </w:tc>
        <w:tc>
          <w:tcPr>
            <w:tcW w:w="992" w:type="dxa"/>
            <w:tcBorders>
              <w:top w:val="nil"/>
              <w:left w:val="nil"/>
              <w:bottom w:val="nil"/>
              <w:right w:val="nil"/>
            </w:tcBorders>
            <w:shd w:val="clear" w:color="000000" w:fill="FFFFFF"/>
            <w:hideMark/>
          </w:tcPr>
          <w:p w14:paraId="3757414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297011F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9034,10</w:t>
            </w:r>
          </w:p>
        </w:tc>
        <w:tc>
          <w:tcPr>
            <w:tcW w:w="1051" w:type="dxa"/>
            <w:tcBorders>
              <w:top w:val="nil"/>
              <w:left w:val="nil"/>
              <w:bottom w:val="nil"/>
              <w:right w:val="nil"/>
            </w:tcBorders>
            <w:shd w:val="clear" w:color="000000" w:fill="FFFFFF"/>
            <w:noWrap/>
            <w:vAlign w:val="bottom"/>
            <w:hideMark/>
          </w:tcPr>
          <w:p w14:paraId="4B6D19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215,31</w:t>
            </w:r>
          </w:p>
        </w:tc>
        <w:tc>
          <w:tcPr>
            <w:tcW w:w="1209" w:type="dxa"/>
            <w:tcBorders>
              <w:top w:val="nil"/>
              <w:left w:val="nil"/>
              <w:bottom w:val="nil"/>
              <w:right w:val="nil"/>
            </w:tcBorders>
            <w:shd w:val="clear" w:color="000000" w:fill="FFFFFF"/>
            <w:noWrap/>
            <w:vAlign w:val="bottom"/>
            <w:hideMark/>
          </w:tcPr>
          <w:p w14:paraId="337914C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74,33</w:t>
            </w:r>
          </w:p>
        </w:tc>
        <w:tc>
          <w:tcPr>
            <w:tcW w:w="1093" w:type="dxa"/>
            <w:tcBorders>
              <w:top w:val="nil"/>
              <w:left w:val="nil"/>
              <w:bottom w:val="nil"/>
              <w:right w:val="nil"/>
            </w:tcBorders>
            <w:shd w:val="clear" w:color="000000" w:fill="FFFFFF"/>
            <w:hideMark/>
          </w:tcPr>
          <w:p w14:paraId="471DF93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94015,00</w:t>
            </w:r>
          </w:p>
        </w:tc>
        <w:tc>
          <w:tcPr>
            <w:tcW w:w="761" w:type="dxa"/>
            <w:tcBorders>
              <w:top w:val="nil"/>
              <w:left w:val="nil"/>
              <w:bottom w:val="nil"/>
              <w:right w:val="nil"/>
            </w:tcBorders>
            <w:shd w:val="clear" w:color="000000" w:fill="FFFFFF"/>
            <w:noWrap/>
            <w:vAlign w:val="bottom"/>
            <w:hideMark/>
          </w:tcPr>
          <w:p w14:paraId="63EFA42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33,10</w:t>
            </w:r>
          </w:p>
        </w:tc>
        <w:tc>
          <w:tcPr>
            <w:tcW w:w="1051" w:type="dxa"/>
            <w:tcBorders>
              <w:top w:val="nil"/>
              <w:left w:val="nil"/>
              <w:bottom w:val="nil"/>
              <w:right w:val="nil"/>
            </w:tcBorders>
            <w:shd w:val="clear" w:color="000000" w:fill="FFFFFF"/>
            <w:noWrap/>
            <w:vAlign w:val="bottom"/>
            <w:hideMark/>
          </w:tcPr>
          <w:p w14:paraId="7B7943D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40,30</w:t>
            </w:r>
          </w:p>
        </w:tc>
        <w:tc>
          <w:tcPr>
            <w:tcW w:w="761" w:type="dxa"/>
            <w:tcBorders>
              <w:top w:val="nil"/>
              <w:left w:val="nil"/>
              <w:bottom w:val="nil"/>
              <w:right w:val="nil"/>
            </w:tcBorders>
            <w:shd w:val="clear" w:color="000000" w:fill="FFFFFF"/>
            <w:noWrap/>
            <w:vAlign w:val="bottom"/>
            <w:hideMark/>
          </w:tcPr>
          <w:p w14:paraId="762C302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0,97</w:t>
            </w:r>
          </w:p>
        </w:tc>
        <w:tc>
          <w:tcPr>
            <w:tcW w:w="1052" w:type="dxa"/>
            <w:tcBorders>
              <w:top w:val="nil"/>
              <w:left w:val="nil"/>
              <w:bottom w:val="nil"/>
              <w:right w:val="nil"/>
            </w:tcBorders>
            <w:shd w:val="clear" w:color="000000" w:fill="FFFFFF"/>
            <w:noWrap/>
            <w:vAlign w:val="bottom"/>
            <w:hideMark/>
          </w:tcPr>
          <w:p w14:paraId="183FFFB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84,00</w:t>
            </w:r>
          </w:p>
        </w:tc>
        <w:tc>
          <w:tcPr>
            <w:tcW w:w="1107" w:type="dxa"/>
            <w:tcBorders>
              <w:top w:val="nil"/>
              <w:left w:val="nil"/>
              <w:bottom w:val="nil"/>
              <w:right w:val="nil"/>
            </w:tcBorders>
            <w:shd w:val="clear" w:color="000000" w:fill="FFFFFF"/>
            <w:noWrap/>
            <w:vAlign w:val="bottom"/>
            <w:hideMark/>
          </w:tcPr>
          <w:p w14:paraId="6A40F3B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5,00</w:t>
            </w:r>
          </w:p>
        </w:tc>
        <w:tc>
          <w:tcPr>
            <w:tcW w:w="1210" w:type="dxa"/>
            <w:tcBorders>
              <w:top w:val="nil"/>
              <w:left w:val="nil"/>
              <w:bottom w:val="nil"/>
              <w:right w:val="nil"/>
            </w:tcBorders>
            <w:shd w:val="clear" w:color="000000" w:fill="FFFFFF"/>
            <w:noWrap/>
            <w:vAlign w:val="bottom"/>
            <w:hideMark/>
          </w:tcPr>
          <w:p w14:paraId="58D2286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116462A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5329E18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66,60</w:t>
            </w:r>
          </w:p>
        </w:tc>
      </w:tr>
      <w:tr w:rsidR="002E2D1F" w:rsidRPr="0002056A" w14:paraId="2720CFA0"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7E08769A"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SWE</w:t>
            </w:r>
          </w:p>
        </w:tc>
        <w:tc>
          <w:tcPr>
            <w:tcW w:w="1008" w:type="dxa"/>
            <w:tcBorders>
              <w:top w:val="nil"/>
              <w:left w:val="nil"/>
              <w:bottom w:val="nil"/>
              <w:right w:val="nil"/>
            </w:tcBorders>
            <w:shd w:val="clear" w:color="auto" w:fill="C5E0B3" w:themeFill="accent6" w:themeFillTint="66"/>
            <w:noWrap/>
            <w:vAlign w:val="bottom"/>
            <w:hideMark/>
          </w:tcPr>
          <w:p w14:paraId="25BAF6F2" w14:textId="2335964F"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73,00</w:t>
            </w:r>
          </w:p>
        </w:tc>
        <w:tc>
          <w:tcPr>
            <w:tcW w:w="1141" w:type="dxa"/>
            <w:tcBorders>
              <w:top w:val="nil"/>
              <w:left w:val="nil"/>
              <w:bottom w:val="nil"/>
              <w:right w:val="nil"/>
            </w:tcBorders>
            <w:shd w:val="clear" w:color="000000" w:fill="FFFFFF"/>
            <w:noWrap/>
            <w:vAlign w:val="bottom"/>
            <w:hideMark/>
          </w:tcPr>
          <w:p w14:paraId="10A0654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447424,00</w:t>
            </w:r>
          </w:p>
        </w:tc>
        <w:tc>
          <w:tcPr>
            <w:tcW w:w="992" w:type="dxa"/>
            <w:tcBorders>
              <w:top w:val="nil"/>
              <w:left w:val="nil"/>
              <w:bottom w:val="nil"/>
              <w:right w:val="nil"/>
            </w:tcBorders>
            <w:shd w:val="clear" w:color="000000" w:fill="FFFFFF"/>
            <w:hideMark/>
          </w:tcPr>
          <w:p w14:paraId="745A139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3EAE1D3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10569,72</w:t>
            </w:r>
          </w:p>
        </w:tc>
        <w:tc>
          <w:tcPr>
            <w:tcW w:w="1051" w:type="dxa"/>
            <w:tcBorders>
              <w:top w:val="nil"/>
              <w:left w:val="nil"/>
              <w:bottom w:val="nil"/>
              <w:right w:val="nil"/>
            </w:tcBorders>
            <w:shd w:val="clear" w:color="000000" w:fill="FFFFFF"/>
            <w:noWrap/>
            <w:vAlign w:val="bottom"/>
            <w:hideMark/>
          </w:tcPr>
          <w:p w14:paraId="38A3719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23,42</w:t>
            </w:r>
          </w:p>
        </w:tc>
        <w:tc>
          <w:tcPr>
            <w:tcW w:w="1209" w:type="dxa"/>
            <w:tcBorders>
              <w:top w:val="nil"/>
              <w:left w:val="nil"/>
              <w:bottom w:val="nil"/>
              <w:right w:val="nil"/>
            </w:tcBorders>
            <w:shd w:val="clear" w:color="000000" w:fill="FFFFFF"/>
            <w:noWrap/>
            <w:vAlign w:val="bottom"/>
            <w:hideMark/>
          </w:tcPr>
          <w:p w14:paraId="714A7B6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88,98</w:t>
            </w:r>
          </w:p>
        </w:tc>
        <w:tc>
          <w:tcPr>
            <w:tcW w:w="1093" w:type="dxa"/>
            <w:tcBorders>
              <w:top w:val="nil"/>
              <w:left w:val="nil"/>
              <w:bottom w:val="nil"/>
              <w:right w:val="nil"/>
            </w:tcBorders>
            <w:shd w:val="clear" w:color="000000" w:fill="FFFFFF"/>
            <w:hideMark/>
          </w:tcPr>
          <w:p w14:paraId="516E44A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70017,00</w:t>
            </w:r>
          </w:p>
        </w:tc>
        <w:tc>
          <w:tcPr>
            <w:tcW w:w="761" w:type="dxa"/>
            <w:tcBorders>
              <w:top w:val="nil"/>
              <w:left w:val="nil"/>
              <w:bottom w:val="nil"/>
              <w:right w:val="nil"/>
            </w:tcBorders>
            <w:shd w:val="clear" w:color="000000" w:fill="FFFFFF"/>
            <w:noWrap/>
            <w:vAlign w:val="bottom"/>
            <w:hideMark/>
          </w:tcPr>
          <w:p w14:paraId="0E4C100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30,00</w:t>
            </w:r>
          </w:p>
        </w:tc>
        <w:tc>
          <w:tcPr>
            <w:tcW w:w="1051" w:type="dxa"/>
            <w:tcBorders>
              <w:top w:val="nil"/>
              <w:left w:val="nil"/>
              <w:bottom w:val="nil"/>
              <w:right w:val="nil"/>
            </w:tcBorders>
            <w:shd w:val="clear" w:color="000000" w:fill="FFFFFF"/>
            <w:noWrap/>
            <w:vAlign w:val="bottom"/>
            <w:hideMark/>
          </w:tcPr>
          <w:p w14:paraId="170FF58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41,90</w:t>
            </w:r>
          </w:p>
        </w:tc>
        <w:tc>
          <w:tcPr>
            <w:tcW w:w="761" w:type="dxa"/>
            <w:tcBorders>
              <w:top w:val="nil"/>
              <w:left w:val="nil"/>
              <w:bottom w:val="nil"/>
              <w:right w:val="nil"/>
            </w:tcBorders>
            <w:shd w:val="clear" w:color="000000" w:fill="FFFFFF"/>
            <w:noWrap/>
            <w:vAlign w:val="bottom"/>
            <w:hideMark/>
          </w:tcPr>
          <w:p w14:paraId="5A4BD24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0,96</w:t>
            </w:r>
          </w:p>
        </w:tc>
        <w:tc>
          <w:tcPr>
            <w:tcW w:w="1052" w:type="dxa"/>
            <w:tcBorders>
              <w:top w:val="nil"/>
              <w:left w:val="nil"/>
              <w:bottom w:val="nil"/>
              <w:right w:val="nil"/>
            </w:tcBorders>
            <w:shd w:val="clear" w:color="000000" w:fill="FFFFFF"/>
            <w:noWrap/>
            <w:vAlign w:val="bottom"/>
            <w:hideMark/>
          </w:tcPr>
          <w:p w14:paraId="29CDCBA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83,30</w:t>
            </w:r>
          </w:p>
        </w:tc>
        <w:tc>
          <w:tcPr>
            <w:tcW w:w="1107" w:type="dxa"/>
            <w:tcBorders>
              <w:top w:val="nil"/>
              <w:left w:val="nil"/>
              <w:bottom w:val="nil"/>
              <w:right w:val="nil"/>
            </w:tcBorders>
            <w:shd w:val="clear" w:color="000000" w:fill="FFFFFF"/>
            <w:noWrap/>
            <w:vAlign w:val="bottom"/>
            <w:hideMark/>
          </w:tcPr>
          <w:p w14:paraId="570A767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210" w:type="dxa"/>
            <w:tcBorders>
              <w:top w:val="nil"/>
              <w:left w:val="nil"/>
              <w:bottom w:val="nil"/>
              <w:right w:val="nil"/>
            </w:tcBorders>
            <w:shd w:val="clear" w:color="000000" w:fill="FFFFFF"/>
            <w:noWrap/>
            <w:vAlign w:val="bottom"/>
            <w:hideMark/>
          </w:tcPr>
          <w:p w14:paraId="476ED6C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nil"/>
              <w:right w:val="nil"/>
            </w:tcBorders>
            <w:shd w:val="clear" w:color="000000" w:fill="FFFFFF"/>
            <w:noWrap/>
            <w:vAlign w:val="bottom"/>
            <w:hideMark/>
          </w:tcPr>
          <w:p w14:paraId="023217D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56CA3A0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70,20</w:t>
            </w:r>
          </w:p>
        </w:tc>
      </w:tr>
      <w:tr w:rsidR="002E2D1F" w:rsidRPr="0002056A" w14:paraId="25675873"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30C9F6A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SRB</w:t>
            </w:r>
          </w:p>
        </w:tc>
        <w:tc>
          <w:tcPr>
            <w:tcW w:w="1008" w:type="dxa"/>
            <w:tcBorders>
              <w:top w:val="nil"/>
              <w:left w:val="nil"/>
              <w:bottom w:val="nil"/>
              <w:right w:val="nil"/>
            </w:tcBorders>
            <w:shd w:val="clear" w:color="auto" w:fill="C5E0B3" w:themeFill="accent6" w:themeFillTint="66"/>
            <w:noWrap/>
            <w:vAlign w:val="bottom"/>
            <w:hideMark/>
          </w:tcPr>
          <w:p w14:paraId="4F075F98" w14:textId="38DF9A46"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43,00</w:t>
            </w:r>
          </w:p>
        </w:tc>
        <w:tc>
          <w:tcPr>
            <w:tcW w:w="1141" w:type="dxa"/>
            <w:tcBorders>
              <w:top w:val="nil"/>
              <w:left w:val="nil"/>
              <w:bottom w:val="nil"/>
              <w:right w:val="nil"/>
            </w:tcBorders>
            <w:shd w:val="clear" w:color="000000" w:fill="FFFFFF"/>
            <w:noWrap/>
            <w:vAlign w:val="bottom"/>
            <w:hideMark/>
          </w:tcPr>
          <w:p w14:paraId="68EB33A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88361,00</w:t>
            </w:r>
          </w:p>
        </w:tc>
        <w:tc>
          <w:tcPr>
            <w:tcW w:w="992" w:type="dxa"/>
            <w:tcBorders>
              <w:top w:val="nil"/>
              <w:left w:val="nil"/>
              <w:bottom w:val="nil"/>
              <w:right w:val="nil"/>
            </w:tcBorders>
            <w:shd w:val="clear" w:color="000000" w:fill="FFFFFF"/>
            <w:hideMark/>
          </w:tcPr>
          <w:p w14:paraId="22290A3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1B79F8E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6587,21</w:t>
            </w:r>
          </w:p>
        </w:tc>
        <w:tc>
          <w:tcPr>
            <w:tcW w:w="1051" w:type="dxa"/>
            <w:tcBorders>
              <w:top w:val="nil"/>
              <w:left w:val="nil"/>
              <w:bottom w:val="nil"/>
              <w:right w:val="nil"/>
            </w:tcBorders>
            <w:shd w:val="clear" w:color="000000" w:fill="FFFFFF"/>
            <w:noWrap/>
            <w:vAlign w:val="bottom"/>
            <w:hideMark/>
          </w:tcPr>
          <w:p w14:paraId="314ED21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77,34</w:t>
            </w:r>
          </w:p>
        </w:tc>
        <w:tc>
          <w:tcPr>
            <w:tcW w:w="1209" w:type="dxa"/>
            <w:tcBorders>
              <w:top w:val="nil"/>
              <w:left w:val="nil"/>
              <w:bottom w:val="nil"/>
              <w:right w:val="nil"/>
            </w:tcBorders>
            <w:shd w:val="clear" w:color="000000" w:fill="FFFFFF"/>
            <w:noWrap/>
            <w:vAlign w:val="bottom"/>
            <w:hideMark/>
          </w:tcPr>
          <w:p w14:paraId="37DDC4B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57,37</w:t>
            </w:r>
          </w:p>
        </w:tc>
        <w:tc>
          <w:tcPr>
            <w:tcW w:w="1093" w:type="dxa"/>
            <w:tcBorders>
              <w:top w:val="nil"/>
              <w:left w:val="nil"/>
              <w:bottom w:val="nil"/>
              <w:right w:val="nil"/>
            </w:tcBorders>
            <w:shd w:val="clear" w:color="000000" w:fill="FFFFFF"/>
            <w:noWrap/>
            <w:vAlign w:val="bottom"/>
            <w:hideMark/>
          </w:tcPr>
          <w:p w14:paraId="51CFB76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31895,00</w:t>
            </w:r>
          </w:p>
        </w:tc>
        <w:tc>
          <w:tcPr>
            <w:tcW w:w="761" w:type="dxa"/>
            <w:tcBorders>
              <w:top w:val="nil"/>
              <w:left w:val="nil"/>
              <w:bottom w:val="nil"/>
              <w:right w:val="nil"/>
            </w:tcBorders>
            <w:shd w:val="clear" w:color="000000" w:fill="FFFFFF"/>
            <w:noWrap/>
            <w:vAlign w:val="bottom"/>
            <w:hideMark/>
          </w:tcPr>
          <w:p w14:paraId="28BCDDD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35,00</w:t>
            </w:r>
          </w:p>
        </w:tc>
        <w:tc>
          <w:tcPr>
            <w:tcW w:w="1051" w:type="dxa"/>
            <w:tcBorders>
              <w:top w:val="nil"/>
              <w:left w:val="nil"/>
              <w:bottom w:val="nil"/>
              <w:right w:val="nil"/>
            </w:tcBorders>
            <w:shd w:val="clear" w:color="000000" w:fill="FFFFFF"/>
            <w:noWrap/>
            <w:vAlign w:val="bottom"/>
            <w:hideMark/>
          </w:tcPr>
          <w:p w14:paraId="709743A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23,30</w:t>
            </w:r>
          </w:p>
        </w:tc>
        <w:tc>
          <w:tcPr>
            <w:tcW w:w="761" w:type="dxa"/>
            <w:tcBorders>
              <w:top w:val="nil"/>
              <w:left w:val="nil"/>
              <w:bottom w:val="nil"/>
              <w:right w:val="nil"/>
            </w:tcBorders>
            <w:shd w:val="clear" w:color="000000" w:fill="FFFFFF"/>
            <w:noWrap/>
            <w:vAlign w:val="bottom"/>
            <w:hideMark/>
          </w:tcPr>
          <w:p w14:paraId="760ACFC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0,83</w:t>
            </w:r>
          </w:p>
        </w:tc>
        <w:tc>
          <w:tcPr>
            <w:tcW w:w="1052" w:type="dxa"/>
            <w:tcBorders>
              <w:top w:val="nil"/>
              <w:left w:val="nil"/>
              <w:bottom w:val="nil"/>
              <w:right w:val="nil"/>
            </w:tcBorders>
            <w:shd w:val="clear" w:color="000000" w:fill="FFFFFF"/>
            <w:noWrap/>
            <w:vAlign w:val="bottom"/>
            <w:hideMark/>
          </w:tcPr>
          <w:p w14:paraId="17D2FAF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76,80</w:t>
            </w:r>
          </w:p>
        </w:tc>
        <w:tc>
          <w:tcPr>
            <w:tcW w:w="1107" w:type="dxa"/>
            <w:tcBorders>
              <w:top w:val="nil"/>
              <w:left w:val="nil"/>
              <w:bottom w:val="nil"/>
              <w:right w:val="nil"/>
            </w:tcBorders>
            <w:shd w:val="clear" w:color="000000" w:fill="FFFFFF"/>
            <w:noWrap/>
            <w:vAlign w:val="bottom"/>
            <w:hideMark/>
          </w:tcPr>
          <w:p w14:paraId="13F2833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59A0924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4,00</w:t>
            </w:r>
          </w:p>
        </w:tc>
        <w:tc>
          <w:tcPr>
            <w:tcW w:w="1034" w:type="dxa"/>
            <w:tcBorders>
              <w:top w:val="nil"/>
              <w:left w:val="nil"/>
              <w:bottom w:val="nil"/>
              <w:right w:val="nil"/>
            </w:tcBorders>
            <w:shd w:val="clear" w:color="000000" w:fill="FFFFFF"/>
            <w:noWrap/>
            <w:vAlign w:val="bottom"/>
            <w:hideMark/>
          </w:tcPr>
          <w:p w14:paraId="0018513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3FF1416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36,10</w:t>
            </w:r>
          </w:p>
        </w:tc>
      </w:tr>
      <w:tr w:rsidR="002E2D1F" w:rsidRPr="0002056A" w14:paraId="2D3D1FBE"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08B90C3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SLK</w:t>
            </w:r>
          </w:p>
        </w:tc>
        <w:tc>
          <w:tcPr>
            <w:tcW w:w="1008" w:type="dxa"/>
            <w:tcBorders>
              <w:top w:val="nil"/>
              <w:left w:val="nil"/>
              <w:bottom w:val="nil"/>
              <w:right w:val="nil"/>
            </w:tcBorders>
            <w:shd w:val="clear" w:color="auto" w:fill="C5E0B3" w:themeFill="accent6" w:themeFillTint="66"/>
            <w:noWrap/>
            <w:vAlign w:val="bottom"/>
            <w:hideMark/>
          </w:tcPr>
          <w:p w14:paraId="3E159A87" w14:textId="0D5B9B1E"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36,00</w:t>
            </w:r>
          </w:p>
        </w:tc>
        <w:tc>
          <w:tcPr>
            <w:tcW w:w="1141" w:type="dxa"/>
            <w:tcBorders>
              <w:top w:val="nil"/>
              <w:left w:val="nil"/>
              <w:bottom w:val="nil"/>
              <w:right w:val="nil"/>
            </w:tcBorders>
            <w:shd w:val="clear" w:color="000000" w:fill="FFFFFF"/>
            <w:noWrap/>
            <w:vAlign w:val="bottom"/>
            <w:hideMark/>
          </w:tcPr>
          <w:p w14:paraId="5DD6080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49035,00</w:t>
            </w:r>
          </w:p>
        </w:tc>
        <w:tc>
          <w:tcPr>
            <w:tcW w:w="992" w:type="dxa"/>
            <w:tcBorders>
              <w:top w:val="nil"/>
              <w:left w:val="nil"/>
              <w:bottom w:val="nil"/>
              <w:right w:val="nil"/>
            </w:tcBorders>
            <w:shd w:val="clear" w:color="000000" w:fill="FFFFFF"/>
            <w:hideMark/>
          </w:tcPr>
          <w:p w14:paraId="76FDFBD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08B302A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5422,07</w:t>
            </w:r>
          </w:p>
        </w:tc>
        <w:tc>
          <w:tcPr>
            <w:tcW w:w="1051" w:type="dxa"/>
            <w:tcBorders>
              <w:top w:val="nil"/>
              <w:left w:val="nil"/>
              <w:bottom w:val="nil"/>
              <w:right w:val="nil"/>
            </w:tcBorders>
            <w:shd w:val="clear" w:color="000000" w:fill="FFFFFF"/>
            <w:noWrap/>
            <w:vAlign w:val="bottom"/>
            <w:hideMark/>
          </w:tcPr>
          <w:p w14:paraId="567AA10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110,73</w:t>
            </w:r>
          </w:p>
        </w:tc>
        <w:tc>
          <w:tcPr>
            <w:tcW w:w="1209" w:type="dxa"/>
            <w:tcBorders>
              <w:top w:val="nil"/>
              <w:left w:val="nil"/>
              <w:bottom w:val="nil"/>
              <w:right w:val="nil"/>
            </w:tcBorders>
            <w:shd w:val="clear" w:color="000000" w:fill="FFFFFF"/>
            <w:noWrap/>
            <w:vAlign w:val="bottom"/>
            <w:hideMark/>
          </w:tcPr>
          <w:p w14:paraId="398179B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54,17</w:t>
            </w:r>
          </w:p>
        </w:tc>
        <w:tc>
          <w:tcPr>
            <w:tcW w:w="1093" w:type="dxa"/>
            <w:tcBorders>
              <w:top w:val="nil"/>
              <w:left w:val="nil"/>
              <w:bottom w:val="nil"/>
              <w:right w:val="nil"/>
            </w:tcBorders>
            <w:shd w:val="clear" w:color="000000" w:fill="FFFFFF"/>
            <w:hideMark/>
          </w:tcPr>
          <w:p w14:paraId="372837D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46866,00</w:t>
            </w:r>
          </w:p>
        </w:tc>
        <w:tc>
          <w:tcPr>
            <w:tcW w:w="761" w:type="dxa"/>
            <w:tcBorders>
              <w:top w:val="nil"/>
              <w:left w:val="nil"/>
              <w:bottom w:val="nil"/>
              <w:right w:val="nil"/>
            </w:tcBorders>
            <w:shd w:val="clear" w:color="000000" w:fill="FFFFFF"/>
            <w:noWrap/>
            <w:vAlign w:val="bottom"/>
            <w:hideMark/>
          </w:tcPr>
          <w:p w14:paraId="1CF296A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25,00</w:t>
            </w:r>
          </w:p>
        </w:tc>
        <w:tc>
          <w:tcPr>
            <w:tcW w:w="1051" w:type="dxa"/>
            <w:tcBorders>
              <w:top w:val="nil"/>
              <w:left w:val="nil"/>
              <w:bottom w:val="nil"/>
              <w:right w:val="nil"/>
            </w:tcBorders>
            <w:shd w:val="clear" w:color="000000" w:fill="FFFFFF"/>
            <w:noWrap/>
            <w:vAlign w:val="bottom"/>
            <w:hideMark/>
          </w:tcPr>
          <w:p w14:paraId="21899DC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25,80</w:t>
            </w:r>
          </w:p>
        </w:tc>
        <w:tc>
          <w:tcPr>
            <w:tcW w:w="761" w:type="dxa"/>
            <w:tcBorders>
              <w:top w:val="nil"/>
              <w:left w:val="nil"/>
              <w:bottom w:val="nil"/>
              <w:right w:val="nil"/>
            </w:tcBorders>
            <w:shd w:val="clear" w:color="000000" w:fill="FFFFFF"/>
            <w:noWrap/>
            <w:vAlign w:val="bottom"/>
            <w:hideMark/>
          </w:tcPr>
          <w:p w14:paraId="37773F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0,88</w:t>
            </w:r>
          </w:p>
        </w:tc>
        <w:tc>
          <w:tcPr>
            <w:tcW w:w="1052" w:type="dxa"/>
            <w:tcBorders>
              <w:top w:val="nil"/>
              <w:left w:val="nil"/>
              <w:bottom w:val="nil"/>
              <w:right w:val="nil"/>
            </w:tcBorders>
            <w:shd w:val="clear" w:color="000000" w:fill="FFFFFF"/>
            <w:noWrap/>
            <w:vAlign w:val="bottom"/>
            <w:hideMark/>
          </w:tcPr>
          <w:p w14:paraId="74CCDC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78,30</w:t>
            </w:r>
          </w:p>
        </w:tc>
        <w:tc>
          <w:tcPr>
            <w:tcW w:w="1107" w:type="dxa"/>
            <w:tcBorders>
              <w:top w:val="nil"/>
              <w:left w:val="nil"/>
              <w:bottom w:val="nil"/>
              <w:right w:val="nil"/>
            </w:tcBorders>
            <w:shd w:val="clear" w:color="000000" w:fill="FFFFFF"/>
            <w:noWrap/>
            <w:vAlign w:val="bottom"/>
            <w:hideMark/>
          </w:tcPr>
          <w:p w14:paraId="7226DA9F"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210" w:type="dxa"/>
            <w:tcBorders>
              <w:top w:val="nil"/>
              <w:left w:val="nil"/>
              <w:bottom w:val="nil"/>
              <w:right w:val="nil"/>
            </w:tcBorders>
            <w:shd w:val="clear" w:color="000000" w:fill="FFFFFF"/>
            <w:noWrap/>
            <w:vAlign w:val="bottom"/>
            <w:hideMark/>
          </w:tcPr>
          <w:p w14:paraId="579DFBC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62D0B81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7C32358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23,90</w:t>
            </w:r>
          </w:p>
        </w:tc>
      </w:tr>
      <w:tr w:rsidR="002E2D1F" w:rsidRPr="0002056A" w14:paraId="0D2C8CD2"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1CF77472"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SLN</w:t>
            </w:r>
          </w:p>
        </w:tc>
        <w:tc>
          <w:tcPr>
            <w:tcW w:w="1008" w:type="dxa"/>
            <w:tcBorders>
              <w:top w:val="nil"/>
              <w:left w:val="nil"/>
              <w:bottom w:val="nil"/>
              <w:right w:val="nil"/>
            </w:tcBorders>
            <w:shd w:val="clear" w:color="auto" w:fill="C5E0B3" w:themeFill="accent6" w:themeFillTint="66"/>
            <w:noWrap/>
            <w:vAlign w:val="bottom"/>
            <w:hideMark/>
          </w:tcPr>
          <w:p w14:paraId="5C3B0AA3" w14:textId="44246EE3"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44,00</w:t>
            </w:r>
          </w:p>
        </w:tc>
        <w:tc>
          <w:tcPr>
            <w:tcW w:w="1141" w:type="dxa"/>
            <w:tcBorders>
              <w:top w:val="nil"/>
              <w:left w:val="nil"/>
              <w:bottom w:val="nil"/>
              <w:right w:val="nil"/>
            </w:tcBorders>
            <w:shd w:val="clear" w:color="000000" w:fill="FFFFFF"/>
            <w:noWrap/>
            <w:vAlign w:val="bottom"/>
            <w:hideMark/>
          </w:tcPr>
          <w:p w14:paraId="6013E52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20273,00</w:t>
            </w:r>
          </w:p>
        </w:tc>
        <w:tc>
          <w:tcPr>
            <w:tcW w:w="992" w:type="dxa"/>
            <w:tcBorders>
              <w:top w:val="nil"/>
              <w:left w:val="nil"/>
              <w:bottom w:val="nil"/>
              <w:right w:val="nil"/>
            </w:tcBorders>
            <w:shd w:val="clear" w:color="000000" w:fill="FFFFFF"/>
            <w:hideMark/>
          </w:tcPr>
          <w:p w14:paraId="764B167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w:t>
            </w:r>
          </w:p>
        </w:tc>
        <w:tc>
          <w:tcPr>
            <w:tcW w:w="1056" w:type="dxa"/>
            <w:tcBorders>
              <w:top w:val="nil"/>
              <w:left w:val="nil"/>
              <w:bottom w:val="nil"/>
              <w:right w:val="nil"/>
            </w:tcBorders>
            <w:shd w:val="clear" w:color="000000" w:fill="FFFFFF"/>
            <w:noWrap/>
            <w:vAlign w:val="bottom"/>
            <w:hideMark/>
          </w:tcPr>
          <w:p w14:paraId="39AA5C8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2126,32</w:t>
            </w:r>
          </w:p>
        </w:tc>
        <w:tc>
          <w:tcPr>
            <w:tcW w:w="1051" w:type="dxa"/>
            <w:tcBorders>
              <w:top w:val="nil"/>
              <w:left w:val="nil"/>
              <w:bottom w:val="nil"/>
              <w:right w:val="nil"/>
            </w:tcBorders>
            <w:shd w:val="clear" w:color="000000" w:fill="FFFFFF"/>
            <w:noWrap/>
            <w:vAlign w:val="bottom"/>
            <w:hideMark/>
          </w:tcPr>
          <w:p w14:paraId="57AD6E67"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104,68</w:t>
            </w:r>
          </w:p>
        </w:tc>
        <w:tc>
          <w:tcPr>
            <w:tcW w:w="1209" w:type="dxa"/>
            <w:tcBorders>
              <w:top w:val="nil"/>
              <w:left w:val="nil"/>
              <w:bottom w:val="nil"/>
              <w:right w:val="nil"/>
            </w:tcBorders>
            <w:shd w:val="clear" w:color="000000" w:fill="FFFFFF"/>
            <w:noWrap/>
            <w:vAlign w:val="bottom"/>
            <w:hideMark/>
          </w:tcPr>
          <w:p w14:paraId="337155D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56,44</w:t>
            </w:r>
          </w:p>
        </w:tc>
        <w:tc>
          <w:tcPr>
            <w:tcW w:w="1093" w:type="dxa"/>
            <w:tcBorders>
              <w:top w:val="nil"/>
              <w:left w:val="nil"/>
              <w:bottom w:val="nil"/>
              <w:right w:val="nil"/>
            </w:tcBorders>
            <w:shd w:val="clear" w:color="000000" w:fill="FFFFFF"/>
            <w:hideMark/>
          </w:tcPr>
          <w:p w14:paraId="1DF5D1B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56522,00</w:t>
            </w:r>
          </w:p>
        </w:tc>
        <w:tc>
          <w:tcPr>
            <w:tcW w:w="761" w:type="dxa"/>
            <w:tcBorders>
              <w:top w:val="nil"/>
              <w:left w:val="nil"/>
              <w:bottom w:val="nil"/>
              <w:right w:val="nil"/>
            </w:tcBorders>
            <w:shd w:val="clear" w:color="000000" w:fill="FFFFFF"/>
            <w:noWrap/>
            <w:vAlign w:val="bottom"/>
            <w:hideMark/>
          </w:tcPr>
          <w:p w14:paraId="7A7B72C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24,60</w:t>
            </w:r>
          </w:p>
        </w:tc>
        <w:tc>
          <w:tcPr>
            <w:tcW w:w="1051" w:type="dxa"/>
            <w:tcBorders>
              <w:top w:val="nil"/>
              <w:left w:val="nil"/>
              <w:bottom w:val="nil"/>
              <w:right w:val="nil"/>
            </w:tcBorders>
            <w:shd w:val="clear" w:color="000000" w:fill="FFFFFF"/>
            <w:noWrap/>
            <w:vAlign w:val="bottom"/>
            <w:hideMark/>
          </w:tcPr>
          <w:p w14:paraId="6CEF54E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29,80</w:t>
            </w:r>
          </w:p>
        </w:tc>
        <w:tc>
          <w:tcPr>
            <w:tcW w:w="761" w:type="dxa"/>
            <w:tcBorders>
              <w:top w:val="nil"/>
              <w:left w:val="nil"/>
              <w:bottom w:val="nil"/>
              <w:right w:val="nil"/>
            </w:tcBorders>
            <w:shd w:val="clear" w:color="000000" w:fill="FFFFFF"/>
            <w:noWrap/>
            <w:vAlign w:val="bottom"/>
            <w:hideMark/>
          </w:tcPr>
          <w:p w14:paraId="3499BBB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0,93</w:t>
            </w:r>
          </w:p>
        </w:tc>
        <w:tc>
          <w:tcPr>
            <w:tcW w:w="1052" w:type="dxa"/>
            <w:tcBorders>
              <w:top w:val="nil"/>
              <w:left w:val="nil"/>
              <w:bottom w:val="nil"/>
              <w:right w:val="nil"/>
            </w:tcBorders>
            <w:shd w:val="clear" w:color="000000" w:fill="FFFFFF"/>
            <w:noWrap/>
            <w:vAlign w:val="bottom"/>
            <w:hideMark/>
          </w:tcPr>
          <w:p w14:paraId="08C387E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81,60</w:t>
            </w:r>
          </w:p>
        </w:tc>
        <w:tc>
          <w:tcPr>
            <w:tcW w:w="1107" w:type="dxa"/>
            <w:tcBorders>
              <w:top w:val="nil"/>
              <w:left w:val="nil"/>
              <w:bottom w:val="nil"/>
              <w:right w:val="nil"/>
            </w:tcBorders>
            <w:shd w:val="clear" w:color="000000" w:fill="FFFFFF"/>
            <w:noWrap/>
            <w:vAlign w:val="bottom"/>
            <w:hideMark/>
          </w:tcPr>
          <w:p w14:paraId="50410DF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6AC0C7C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6,00</w:t>
            </w:r>
          </w:p>
        </w:tc>
        <w:tc>
          <w:tcPr>
            <w:tcW w:w="1034" w:type="dxa"/>
            <w:tcBorders>
              <w:top w:val="nil"/>
              <w:left w:val="nil"/>
              <w:bottom w:val="nil"/>
              <w:right w:val="nil"/>
            </w:tcBorders>
            <w:shd w:val="clear" w:color="000000" w:fill="FFFFFF"/>
            <w:noWrap/>
            <w:vAlign w:val="bottom"/>
            <w:hideMark/>
          </w:tcPr>
          <w:p w14:paraId="00BC95A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60" w:type="dxa"/>
            <w:tcBorders>
              <w:top w:val="nil"/>
              <w:left w:val="nil"/>
              <w:bottom w:val="nil"/>
              <w:right w:val="single" w:sz="8" w:space="0" w:color="auto"/>
            </w:tcBorders>
            <w:shd w:val="clear" w:color="000000" w:fill="FFFFFF"/>
            <w:noWrap/>
            <w:vAlign w:val="bottom"/>
            <w:hideMark/>
          </w:tcPr>
          <w:p w14:paraId="5DC5ED4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41,80</w:t>
            </w:r>
          </w:p>
        </w:tc>
      </w:tr>
      <w:tr w:rsidR="002E2D1F" w:rsidRPr="0002056A" w14:paraId="0AC7F5CF" w14:textId="77777777" w:rsidTr="0092731D">
        <w:trPr>
          <w:trHeight w:val="290"/>
          <w:jc w:val="center"/>
        </w:trPr>
        <w:tc>
          <w:tcPr>
            <w:tcW w:w="686" w:type="dxa"/>
            <w:tcBorders>
              <w:top w:val="nil"/>
              <w:left w:val="single" w:sz="8" w:space="0" w:color="auto"/>
              <w:bottom w:val="nil"/>
              <w:right w:val="single" w:sz="4" w:space="0" w:color="auto"/>
            </w:tcBorders>
            <w:noWrap/>
            <w:vAlign w:val="bottom"/>
            <w:hideMark/>
          </w:tcPr>
          <w:p w14:paraId="012312EF"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TUR</w:t>
            </w:r>
          </w:p>
        </w:tc>
        <w:tc>
          <w:tcPr>
            <w:tcW w:w="1008" w:type="dxa"/>
            <w:tcBorders>
              <w:top w:val="nil"/>
              <w:left w:val="nil"/>
              <w:bottom w:val="nil"/>
              <w:right w:val="nil"/>
            </w:tcBorders>
            <w:shd w:val="clear" w:color="auto" w:fill="C5E0B3" w:themeFill="accent6" w:themeFillTint="66"/>
            <w:noWrap/>
            <w:vAlign w:val="bottom"/>
            <w:hideMark/>
          </w:tcPr>
          <w:p w14:paraId="399A089B" w14:textId="6908B8D0"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68,00</w:t>
            </w:r>
          </w:p>
        </w:tc>
        <w:tc>
          <w:tcPr>
            <w:tcW w:w="1141" w:type="dxa"/>
            <w:tcBorders>
              <w:top w:val="nil"/>
              <w:left w:val="nil"/>
              <w:bottom w:val="nil"/>
              <w:right w:val="nil"/>
            </w:tcBorders>
            <w:shd w:val="clear" w:color="000000" w:fill="FFFFFF"/>
            <w:noWrap/>
            <w:vAlign w:val="bottom"/>
            <w:hideMark/>
          </w:tcPr>
          <w:p w14:paraId="6548FB7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774815,00</w:t>
            </w:r>
          </w:p>
        </w:tc>
        <w:tc>
          <w:tcPr>
            <w:tcW w:w="992" w:type="dxa"/>
            <w:tcBorders>
              <w:top w:val="nil"/>
              <w:left w:val="nil"/>
              <w:bottom w:val="nil"/>
              <w:right w:val="nil"/>
            </w:tcBorders>
            <w:shd w:val="clear" w:color="000000" w:fill="FFFFFF"/>
            <w:hideMark/>
          </w:tcPr>
          <w:p w14:paraId="3BE43C1B"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56" w:type="dxa"/>
            <w:tcBorders>
              <w:top w:val="nil"/>
              <w:left w:val="nil"/>
              <w:bottom w:val="nil"/>
              <w:right w:val="nil"/>
            </w:tcBorders>
            <w:shd w:val="clear" w:color="000000" w:fill="FFFFFF"/>
            <w:noWrap/>
            <w:vAlign w:val="bottom"/>
            <w:hideMark/>
          </w:tcPr>
          <w:p w14:paraId="3DE2A7E8"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87685,43</w:t>
            </w:r>
          </w:p>
        </w:tc>
        <w:tc>
          <w:tcPr>
            <w:tcW w:w="1051" w:type="dxa"/>
            <w:tcBorders>
              <w:top w:val="nil"/>
              <w:left w:val="nil"/>
              <w:bottom w:val="nil"/>
              <w:right w:val="nil"/>
            </w:tcBorders>
            <w:shd w:val="clear" w:color="000000" w:fill="FFFFFF"/>
            <w:noWrap/>
            <w:vAlign w:val="bottom"/>
            <w:hideMark/>
          </w:tcPr>
          <w:p w14:paraId="3B504FC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110,12</w:t>
            </w:r>
          </w:p>
        </w:tc>
        <w:tc>
          <w:tcPr>
            <w:tcW w:w="1209" w:type="dxa"/>
            <w:tcBorders>
              <w:top w:val="nil"/>
              <w:left w:val="nil"/>
              <w:bottom w:val="nil"/>
              <w:right w:val="nil"/>
            </w:tcBorders>
            <w:shd w:val="clear" w:color="000000" w:fill="FFFFFF"/>
            <w:noWrap/>
            <w:vAlign w:val="bottom"/>
            <w:hideMark/>
          </w:tcPr>
          <w:p w14:paraId="1311D06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78,00</w:t>
            </w:r>
          </w:p>
        </w:tc>
        <w:tc>
          <w:tcPr>
            <w:tcW w:w="1093" w:type="dxa"/>
            <w:tcBorders>
              <w:top w:val="nil"/>
              <w:left w:val="nil"/>
              <w:bottom w:val="nil"/>
              <w:right w:val="nil"/>
            </w:tcBorders>
            <w:shd w:val="clear" w:color="000000" w:fill="FFFFFF"/>
            <w:noWrap/>
            <w:vAlign w:val="bottom"/>
            <w:hideMark/>
          </w:tcPr>
          <w:p w14:paraId="2D75A97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37445,00</w:t>
            </w:r>
          </w:p>
        </w:tc>
        <w:tc>
          <w:tcPr>
            <w:tcW w:w="761" w:type="dxa"/>
            <w:tcBorders>
              <w:top w:val="nil"/>
              <w:left w:val="nil"/>
              <w:bottom w:val="nil"/>
              <w:right w:val="nil"/>
            </w:tcBorders>
            <w:shd w:val="clear" w:color="000000" w:fill="FFFFFF"/>
            <w:noWrap/>
            <w:vAlign w:val="bottom"/>
            <w:hideMark/>
          </w:tcPr>
          <w:p w14:paraId="15F3C34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42,40</w:t>
            </w:r>
          </w:p>
        </w:tc>
        <w:tc>
          <w:tcPr>
            <w:tcW w:w="1051" w:type="dxa"/>
            <w:tcBorders>
              <w:top w:val="nil"/>
              <w:left w:val="nil"/>
              <w:bottom w:val="nil"/>
              <w:right w:val="nil"/>
            </w:tcBorders>
            <w:shd w:val="clear" w:color="000000" w:fill="FFFFFF"/>
            <w:noWrap/>
            <w:vAlign w:val="bottom"/>
            <w:hideMark/>
          </w:tcPr>
          <w:p w14:paraId="439659D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25,30</w:t>
            </w:r>
          </w:p>
        </w:tc>
        <w:tc>
          <w:tcPr>
            <w:tcW w:w="761" w:type="dxa"/>
            <w:tcBorders>
              <w:top w:val="nil"/>
              <w:left w:val="nil"/>
              <w:bottom w:val="nil"/>
              <w:right w:val="nil"/>
            </w:tcBorders>
            <w:shd w:val="clear" w:color="000000" w:fill="FFFFFF"/>
            <w:noWrap/>
            <w:vAlign w:val="bottom"/>
            <w:hideMark/>
          </w:tcPr>
          <w:p w14:paraId="7A01AD60"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0,85</w:t>
            </w:r>
          </w:p>
        </w:tc>
        <w:tc>
          <w:tcPr>
            <w:tcW w:w="1052" w:type="dxa"/>
            <w:tcBorders>
              <w:top w:val="nil"/>
              <w:left w:val="nil"/>
              <w:bottom w:val="nil"/>
              <w:right w:val="nil"/>
            </w:tcBorders>
            <w:shd w:val="clear" w:color="000000" w:fill="FFFFFF"/>
            <w:noWrap/>
            <w:vAlign w:val="bottom"/>
            <w:hideMark/>
          </w:tcPr>
          <w:p w14:paraId="2D652A05"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77,20</w:t>
            </w:r>
          </w:p>
        </w:tc>
        <w:tc>
          <w:tcPr>
            <w:tcW w:w="1107" w:type="dxa"/>
            <w:tcBorders>
              <w:top w:val="nil"/>
              <w:left w:val="nil"/>
              <w:bottom w:val="nil"/>
              <w:right w:val="nil"/>
            </w:tcBorders>
            <w:shd w:val="clear" w:color="000000" w:fill="FFFFFF"/>
            <w:noWrap/>
            <w:vAlign w:val="bottom"/>
            <w:hideMark/>
          </w:tcPr>
          <w:p w14:paraId="1D09DC4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nil"/>
              <w:right w:val="nil"/>
            </w:tcBorders>
            <w:shd w:val="clear" w:color="000000" w:fill="FFFFFF"/>
            <w:noWrap/>
            <w:vAlign w:val="bottom"/>
            <w:hideMark/>
          </w:tcPr>
          <w:p w14:paraId="1E538CA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34" w:type="dxa"/>
            <w:tcBorders>
              <w:top w:val="nil"/>
              <w:left w:val="nil"/>
              <w:bottom w:val="nil"/>
              <w:right w:val="nil"/>
            </w:tcBorders>
            <w:shd w:val="clear" w:color="000000" w:fill="FFFFFF"/>
            <w:noWrap/>
            <w:vAlign w:val="bottom"/>
            <w:hideMark/>
          </w:tcPr>
          <w:p w14:paraId="06485AE9"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nil"/>
              <w:right w:val="single" w:sz="8" w:space="0" w:color="auto"/>
            </w:tcBorders>
            <w:shd w:val="clear" w:color="000000" w:fill="FFFFFF"/>
            <w:noWrap/>
            <w:vAlign w:val="bottom"/>
            <w:hideMark/>
          </w:tcPr>
          <w:p w14:paraId="20D4478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42,30</w:t>
            </w:r>
          </w:p>
        </w:tc>
      </w:tr>
      <w:tr w:rsidR="002E2D1F" w:rsidRPr="0002056A" w14:paraId="687F1618" w14:textId="77777777" w:rsidTr="0092731D">
        <w:trPr>
          <w:trHeight w:val="300"/>
          <w:jc w:val="center"/>
        </w:trPr>
        <w:tc>
          <w:tcPr>
            <w:tcW w:w="686" w:type="dxa"/>
            <w:tcBorders>
              <w:top w:val="nil"/>
              <w:left w:val="single" w:sz="8" w:space="0" w:color="auto"/>
              <w:bottom w:val="single" w:sz="8" w:space="0" w:color="auto"/>
              <w:right w:val="single" w:sz="4" w:space="0" w:color="auto"/>
            </w:tcBorders>
            <w:noWrap/>
            <w:vAlign w:val="bottom"/>
            <w:hideMark/>
          </w:tcPr>
          <w:p w14:paraId="342DC6CA" w14:textId="77777777" w:rsidR="002E2D1F" w:rsidRPr="0002056A" w:rsidRDefault="002E2D1F" w:rsidP="00E62A6B">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WAL</w:t>
            </w:r>
          </w:p>
        </w:tc>
        <w:tc>
          <w:tcPr>
            <w:tcW w:w="1008" w:type="dxa"/>
            <w:tcBorders>
              <w:top w:val="nil"/>
              <w:left w:val="nil"/>
              <w:bottom w:val="single" w:sz="8" w:space="0" w:color="auto"/>
              <w:right w:val="nil"/>
            </w:tcBorders>
            <w:shd w:val="clear" w:color="auto" w:fill="C5E0B3" w:themeFill="accent6" w:themeFillTint="66"/>
            <w:noWrap/>
            <w:vAlign w:val="bottom"/>
            <w:hideMark/>
          </w:tcPr>
          <w:p w14:paraId="5B2FFCE3" w14:textId="387645CE"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hAnsi="Georgia" w:cs="Calibri"/>
                <w:color w:val="000000"/>
                <w:sz w:val="18"/>
                <w:szCs w:val="18"/>
                <w:lang w:val="en-GB"/>
              </w:rPr>
              <w:t>45,00</w:t>
            </w:r>
          </w:p>
        </w:tc>
        <w:tc>
          <w:tcPr>
            <w:tcW w:w="1141" w:type="dxa"/>
            <w:tcBorders>
              <w:top w:val="nil"/>
              <w:left w:val="nil"/>
              <w:bottom w:val="single" w:sz="8" w:space="0" w:color="auto"/>
              <w:right w:val="nil"/>
            </w:tcBorders>
            <w:shd w:val="clear" w:color="000000" w:fill="FFFFFF"/>
            <w:noWrap/>
            <w:vAlign w:val="bottom"/>
            <w:hideMark/>
          </w:tcPr>
          <w:p w14:paraId="5B05719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20735,00</w:t>
            </w:r>
          </w:p>
        </w:tc>
        <w:tc>
          <w:tcPr>
            <w:tcW w:w="992" w:type="dxa"/>
            <w:tcBorders>
              <w:top w:val="nil"/>
              <w:left w:val="nil"/>
              <w:bottom w:val="single" w:sz="8" w:space="0" w:color="auto"/>
              <w:right w:val="nil"/>
            </w:tcBorders>
            <w:shd w:val="clear" w:color="000000" w:fill="FFFFFF"/>
            <w:hideMark/>
          </w:tcPr>
          <w:p w14:paraId="7AE2D77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056" w:type="dxa"/>
            <w:tcBorders>
              <w:top w:val="nil"/>
              <w:left w:val="nil"/>
              <w:bottom w:val="single" w:sz="8" w:space="0" w:color="auto"/>
              <w:right w:val="nil"/>
            </w:tcBorders>
            <w:shd w:val="clear" w:color="000000" w:fill="FFFFFF"/>
            <w:noWrap/>
            <w:vAlign w:val="bottom"/>
            <w:hideMark/>
          </w:tcPr>
          <w:p w14:paraId="6B70B982"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3164,40</w:t>
            </w:r>
          </w:p>
        </w:tc>
        <w:tc>
          <w:tcPr>
            <w:tcW w:w="1051" w:type="dxa"/>
            <w:tcBorders>
              <w:top w:val="nil"/>
              <w:left w:val="nil"/>
              <w:bottom w:val="single" w:sz="8" w:space="0" w:color="auto"/>
              <w:right w:val="nil"/>
            </w:tcBorders>
            <w:shd w:val="clear" w:color="000000" w:fill="FFFFFF"/>
            <w:noWrap/>
            <w:vAlign w:val="bottom"/>
            <w:hideMark/>
          </w:tcPr>
          <w:p w14:paraId="5E89A2F1"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152,61</w:t>
            </w:r>
          </w:p>
        </w:tc>
        <w:tc>
          <w:tcPr>
            <w:tcW w:w="1209" w:type="dxa"/>
            <w:tcBorders>
              <w:top w:val="nil"/>
              <w:left w:val="nil"/>
              <w:bottom w:val="single" w:sz="8" w:space="0" w:color="auto"/>
              <w:right w:val="nil"/>
            </w:tcBorders>
            <w:shd w:val="clear" w:color="000000" w:fill="FFFFFF"/>
            <w:noWrap/>
            <w:vAlign w:val="bottom"/>
            <w:hideMark/>
          </w:tcPr>
          <w:p w14:paraId="613CD4FC"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67,21</w:t>
            </w:r>
          </w:p>
        </w:tc>
        <w:tc>
          <w:tcPr>
            <w:tcW w:w="1093" w:type="dxa"/>
            <w:tcBorders>
              <w:top w:val="nil"/>
              <w:left w:val="nil"/>
              <w:bottom w:val="single" w:sz="8" w:space="0" w:color="auto"/>
              <w:right w:val="nil"/>
            </w:tcBorders>
            <w:shd w:val="clear" w:color="000000" w:fill="FFFFFF"/>
            <w:hideMark/>
          </w:tcPr>
          <w:p w14:paraId="75C3B4C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43744,45</w:t>
            </w:r>
          </w:p>
        </w:tc>
        <w:tc>
          <w:tcPr>
            <w:tcW w:w="761" w:type="dxa"/>
            <w:tcBorders>
              <w:top w:val="nil"/>
              <w:left w:val="nil"/>
              <w:bottom w:val="single" w:sz="8" w:space="0" w:color="auto"/>
              <w:right w:val="nil"/>
            </w:tcBorders>
            <w:shd w:val="clear" w:color="000000" w:fill="FFFFFF"/>
            <w:noWrap/>
            <w:vAlign w:val="bottom"/>
            <w:hideMark/>
          </w:tcPr>
          <w:p w14:paraId="6FFBA324"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30,00</w:t>
            </w:r>
          </w:p>
        </w:tc>
        <w:tc>
          <w:tcPr>
            <w:tcW w:w="1051" w:type="dxa"/>
            <w:tcBorders>
              <w:top w:val="nil"/>
              <w:left w:val="nil"/>
              <w:bottom w:val="single" w:sz="8" w:space="0" w:color="auto"/>
              <w:right w:val="nil"/>
            </w:tcBorders>
            <w:shd w:val="clear" w:color="000000" w:fill="FFFFFF"/>
            <w:noWrap/>
            <w:vAlign w:val="bottom"/>
            <w:hideMark/>
          </w:tcPr>
          <w:p w14:paraId="23AE7C5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39,00</w:t>
            </w:r>
          </w:p>
        </w:tc>
        <w:tc>
          <w:tcPr>
            <w:tcW w:w="761" w:type="dxa"/>
            <w:tcBorders>
              <w:top w:val="nil"/>
              <w:left w:val="nil"/>
              <w:bottom w:val="single" w:sz="8" w:space="0" w:color="auto"/>
              <w:right w:val="nil"/>
            </w:tcBorders>
            <w:shd w:val="clear" w:color="000000" w:fill="FFFFFF"/>
            <w:noWrap/>
            <w:vAlign w:val="bottom"/>
            <w:hideMark/>
          </w:tcPr>
          <w:p w14:paraId="77E5BEFE"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0,91</w:t>
            </w:r>
          </w:p>
        </w:tc>
        <w:tc>
          <w:tcPr>
            <w:tcW w:w="1052" w:type="dxa"/>
            <w:tcBorders>
              <w:top w:val="nil"/>
              <w:left w:val="nil"/>
              <w:bottom w:val="single" w:sz="8" w:space="0" w:color="auto"/>
              <w:right w:val="nil"/>
            </w:tcBorders>
            <w:shd w:val="clear" w:color="000000" w:fill="FFFFFF"/>
            <w:noWrap/>
            <w:vAlign w:val="bottom"/>
            <w:hideMark/>
          </w:tcPr>
          <w:p w14:paraId="43DD13DA"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80,10</w:t>
            </w:r>
          </w:p>
        </w:tc>
        <w:tc>
          <w:tcPr>
            <w:tcW w:w="1107" w:type="dxa"/>
            <w:tcBorders>
              <w:top w:val="nil"/>
              <w:left w:val="nil"/>
              <w:bottom w:val="single" w:sz="8" w:space="0" w:color="auto"/>
              <w:right w:val="nil"/>
            </w:tcBorders>
            <w:shd w:val="clear" w:color="000000" w:fill="FFFFFF"/>
            <w:noWrap/>
            <w:vAlign w:val="bottom"/>
            <w:hideMark/>
          </w:tcPr>
          <w:p w14:paraId="134F7C8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1,00</w:t>
            </w:r>
          </w:p>
        </w:tc>
        <w:tc>
          <w:tcPr>
            <w:tcW w:w="1210" w:type="dxa"/>
            <w:tcBorders>
              <w:top w:val="nil"/>
              <w:left w:val="nil"/>
              <w:bottom w:val="single" w:sz="8" w:space="0" w:color="auto"/>
              <w:right w:val="nil"/>
            </w:tcBorders>
            <w:shd w:val="clear" w:color="000000" w:fill="FFFFFF"/>
            <w:noWrap/>
            <w:vAlign w:val="bottom"/>
            <w:hideMark/>
          </w:tcPr>
          <w:p w14:paraId="6B68CA7D"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8,00</w:t>
            </w:r>
          </w:p>
        </w:tc>
        <w:tc>
          <w:tcPr>
            <w:tcW w:w="1034" w:type="dxa"/>
            <w:tcBorders>
              <w:top w:val="nil"/>
              <w:left w:val="nil"/>
              <w:bottom w:val="single" w:sz="8" w:space="0" w:color="auto"/>
              <w:right w:val="nil"/>
            </w:tcBorders>
            <w:shd w:val="clear" w:color="000000" w:fill="FFFFFF"/>
            <w:noWrap/>
            <w:vAlign w:val="bottom"/>
            <w:hideMark/>
          </w:tcPr>
          <w:p w14:paraId="2E2D04E3"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2,00</w:t>
            </w:r>
          </w:p>
        </w:tc>
        <w:tc>
          <w:tcPr>
            <w:tcW w:w="1060" w:type="dxa"/>
            <w:tcBorders>
              <w:top w:val="nil"/>
              <w:left w:val="nil"/>
              <w:bottom w:val="single" w:sz="8" w:space="0" w:color="auto"/>
              <w:right w:val="single" w:sz="8" w:space="0" w:color="auto"/>
            </w:tcBorders>
            <w:shd w:val="clear" w:color="000000" w:fill="FFFFFF"/>
            <w:noWrap/>
            <w:vAlign w:val="bottom"/>
            <w:hideMark/>
          </w:tcPr>
          <w:p w14:paraId="10214C76" w14:textId="77777777" w:rsidR="002E2D1F" w:rsidRPr="0002056A" w:rsidRDefault="002E2D1F" w:rsidP="002E2D1F">
            <w:pPr>
              <w:spacing w:after="0" w:line="240" w:lineRule="auto"/>
              <w:jc w:val="right"/>
              <w:rPr>
                <w:rFonts w:ascii="Georgia" w:eastAsia="Times New Roman" w:hAnsi="Georgia" w:cs="Calibri"/>
                <w:color w:val="000000"/>
                <w:sz w:val="18"/>
                <w:szCs w:val="18"/>
                <w:lang w:val="en-GB" w:eastAsia="hu-HU"/>
              </w:rPr>
            </w:pPr>
            <w:r w:rsidRPr="0002056A">
              <w:rPr>
                <w:rFonts w:ascii="Georgia" w:eastAsia="Times New Roman" w:hAnsi="Georgia" w:cs="Calibri"/>
                <w:color w:val="000000"/>
                <w:sz w:val="18"/>
                <w:szCs w:val="18"/>
                <w:lang w:val="en-GB" w:eastAsia="hu-HU"/>
              </w:rPr>
              <w:t>41,50</w:t>
            </w:r>
          </w:p>
        </w:tc>
      </w:tr>
    </w:tbl>
    <w:p w14:paraId="7F22F6B5" w14:textId="77777777" w:rsidR="00E741F7" w:rsidRPr="0002056A" w:rsidRDefault="00E741F7" w:rsidP="00B05591">
      <w:pPr>
        <w:spacing w:before="120" w:after="120" w:line="360" w:lineRule="auto"/>
        <w:jc w:val="both"/>
        <w:rPr>
          <w:rFonts w:ascii="Times New Roman" w:hAnsi="Times New Roman" w:cs="Times New Roman"/>
          <w:bCs/>
          <w:sz w:val="24"/>
          <w:szCs w:val="24"/>
          <w:highlight w:val="yellow"/>
          <w:lang w:val="en-GB"/>
        </w:rPr>
      </w:pPr>
    </w:p>
    <w:p w14:paraId="1CC6FF58" w14:textId="77777777" w:rsidR="00803A4A" w:rsidRPr="0002056A" w:rsidRDefault="00803A4A" w:rsidP="00B05591">
      <w:pPr>
        <w:spacing w:before="120" w:after="120" w:line="360" w:lineRule="auto"/>
        <w:jc w:val="both"/>
        <w:rPr>
          <w:rFonts w:ascii="Times New Roman" w:hAnsi="Times New Roman" w:cs="Times New Roman"/>
          <w:bCs/>
          <w:sz w:val="24"/>
          <w:szCs w:val="24"/>
          <w:lang w:val="en-GB"/>
        </w:rPr>
        <w:sectPr w:rsidR="00803A4A" w:rsidRPr="0002056A" w:rsidSect="003F4410">
          <w:pgSz w:w="16838" w:h="11906" w:orient="landscape"/>
          <w:pgMar w:top="1417" w:right="1417" w:bottom="1417" w:left="1417" w:header="708" w:footer="708" w:gutter="0"/>
          <w:cols w:space="708"/>
          <w:docGrid w:linePitch="360"/>
        </w:sectPr>
      </w:pPr>
    </w:p>
    <w:p w14:paraId="21BF53A5" w14:textId="7BAE1DE1" w:rsidR="00B05591" w:rsidRPr="0002056A" w:rsidRDefault="00B05591" w:rsidP="00596939">
      <w:pPr>
        <w:spacing w:before="120" w:after="120"/>
        <w:jc w:val="both"/>
        <w:rPr>
          <w:rFonts w:ascii="Georgia" w:hAnsi="Georgia" w:cs="Times New Roman"/>
          <w:bCs/>
          <w:lang w:val="en-GB"/>
        </w:rPr>
      </w:pPr>
      <w:r w:rsidRPr="0002056A">
        <w:rPr>
          <w:rFonts w:ascii="Georgia" w:hAnsi="Georgia" w:cs="Times New Roman"/>
          <w:b/>
          <w:lang w:val="en-GB"/>
        </w:rPr>
        <w:lastRenderedPageBreak/>
        <w:t>The correlation analysis of the chosen indices with spatial sensitivity</w:t>
      </w:r>
      <w:r w:rsidRPr="0002056A">
        <w:rPr>
          <w:rFonts w:ascii="Georgia" w:hAnsi="Georgia" w:cs="Times New Roman"/>
          <w:bCs/>
          <w:lang w:val="en-GB"/>
        </w:rPr>
        <w:t xml:space="preserve"> </w:t>
      </w:r>
      <w:r w:rsidR="00CB15A8" w:rsidRPr="0002056A">
        <w:rPr>
          <w:rFonts w:ascii="Georgia" w:hAnsi="Georgia" w:cs="Times New Roman"/>
          <w:bCs/>
          <w:lang w:val="en-GB"/>
        </w:rPr>
        <w:t>(Table</w:t>
      </w:r>
      <w:r w:rsidR="00CB15A8" w:rsidRPr="0002056A">
        <w:rPr>
          <w:rFonts w:ascii="Georgia" w:hAnsi="Georgia" w:cs="Times New Roman"/>
          <w:bCs/>
          <w:i/>
          <w:lang w:val="en-GB"/>
        </w:rPr>
        <w:t xml:space="preserve"> </w:t>
      </w:r>
      <w:r w:rsidR="003F23D0" w:rsidRPr="0002056A">
        <w:rPr>
          <w:rFonts w:ascii="Georgia" w:hAnsi="Georgia" w:cs="Times New Roman"/>
          <w:bCs/>
          <w:iCs/>
          <w:lang w:val="en-GB"/>
        </w:rPr>
        <w:t>6</w:t>
      </w:r>
      <w:r w:rsidR="00CB15A8" w:rsidRPr="0002056A">
        <w:rPr>
          <w:rFonts w:ascii="Georgia" w:hAnsi="Georgia" w:cs="Times New Roman"/>
          <w:bCs/>
          <w:lang w:val="en-GB"/>
        </w:rPr>
        <w:t xml:space="preserve">) </w:t>
      </w:r>
      <w:r w:rsidRPr="0002056A">
        <w:rPr>
          <w:rFonts w:ascii="Georgia" w:hAnsi="Georgia" w:cs="Times New Roman"/>
          <w:bCs/>
          <w:lang w:val="en-GB"/>
        </w:rPr>
        <w:t xml:space="preserve">show that </w:t>
      </w:r>
      <w:r w:rsidR="002577B1" w:rsidRPr="0002056A">
        <w:rPr>
          <w:rFonts w:ascii="Georgia" w:hAnsi="Georgia" w:cs="Times New Roman"/>
          <w:bCs/>
          <w:lang w:val="en-GB"/>
        </w:rPr>
        <w:t xml:space="preserve">based on the categories of the connections’ strength (Table 5), </w:t>
      </w:r>
      <w:r w:rsidRPr="0002056A">
        <w:rPr>
          <w:rFonts w:ascii="Georgia" w:hAnsi="Georgia" w:cs="Times New Roman"/>
          <w:b/>
          <w:lang w:val="en-GB"/>
        </w:rPr>
        <w:t>mostly weaker-then-medium-level connections</w:t>
      </w:r>
      <w:r w:rsidRPr="0002056A">
        <w:rPr>
          <w:rFonts w:ascii="Georgia" w:hAnsi="Georgia" w:cs="Times New Roman"/>
          <w:bCs/>
          <w:lang w:val="en-GB"/>
        </w:rPr>
        <w:t xml:space="preserve"> can be identified</w:t>
      </w:r>
      <w:r w:rsidR="00CB15A8" w:rsidRPr="0002056A">
        <w:rPr>
          <w:rFonts w:ascii="Georgia" w:hAnsi="Georgia" w:cs="Times New Roman"/>
          <w:bCs/>
          <w:lang w:val="en-GB"/>
        </w:rPr>
        <w:t xml:space="preserve">. Only two indices showed </w:t>
      </w:r>
      <w:r w:rsidR="00CB15A8" w:rsidRPr="0002056A">
        <w:rPr>
          <w:rFonts w:ascii="Georgia" w:hAnsi="Georgia" w:cs="Times New Roman"/>
          <w:b/>
          <w:lang w:val="en-GB"/>
        </w:rPr>
        <w:t>above-medium-level strength of connection</w:t>
      </w:r>
      <w:r w:rsidR="00CB15A8" w:rsidRPr="0002056A">
        <w:rPr>
          <w:rFonts w:ascii="Georgia" w:hAnsi="Georgia" w:cs="Times New Roman"/>
          <w:bCs/>
          <w:lang w:val="en-GB"/>
        </w:rPr>
        <w:t xml:space="preserve">: the </w:t>
      </w:r>
      <w:r w:rsidR="00CB15A8" w:rsidRPr="0002056A">
        <w:rPr>
          <w:rFonts w:ascii="Georgia" w:hAnsi="Georgia" w:cs="Times New Roman"/>
          <w:b/>
          <w:i/>
          <w:iCs/>
          <w:lang w:val="en-GB"/>
        </w:rPr>
        <w:t>spatial administration type of the country</w:t>
      </w:r>
      <w:r w:rsidR="00CB15A8" w:rsidRPr="0002056A">
        <w:rPr>
          <w:rFonts w:ascii="Georgia" w:hAnsi="Georgia" w:cs="Times New Roman"/>
          <w:bCs/>
          <w:lang w:val="en-GB"/>
        </w:rPr>
        <w:t xml:space="preserve"> (</w:t>
      </w:r>
      <w:r w:rsidR="004416E8" w:rsidRPr="0002056A">
        <w:rPr>
          <w:rFonts w:ascii="Georgia" w:hAnsi="Georgia" w:cs="Times New Roman"/>
          <w:bCs/>
          <w:lang w:val="en-GB"/>
        </w:rPr>
        <w:t xml:space="preserve">with </w:t>
      </w:r>
      <w:r w:rsidR="00E4521F" w:rsidRPr="0002056A">
        <w:rPr>
          <w:rFonts w:ascii="Georgia" w:hAnsi="Georgia" w:cs="Times New Roman"/>
          <w:bCs/>
          <w:lang w:val="en-GB"/>
        </w:rPr>
        <w:t xml:space="preserve">a </w:t>
      </w:r>
      <w:r w:rsidR="00CB15A8" w:rsidRPr="0002056A">
        <w:rPr>
          <w:rFonts w:ascii="Georgia" w:hAnsi="Georgia" w:cs="Times New Roman"/>
          <w:bCs/>
          <w:lang w:val="en-GB"/>
        </w:rPr>
        <w:t xml:space="preserve">correlation </w:t>
      </w:r>
      <w:r w:rsidR="004416E8" w:rsidRPr="0002056A">
        <w:rPr>
          <w:rFonts w:ascii="Georgia" w:hAnsi="Georgia" w:cs="Times New Roman"/>
          <w:bCs/>
          <w:lang w:val="en-GB"/>
        </w:rPr>
        <w:t xml:space="preserve">coefficient </w:t>
      </w:r>
      <w:r w:rsidR="00CB15A8" w:rsidRPr="0002056A">
        <w:rPr>
          <w:rFonts w:ascii="Georgia" w:hAnsi="Georgia" w:cs="Times New Roman"/>
          <w:bCs/>
          <w:lang w:val="en-GB"/>
        </w:rPr>
        <w:t>0,6</w:t>
      </w:r>
      <w:r w:rsidR="00D9293C" w:rsidRPr="0002056A">
        <w:rPr>
          <w:rFonts w:ascii="Georgia" w:hAnsi="Georgia" w:cs="Times New Roman"/>
          <w:bCs/>
          <w:lang w:val="en-GB"/>
        </w:rPr>
        <w:t>16</w:t>
      </w:r>
      <w:r w:rsidR="004416E8" w:rsidRPr="0002056A">
        <w:rPr>
          <w:rFonts w:ascii="Georgia" w:hAnsi="Georgia" w:cs="Times New Roman"/>
          <w:bCs/>
          <w:lang w:val="en-GB"/>
        </w:rPr>
        <w:t>)</w:t>
      </w:r>
      <w:r w:rsidR="00CB15A8" w:rsidRPr="0002056A">
        <w:rPr>
          <w:rFonts w:ascii="Georgia" w:hAnsi="Georgia" w:cs="Times New Roman"/>
          <w:bCs/>
          <w:lang w:val="en-GB"/>
        </w:rPr>
        <w:t xml:space="preserve"> </w:t>
      </w:r>
      <w:r w:rsidR="004416E8" w:rsidRPr="0002056A">
        <w:rPr>
          <w:rFonts w:ascii="Georgia" w:hAnsi="Georgia" w:cs="Times New Roman"/>
          <w:bCs/>
          <w:lang w:val="en-GB"/>
        </w:rPr>
        <w:t xml:space="preserve">and the </w:t>
      </w:r>
      <w:r w:rsidR="004416E8" w:rsidRPr="0002056A">
        <w:rPr>
          <w:rFonts w:ascii="Georgia" w:hAnsi="Georgia" w:cs="Times New Roman"/>
          <w:b/>
          <w:i/>
          <w:iCs/>
          <w:lang w:val="en-GB"/>
        </w:rPr>
        <w:t>number of adaptation planning cycles started</w:t>
      </w:r>
      <w:r w:rsidR="004416E8" w:rsidRPr="0002056A">
        <w:rPr>
          <w:rFonts w:ascii="Georgia" w:hAnsi="Georgia" w:cs="Times New Roman"/>
          <w:bCs/>
          <w:lang w:val="en-GB"/>
        </w:rPr>
        <w:t xml:space="preserve"> (with correlation coefficient </w:t>
      </w:r>
      <w:r w:rsidR="00CB15A8" w:rsidRPr="0002056A">
        <w:rPr>
          <w:rFonts w:ascii="Georgia" w:hAnsi="Georgia" w:cs="Times New Roman"/>
          <w:bCs/>
          <w:lang w:val="en-GB"/>
        </w:rPr>
        <w:t>0,5</w:t>
      </w:r>
      <w:r w:rsidR="00085588" w:rsidRPr="0002056A">
        <w:rPr>
          <w:rFonts w:ascii="Georgia" w:hAnsi="Georgia" w:cs="Times New Roman"/>
          <w:bCs/>
          <w:lang w:val="en-GB"/>
        </w:rPr>
        <w:t>9</w:t>
      </w:r>
      <w:r w:rsidR="00D9293C" w:rsidRPr="0002056A">
        <w:rPr>
          <w:rFonts w:ascii="Georgia" w:hAnsi="Georgia" w:cs="Times New Roman"/>
          <w:bCs/>
          <w:lang w:val="en-GB"/>
        </w:rPr>
        <w:t>5</w:t>
      </w:r>
      <w:r w:rsidR="004416E8" w:rsidRPr="0002056A">
        <w:rPr>
          <w:rFonts w:ascii="Georgia" w:hAnsi="Georgia" w:cs="Times New Roman"/>
          <w:bCs/>
          <w:lang w:val="en-GB"/>
        </w:rPr>
        <w:t>). The former is a good indication of spatial emphasis</w:t>
      </w:r>
      <w:r w:rsidR="00FE03B5" w:rsidRPr="0002056A">
        <w:rPr>
          <w:rFonts w:ascii="Georgia" w:hAnsi="Georgia" w:cs="Times New Roman"/>
          <w:bCs/>
          <w:lang w:val="en-GB"/>
        </w:rPr>
        <w:t>’ presence</w:t>
      </w:r>
      <w:r w:rsidR="004416E8" w:rsidRPr="0002056A">
        <w:rPr>
          <w:rFonts w:ascii="Georgia" w:hAnsi="Georgia" w:cs="Times New Roman"/>
          <w:bCs/>
          <w:lang w:val="en-GB"/>
        </w:rPr>
        <w:t xml:space="preserve"> in a country’s national public administration</w:t>
      </w:r>
      <w:r w:rsidR="007E0955" w:rsidRPr="0002056A">
        <w:rPr>
          <w:rFonts w:ascii="Georgia" w:hAnsi="Georgia" w:cs="Times New Roman"/>
          <w:bCs/>
          <w:lang w:val="en-GB"/>
        </w:rPr>
        <w:t xml:space="preserve"> and</w:t>
      </w:r>
      <w:r w:rsidR="004416E8" w:rsidRPr="0002056A">
        <w:rPr>
          <w:rFonts w:ascii="Georgia" w:hAnsi="Georgia" w:cs="Times New Roman"/>
          <w:bCs/>
          <w:lang w:val="en-GB"/>
        </w:rPr>
        <w:t xml:space="preserve"> the role of spatial administration levels even in adaptation activities</w:t>
      </w:r>
      <w:r w:rsidR="00D768EC" w:rsidRPr="0002056A">
        <w:rPr>
          <w:rFonts w:ascii="Georgia" w:hAnsi="Georgia" w:cs="Times New Roman"/>
          <w:bCs/>
          <w:lang w:val="en-GB"/>
        </w:rPr>
        <w:t xml:space="preserve"> (the more decentralised/federal a country is the stronger spatiality could be perceived in adaptation policy documents)</w:t>
      </w:r>
      <w:r w:rsidR="004416E8" w:rsidRPr="0002056A">
        <w:rPr>
          <w:rFonts w:ascii="Georgia" w:hAnsi="Georgia" w:cs="Times New Roman"/>
          <w:bCs/>
          <w:lang w:val="en-GB"/>
        </w:rPr>
        <w:t xml:space="preserve">; meanwhile the second show the </w:t>
      </w:r>
      <w:r w:rsidR="0012774F" w:rsidRPr="0002056A">
        <w:rPr>
          <w:rFonts w:ascii="Georgia" w:hAnsi="Georgia" w:cs="Times New Roman"/>
          <w:bCs/>
          <w:lang w:val="en-GB"/>
        </w:rPr>
        <w:t>advancement and experiences of adaptation policy planning</w:t>
      </w:r>
      <w:r w:rsidR="00D068CA" w:rsidRPr="0002056A">
        <w:rPr>
          <w:rFonts w:ascii="Georgia" w:hAnsi="Georgia" w:cs="Times New Roman"/>
          <w:bCs/>
          <w:lang w:val="en-GB"/>
        </w:rPr>
        <w:t xml:space="preserve">. </w:t>
      </w:r>
      <w:r w:rsidR="00B07ABB" w:rsidRPr="0002056A">
        <w:rPr>
          <w:rFonts w:ascii="Georgia" w:hAnsi="Georgia" w:cs="Times New Roman"/>
          <w:bCs/>
          <w:lang w:val="en-GB"/>
        </w:rPr>
        <w:t xml:space="preserve">The more experience and traditions a country have in adaptation planning the bigger the chance that </w:t>
      </w:r>
      <w:r w:rsidR="00287110" w:rsidRPr="0002056A">
        <w:rPr>
          <w:rFonts w:ascii="Georgia" w:hAnsi="Georgia" w:cs="Times New Roman"/>
          <w:bCs/>
          <w:lang w:val="en-GB"/>
        </w:rPr>
        <w:t xml:space="preserve">adaptation policy planners and practitioners </w:t>
      </w:r>
      <w:r w:rsidR="00CF4AF7" w:rsidRPr="0002056A">
        <w:rPr>
          <w:rFonts w:ascii="Georgia" w:hAnsi="Georgia" w:cs="Times New Roman"/>
          <w:bCs/>
          <w:lang w:val="en-GB"/>
        </w:rPr>
        <w:t xml:space="preserve">have the </w:t>
      </w:r>
      <w:r w:rsidR="00287110" w:rsidRPr="0002056A">
        <w:rPr>
          <w:rFonts w:ascii="Georgia" w:hAnsi="Georgia" w:cs="Times New Roman"/>
          <w:bCs/>
          <w:lang w:val="en-GB"/>
        </w:rPr>
        <w:t>sensitiv</w:t>
      </w:r>
      <w:r w:rsidR="00CF4AF7" w:rsidRPr="0002056A">
        <w:rPr>
          <w:rFonts w:ascii="Georgia" w:hAnsi="Georgia" w:cs="Times New Roman"/>
          <w:bCs/>
          <w:lang w:val="en-GB"/>
        </w:rPr>
        <w:t>ity to such special aspects like</w:t>
      </w:r>
      <w:r w:rsidR="000B1FED" w:rsidRPr="0002056A">
        <w:rPr>
          <w:rFonts w:ascii="Georgia" w:hAnsi="Georgia" w:cs="Times New Roman"/>
          <w:bCs/>
          <w:lang w:val="en-GB"/>
        </w:rPr>
        <w:t xml:space="preserve"> avoiding maladaptation, put special weight on nature-based solutions, or,</w:t>
      </w:r>
      <w:r w:rsidR="00CF4AF7" w:rsidRPr="0002056A">
        <w:rPr>
          <w:rFonts w:ascii="Georgia" w:hAnsi="Georgia" w:cs="Times New Roman"/>
          <w:bCs/>
          <w:lang w:val="en-GB"/>
        </w:rPr>
        <w:t xml:space="preserve"> in our case, the spatial emphases in the </w:t>
      </w:r>
      <w:r w:rsidR="009B0032" w:rsidRPr="0002056A">
        <w:rPr>
          <w:rFonts w:ascii="Georgia" w:hAnsi="Georgia" w:cs="Times New Roman"/>
          <w:bCs/>
          <w:lang w:val="en-GB"/>
        </w:rPr>
        <w:t xml:space="preserve">related </w:t>
      </w:r>
      <w:r w:rsidR="00CF4AF7" w:rsidRPr="0002056A">
        <w:rPr>
          <w:rFonts w:ascii="Georgia" w:hAnsi="Georgia" w:cs="Times New Roman"/>
          <w:bCs/>
          <w:lang w:val="en-GB"/>
        </w:rPr>
        <w:t xml:space="preserve">planning and MRE activities. </w:t>
      </w:r>
      <w:r w:rsidR="00D068CA" w:rsidRPr="0002056A">
        <w:rPr>
          <w:rFonts w:ascii="Georgia" w:hAnsi="Georgia" w:cs="Times New Roman"/>
          <w:b/>
          <w:lang w:val="en-GB"/>
        </w:rPr>
        <w:t>Weaker-than-medium, but still relative significant connection</w:t>
      </w:r>
      <w:r w:rsidR="00D068CA" w:rsidRPr="0002056A">
        <w:rPr>
          <w:rFonts w:ascii="Georgia" w:hAnsi="Georgia" w:cs="Times New Roman"/>
          <w:bCs/>
          <w:lang w:val="en-GB"/>
        </w:rPr>
        <w:t xml:space="preserve"> can be traced between spatial sensitivity </w:t>
      </w:r>
      <w:r w:rsidR="003C1B8C" w:rsidRPr="0002056A">
        <w:rPr>
          <w:rFonts w:ascii="Georgia" w:hAnsi="Georgia" w:cs="Times New Roman"/>
          <w:bCs/>
          <w:lang w:val="en-GB"/>
        </w:rPr>
        <w:t xml:space="preserve">and </w:t>
      </w:r>
      <w:r w:rsidR="003C1B8C" w:rsidRPr="0002056A">
        <w:rPr>
          <w:rFonts w:ascii="Georgia" w:hAnsi="Georgia" w:cs="Times New Roman"/>
          <w:b/>
          <w:i/>
          <w:iCs/>
          <w:lang w:val="en-GB"/>
        </w:rPr>
        <w:t>populatio</w:t>
      </w:r>
      <w:r w:rsidR="00085588" w:rsidRPr="0002056A">
        <w:rPr>
          <w:rFonts w:ascii="Georgia" w:hAnsi="Georgia" w:cs="Times New Roman"/>
          <w:b/>
          <w:i/>
          <w:iCs/>
          <w:lang w:val="en-GB"/>
        </w:rPr>
        <w:t>n</w:t>
      </w:r>
      <w:r w:rsidR="003C1B8C" w:rsidRPr="0002056A">
        <w:rPr>
          <w:rFonts w:ascii="Georgia" w:hAnsi="Georgia" w:cs="Times New Roman"/>
          <w:bCs/>
          <w:lang w:val="en-GB"/>
        </w:rPr>
        <w:t xml:space="preserve"> </w:t>
      </w:r>
      <w:r w:rsidR="00E952D1" w:rsidRPr="0002056A">
        <w:rPr>
          <w:rFonts w:ascii="Georgia" w:hAnsi="Georgia" w:cs="Times New Roman"/>
          <w:bCs/>
          <w:lang w:val="en-GB"/>
        </w:rPr>
        <w:t>and</w:t>
      </w:r>
      <w:r w:rsidR="003C1B8C" w:rsidRPr="0002056A">
        <w:rPr>
          <w:rFonts w:ascii="Georgia" w:hAnsi="Georgia" w:cs="Times New Roman"/>
          <w:bCs/>
          <w:lang w:val="en-GB"/>
        </w:rPr>
        <w:t xml:space="preserve"> </w:t>
      </w:r>
      <w:r w:rsidR="00E150F4" w:rsidRPr="0002056A">
        <w:rPr>
          <w:rFonts w:ascii="Georgia" w:hAnsi="Georgia" w:cs="Times New Roman"/>
          <w:b/>
          <w:i/>
          <w:iCs/>
          <w:lang w:val="en-GB"/>
        </w:rPr>
        <w:t>size of the countries</w:t>
      </w:r>
      <w:r w:rsidR="003C1B8C" w:rsidRPr="0002056A">
        <w:rPr>
          <w:rFonts w:ascii="Georgia" w:hAnsi="Georgia" w:cs="Times New Roman"/>
          <w:bCs/>
          <w:lang w:val="en-GB"/>
        </w:rPr>
        <w:t xml:space="preserve"> (</w:t>
      </w:r>
      <w:r w:rsidR="00E952D1" w:rsidRPr="0002056A">
        <w:rPr>
          <w:rFonts w:ascii="Georgia" w:hAnsi="Georgia" w:cs="Times New Roman"/>
          <w:bCs/>
          <w:lang w:val="en-GB"/>
        </w:rPr>
        <w:t>0,4</w:t>
      </w:r>
      <w:r w:rsidR="00D9293C" w:rsidRPr="0002056A">
        <w:rPr>
          <w:rFonts w:ascii="Georgia" w:hAnsi="Georgia" w:cs="Times New Roman"/>
          <w:bCs/>
          <w:lang w:val="en-GB"/>
        </w:rPr>
        <w:t>69</w:t>
      </w:r>
      <w:r w:rsidR="00E952D1" w:rsidRPr="0002056A">
        <w:rPr>
          <w:rFonts w:ascii="Georgia" w:hAnsi="Georgia" w:cs="Times New Roman"/>
          <w:bCs/>
          <w:lang w:val="en-GB"/>
        </w:rPr>
        <w:t xml:space="preserve"> and </w:t>
      </w:r>
      <w:r w:rsidR="003C1B8C" w:rsidRPr="0002056A">
        <w:rPr>
          <w:rFonts w:ascii="Georgia" w:hAnsi="Georgia" w:cs="Times New Roman"/>
          <w:bCs/>
          <w:lang w:val="en-GB"/>
        </w:rPr>
        <w:t>0,4</w:t>
      </w:r>
      <w:r w:rsidR="00D9293C" w:rsidRPr="0002056A">
        <w:rPr>
          <w:rFonts w:ascii="Georgia" w:hAnsi="Georgia" w:cs="Times New Roman"/>
          <w:bCs/>
          <w:lang w:val="en-GB"/>
        </w:rPr>
        <w:t>59</w:t>
      </w:r>
      <w:r w:rsidR="00E150F4" w:rsidRPr="0002056A">
        <w:rPr>
          <w:rFonts w:ascii="Georgia" w:hAnsi="Georgia" w:cs="Times New Roman"/>
          <w:bCs/>
          <w:lang w:val="en-GB"/>
        </w:rPr>
        <w:t xml:space="preserve"> </w:t>
      </w:r>
      <w:r w:rsidR="00E952D1" w:rsidRPr="0002056A">
        <w:rPr>
          <w:rFonts w:ascii="Georgia" w:hAnsi="Georgia" w:cs="Times New Roman"/>
          <w:bCs/>
          <w:lang w:val="en-GB"/>
        </w:rPr>
        <w:t xml:space="preserve">respectively </w:t>
      </w:r>
      <w:r w:rsidR="00E150F4" w:rsidRPr="0002056A">
        <w:rPr>
          <w:rFonts w:ascii="Georgia" w:hAnsi="Georgia" w:cs="Times New Roman"/>
          <w:bCs/>
          <w:lang w:val="en-GB"/>
        </w:rPr>
        <w:t xml:space="preserve">– unsurprisingly, bigger </w:t>
      </w:r>
      <w:r w:rsidR="00E952D1" w:rsidRPr="0002056A">
        <w:rPr>
          <w:rFonts w:ascii="Georgia" w:hAnsi="Georgia" w:cs="Times New Roman"/>
          <w:bCs/>
          <w:lang w:val="en-GB"/>
        </w:rPr>
        <w:t xml:space="preserve">(and sometimes more populated) </w:t>
      </w:r>
      <w:r w:rsidR="00E150F4" w:rsidRPr="0002056A">
        <w:rPr>
          <w:rFonts w:ascii="Georgia" w:hAnsi="Georgia" w:cs="Times New Roman"/>
          <w:bCs/>
          <w:lang w:val="en-GB"/>
        </w:rPr>
        <w:t xml:space="preserve">a given country is, </w:t>
      </w:r>
      <w:r w:rsidR="007E0955" w:rsidRPr="0002056A">
        <w:rPr>
          <w:rFonts w:ascii="Georgia" w:hAnsi="Georgia" w:cs="Times New Roman"/>
          <w:bCs/>
          <w:lang w:val="en-GB"/>
        </w:rPr>
        <w:t xml:space="preserve">the </w:t>
      </w:r>
      <w:r w:rsidR="00E150F4" w:rsidRPr="0002056A">
        <w:rPr>
          <w:rFonts w:ascii="Georgia" w:hAnsi="Georgia" w:cs="Times New Roman"/>
          <w:bCs/>
          <w:lang w:val="en-GB"/>
        </w:rPr>
        <w:t xml:space="preserve">more diverse its geography is and this fact </w:t>
      </w:r>
      <w:r w:rsidR="007E0955" w:rsidRPr="0002056A">
        <w:rPr>
          <w:rFonts w:ascii="Georgia" w:hAnsi="Georgia" w:cs="Times New Roman"/>
          <w:bCs/>
          <w:lang w:val="en-GB"/>
        </w:rPr>
        <w:t>is</w:t>
      </w:r>
      <w:r w:rsidR="00E150F4" w:rsidRPr="0002056A">
        <w:rPr>
          <w:rFonts w:ascii="Georgia" w:hAnsi="Georgia" w:cs="Times New Roman"/>
          <w:bCs/>
          <w:lang w:val="en-GB"/>
        </w:rPr>
        <w:t xml:space="preserve"> reflected even in the spatiality of adaptation planning direction</w:t>
      </w:r>
      <w:r w:rsidR="007E0955" w:rsidRPr="0002056A">
        <w:rPr>
          <w:rFonts w:ascii="Georgia" w:hAnsi="Georgia" w:cs="Times New Roman"/>
          <w:bCs/>
          <w:lang w:val="en-GB"/>
        </w:rPr>
        <w:t>s</w:t>
      </w:r>
      <w:r w:rsidR="00E952D1" w:rsidRPr="0002056A">
        <w:rPr>
          <w:rFonts w:ascii="Georgia" w:hAnsi="Georgia" w:cs="Times New Roman"/>
          <w:bCs/>
          <w:lang w:val="en-GB"/>
        </w:rPr>
        <w:t xml:space="preserve">. </w:t>
      </w:r>
      <w:r w:rsidR="00F77AA2" w:rsidRPr="0002056A">
        <w:rPr>
          <w:rFonts w:ascii="Georgia" w:hAnsi="Georgia" w:cs="Times New Roman"/>
          <w:b/>
          <w:i/>
          <w:iCs/>
          <w:lang w:val="en-GB"/>
        </w:rPr>
        <w:t>HDI index</w:t>
      </w:r>
      <w:r w:rsidR="00F77AA2" w:rsidRPr="0002056A">
        <w:rPr>
          <w:rFonts w:ascii="Georgia" w:hAnsi="Georgia" w:cs="Times New Roman"/>
          <w:bCs/>
          <w:lang w:val="en-GB"/>
        </w:rPr>
        <w:t xml:space="preserve"> tells us something about the development of a given society, here the correlation </w:t>
      </w:r>
      <w:r w:rsidR="009F06E6" w:rsidRPr="0002056A">
        <w:rPr>
          <w:rFonts w:ascii="Georgia" w:hAnsi="Georgia" w:cs="Times New Roman"/>
          <w:bCs/>
          <w:lang w:val="en-GB"/>
        </w:rPr>
        <w:t>with</w:t>
      </w:r>
      <w:r w:rsidR="00F77AA2" w:rsidRPr="0002056A">
        <w:rPr>
          <w:rFonts w:ascii="Georgia" w:hAnsi="Georgia" w:cs="Times New Roman"/>
          <w:bCs/>
          <w:lang w:val="en-GB"/>
        </w:rPr>
        <w:t xml:space="preserve"> the spatial composite index is 0, 4</w:t>
      </w:r>
      <w:r w:rsidR="00EA51A7" w:rsidRPr="0002056A">
        <w:rPr>
          <w:rFonts w:ascii="Georgia" w:hAnsi="Georgia" w:cs="Times New Roman"/>
          <w:bCs/>
          <w:lang w:val="en-GB"/>
        </w:rPr>
        <w:t>0</w:t>
      </w:r>
      <w:r w:rsidR="00D9293C" w:rsidRPr="0002056A">
        <w:rPr>
          <w:rFonts w:ascii="Georgia" w:hAnsi="Georgia" w:cs="Times New Roman"/>
          <w:bCs/>
          <w:lang w:val="en-GB"/>
        </w:rPr>
        <w:t>5</w:t>
      </w:r>
      <w:r w:rsidR="00F77AA2" w:rsidRPr="0002056A">
        <w:rPr>
          <w:rFonts w:ascii="Georgia" w:hAnsi="Georgia" w:cs="Times New Roman"/>
          <w:bCs/>
          <w:lang w:val="en-GB"/>
        </w:rPr>
        <w:t>. M</w:t>
      </w:r>
      <w:r w:rsidR="00D068CA" w:rsidRPr="0002056A">
        <w:rPr>
          <w:rFonts w:ascii="Georgia" w:hAnsi="Georgia" w:cs="Times New Roman"/>
          <w:bCs/>
          <w:lang w:val="en-GB"/>
        </w:rPr>
        <w:t xml:space="preserve">eanwhile </w:t>
      </w:r>
      <w:r w:rsidR="00F31FA6" w:rsidRPr="0002056A">
        <w:rPr>
          <w:rFonts w:ascii="Georgia" w:hAnsi="Georgia" w:cs="Times New Roman"/>
          <w:bCs/>
          <w:lang w:val="en-GB"/>
        </w:rPr>
        <w:t xml:space="preserve">among the weakly correlating indices </w:t>
      </w:r>
      <w:r w:rsidR="00800B7F" w:rsidRPr="0002056A">
        <w:rPr>
          <w:rFonts w:ascii="Georgia" w:hAnsi="Georgia" w:cs="Times New Roman"/>
          <w:bCs/>
          <w:lang w:val="en-GB"/>
        </w:rPr>
        <w:t xml:space="preserve">life expectancy at birth </w:t>
      </w:r>
      <w:r w:rsidR="00F31FA6" w:rsidRPr="0002056A">
        <w:rPr>
          <w:rFonts w:ascii="Georgia" w:hAnsi="Georgia" w:cs="Times New Roman"/>
          <w:bCs/>
          <w:lang w:val="en-GB"/>
        </w:rPr>
        <w:t>(</w:t>
      </w:r>
      <w:r w:rsidR="00800B7F" w:rsidRPr="0002056A">
        <w:rPr>
          <w:rFonts w:ascii="Georgia" w:hAnsi="Georgia" w:cs="Times New Roman"/>
          <w:bCs/>
          <w:lang w:val="en-GB"/>
        </w:rPr>
        <w:t>0,30</w:t>
      </w:r>
      <w:r w:rsidR="009F06E6" w:rsidRPr="0002056A">
        <w:rPr>
          <w:rFonts w:ascii="Georgia" w:hAnsi="Georgia" w:cs="Times New Roman"/>
          <w:bCs/>
          <w:lang w:val="en-GB"/>
        </w:rPr>
        <w:t>8</w:t>
      </w:r>
      <w:r w:rsidR="00F31FA6" w:rsidRPr="0002056A">
        <w:rPr>
          <w:rFonts w:ascii="Georgia" w:hAnsi="Georgia" w:cs="Times New Roman"/>
          <w:bCs/>
          <w:lang w:val="en-GB"/>
        </w:rPr>
        <w:t xml:space="preserve">) and </w:t>
      </w:r>
      <w:r w:rsidR="00800B7F" w:rsidRPr="0002056A">
        <w:rPr>
          <w:rFonts w:ascii="Georgia" w:hAnsi="Georgia" w:cs="Times New Roman"/>
          <w:bCs/>
          <w:lang w:val="en-GB"/>
        </w:rPr>
        <w:t xml:space="preserve">the </w:t>
      </w:r>
      <w:r w:rsidR="007E0955" w:rsidRPr="0002056A">
        <w:rPr>
          <w:rFonts w:ascii="Georgia" w:hAnsi="Georgia" w:cs="Times New Roman"/>
          <w:bCs/>
          <w:lang w:val="en-GB"/>
        </w:rPr>
        <w:t xml:space="preserve">degree of </w:t>
      </w:r>
      <w:r w:rsidR="00800B7F" w:rsidRPr="0002056A">
        <w:rPr>
          <w:rFonts w:ascii="Georgia" w:hAnsi="Georgia" w:cs="Times New Roman"/>
          <w:bCs/>
          <w:lang w:val="en-GB"/>
        </w:rPr>
        <w:t>the spatial planning sector</w:t>
      </w:r>
      <w:r w:rsidR="007E0955" w:rsidRPr="0002056A">
        <w:rPr>
          <w:rFonts w:ascii="Georgia" w:hAnsi="Georgia" w:cs="Times New Roman"/>
          <w:bCs/>
          <w:lang w:val="en-GB"/>
        </w:rPr>
        <w:t>’s development</w:t>
      </w:r>
      <w:r w:rsidR="00800B7F" w:rsidRPr="0002056A">
        <w:rPr>
          <w:rFonts w:ascii="Georgia" w:hAnsi="Georgia" w:cs="Times New Roman"/>
          <w:bCs/>
          <w:lang w:val="en-GB"/>
        </w:rPr>
        <w:t xml:space="preserve"> </w:t>
      </w:r>
      <w:r w:rsidR="00F31FA6" w:rsidRPr="0002056A">
        <w:rPr>
          <w:rFonts w:ascii="Georgia" w:hAnsi="Georgia" w:cs="Times New Roman"/>
          <w:bCs/>
          <w:lang w:val="en-GB"/>
        </w:rPr>
        <w:t>(</w:t>
      </w:r>
      <w:r w:rsidR="00800B7F" w:rsidRPr="0002056A">
        <w:rPr>
          <w:rFonts w:ascii="Georgia" w:hAnsi="Georgia" w:cs="Times New Roman"/>
          <w:bCs/>
          <w:lang w:val="en-GB"/>
        </w:rPr>
        <w:t>0,2</w:t>
      </w:r>
      <w:r w:rsidR="009F06E6" w:rsidRPr="0002056A">
        <w:rPr>
          <w:rFonts w:ascii="Georgia" w:hAnsi="Georgia" w:cs="Times New Roman"/>
          <w:bCs/>
          <w:lang w:val="en-GB"/>
        </w:rPr>
        <w:t>84</w:t>
      </w:r>
      <w:r w:rsidR="00F31FA6" w:rsidRPr="0002056A">
        <w:rPr>
          <w:rFonts w:ascii="Georgia" w:hAnsi="Georgia" w:cs="Times New Roman"/>
          <w:bCs/>
          <w:lang w:val="en-GB"/>
        </w:rPr>
        <w:t xml:space="preserve">) show the highest values. The other </w:t>
      </w:r>
      <w:r w:rsidR="00800B7F" w:rsidRPr="0002056A">
        <w:rPr>
          <w:rFonts w:ascii="Georgia" w:hAnsi="Georgia" w:cs="Times New Roman"/>
          <w:bCs/>
          <w:lang w:val="en-GB"/>
        </w:rPr>
        <w:t>economic (GDP/capita</w:t>
      </w:r>
      <w:r w:rsidR="00B61AB6" w:rsidRPr="0002056A">
        <w:rPr>
          <w:rFonts w:ascii="Georgia" w:hAnsi="Georgia" w:cs="Times New Roman"/>
          <w:bCs/>
          <w:lang w:val="en-GB"/>
        </w:rPr>
        <w:t xml:space="preserve">, GINI, renewable energy use) and social (population density, </w:t>
      </w:r>
      <w:r w:rsidR="003B3705" w:rsidRPr="0002056A">
        <w:rPr>
          <w:rFonts w:ascii="Georgia" w:hAnsi="Georgia" w:cs="Times New Roman"/>
          <w:bCs/>
          <w:lang w:val="en-GB"/>
        </w:rPr>
        <w:t>life expectancies, leve</w:t>
      </w:r>
      <w:r w:rsidR="00482807" w:rsidRPr="0002056A">
        <w:rPr>
          <w:rFonts w:ascii="Georgia" w:hAnsi="Georgia" w:cs="Times New Roman"/>
          <w:bCs/>
          <w:lang w:val="en-GB"/>
        </w:rPr>
        <w:t>l</w:t>
      </w:r>
      <w:r w:rsidR="003B3705" w:rsidRPr="0002056A">
        <w:rPr>
          <w:rFonts w:ascii="Georgia" w:hAnsi="Georgia" w:cs="Times New Roman"/>
          <w:bCs/>
          <w:lang w:val="en-GB"/>
        </w:rPr>
        <w:t xml:space="preserve"> of education, urbanisation</w:t>
      </w:r>
      <w:r w:rsidR="00B61AB6" w:rsidRPr="0002056A">
        <w:rPr>
          <w:rFonts w:ascii="Georgia" w:hAnsi="Georgia" w:cs="Times New Roman"/>
          <w:bCs/>
          <w:lang w:val="en-GB"/>
        </w:rPr>
        <w:t xml:space="preserve">) </w:t>
      </w:r>
      <w:r w:rsidR="00F31FA6" w:rsidRPr="0002056A">
        <w:rPr>
          <w:rFonts w:ascii="Georgia" w:hAnsi="Georgia" w:cs="Times New Roman"/>
          <w:bCs/>
          <w:lang w:val="en-GB"/>
        </w:rPr>
        <w:t xml:space="preserve">indices </w:t>
      </w:r>
      <w:r w:rsidR="00E150F4" w:rsidRPr="0002056A">
        <w:rPr>
          <w:rFonts w:ascii="Georgia" w:hAnsi="Georgia" w:cs="Times New Roman"/>
          <w:bCs/>
          <w:lang w:val="en-GB"/>
        </w:rPr>
        <w:t>register only very weak or totally insignificant correlation with spatial sensitivity</w:t>
      </w:r>
      <w:r w:rsidR="003B3705" w:rsidRPr="0002056A">
        <w:rPr>
          <w:rFonts w:ascii="Georgia" w:hAnsi="Georgia" w:cs="Times New Roman"/>
          <w:bCs/>
          <w:lang w:val="en-GB"/>
        </w:rPr>
        <w:t xml:space="preserve"> between +</w:t>
      </w:r>
      <w:r w:rsidR="00B62E5A" w:rsidRPr="0002056A">
        <w:rPr>
          <w:rFonts w:ascii="Georgia" w:hAnsi="Georgia" w:cs="Times New Roman"/>
          <w:bCs/>
          <w:lang w:val="en-GB"/>
        </w:rPr>
        <w:t xml:space="preserve"> and – 0,22</w:t>
      </w:r>
      <w:r w:rsidR="00BA026D" w:rsidRPr="0002056A">
        <w:rPr>
          <w:rFonts w:ascii="Georgia" w:hAnsi="Georgia" w:cs="Times New Roman"/>
          <w:bCs/>
          <w:lang w:val="en-GB"/>
        </w:rPr>
        <w:t>25</w:t>
      </w:r>
      <w:r w:rsidR="00B62E5A" w:rsidRPr="0002056A">
        <w:rPr>
          <w:rFonts w:ascii="Georgia" w:hAnsi="Georgia" w:cs="Times New Roman"/>
          <w:bCs/>
          <w:lang w:val="en-GB"/>
        </w:rPr>
        <w:t xml:space="preserve"> coefficients.</w:t>
      </w:r>
    </w:p>
    <w:p w14:paraId="2B8CB64F" w14:textId="4DEB789C" w:rsidR="00F619EA" w:rsidRPr="0002056A" w:rsidRDefault="00F619EA" w:rsidP="00F619EA">
      <w:pPr>
        <w:spacing w:before="120" w:after="120" w:line="240" w:lineRule="auto"/>
        <w:jc w:val="center"/>
        <w:rPr>
          <w:rFonts w:ascii="Georgia" w:hAnsi="Georgia" w:cs="Times New Roman"/>
          <w:i/>
          <w:sz w:val="18"/>
          <w:szCs w:val="18"/>
          <w:lang w:val="en-GB"/>
        </w:rPr>
      </w:pPr>
      <w:r w:rsidRPr="0002056A">
        <w:rPr>
          <w:rFonts w:ascii="Georgia" w:hAnsi="Georgia" w:cs="Times New Roman"/>
          <w:b/>
          <w:sz w:val="18"/>
          <w:szCs w:val="18"/>
          <w:lang w:val="en-GB"/>
        </w:rPr>
        <w:t xml:space="preserve">Table </w:t>
      </w:r>
      <w:r w:rsidR="00E80EAD" w:rsidRPr="0002056A">
        <w:rPr>
          <w:rFonts w:ascii="Georgia" w:hAnsi="Georgia" w:cs="Times New Roman"/>
          <w:b/>
          <w:sz w:val="18"/>
          <w:szCs w:val="18"/>
          <w:lang w:val="en-GB"/>
        </w:rPr>
        <w:t xml:space="preserve">5: </w:t>
      </w:r>
      <w:r w:rsidRPr="0002056A">
        <w:rPr>
          <w:rFonts w:ascii="Georgia" w:hAnsi="Georgia" w:cs="Times New Roman"/>
          <w:b/>
          <w:sz w:val="18"/>
          <w:szCs w:val="18"/>
          <w:lang w:val="en-GB"/>
        </w:rPr>
        <w:t xml:space="preserve">Categories of the connections’ strength </w:t>
      </w:r>
      <w:r w:rsidR="00E5159F" w:rsidRPr="0002056A">
        <w:rPr>
          <w:rFonts w:ascii="Georgia" w:hAnsi="Georgia" w:cs="Times New Roman"/>
          <w:b/>
          <w:sz w:val="18"/>
          <w:szCs w:val="18"/>
          <w:lang w:val="en-GB"/>
        </w:rPr>
        <w:t xml:space="preserve">in the applied correlation analysis according to the correlation </w:t>
      </w:r>
      <w:r w:rsidR="00216AD0" w:rsidRPr="0002056A">
        <w:rPr>
          <w:rFonts w:ascii="Georgia" w:hAnsi="Georgia" w:cs="Times New Roman"/>
          <w:b/>
          <w:sz w:val="18"/>
          <w:szCs w:val="18"/>
          <w:lang w:val="en-GB"/>
        </w:rPr>
        <w:t>coefficients</w:t>
      </w:r>
      <w:r w:rsidR="00E5159F" w:rsidRPr="0002056A">
        <w:rPr>
          <w:rFonts w:ascii="Georgia" w:hAnsi="Georgia" w:cs="Times New Roman"/>
          <w:b/>
          <w:sz w:val="18"/>
          <w:szCs w:val="18"/>
          <w:lang w:val="en-GB"/>
        </w:rPr>
        <w:t xml:space="preserve">’ values. </w:t>
      </w:r>
      <w:r w:rsidRPr="0002056A">
        <w:rPr>
          <w:rFonts w:ascii="Georgia" w:hAnsi="Georgia" w:cs="Times New Roman"/>
          <w:b/>
          <w:sz w:val="18"/>
          <w:szCs w:val="18"/>
          <w:lang w:val="en-GB"/>
        </w:rPr>
        <w:t xml:space="preserve"> </w:t>
      </w:r>
      <w:r w:rsidRPr="0002056A">
        <w:rPr>
          <w:rFonts w:ascii="Georgia" w:hAnsi="Georgia" w:cs="Times New Roman"/>
          <w:i/>
          <w:sz w:val="18"/>
          <w:szCs w:val="18"/>
          <w:lang w:val="en-GB"/>
        </w:rPr>
        <w:t>Source: own editing.</w:t>
      </w:r>
    </w:p>
    <w:p w14:paraId="0E979B94" w14:textId="63C38773"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w:t>
      </w:r>
      <w:r w:rsidR="00D37488" w:rsidRPr="0002056A">
        <w:rPr>
          <w:rFonts w:ascii="Georgia" w:hAnsi="Georgia" w:cs="Times New Roman"/>
          <w:bCs/>
          <w:lang w:val="en-GB"/>
        </w:rPr>
        <w:t>rx, y</w:t>
      </w:r>
      <w:r w:rsidRPr="0002056A">
        <w:rPr>
          <w:rFonts w:ascii="Georgia" w:hAnsi="Georgia" w:cs="Times New Roman"/>
          <w:bCs/>
          <w:lang w:val="en-GB"/>
        </w:rPr>
        <w:t xml:space="preserve">| = 0,00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lack of connection</w:t>
      </w:r>
    </w:p>
    <w:p w14:paraId="2E4E8D4A" w14:textId="5554F1D6"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0,01 ≤ |</w:t>
      </w:r>
      <w:r w:rsidR="00D37488" w:rsidRPr="0002056A">
        <w:rPr>
          <w:rFonts w:ascii="Georgia" w:hAnsi="Georgia" w:cs="Times New Roman"/>
          <w:bCs/>
          <w:lang w:val="en-GB"/>
        </w:rPr>
        <w:t>rx, y</w:t>
      </w:r>
      <w:r w:rsidRPr="0002056A">
        <w:rPr>
          <w:rFonts w:ascii="Georgia" w:hAnsi="Georgia" w:cs="Times New Roman"/>
          <w:bCs/>
          <w:lang w:val="en-GB"/>
        </w:rPr>
        <w:t xml:space="preserve">| ≤ 0,30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 xml:space="preserve">weak </w:t>
      </w:r>
      <w:r w:rsidR="00216AD0" w:rsidRPr="0002056A">
        <w:rPr>
          <w:rFonts w:ascii="Georgia" w:hAnsi="Georgia" w:cs="Times New Roman"/>
          <w:bCs/>
          <w:lang w:val="en-GB"/>
        </w:rPr>
        <w:t>connection</w:t>
      </w:r>
    </w:p>
    <w:p w14:paraId="094F7D47" w14:textId="7240CC57"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0,31 ≤ |</w:t>
      </w:r>
      <w:r w:rsidR="00D37488" w:rsidRPr="0002056A">
        <w:rPr>
          <w:rFonts w:ascii="Georgia" w:hAnsi="Georgia" w:cs="Times New Roman"/>
          <w:bCs/>
          <w:lang w:val="en-GB"/>
        </w:rPr>
        <w:t>rx, y</w:t>
      </w:r>
      <w:r w:rsidRPr="0002056A">
        <w:rPr>
          <w:rFonts w:ascii="Georgia" w:hAnsi="Georgia" w:cs="Times New Roman"/>
          <w:bCs/>
          <w:lang w:val="en-GB"/>
        </w:rPr>
        <w:t xml:space="preserve">| ≤ 0,49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 xml:space="preserve">weaker-than-medium-level </w:t>
      </w:r>
      <w:r w:rsidR="00216AD0" w:rsidRPr="0002056A">
        <w:rPr>
          <w:rFonts w:ascii="Georgia" w:hAnsi="Georgia" w:cs="Times New Roman"/>
          <w:bCs/>
          <w:lang w:val="en-GB"/>
        </w:rPr>
        <w:t>connection</w:t>
      </w:r>
    </w:p>
    <w:p w14:paraId="296A9D0B" w14:textId="536671A4"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w:t>
      </w:r>
      <w:r w:rsidR="00D37488" w:rsidRPr="0002056A">
        <w:rPr>
          <w:rFonts w:ascii="Georgia" w:hAnsi="Georgia" w:cs="Times New Roman"/>
          <w:bCs/>
          <w:lang w:val="en-GB"/>
        </w:rPr>
        <w:t>rx, y</w:t>
      </w:r>
      <w:r w:rsidRPr="0002056A">
        <w:rPr>
          <w:rFonts w:ascii="Georgia" w:hAnsi="Georgia" w:cs="Times New Roman"/>
          <w:bCs/>
          <w:lang w:val="en-GB"/>
        </w:rPr>
        <w:t xml:space="preserve">| </w:t>
      </w:r>
      <w:r w:rsidRPr="0002056A">
        <w:rPr>
          <w:rFonts w:ascii="Cambria Math" w:hAnsi="Cambria Math" w:cs="Cambria Math"/>
          <w:bCs/>
          <w:lang w:val="en-GB"/>
        </w:rPr>
        <w:t>≅</w:t>
      </w:r>
      <w:r w:rsidRPr="0002056A">
        <w:rPr>
          <w:rFonts w:ascii="Georgia" w:hAnsi="Georgia" w:cs="Times New Roman"/>
          <w:bCs/>
          <w:lang w:val="en-GB"/>
        </w:rPr>
        <w:t xml:space="preserve"> 0,50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 xml:space="preserve">medium-level </w:t>
      </w:r>
      <w:r w:rsidR="00216AD0" w:rsidRPr="0002056A">
        <w:rPr>
          <w:rFonts w:ascii="Georgia" w:hAnsi="Georgia" w:cs="Times New Roman"/>
          <w:bCs/>
          <w:lang w:val="en-GB"/>
        </w:rPr>
        <w:t>connection</w:t>
      </w:r>
    </w:p>
    <w:p w14:paraId="7311B51C" w14:textId="1AF5E8BB"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0,51 ≤ |</w:t>
      </w:r>
      <w:r w:rsidR="00D37488" w:rsidRPr="0002056A">
        <w:rPr>
          <w:rFonts w:ascii="Georgia" w:hAnsi="Georgia" w:cs="Times New Roman"/>
          <w:bCs/>
          <w:lang w:val="en-GB"/>
        </w:rPr>
        <w:t>rx, y</w:t>
      </w:r>
      <w:r w:rsidRPr="0002056A">
        <w:rPr>
          <w:rFonts w:ascii="Georgia" w:hAnsi="Georgia" w:cs="Times New Roman"/>
          <w:bCs/>
          <w:lang w:val="en-GB"/>
        </w:rPr>
        <w:t xml:space="preserve">| ≤ 0,80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 xml:space="preserve">stronger-than-medium-level </w:t>
      </w:r>
      <w:r w:rsidR="00216AD0" w:rsidRPr="0002056A">
        <w:rPr>
          <w:rFonts w:ascii="Georgia" w:hAnsi="Georgia" w:cs="Times New Roman"/>
          <w:bCs/>
          <w:lang w:val="en-GB"/>
        </w:rPr>
        <w:t>connection</w:t>
      </w:r>
    </w:p>
    <w:p w14:paraId="74937884" w14:textId="2ECB7C63"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0,81 ≤ |</w:t>
      </w:r>
      <w:r w:rsidR="00D37488" w:rsidRPr="0002056A">
        <w:rPr>
          <w:rFonts w:ascii="Georgia" w:hAnsi="Georgia" w:cs="Times New Roman"/>
          <w:bCs/>
          <w:lang w:val="en-GB"/>
        </w:rPr>
        <w:t>rx, y</w:t>
      </w:r>
      <w:r w:rsidRPr="0002056A">
        <w:rPr>
          <w:rFonts w:ascii="Georgia" w:hAnsi="Georgia" w:cs="Times New Roman"/>
          <w:bCs/>
          <w:lang w:val="en-GB"/>
        </w:rPr>
        <w:t xml:space="preserve">| ≤ 0,99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strong connection</w:t>
      </w:r>
    </w:p>
    <w:p w14:paraId="0CF37F3B" w14:textId="0A2DF5E2" w:rsidR="00972688" w:rsidRPr="0002056A" w:rsidRDefault="00972688" w:rsidP="004365A8">
      <w:pPr>
        <w:pBdr>
          <w:top w:val="single" w:sz="4" w:space="1" w:color="auto"/>
          <w:left w:val="single" w:sz="4" w:space="4" w:color="auto"/>
          <w:bottom w:val="single" w:sz="4" w:space="1" w:color="auto"/>
          <w:right w:val="single" w:sz="4" w:space="4" w:color="auto"/>
        </w:pBdr>
        <w:shd w:val="clear" w:color="auto" w:fill="C5E0B3" w:themeFill="accent6" w:themeFillTint="66"/>
        <w:spacing w:before="120" w:after="120" w:line="240" w:lineRule="auto"/>
        <w:jc w:val="center"/>
        <w:rPr>
          <w:rFonts w:ascii="Georgia" w:hAnsi="Georgia" w:cs="Times New Roman"/>
          <w:bCs/>
          <w:lang w:val="en-GB"/>
        </w:rPr>
      </w:pPr>
      <w:r w:rsidRPr="0002056A">
        <w:rPr>
          <w:rFonts w:ascii="Georgia" w:hAnsi="Georgia" w:cs="Times New Roman"/>
          <w:bCs/>
          <w:lang w:val="en-GB"/>
        </w:rPr>
        <w:t>|</w:t>
      </w:r>
      <w:r w:rsidR="00D37488" w:rsidRPr="0002056A">
        <w:rPr>
          <w:rFonts w:ascii="Georgia" w:hAnsi="Georgia" w:cs="Times New Roman"/>
          <w:bCs/>
          <w:lang w:val="en-GB"/>
        </w:rPr>
        <w:t>rx, y</w:t>
      </w:r>
      <w:r w:rsidRPr="0002056A">
        <w:rPr>
          <w:rFonts w:ascii="Georgia" w:hAnsi="Georgia" w:cs="Times New Roman"/>
          <w:bCs/>
          <w:lang w:val="en-GB"/>
        </w:rPr>
        <w:t xml:space="preserve">| = 1,00 </w:t>
      </w:r>
      <w:r w:rsidRPr="0002056A">
        <w:rPr>
          <w:rFonts w:ascii="Times New Roman" w:hAnsi="Times New Roman" w:cs="Times New Roman"/>
          <w:bCs/>
          <w:lang w:val="en-GB"/>
        </w:rPr>
        <w:t>→</w:t>
      </w:r>
      <w:r w:rsidRPr="0002056A">
        <w:rPr>
          <w:rFonts w:ascii="Georgia" w:hAnsi="Georgia" w:cs="Times New Roman"/>
          <w:bCs/>
          <w:lang w:val="en-GB"/>
        </w:rPr>
        <w:t xml:space="preserve"> </w:t>
      </w:r>
      <w:r w:rsidR="00482807" w:rsidRPr="0002056A">
        <w:rPr>
          <w:rFonts w:ascii="Georgia" w:hAnsi="Georgia" w:cs="Times New Roman"/>
          <w:bCs/>
          <w:lang w:val="en-GB"/>
        </w:rPr>
        <w:t xml:space="preserve">deterministic </w:t>
      </w:r>
      <w:r w:rsidR="00553884" w:rsidRPr="0002056A">
        <w:rPr>
          <w:rFonts w:ascii="Georgia" w:hAnsi="Georgia" w:cs="Times New Roman"/>
          <w:bCs/>
          <w:lang w:val="en-GB"/>
        </w:rPr>
        <w:t>or functional connection</w:t>
      </w:r>
    </w:p>
    <w:p w14:paraId="5C38F4E6" w14:textId="4E0F814E" w:rsidR="00B05591" w:rsidRPr="0002056A" w:rsidRDefault="00B05591" w:rsidP="00596939">
      <w:pPr>
        <w:spacing w:before="120" w:after="120"/>
        <w:jc w:val="both"/>
        <w:rPr>
          <w:rFonts w:ascii="Georgia" w:hAnsi="Georgia" w:cs="Times New Roman"/>
          <w:bCs/>
          <w:lang w:val="en-GB"/>
        </w:rPr>
      </w:pPr>
      <w:r w:rsidRPr="0002056A">
        <w:rPr>
          <w:rFonts w:ascii="Georgia" w:hAnsi="Georgia" w:cs="Times New Roman"/>
          <w:bCs/>
          <w:lang w:val="en-GB"/>
        </w:rPr>
        <w:t>Surprisingly, the number of climate zones does not correspond with the country sizes and the spatial sensitivity of adaptation</w:t>
      </w:r>
      <w:r w:rsidR="00D768EC" w:rsidRPr="0002056A">
        <w:rPr>
          <w:rFonts w:ascii="Georgia" w:hAnsi="Georgia" w:cs="Times New Roman"/>
          <w:bCs/>
          <w:lang w:val="en-GB"/>
        </w:rPr>
        <w:t xml:space="preserve">. The main reason is that some of the biggest countries </w:t>
      </w:r>
      <w:r w:rsidR="00553884" w:rsidRPr="0002056A">
        <w:rPr>
          <w:rFonts w:ascii="Georgia" w:hAnsi="Georgia" w:cs="Times New Roman"/>
          <w:bCs/>
          <w:lang w:val="en-GB"/>
        </w:rPr>
        <w:t xml:space="preserve">in Europe </w:t>
      </w:r>
      <w:r w:rsidR="00D768EC" w:rsidRPr="0002056A">
        <w:rPr>
          <w:rFonts w:ascii="Georgia" w:hAnsi="Georgia" w:cs="Times New Roman"/>
          <w:bCs/>
          <w:lang w:val="en-GB"/>
        </w:rPr>
        <w:t xml:space="preserve">(first and foremost </w:t>
      </w:r>
      <w:r w:rsidR="00D768EC" w:rsidRPr="0002056A">
        <w:rPr>
          <w:rFonts w:ascii="Georgia" w:hAnsi="Georgia" w:cs="Times New Roman"/>
          <w:bCs/>
          <w:i/>
          <w:iCs/>
          <w:lang w:val="en-GB"/>
        </w:rPr>
        <w:t>Türkiye</w:t>
      </w:r>
      <w:r w:rsidR="00D768EC" w:rsidRPr="0002056A">
        <w:rPr>
          <w:rFonts w:ascii="Georgia" w:hAnsi="Georgia" w:cs="Times New Roman"/>
          <w:bCs/>
          <w:lang w:val="en-GB"/>
        </w:rPr>
        <w:t xml:space="preserve">, but partly </w:t>
      </w:r>
      <w:r w:rsidR="00D768EC" w:rsidRPr="0002056A">
        <w:rPr>
          <w:rFonts w:ascii="Georgia" w:hAnsi="Georgia" w:cs="Times New Roman"/>
          <w:bCs/>
          <w:i/>
          <w:iCs/>
          <w:lang w:val="en-GB"/>
        </w:rPr>
        <w:t xml:space="preserve">Poland, </w:t>
      </w:r>
      <w:r w:rsidR="002845E3" w:rsidRPr="0002056A">
        <w:rPr>
          <w:rFonts w:ascii="Georgia" w:hAnsi="Georgia" w:cs="Times New Roman"/>
          <w:bCs/>
          <w:i/>
          <w:iCs/>
          <w:lang w:val="en-GB"/>
        </w:rPr>
        <w:t>England, Iceland, Bulgaria, Sweden</w:t>
      </w:r>
      <w:r w:rsidR="002845E3" w:rsidRPr="0002056A">
        <w:rPr>
          <w:rFonts w:ascii="Georgia" w:hAnsi="Georgia" w:cs="Times New Roman"/>
          <w:bCs/>
          <w:lang w:val="en-GB"/>
        </w:rPr>
        <w:t>) have rather hor</w:t>
      </w:r>
      <w:r w:rsidR="002405A4" w:rsidRPr="0002056A">
        <w:rPr>
          <w:rFonts w:ascii="Georgia" w:hAnsi="Georgia" w:cs="Times New Roman"/>
          <w:bCs/>
          <w:lang w:val="en-GB"/>
        </w:rPr>
        <w:t>iz</w:t>
      </w:r>
      <w:r w:rsidR="002845E3" w:rsidRPr="0002056A">
        <w:rPr>
          <w:rFonts w:ascii="Georgia" w:hAnsi="Georgia" w:cs="Times New Roman"/>
          <w:bCs/>
          <w:lang w:val="en-GB"/>
        </w:rPr>
        <w:t xml:space="preserve">ontally big extension </w:t>
      </w:r>
      <w:r w:rsidR="00C55A23" w:rsidRPr="0002056A">
        <w:rPr>
          <w:rFonts w:ascii="Georgia" w:hAnsi="Georgia" w:cs="Times New Roman"/>
          <w:bCs/>
          <w:lang w:val="en-GB"/>
        </w:rPr>
        <w:t>and</w:t>
      </w:r>
      <w:r w:rsidR="002845E3" w:rsidRPr="0002056A">
        <w:rPr>
          <w:rFonts w:ascii="Georgia" w:hAnsi="Georgia" w:cs="Times New Roman"/>
          <w:bCs/>
          <w:lang w:val="en-GB"/>
        </w:rPr>
        <w:t xml:space="preserve"> locate in a single climate zone; </w:t>
      </w:r>
      <w:r w:rsidR="00D768EC" w:rsidRPr="0002056A">
        <w:rPr>
          <w:rFonts w:ascii="Georgia" w:hAnsi="Georgia" w:cs="Times New Roman"/>
          <w:bCs/>
          <w:lang w:val="en-GB"/>
        </w:rPr>
        <w:t xml:space="preserve">only countries with great North-South extensions and varied topography </w:t>
      </w:r>
      <w:r w:rsidR="00131616" w:rsidRPr="0002056A">
        <w:rPr>
          <w:rFonts w:ascii="Georgia" w:hAnsi="Georgia" w:cs="Times New Roman"/>
          <w:bCs/>
          <w:lang w:val="en-GB"/>
        </w:rPr>
        <w:t xml:space="preserve">(Norway, Germany, France, Spain) </w:t>
      </w:r>
      <w:r w:rsidR="005D512E" w:rsidRPr="0002056A">
        <w:rPr>
          <w:rFonts w:ascii="Georgia" w:hAnsi="Georgia" w:cs="Times New Roman"/>
          <w:bCs/>
          <w:lang w:val="en-GB"/>
        </w:rPr>
        <w:t>have adequately great number of climatic zones</w:t>
      </w:r>
      <w:r w:rsidR="00131616" w:rsidRPr="0002056A">
        <w:rPr>
          <w:rFonts w:ascii="Georgia" w:hAnsi="Georgia" w:cs="Times New Roman"/>
          <w:bCs/>
          <w:lang w:val="en-GB"/>
        </w:rPr>
        <w:t>.</w:t>
      </w:r>
    </w:p>
    <w:p w14:paraId="2AC88F1C" w14:textId="77777777" w:rsidR="00DC1114" w:rsidRPr="0002056A" w:rsidRDefault="00DC1114" w:rsidP="00B05591">
      <w:pPr>
        <w:rPr>
          <w:lang w:val="en-GB"/>
        </w:rPr>
        <w:sectPr w:rsidR="00DC1114" w:rsidRPr="0002056A" w:rsidSect="0068518D">
          <w:pgSz w:w="11906" w:h="16838"/>
          <w:pgMar w:top="1417" w:right="1417" w:bottom="1417" w:left="1417" w:header="708" w:footer="708" w:gutter="0"/>
          <w:cols w:space="708"/>
          <w:docGrid w:linePitch="360"/>
        </w:sectPr>
      </w:pPr>
    </w:p>
    <w:p w14:paraId="49BBE013" w14:textId="77777777" w:rsidR="009F0609" w:rsidRPr="0002056A" w:rsidRDefault="009F0609" w:rsidP="00DC1114">
      <w:pPr>
        <w:spacing w:before="120" w:after="120" w:line="240" w:lineRule="auto"/>
        <w:jc w:val="center"/>
        <w:rPr>
          <w:rFonts w:ascii="Times New Roman" w:hAnsi="Times New Roman" w:cs="Times New Roman"/>
          <w:b/>
          <w:sz w:val="16"/>
          <w:szCs w:val="16"/>
          <w:highlight w:val="yellow"/>
          <w:lang w:val="en-GB"/>
        </w:rPr>
      </w:pPr>
    </w:p>
    <w:p w14:paraId="669EEE5A" w14:textId="6777E388" w:rsidR="00DC1114" w:rsidRPr="0002056A" w:rsidRDefault="009F0609" w:rsidP="00DC1114">
      <w:pPr>
        <w:spacing w:before="120" w:after="120" w:line="240" w:lineRule="auto"/>
        <w:jc w:val="center"/>
        <w:rPr>
          <w:rFonts w:ascii="Georgia" w:hAnsi="Georgia" w:cs="Times New Roman"/>
          <w:i/>
          <w:sz w:val="18"/>
          <w:szCs w:val="18"/>
          <w:lang w:val="en-GB"/>
        </w:rPr>
      </w:pPr>
      <w:r w:rsidRPr="0002056A">
        <w:rPr>
          <w:rFonts w:ascii="Georgia" w:hAnsi="Georgia" w:cs="Times New Roman"/>
          <w:b/>
          <w:sz w:val="18"/>
          <w:szCs w:val="18"/>
          <w:lang w:val="en-GB"/>
        </w:rPr>
        <w:t xml:space="preserve">Table </w:t>
      </w:r>
      <w:r w:rsidR="00E80EAD" w:rsidRPr="0002056A">
        <w:rPr>
          <w:rFonts w:ascii="Georgia" w:hAnsi="Georgia" w:cs="Times New Roman"/>
          <w:b/>
          <w:sz w:val="18"/>
          <w:szCs w:val="18"/>
          <w:lang w:val="en-GB"/>
        </w:rPr>
        <w:t>6:</w:t>
      </w:r>
      <w:r w:rsidR="004D1CD9" w:rsidRPr="0002056A">
        <w:rPr>
          <w:rFonts w:ascii="Georgia" w:hAnsi="Georgia" w:cs="Times New Roman"/>
          <w:b/>
          <w:sz w:val="18"/>
          <w:szCs w:val="18"/>
          <w:lang w:val="en-GB"/>
        </w:rPr>
        <w:t xml:space="preserve"> </w:t>
      </w:r>
      <w:r w:rsidR="00DC1114" w:rsidRPr="0002056A">
        <w:rPr>
          <w:rFonts w:ascii="Georgia" w:hAnsi="Georgia" w:cs="Times New Roman"/>
          <w:b/>
          <w:sz w:val="18"/>
          <w:szCs w:val="18"/>
          <w:lang w:val="en-GB"/>
        </w:rPr>
        <w:t xml:space="preserve">Correlation matrix of spatial sensitivity </w:t>
      </w:r>
      <w:r w:rsidR="004D1CD9" w:rsidRPr="0002056A">
        <w:rPr>
          <w:rFonts w:ascii="Georgia" w:hAnsi="Georgia" w:cs="Times New Roman"/>
          <w:b/>
          <w:sz w:val="18"/>
          <w:szCs w:val="18"/>
          <w:lang w:val="en-GB"/>
        </w:rPr>
        <w:t>composite indicator</w:t>
      </w:r>
      <w:r w:rsidR="00DC1114" w:rsidRPr="0002056A">
        <w:rPr>
          <w:rFonts w:ascii="Georgia" w:hAnsi="Georgia" w:cs="Times New Roman"/>
          <w:b/>
          <w:sz w:val="18"/>
          <w:szCs w:val="18"/>
          <w:lang w:val="en-GB"/>
        </w:rPr>
        <w:t xml:space="preserve"> </w:t>
      </w:r>
      <w:r w:rsidR="00553884" w:rsidRPr="0002056A">
        <w:rPr>
          <w:rFonts w:ascii="Georgia" w:hAnsi="Georgia" w:cs="Times New Roman"/>
          <w:b/>
          <w:sz w:val="18"/>
          <w:szCs w:val="18"/>
          <w:lang w:val="en-GB"/>
        </w:rPr>
        <w:t xml:space="preserve">of European national adaptation activities </w:t>
      </w:r>
      <w:r w:rsidR="00DC1114" w:rsidRPr="0002056A">
        <w:rPr>
          <w:rFonts w:ascii="Georgia" w:hAnsi="Georgia" w:cs="Times New Roman"/>
          <w:b/>
          <w:sz w:val="18"/>
          <w:szCs w:val="18"/>
          <w:lang w:val="en-GB"/>
        </w:rPr>
        <w:t xml:space="preserve">and </w:t>
      </w:r>
      <w:r w:rsidR="00D6333E" w:rsidRPr="0002056A">
        <w:rPr>
          <w:rFonts w:ascii="Georgia" w:hAnsi="Georgia" w:cs="Times New Roman"/>
          <w:b/>
          <w:sz w:val="18"/>
          <w:szCs w:val="18"/>
          <w:lang w:val="en-GB"/>
        </w:rPr>
        <w:t>the</w:t>
      </w:r>
      <w:r w:rsidR="00DC1114" w:rsidRPr="0002056A">
        <w:rPr>
          <w:rFonts w:ascii="Georgia" w:hAnsi="Georgia" w:cs="Times New Roman"/>
          <w:b/>
          <w:sz w:val="18"/>
          <w:szCs w:val="18"/>
          <w:lang w:val="en-GB"/>
        </w:rPr>
        <w:t xml:space="preserve"> potential influential factors. </w:t>
      </w:r>
      <w:r w:rsidR="00DC1114" w:rsidRPr="0002056A">
        <w:rPr>
          <w:rFonts w:ascii="Georgia" w:hAnsi="Georgia" w:cs="Times New Roman"/>
          <w:i/>
          <w:sz w:val="18"/>
          <w:szCs w:val="18"/>
          <w:lang w:val="en-GB"/>
        </w:rPr>
        <w:t>Source: own editing.</w:t>
      </w:r>
    </w:p>
    <w:p w14:paraId="7F80D230" w14:textId="77777777" w:rsidR="00F913C2" w:rsidRPr="0002056A" w:rsidRDefault="00F913C2" w:rsidP="00DC1114">
      <w:pPr>
        <w:spacing w:before="120" w:after="120" w:line="240" w:lineRule="auto"/>
        <w:jc w:val="center"/>
        <w:rPr>
          <w:rFonts w:ascii="Georgia" w:hAnsi="Georgia" w:cs="Times New Roman"/>
          <w:i/>
          <w:sz w:val="18"/>
          <w:szCs w:val="18"/>
          <w:highlight w:val="yellow"/>
          <w:lang w:val="en-GB"/>
        </w:rPr>
      </w:pPr>
    </w:p>
    <w:tbl>
      <w:tblPr>
        <w:tblW w:w="15200" w:type="dxa"/>
        <w:tblCellMar>
          <w:left w:w="70" w:type="dxa"/>
          <w:right w:w="70" w:type="dxa"/>
        </w:tblCellMar>
        <w:tblLook w:val="04A0" w:firstRow="1" w:lastRow="0" w:firstColumn="1" w:lastColumn="0" w:noHBand="0" w:noVBand="1"/>
      </w:tblPr>
      <w:tblGrid>
        <w:gridCol w:w="3209"/>
        <w:gridCol w:w="801"/>
        <w:gridCol w:w="801"/>
        <w:gridCol w:w="800"/>
        <w:gridCol w:w="800"/>
        <w:gridCol w:w="799"/>
        <w:gridCol w:w="799"/>
        <w:gridCol w:w="799"/>
        <w:gridCol w:w="799"/>
        <w:gridCol w:w="799"/>
        <w:gridCol w:w="799"/>
        <w:gridCol w:w="799"/>
        <w:gridCol w:w="799"/>
        <w:gridCol w:w="799"/>
        <w:gridCol w:w="799"/>
        <w:gridCol w:w="799"/>
      </w:tblGrid>
      <w:tr w:rsidR="00F913C2" w:rsidRPr="0002056A" w14:paraId="19A22E10" w14:textId="77777777" w:rsidTr="00F913C2">
        <w:trPr>
          <w:trHeight w:val="1290"/>
        </w:trPr>
        <w:tc>
          <w:tcPr>
            <w:tcW w:w="3209" w:type="dxa"/>
            <w:tcBorders>
              <w:top w:val="nil"/>
              <w:left w:val="nil"/>
              <w:bottom w:val="double" w:sz="6" w:space="0" w:color="auto"/>
              <w:right w:val="nil"/>
            </w:tcBorders>
            <w:noWrap/>
            <w:vAlign w:val="bottom"/>
            <w:hideMark/>
          </w:tcPr>
          <w:p w14:paraId="3286A9C2" w14:textId="77777777" w:rsidR="00F913C2" w:rsidRPr="0002056A" w:rsidRDefault="00F913C2" w:rsidP="00F913C2">
            <w:pPr>
              <w:spacing w:after="0" w:line="240" w:lineRule="auto"/>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 </w:t>
            </w:r>
          </w:p>
        </w:tc>
        <w:tc>
          <w:tcPr>
            <w:tcW w:w="801" w:type="dxa"/>
            <w:tcBorders>
              <w:top w:val="single" w:sz="8" w:space="0" w:color="auto"/>
              <w:left w:val="single" w:sz="8" w:space="0" w:color="auto"/>
              <w:bottom w:val="double" w:sz="6" w:space="0" w:color="auto"/>
              <w:right w:val="single" w:sz="8" w:space="0" w:color="auto"/>
            </w:tcBorders>
            <w:vAlign w:val="center"/>
            <w:hideMark/>
          </w:tcPr>
          <w:p w14:paraId="732B41F4" w14:textId="77777777" w:rsidR="00F913C2" w:rsidRPr="0002056A" w:rsidRDefault="00F913C2" w:rsidP="00F913C2">
            <w:pPr>
              <w:spacing w:after="0" w:line="240" w:lineRule="auto"/>
              <w:jc w:val="center"/>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 xml:space="preserve">spatial sen-sitivity </w:t>
            </w:r>
          </w:p>
        </w:tc>
        <w:tc>
          <w:tcPr>
            <w:tcW w:w="801" w:type="dxa"/>
            <w:tcBorders>
              <w:top w:val="nil"/>
              <w:left w:val="nil"/>
              <w:bottom w:val="double" w:sz="6" w:space="0" w:color="auto"/>
              <w:right w:val="nil"/>
            </w:tcBorders>
            <w:vAlign w:val="center"/>
            <w:hideMark/>
          </w:tcPr>
          <w:p w14:paraId="5D8E1C9C"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size of the country</w:t>
            </w:r>
          </w:p>
        </w:tc>
        <w:tc>
          <w:tcPr>
            <w:tcW w:w="800" w:type="dxa"/>
            <w:tcBorders>
              <w:top w:val="nil"/>
              <w:left w:val="nil"/>
              <w:bottom w:val="double" w:sz="6" w:space="0" w:color="auto"/>
              <w:right w:val="nil"/>
            </w:tcBorders>
            <w:vAlign w:val="center"/>
            <w:hideMark/>
          </w:tcPr>
          <w:p w14:paraId="2FEC66F6"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number of climate regions</w:t>
            </w:r>
          </w:p>
        </w:tc>
        <w:tc>
          <w:tcPr>
            <w:tcW w:w="800" w:type="dxa"/>
            <w:tcBorders>
              <w:top w:val="nil"/>
              <w:left w:val="nil"/>
              <w:bottom w:val="double" w:sz="6" w:space="0" w:color="auto"/>
              <w:right w:val="nil"/>
            </w:tcBorders>
            <w:vAlign w:val="center"/>
            <w:hideMark/>
          </w:tcPr>
          <w:p w14:paraId="1B36C07D"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popu-lation</w:t>
            </w:r>
          </w:p>
        </w:tc>
        <w:tc>
          <w:tcPr>
            <w:tcW w:w="799" w:type="dxa"/>
            <w:tcBorders>
              <w:top w:val="nil"/>
              <w:left w:val="nil"/>
              <w:bottom w:val="double" w:sz="6" w:space="0" w:color="auto"/>
              <w:right w:val="nil"/>
            </w:tcBorders>
            <w:vAlign w:val="center"/>
            <w:hideMark/>
          </w:tcPr>
          <w:p w14:paraId="1E833C13"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popu-lation density</w:t>
            </w:r>
          </w:p>
        </w:tc>
        <w:tc>
          <w:tcPr>
            <w:tcW w:w="799" w:type="dxa"/>
            <w:tcBorders>
              <w:top w:val="nil"/>
              <w:left w:val="nil"/>
              <w:bottom w:val="double" w:sz="6" w:space="0" w:color="auto"/>
              <w:right w:val="nil"/>
            </w:tcBorders>
            <w:vAlign w:val="center"/>
            <w:hideMark/>
          </w:tcPr>
          <w:p w14:paraId="2BA47560"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degree of urba-nization</w:t>
            </w:r>
          </w:p>
        </w:tc>
        <w:tc>
          <w:tcPr>
            <w:tcW w:w="799" w:type="dxa"/>
            <w:tcBorders>
              <w:top w:val="nil"/>
              <w:left w:val="nil"/>
              <w:bottom w:val="double" w:sz="6" w:space="0" w:color="auto"/>
              <w:right w:val="nil"/>
            </w:tcBorders>
            <w:vAlign w:val="center"/>
            <w:hideMark/>
          </w:tcPr>
          <w:p w14:paraId="5F37C0DC"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GDP per capita</w:t>
            </w:r>
          </w:p>
        </w:tc>
        <w:tc>
          <w:tcPr>
            <w:tcW w:w="799" w:type="dxa"/>
            <w:tcBorders>
              <w:top w:val="nil"/>
              <w:left w:val="nil"/>
              <w:bottom w:val="double" w:sz="6" w:space="0" w:color="auto"/>
              <w:right w:val="nil"/>
            </w:tcBorders>
            <w:vAlign w:val="center"/>
            <w:hideMark/>
          </w:tcPr>
          <w:p w14:paraId="78EEA1B8"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 xml:space="preserve">GINI-index </w:t>
            </w:r>
          </w:p>
        </w:tc>
        <w:tc>
          <w:tcPr>
            <w:tcW w:w="799" w:type="dxa"/>
            <w:tcBorders>
              <w:top w:val="nil"/>
              <w:left w:val="nil"/>
              <w:bottom w:val="double" w:sz="6" w:space="0" w:color="auto"/>
              <w:right w:val="nil"/>
            </w:tcBorders>
            <w:vAlign w:val="center"/>
            <w:hideMark/>
          </w:tcPr>
          <w:p w14:paraId="75BEFBF6" w14:textId="468F7830"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pop. with tertiary edu</w:t>
            </w:r>
            <w:r w:rsidR="00DF70AB" w:rsidRPr="0002056A">
              <w:rPr>
                <w:rFonts w:ascii="Georgia" w:eastAsia="Times New Roman" w:hAnsi="Georgia" w:cs="Calibri"/>
                <w:i/>
                <w:iCs/>
                <w:color w:val="000000"/>
                <w:sz w:val="16"/>
                <w:szCs w:val="16"/>
                <w:lang w:val="en-GB" w:eastAsia="hu-HU"/>
              </w:rPr>
              <w:t>-cation</w:t>
            </w:r>
          </w:p>
        </w:tc>
        <w:tc>
          <w:tcPr>
            <w:tcW w:w="799" w:type="dxa"/>
            <w:tcBorders>
              <w:top w:val="nil"/>
              <w:left w:val="nil"/>
              <w:bottom w:val="double" w:sz="6" w:space="0" w:color="auto"/>
              <w:right w:val="nil"/>
            </w:tcBorders>
            <w:vAlign w:val="center"/>
            <w:hideMark/>
          </w:tcPr>
          <w:p w14:paraId="3AD510C4"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 xml:space="preserve">HDI </w:t>
            </w:r>
          </w:p>
        </w:tc>
        <w:tc>
          <w:tcPr>
            <w:tcW w:w="799" w:type="dxa"/>
            <w:tcBorders>
              <w:top w:val="nil"/>
              <w:left w:val="nil"/>
              <w:bottom w:val="double" w:sz="6" w:space="0" w:color="auto"/>
              <w:right w:val="nil"/>
            </w:tcBorders>
            <w:vAlign w:val="center"/>
            <w:hideMark/>
          </w:tcPr>
          <w:p w14:paraId="1AF1078C"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Life expec-tancy at birth</w:t>
            </w:r>
          </w:p>
        </w:tc>
        <w:tc>
          <w:tcPr>
            <w:tcW w:w="799" w:type="dxa"/>
            <w:tcBorders>
              <w:top w:val="nil"/>
              <w:left w:val="nil"/>
              <w:bottom w:val="double" w:sz="6" w:space="0" w:color="auto"/>
              <w:right w:val="nil"/>
            </w:tcBorders>
            <w:vAlign w:val="center"/>
            <w:hideMark/>
          </w:tcPr>
          <w:p w14:paraId="2BBB3F42"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spatial gov. type</w:t>
            </w:r>
          </w:p>
        </w:tc>
        <w:tc>
          <w:tcPr>
            <w:tcW w:w="799" w:type="dxa"/>
            <w:tcBorders>
              <w:top w:val="nil"/>
              <w:left w:val="nil"/>
              <w:bottom w:val="double" w:sz="6" w:space="0" w:color="auto"/>
              <w:right w:val="nil"/>
            </w:tcBorders>
            <w:vAlign w:val="center"/>
            <w:hideMark/>
          </w:tcPr>
          <w:p w14:paraId="49767FB2"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spatial planning sector's deve-lopment</w:t>
            </w:r>
          </w:p>
        </w:tc>
        <w:tc>
          <w:tcPr>
            <w:tcW w:w="799" w:type="dxa"/>
            <w:tcBorders>
              <w:top w:val="nil"/>
              <w:left w:val="nil"/>
              <w:bottom w:val="double" w:sz="6" w:space="0" w:color="auto"/>
              <w:right w:val="nil"/>
            </w:tcBorders>
            <w:vAlign w:val="center"/>
            <w:hideMark/>
          </w:tcPr>
          <w:p w14:paraId="620DBCC2"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 xml:space="preserve">nr. of adapt. pl. cycles </w:t>
            </w:r>
          </w:p>
        </w:tc>
        <w:tc>
          <w:tcPr>
            <w:tcW w:w="799" w:type="dxa"/>
            <w:tcBorders>
              <w:top w:val="nil"/>
              <w:left w:val="nil"/>
              <w:bottom w:val="double" w:sz="6" w:space="0" w:color="auto"/>
              <w:right w:val="nil"/>
            </w:tcBorders>
            <w:vAlign w:val="center"/>
            <w:hideMark/>
          </w:tcPr>
          <w:p w14:paraId="440F4A4C" w14:textId="77777777" w:rsidR="00F913C2" w:rsidRPr="0002056A" w:rsidRDefault="00F913C2" w:rsidP="00F913C2">
            <w:pPr>
              <w:spacing w:after="0" w:line="240" w:lineRule="auto"/>
              <w:jc w:val="center"/>
              <w:rPr>
                <w:rFonts w:ascii="Georgia" w:eastAsia="Times New Roman" w:hAnsi="Georgia" w:cs="Calibri"/>
                <w:i/>
                <w:iCs/>
                <w:color w:val="000000"/>
                <w:sz w:val="16"/>
                <w:szCs w:val="16"/>
                <w:lang w:val="en-GB" w:eastAsia="hu-HU"/>
              </w:rPr>
            </w:pPr>
            <w:r w:rsidRPr="0002056A">
              <w:rPr>
                <w:rFonts w:ascii="Georgia" w:eastAsia="Times New Roman" w:hAnsi="Georgia" w:cs="Calibri"/>
                <w:i/>
                <w:iCs/>
                <w:color w:val="000000"/>
                <w:sz w:val="16"/>
                <w:szCs w:val="16"/>
                <w:lang w:val="en-GB" w:eastAsia="hu-HU"/>
              </w:rPr>
              <w:t>% of rene-wable energy in e. prod.</w:t>
            </w:r>
          </w:p>
        </w:tc>
      </w:tr>
      <w:tr w:rsidR="00F913C2" w:rsidRPr="0002056A" w14:paraId="13230651" w14:textId="77777777" w:rsidTr="00F913C2">
        <w:trPr>
          <w:trHeight w:val="280"/>
        </w:trPr>
        <w:tc>
          <w:tcPr>
            <w:tcW w:w="3209" w:type="dxa"/>
            <w:tcBorders>
              <w:top w:val="nil"/>
              <w:left w:val="nil"/>
              <w:bottom w:val="nil"/>
              <w:right w:val="nil"/>
            </w:tcBorders>
            <w:vAlign w:val="center"/>
            <w:hideMark/>
          </w:tcPr>
          <w:p w14:paraId="7DCDD73A" w14:textId="77777777" w:rsidR="00F913C2" w:rsidRPr="0002056A" w:rsidRDefault="00F913C2" w:rsidP="00F913C2">
            <w:pPr>
              <w:spacing w:after="0" w:line="240" w:lineRule="auto"/>
              <w:rPr>
                <w:rFonts w:ascii="Georgia" w:eastAsia="Times New Roman" w:hAnsi="Georgia" w:cs="Calibri"/>
                <w:b/>
                <w:bCs/>
                <w:i/>
                <w:iCs/>
                <w:color w:val="000000"/>
                <w:sz w:val="14"/>
                <w:szCs w:val="14"/>
                <w:lang w:val="en-GB" w:eastAsia="hu-HU"/>
              </w:rPr>
            </w:pPr>
            <w:r w:rsidRPr="0002056A">
              <w:rPr>
                <w:rFonts w:ascii="Georgia" w:eastAsia="Times New Roman" w:hAnsi="Georgia" w:cs="Calibri"/>
                <w:b/>
                <w:bCs/>
                <w:i/>
                <w:iCs/>
                <w:color w:val="000000"/>
                <w:sz w:val="14"/>
                <w:szCs w:val="14"/>
                <w:lang w:val="en-GB" w:eastAsia="hu-HU"/>
              </w:rPr>
              <w:t>spatial sensitivity composite indicator</w:t>
            </w:r>
          </w:p>
        </w:tc>
        <w:tc>
          <w:tcPr>
            <w:tcW w:w="801" w:type="dxa"/>
            <w:tcBorders>
              <w:top w:val="nil"/>
              <w:left w:val="single" w:sz="8" w:space="0" w:color="auto"/>
              <w:bottom w:val="nil"/>
              <w:right w:val="single" w:sz="8" w:space="0" w:color="auto"/>
            </w:tcBorders>
            <w:noWrap/>
            <w:vAlign w:val="bottom"/>
            <w:hideMark/>
          </w:tcPr>
          <w:p w14:paraId="5CC6CDD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01" w:type="dxa"/>
            <w:tcBorders>
              <w:top w:val="nil"/>
              <w:left w:val="nil"/>
              <w:bottom w:val="nil"/>
              <w:right w:val="nil"/>
            </w:tcBorders>
            <w:noWrap/>
            <w:vAlign w:val="bottom"/>
            <w:hideMark/>
          </w:tcPr>
          <w:p w14:paraId="51D3C86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800" w:type="dxa"/>
            <w:tcBorders>
              <w:top w:val="nil"/>
              <w:left w:val="nil"/>
              <w:bottom w:val="nil"/>
              <w:right w:val="nil"/>
            </w:tcBorders>
            <w:noWrap/>
            <w:vAlign w:val="bottom"/>
            <w:hideMark/>
          </w:tcPr>
          <w:p w14:paraId="44BB4D8A"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800" w:type="dxa"/>
            <w:tcBorders>
              <w:top w:val="nil"/>
              <w:left w:val="nil"/>
              <w:bottom w:val="nil"/>
              <w:right w:val="nil"/>
            </w:tcBorders>
            <w:noWrap/>
            <w:vAlign w:val="bottom"/>
            <w:hideMark/>
          </w:tcPr>
          <w:p w14:paraId="609A7D3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1C2E89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D61F6D8"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2479E5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091B888"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161263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70368D8"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8D9D2AE"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77422A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D6172A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E77A7D7"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F6EA7AA"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05E48B2F" w14:textId="77777777" w:rsidTr="00F913C2">
        <w:trPr>
          <w:trHeight w:val="280"/>
        </w:trPr>
        <w:tc>
          <w:tcPr>
            <w:tcW w:w="3209" w:type="dxa"/>
            <w:tcBorders>
              <w:top w:val="nil"/>
              <w:left w:val="nil"/>
              <w:bottom w:val="nil"/>
              <w:right w:val="nil"/>
            </w:tcBorders>
            <w:vAlign w:val="center"/>
            <w:hideMark/>
          </w:tcPr>
          <w:p w14:paraId="41B617EF"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size of the country</w:t>
            </w:r>
          </w:p>
        </w:tc>
        <w:tc>
          <w:tcPr>
            <w:tcW w:w="801" w:type="dxa"/>
            <w:tcBorders>
              <w:top w:val="nil"/>
              <w:left w:val="single" w:sz="8" w:space="0" w:color="auto"/>
              <w:bottom w:val="nil"/>
              <w:right w:val="single" w:sz="8" w:space="0" w:color="auto"/>
            </w:tcBorders>
            <w:shd w:val="clear" w:color="000000" w:fill="9BC2E6"/>
            <w:noWrap/>
            <w:vAlign w:val="bottom"/>
            <w:hideMark/>
          </w:tcPr>
          <w:p w14:paraId="01C102BF"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0,4599</w:t>
            </w:r>
          </w:p>
        </w:tc>
        <w:tc>
          <w:tcPr>
            <w:tcW w:w="801" w:type="dxa"/>
            <w:tcBorders>
              <w:top w:val="nil"/>
              <w:left w:val="nil"/>
              <w:bottom w:val="nil"/>
              <w:right w:val="nil"/>
            </w:tcBorders>
            <w:noWrap/>
            <w:vAlign w:val="bottom"/>
            <w:hideMark/>
          </w:tcPr>
          <w:p w14:paraId="6493017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00" w:type="dxa"/>
            <w:tcBorders>
              <w:top w:val="nil"/>
              <w:left w:val="nil"/>
              <w:bottom w:val="nil"/>
              <w:right w:val="nil"/>
            </w:tcBorders>
            <w:noWrap/>
            <w:vAlign w:val="bottom"/>
            <w:hideMark/>
          </w:tcPr>
          <w:p w14:paraId="76AC5F9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800" w:type="dxa"/>
            <w:tcBorders>
              <w:top w:val="nil"/>
              <w:left w:val="nil"/>
              <w:bottom w:val="nil"/>
              <w:right w:val="nil"/>
            </w:tcBorders>
            <w:noWrap/>
            <w:vAlign w:val="bottom"/>
            <w:hideMark/>
          </w:tcPr>
          <w:p w14:paraId="4DDD0704"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362FD6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79FD677"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9F39E1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20408B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FCEDE60"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E35BB74"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E651BE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7ECEADA"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6FA76EC"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1B131BF"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5CE4972"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687B16B6" w14:textId="77777777" w:rsidTr="00F913C2">
        <w:trPr>
          <w:trHeight w:val="280"/>
        </w:trPr>
        <w:tc>
          <w:tcPr>
            <w:tcW w:w="3209" w:type="dxa"/>
            <w:tcBorders>
              <w:top w:val="nil"/>
              <w:left w:val="nil"/>
              <w:bottom w:val="nil"/>
              <w:right w:val="nil"/>
            </w:tcBorders>
            <w:vAlign w:val="center"/>
            <w:hideMark/>
          </w:tcPr>
          <w:p w14:paraId="2BBC4BCA"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number of climate regions</w:t>
            </w:r>
          </w:p>
        </w:tc>
        <w:tc>
          <w:tcPr>
            <w:tcW w:w="801" w:type="dxa"/>
            <w:tcBorders>
              <w:top w:val="nil"/>
              <w:left w:val="single" w:sz="8" w:space="0" w:color="auto"/>
              <w:bottom w:val="nil"/>
              <w:right w:val="single" w:sz="8" w:space="0" w:color="auto"/>
            </w:tcBorders>
            <w:noWrap/>
            <w:vAlign w:val="bottom"/>
            <w:hideMark/>
          </w:tcPr>
          <w:p w14:paraId="71B4435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0,1745</w:t>
            </w:r>
          </w:p>
        </w:tc>
        <w:tc>
          <w:tcPr>
            <w:tcW w:w="801" w:type="dxa"/>
            <w:tcBorders>
              <w:top w:val="nil"/>
              <w:left w:val="nil"/>
              <w:bottom w:val="nil"/>
              <w:right w:val="nil"/>
            </w:tcBorders>
            <w:noWrap/>
            <w:vAlign w:val="bottom"/>
            <w:hideMark/>
          </w:tcPr>
          <w:p w14:paraId="2B8790C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0,4585</w:t>
            </w:r>
          </w:p>
        </w:tc>
        <w:tc>
          <w:tcPr>
            <w:tcW w:w="800" w:type="dxa"/>
            <w:tcBorders>
              <w:top w:val="nil"/>
              <w:left w:val="nil"/>
              <w:bottom w:val="nil"/>
              <w:right w:val="nil"/>
            </w:tcBorders>
            <w:noWrap/>
            <w:vAlign w:val="bottom"/>
            <w:hideMark/>
          </w:tcPr>
          <w:p w14:paraId="0ACB1DF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00" w:type="dxa"/>
            <w:tcBorders>
              <w:top w:val="nil"/>
              <w:left w:val="nil"/>
              <w:bottom w:val="nil"/>
              <w:right w:val="nil"/>
            </w:tcBorders>
            <w:noWrap/>
            <w:vAlign w:val="bottom"/>
            <w:hideMark/>
          </w:tcPr>
          <w:p w14:paraId="2D4901C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64D68EA7"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62B8891"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F22EBBC"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9BA429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9999D0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5291CC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5411FD0"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E6E202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1D4CE8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C04517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CB5E0B9"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24F7F66B" w14:textId="77777777" w:rsidTr="00F913C2">
        <w:trPr>
          <w:trHeight w:val="280"/>
        </w:trPr>
        <w:tc>
          <w:tcPr>
            <w:tcW w:w="3209" w:type="dxa"/>
            <w:tcBorders>
              <w:top w:val="nil"/>
              <w:left w:val="nil"/>
              <w:bottom w:val="nil"/>
              <w:right w:val="nil"/>
            </w:tcBorders>
            <w:vAlign w:val="center"/>
            <w:hideMark/>
          </w:tcPr>
          <w:p w14:paraId="5523278C"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population</w:t>
            </w:r>
          </w:p>
        </w:tc>
        <w:tc>
          <w:tcPr>
            <w:tcW w:w="801" w:type="dxa"/>
            <w:tcBorders>
              <w:top w:val="nil"/>
              <w:left w:val="single" w:sz="8" w:space="0" w:color="auto"/>
              <w:bottom w:val="nil"/>
              <w:right w:val="single" w:sz="8" w:space="0" w:color="auto"/>
            </w:tcBorders>
            <w:shd w:val="clear" w:color="000000" w:fill="9BC2E6"/>
            <w:noWrap/>
            <w:vAlign w:val="bottom"/>
            <w:hideMark/>
          </w:tcPr>
          <w:p w14:paraId="40B1011F"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0,4697</w:t>
            </w:r>
          </w:p>
        </w:tc>
        <w:tc>
          <w:tcPr>
            <w:tcW w:w="801" w:type="dxa"/>
            <w:tcBorders>
              <w:top w:val="nil"/>
              <w:left w:val="nil"/>
              <w:bottom w:val="nil"/>
              <w:right w:val="nil"/>
            </w:tcBorders>
            <w:noWrap/>
            <w:vAlign w:val="bottom"/>
            <w:hideMark/>
          </w:tcPr>
          <w:p w14:paraId="6184E53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0,7665</w:t>
            </w:r>
          </w:p>
        </w:tc>
        <w:tc>
          <w:tcPr>
            <w:tcW w:w="800" w:type="dxa"/>
            <w:tcBorders>
              <w:top w:val="nil"/>
              <w:left w:val="nil"/>
              <w:bottom w:val="nil"/>
              <w:right w:val="nil"/>
            </w:tcBorders>
            <w:noWrap/>
            <w:vAlign w:val="bottom"/>
            <w:hideMark/>
          </w:tcPr>
          <w:p w14:paraId="425B535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0,3252</w:t>
            </w:r>
          </w:p>
        </w:tc>
        <w:tc>
          <w:tcPr>
            <w:tcW w:w="800" w:type="dxa"/>
            <w:tcBorders>
              <w:top w:val="nil"/>
              <w:left w:val="nil"/>
              <w:bottom w:val="nil"/>
              <w:right w:val="nil"/>
            </w:tcBorders>
            <w:noWrap/>
            <w:vAlign w:val="bottom"/>
            <w:hideMark/>
          </w:tcPr>
          <w:p w14:paraId="449905F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3D8610D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5B4118F1"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B66B3A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E0739A0"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63AAA3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3A183FC"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6511944"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042FA7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48F092F"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0E603036"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B263CD2"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25B5A7A3" w14:textId="77777777" w:rsidTr="00F913C2">
        <w:trPr>
          <w:trHeight w:val="280"/>
        </w:trPr>
        <w:tc>
          <w:tcPr>
            <w:tcW w:w="3209" w:type="dxa"/>
            <w:tcBorders>
              <w:top w:val="nil"/>
              <w:left w:val="nil"/>
              <w:bottom w:val="nil"/>
              <w:right w:val="nil"/>
            </w:tcBorders>
            <w:vAlign w:val="center"/>
            <w:hideMark/>
          </w:tcPr>
          <w:p w14:paraId="57B52E34"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population density</w:t>
            </w:r>
          </w:p>
        </w:tc>
        <w:tc>
          <w:tcPr>
            <w:tcW w:w="801" w:type="dxa"/>
            <w:tcBorders>
              <w:top w:val="nil"/>
              <w:left w:val="single" w:sz="8" w:space="0" w:color="auto"/>
              <w:bottom w:val="nil"/>
              <w:right w:val="single" w:sz="8" w:space="0" w:color="auto"/>
            </w:tcBorders>
            <w:noWrap/>
            <w:vAlign w:val="bottom"/>
            <w:hideMark/>
          </w:tcPr>
          <w:p w14:paraId="5CBA57B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-0,163</w:t>
            </w:r>
          </w:p>
        </w:tc>
        <w:tc>
          <w:tcPr>
            <w:tcW w:w="801" w:type="dxa"/>
            <w:tcBorders>
              <w:top w:val="nil"/>
              <w:left w:val="nil"/>
              <w:bottom w:val="nil"/>
              <w:right w:val="nil"/>
            </w:tcBorders>
            <w:noWrap/>
            <w:vAlign w:val="bottom"/>
            <w:hideMark/>
          </w:tcPr>
          <w:p w14:paraId="73C48EC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-0,173</w:t>
            </w:r>
          </w:p>
        </w:tc>
        <w:tc>
          <w:tcPr>
            <w:tcW w:w="800" w:type="dxa"/>
            <w:tcBorders>
              <w:top w:val="nil"/>
              <w:left w:val="nil"/>
              <w:bottom w:val="nil"/>
              <w:right w:val="nil"/>
            </w:tcBorders>
            <w:noWrap/>
            <w:vAlign w:val="bottom"/>
            <w:hideMark/>
          </w:tcPr>
          <w:p w14:paraId="56A64D1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-0,19</w:t>
            </w:r>
          </w:p>
        </w:tc>
        <w:tc>
          <w:tcPr>
            <w:tcW w:w="800" w:type="dxa"/>
            <w:tcBorders>
              <w:top w:val="nil"/>
              <w:left w:val="nil"/>
              <w:bottom w:val="nil"/>
              <w:right w:val="nil"/>
            </w:tcBorders>
            <w:noWrap/>
            <w:vAlign w:val="bottom"/>
            <w:hideMark/>
          </w:tcPr>
          <w:p w14:paraId="44E7913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0,0456</w:t>
            </w:r>
          </w:p>
        </w:tc>
        <w:tc>
          <w:tcPr>
            <w:tcW w:w="799" w:type="dxa"/>
            <w:tcBorders>
              <w:top w:val="nil"/>
              <w:left w:val="nil"/>
              <w:bottom w:val="nil"/>
              <w:right w:val="nil"/>
            </w:tcBorders>
            <w:noWrap/>
            <w:vAlign w:val="bottom"/>
            <w:hideMark/>
          </w:tcPr>
          <w:p w14:paraId="02BAD77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54E93DC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12F31E8A"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3E73D3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9236F5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F72738E"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4C7F576"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62098C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B917C6F"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75F710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37F4CE4"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41BAAF4D" w14:textId="77777777" w:rsidTr="00F913C2">
        <w:trPr>
          <w:trHeight w:val="280"/>
        </w:trPr>
        <w:tc>
          <w:tcPr>
            <w:tcW w:w="3209" w:type="dxa"/>
            <w:tcBorders>
              <w:top w:val="nil"/>
              <w:left w:val="nil"/>
              <w:bottom w:val="nil"/>
              <w:right w:val="nil"/>
            </w:tcBorders>
            <w:vAlign w:val="center"/>
            <w:hideMark/>
          </w:tcPr>
          <w:p w14:paraId="44ECE5C4"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degree of urbanization</w:t>
            </w:r>
          </w:p>
        </w:tc>
        <w:tc>
          <w:tcPr>
            <w:tcW w:w="801" w:type="dxa"/>
            <w:tcBorders>
              <w:top w:val="nil"/>
              <w:left w:val="single" w:sz="8" w:space="0" w:color="auto"/>
              <w:bottom w:val="nil"/>
              <w:right w:val="single" w:sz="8" w:space="0" w:color="auto"/>
            </w:tcBorders>
            <w:noWrap/>
            <w:vAlign w:val="bottom"/>
            <w:hideMark/>
          </w:tcPr>
          <w:p w14:paraId="4F3769F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0,0461</w:t>
            </w:r>
          </w:p>
        </w:tc>
        <w:tc>
          <w:tcPr>
            <w:tcW w:w="801" w:type="dxa"/>
            <w:tcBorders>
              <w:top w:val="nil"/>
              <w:left w:val="nil"/>
              <w:bottom w:val="nil"/>
              <w:right w:val="nil"/>
            </w:tcBorders>
            <w:noWrap/>
            <w:vAlign w:val="bottom"/>
            <w:hideMark/>
          </w:tcPr>
          <w:p w14:paraId="1BE919C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0,2405</w:t>
            </w:r>
          </w:p>
        </w:tc>
        <w:tc>
          <w:tcPr>
            <w:tcW w:w="800" w:type="dxa"/>
            <w:tcBorders>
              <w:top w:val="nil"/>
              <w:left w:val="nil"/>
              <w:bottom w:val="nil"/>
              <w:right w:val="nil"/>
            </w:tcBorders>
            <w:noWrap/>
            <w:vAlign w:val="bottom"/>
            <w:hideMark/>
          </w:tcPr>
          <w:p w14:paraId="588F849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-0,118</w:t>
            </w:r>
          </w:p>
        </w:tc>
        <w:tc>
          <w:tcPr>
            <w:tcW w:w="800" w:type="dxa"/>
            <w:tcBorders>
              <w:top w:val="nil"/>
              <w:left w:val="nil"/>
              <w:bottom w:val="nil"/>
              <w:right w:val="nil"/>
            </w:tcBorders>
            <w:noWrap/>
            <w:vAlign w:val="bottom"/>
            <w:hideMark/>
          </w:tcPr>
          <w:p w14:paraId="14DF959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0,09</w:t>
            </w:r>
          </w:p>
        </w:tc>
        <w:tc>
          <w:tcPr>
            <w:tcW w:w="799" w:type="dxa"/>
            <w:tcBorders>
              <w:top w:val="nil"/>
              <w:left w:val="nil"/>
              <w:bottom w:val="nil"/>
              <w:right w:val="nil"/>
            </w:tcBorders>
            <w:noWrap/>
            <w:vAlign w:val="bottom"/>
            <w:hideMark/>
          </w:tcPr>
          <w:p w14:paraId="607B774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0,309</w:t>
            </w:r>
          </w:p>
        </w:tc>
        <w:tc>
          <w:tcPr>
            <w:tcW w:w="799" w:type="dxa"/>
            <w:tcBorders>
              <w:top w:val="nil"/>
              <w:left w:val="nil"/>
              <w:bottom w:val="nil"/>
              <w:right w:val="nil"/>
            </w:tcBorders>
            <w:noWrap/>
            <w:vAlign w:val="bottom"/>
            <w:hideMark/>
          </w:tcPr>
          <w:p w14:paraId="7B9CF24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4F07932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70A5986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BD3D78C"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900D7B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060A116"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6108A68"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39A8136"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95BCEC1"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217AFA8"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546CCC42" w14:textId="77777777" w:rsidTr="00F913C2">
        <w:trPr>
          <w:trHeight w:val="280"/>
        </w:trPr>
        <w:tc>
          <w:tcPr>
            <w:tcW w:w="3209" w:type="dxa"/>
            <w:tcBorders>
              <w:top w:val="nil"/>
              <w:left w:val="nil"/>
              <w:bottom w:val="nil"/>
              <w:right w:val="nil"/>
            </w:tcBorders>
            <w:vAlign w:val="center"/>
            <w:hideMark/>
          </w:tcPr>
          <w:p w14:paraId="31E3ECB3"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GDP per capita</w:t>
            </w:r>
          </w:p>
        </w:tc>
        <w:tc>
          <w:tcPr>
            <w:tcW w:w="801" w:type="dxa"/>
            <w:tcBorders>
              <w:top w:val="nil"/>
              <w:left w:val="single" w:sz="8" w:space="0" w:color="auto"/>
              <w:bottom w:val="nil"/>
              <w:right w:val="single" w:sz="8" w:space="0" w:color="auto"/>
            </w:tcBorders>
            <w:noWrap/>
            <w:vAlign w:val="bottom"/>
            <w:hideMark/>
          </w:tcPr>
          <w:p w14:paraId="0FFC4CB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0,1536</w:t>
            </w:r>
          </w:p>
        </w:tc>
        <w:tc>
          <w:tcPr>
            <w:tcW w:w="801" w:type="dxa"/>
            <w:tcBorders>
              <w:top w:val="nil"/>
              <w:left w:val="nil"/>
              <w:bottom w:val="nil"/>
              <w:right w:val="nil"/>
            </w:tcBorders>
            <w:noWrap/>
            <w:vAlign w:val="bottom"/>
            <w:hideMark/>
          </w:tcPr>
          <w:p w14:paraId="5D170EF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-0,005</w:t>
            </w:r>
          </w:p>
        </w:tc>
        <w:tc>
          <w:tcPr>
            <w:tcW w:w="800" w:type="dxa"/>
            <w:tcBorders>
              <w:top w:val="nil"/>
              <w:left w:val="nil"/>
              <w:bottom w:val="nil"/>
              <w:right w:val="nil"/>
            </w:tcBorders>
            <w:noWrap/>
            <w:vAlign w:val="bottom"/>
            <w:hideMark/>
          </w:tcPr>
          <w:p w14:paraId="58A5424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-0,038</w:t>
            </w:r>
          </w:p>
        </w:tc>
        <w:tc>
          <w:tcPr>
            <w:tcW w:w="800" w:type="dxa"/>
            <w:tcBorders>
              <w:top w:val="nil"/>
              <w:left w:val="nil"/>
              <w:bottom w:val="nil"/>
              <w:right w:val="nil"/>
            </w:tcBorders>
            <w:noWrap/>
            <w:vAlign w:val="bottom"/>
            <w:hideMark/>
          </w:tcPr>
          <w:p w14:paraId="56ECEBB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-0,045</w:t>
            </w:r>
          </w:p>
        </w:tc>
        <w:tc>
          <w:tcPr>
            <w:tcW w:w="799" w:type="dxa"/>
            <w:tcBorders>
              <w:top w:val="nil"/>
              <w:left w:val="nil"/>
              <w:bottom w:val="nil"/>
              <w:right w:val="nil"/>
            </w:tcBorders>
            <w:noWrap/>
            <w:vAlign w:val="bottom"/>
            <w:hideMark/>
          </w:tcPr>
          <w:p w14:paraId="5A1AEB3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0,1483</w:t>
            </w:r>
          </w:p>
        </w:tc>
        <w:tc>
          <w:tcPr>
            <w:tcW w:w="799" w:type="dxa"/>
            <w:tcBorders>
              <w:top w:val="nil"/>
              <w:left w:val="nil"/>
              <w:bottom w:val="nil"/>
              <w:right w:val="nil"/>
            </w:tcBorders>
            <w:noWrap/>
            <w:vAlign w:val="bottom"/>
            <w:hideMark/>
          </w:tcPr>
          <w:p w14:paraId="55BDCDB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0,4746</w:t>
            </w:r>
          </w:p>
        </w:tc>
        <w:tc>
          <w:tcPr>
            <w:tcW w:w="799" w:type="dxa"/>
            <w:tcBorders>
              <w:top w:val="nil"/>
              <w:left w:val="nil"/>
              <w:bottom w:val="nil"/>
              <w:right w:val="nil"/>
            </w:tcBorders>
            <w:noWrap/>
            <w:vAlign w:val="bottom"/>
            <w:hideMark/>
          </w:tcPr>
          <w:p w14:paraId="6D896BD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4BFB4E8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03008410"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5D7065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51A4D9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D1F3D26"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279A37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F81AD3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CDF7A89"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6CB652D6" w14:textId="77777777" w:rsidTr="00F913C2">
        <w:trPr>
          <w:trHeight w:val="280"/>
        </w:trPr>
        <w:tc>
          <w:tcPr>
            <w:tcW w:w="3209" w:type="dxa"/>
            <w:tcBorders>
              <w:top w:val="nil"/>
              <w:left w:val="nil"/>
              <w:bottom w:val="nil"/>
              <w:right w:val="nil"/>
            </w:tcBorders>
            <w:vAlign w:val="center"/>
            <w:hideMark/>
          </w:tcPr>
          <w:p w14:paraId="6CE4EECB"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 xml:space="preserve">GINI-index </w:t>
            </w:r>
          </w:p>
        </w:tc>
        <w:tc>
          <w:tcPr>
            <w:tcW w:w="801" w:type="dxa"/>
            <w:tcBorders>
              <w:top w:val="nil"/>
              <w:left w:val="single" w:sz="8" w:space="0" w:color="auto"/>
              <w:bottom w:val="nil"/>
              <w:right w:val="single" w:sz="8" w:space="0" w:color="auto"/>
            </w:tcBorders>
            <w:noWrap/>
            <w:vAlign w:val="bottom"/>
            <w:hideMark/>
          </w:tcPr>
          <w:p w14:paraId="25A9D46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-0,01</w:t>
            </w:r>
          </w:p>
        </w:tc>
        <w:tc>
          <w:tcPr>
            <w:tcW w:w="801" w:type="dxa"/>
            <w:tcBorders>
              <w:top w:val="nil"/>
              <w:left w:val="nil"/>
              <w:bottom w:val="nil"/>
              <w:right w:val="nil"/>
            </w:tcBorders>
            <w:noWrap/>
            <w:vAlign w:val="bottom"/>
            <w:hideMark/>
          </w:tcPr>
          <w:p w14:paraId="7F45B08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0,2274</w:t>
            </w:r>
          </w:p>
        </w:tc>
        <w:tc>
          <w:tcPr>
            <w:tcW w:w="800" w:type="dxa"/>
            <w:tcBorders>
              <w:top w:val="nil"/>
              <w:left w:val="nil"/>
              <w:bottom w:val="nil"/>
              <w:right w:val="nil"/>
            </w:tcBorders>
            <w:noWrap/>
            <w:vAlign w:val="bottom"/>
            <w:hideMark/>
          </w:tcPr>
          <w:p w14:paraId="2F913D3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0,0481</w:t>
            </w:r>
          </w:p>
        </w:tc>
        <w:tc>
          <w:tcPr>
            <w:tcW w:w="800" w:type="dxa"/>
            <w:tcBorders>
              <w:top w:val="nil"/>
              <w:left w:val="nil"/>
              <w:bottom w:val="nil"/>
              <w:right w:val="nil"/>
            </w:tcBorders>
            <w:noWrap/>
            <w:vAlign w:val="bottom"/>
            <w:hideMark/>
          </w:tcPr>
          <w:p w14:paraId="71E59C9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0,293</w:t>
            </w:r>
          </w:p>
        </w:tc>
        <w:tc>
          <w:tcPr>
            <w:tcW w:w="799" w:type="dxa"/>
            <w:tcBorders>
              <w:top w:val="nil"/>
              <w:left w:val="nil"/>
              <w:bottom w:val="nil"/>
              <w:right w:val="nil"/>
            </w:tcBorders>
            <w:noWrap/>
            <w:vAlign w:val="bottom"/>
            <w:hideMark/>
          </w:tcPr>
          <w:p w14:paraId="10B4A57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-0,133</w:t>
            </w:r>
          </w:p>
        </w:tc>
        <w:tc>
          <w:tcPr>
            <w:tcW w:w="799" w:type="dxa"/>
            <w:tcBorders>
              <w:top w:val="nil"/>
              <w:left w:val="nil"/>
              <w:bottom w:val="nil"/>
              <w:right w:val="nil"/>
            </w:tcBorders>
            <w:noWrap/>
            <w:vAlign w:val="bottom"/>
            <w:hideMark/>
          </w:tcPr>
          <w:p w14:paraId="7D3BCB9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-0,213</w:t>
            </w:r>
          </w:p>
        </w:tc>
        <w:tc>
          <w:tcPr>
            <w:tcW w:w="799" w:type="dxa"/>
            <w:tcBorders>
              <w:top w:val="nil"/>
              <w:left w:val="nil"/>
              <w:bottom w:val="nil"/>
              <w:right w:val="nil"/>
            </w:tcBorders>
            <w:noWrap/>
            <w:vAlign w:val="bottom"/>
            <w:hideMark/>
          </w:tcPr>
          <w:p w14:paraId="79FD92F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-0,224</w:t>
            </w:r>
          </w:p>
        </w:tc>
        <w:tc>
          <w:tcPr>
            <w:tcW w:w="799" w:type="dxa"/>
            <w:tcBorders>
              <w:top w:val="nil"/>
              <w:left w:val="nil"/>
              <w:bottom w:val="nil"/>
              <w:right w:val="nil"/>
            </w:tcBorders>
            <w:noWrap/>
            <w:vAlign w:val="bottom"/>
            <w:hideMark/>
          </w:tcPr>
          <w:p w14:paraId="0FFC733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62DDACB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6D380C92"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A47354D"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8D492FB"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E177003"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7431123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19946368"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7B4FF8A3" w14:textId="77777777" w:rsidTr="00F913C2">
        <w:trPr>
          <w:trHeight w:val="280"/>
        </w:trPr>
        <w:tc>
          <w:tcPr>
            <w:tcW w:w="3209" w:type="dxa"/>
            <w:tcBorders>
              <w:top w:val="nil"/>
              <w:left w:val="nil"/>
              <w:bottom w:val="nil"/>
              <w:right w:val="nil"/>
            </w:tcBorders>
            <w:vAlign w:val="center"/>
            <w:hideMark/>
          </w:tcPr>
          <w:p w14:paraId="2994D594"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population with tertiary education</w:t>
            </w:r>
          </w:p>
        </w:tc>
        <w:tc>
          <w:tcPr>
            <w:tcW w:w="801" w:type="dxa"/>
            <w:tcBorders>
              <w:top w:val="nil"/>
              <w:left w:val="single" w:sz="8" w:space="0" w:color="auto"/>
              <w:bottom w:val="nil"/>
              <w:right w:val="single" w:sz="8" w:space="0" w:color="auto"/>
            </w:tcBorders>
            <w:noWrap/>
            <w:vAlign w:val="bottom"/>
            <w:hideMark/>
          </w:tcPr>
          <w:p w14:paraId="4DD24FB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0,2225</w:t>
            </w:r>
          </w:p>
        </w:tc>
        <w:tc>
          <w:tcPr>
            <w:tcW w:w="801" w:type="dxa"/>
            <w:tcBorders>
              <w:top w:val="nil"/>
              <w:left w:val="nil"/>
              <w:bottom w:val="nil"/>
              <w:right w:val="nil"/>
            </w:tcBorders>
            <w:noWrap/>
            <w:vAlign w:val="bottom"/>
            <w:hideMark/>
          </w:tcPr>
          <w:p w14:paraId="18497EE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-0,055</w:t>
            </w:r>
          </w:p>
        </w:tc>
        <w:tc>
          <w:tcPr>
            <w:tcW w:w="800" w:type="dxa"/>
            <w:tcBorders>
              <w:top w:val="nil"/>
              <w:left w:val="nil"/>
              <w:bottom w:val="nil"/>
              <w:right w:val="nil"/>
            </w:tcBorders>
            <w:noWrap/>
            <w:vAlign w:val="bottom"/>
            <w:hideMark/>
          </w:tcPr>
          <w:p w14:paraId="5696C9D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-0,335</w:t>
            </w:r>
          </w:p>
        </w:tc>
        <w:tc>
          <w:tcPr>
            <w:tcW w:w="800" w:type="dxa"/>
            <w:tcBorders>
              <w:top w:val="nil"/>
              <w:left w:val="nil"/>
              <w:bottom w:val="nil"/>
              <w:right w:val="nil"/>
            </w:tcBorders>
            <w:noWrap/>
            <w:vAlign w:val="bottom"/>
            <w:hideMark/>
          </w:tcPr>
          <w:p w14:paraId="71CB5B4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-0,107</w:t>
            </w:r>
          </w:p>
        </w:tc>
        <w:tc>
          <w:tcPr>
            <w:tcW w:w="799" w:type="dxa"/>
            <w:tcBorders>
              <w:top w:val="nil"/>
              <w:left w:val="nil"/>
              <w:bottom w:val="nil"/>
              <w:right w:val="nil"/>
            </w:tcBorders>
            <w:noWrap/>
            <w:vAlign w:val="bottom"/>
            <w:hideMark/>
          </w:tcPr>
          <w:p w14:paraId="217AC3B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0,0424</w:t>
            </w:r>
          </w:p>
        </w:tc>
        <w:tc>
          <w:tcPr>
            <w:tcW w:w="799" w:type="dxa"/>
            <w:tcBorders>
              <w:top w:val="nil"/>
              <w:left w:val="nil"/>
              <w:bottom w:val="nil"/>
              <w:right w:val="nil"/>
            </w:tcBorders>
            <w:noWrap/>
            <w:vAlign w:val="bottom"/>
            <w:hideMark/>
          </w:tcPr>
          <w:p w14:paraId="7DB3DBA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0,2119</w:t>
            </w:r>
          </w:p>
        </w:tc>
        <w:tc>
          <w:tcPr>
            <w:tcW w:w="799" w:type="dxa"/>
            <w:tcBorders>
              <w:top w:val="nil"/>
              <w:left w:val="nil"/>
              <w:bottom w:val="nil"/>
              <w:right w:val="nil"/>
            </w:tcBorders>
            <w:noWrap/>
            <w:vAlign w:val="bottom"/>
            <w:hideMark/>
          </w:tcPr>
          <w:p w14:paraId="77FDDBF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0,3993</w:t>
            </w:r>
          </w:p>
        </w:tc>
        <w:tc>
          <w:tcPr>
            <w:tcW w:w="799" w:type="dxa"/>
            <w:tcBorders>
              <w:top w:val="nil"/>
              <w:left w:val="nil"/>
              <w:bottom w:val="nil"/>
              <w:right w:val="nil"/>
            </w:tcBorders>
            <w:noWrap/>
            <w:vAlign w:val="bottom"/>
            <w:hideMark/>
          </w:tcPr>
          <w:p w14:paraId="60ECBEB0"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0,1256</w:t>
            </w:r>
          </w:p>
        </w:tc>
        <w:tc>
          <w:tcPr>
            <w:tcW w:w="799" w:type="dxa"/>
            <w:tcBorders>
              <w:top w:val="nil"/>
              <w:left w:val="nil"/>
              <w:bottom w:val="nil"/>
              <w:right w:val="nil"/>
            </w:tcBorders>
            <w:noWrap/>
            <w:vAlign w:val="bottom"/>
            <w:hideMark/>
          </w:tcPr>
          <w:p w14:paraId="755C610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7403CD8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50F132B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033CC5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E32ACA5"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91638FE"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54953646"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2C183E00" w14:textId="77777777" w:rsidTr="00F913C2">
        <w:trPr>
          <w:trHeight w:val="280"/>
        </w:trPr>
        <w:tc>
          <w:tcPr>
            <w:tcW w:w="3209" w:type="dxa"/>
            <w:tcBorders>
              <w:top w:val="nil"/>
              <w:left w:val="nil"/>
              <w:bottom w:val="nil"/>
              <w:right w:val="nil"/>
            </w:tcBorders>
            <w:vAlign w:val="center"/>
            <w:hideMark/>
          </w:tcPr>
          <w:p w14:paraId="460283EB"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 xml:space="preserve">HDI </w:t>
            </w:r>
          </w:p>
        </w:tc>
        <w:tc>
          <w:tcPr>
            <w:tcW w:w="801" w:type="dxa"/>
            <w:tcBorders>
              <w:top w:val="nil"/>
              <w:left w:val="single" w:sz="8" w:space="0" w:color="auto"/>
              <w:bottom w:val="nil"/>
              <w:right w:val="single" w:sz="8" w:space="0" w:color="auto"/>
            </w:tcBorders>
            <w:shd w:val="clear" w:color="000000" w:fill="9BC2E6"/>
            <w:noWrap/>
            <w:vAlign w:val="bottom"/>
            <w:hideMark/>
          </w:tcPr>
          <w:p w14:paraId="698BAE34"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0,4051</w:t>
            </w:r>
          </w:p>
        </w:tc>
        <w:tc>
          <w:tcPr>
            <w:tcW w:w="801" w:type="dxa"/>
            <w:tcBorders>
              <w:top w:val="nil"/>
              <w:left w:val="nil"/>
              <w:bottom w:val="nil"/>
              <w:right w:val="nil"/>
            </w:tcBorders>
            <w:noWrap/>
            <w:vAlign w:val="bottom"/>
            <w:hideMark/>
          </w:tcPr>
          <w:p w14:paraId="2EA6E6F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0,1356</w:t>
            </w:r>
          </w:p>
        </w:tc>
        <w:tc>
          <w:tcPr>
            <w:tcW w:w="800" w:type="dxa"/>
            <w:tcBorders>
              <w:top w:val="nil"/>
              <w:left w:val="nil"/>
              <w:bottom w:val="nil"/>
              <w:right w:val="nil"/>
            </w:tcBorders>
            <w:noWrap/>
            <w:vAlign w:val="bottom"/>
            <w:hideMark/>
          </w:tcPr>
          <w:p w14:paraId="53F6948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-0,092</w:t>
            </w:r>
          </w:p>
        </w:tc>
        <w:tc>
          <w:tcPr>
            <w:tcW w:w="800" w:type="dxa"/>
            <w:tcBorders>
              <w:top w:val="nil"/>
              <w:left w:val="nil"/>
              <w:bottom w:val="nil"/>
              <w:right w:val="nil"/>
            </w:tcBorders>
            <w:noWrap/>
            <w:vAlign w:val="bottom"/>
            <w:hideMark/>
          </w:tcPr>
          <w:p w14:paraId="35ACC4E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0,1439</w:t>
            </w:r>
          </w:p>
        </w:tc>
        <w:tc>
          <w:tcPr>
            <w:tcW w:w="799" w:type="dxa"/>
            <w:tcBorders>
              <w:top w:val="nil"/>
              <w:left w:val="nil"/>
              <w:bottom w:val="nil"/>
              <w:right w:val="nil"/>
            </w:tcBorders>
            <w:noWrap/>
            <w:vAlign w:val="bottom"/>
            <w:hideMark/>
          </w:tcPr>
          <w:p w14:paraId="4009AA4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0,1974</w:t>
            </w:r>
          </w:p>
        </w:tc>
        <w:tc>
          <w:tcPr>
            <w:tcW w:w="799" w:type="dxa"/>
            <w:tcBorders>
              <w:top w:val="nil"/>
              <w:left w:val="nil"/>
              <w:bottom w:val="nil"/>
              <w:right w:val="nil"/>
            </w:tcBorders>
            <w:noWrap/>
            <w:vAlign w:val="bottom"/>
            <w:hideMark/>
          </w:tcPr>
          <w:p w14:paraId="4DD73F8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0,561</w:t>
            </w:r>
          </w:p>
        </w:tc>
        <w:tc>
          <w:tcPr>
            <w:tcW w:w="799" w:type="dxa"/>
            <w:tcBorders>
              <w:top w:val="nil"/>
              <w:left w:val="nil"/>
              <w:bottom w:val="nil"/>
              <w:right w:val="nil"/>
            </w:tcBorders>
            <w:noWrap/>
            <w:vAlign w:val="bottom"/>
            <w:hideMark/>
          </w:tcPr>
          <w:p w14:paraId="55AC61E0"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0,6519</w:t>
            </w:r>
          </w:p>
        </w:tc>
        <w:tc>
          <w:tcPr>
            <w:tcW w:w="799" w:type="dxa"/>
            <w:tcBorders>
              <w:top w:val="nil"/>
              <w:left w:val="nil"/>
              <w:bottom w:val="nil"/>
              <w:right w:val="nil"/>
            </w:tcBorders>
            <w:noWrap/>
            <w:vAlign w:val="bottom"/>
            <w:hideMark/>
          </w:tcPr>
          <w:p w14:paraId="5133ADA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-0,585</w:t>
            </w:r>
          </w:p>
        </w:tc>
        <w:tc>
          <w:tcPr>
            <w:tcW w:w="799" w:type="dxa"/>
            <w:tcBorders>
              <w:top w:val="nil"/>
              <w:left w:val="nil"/>
              <w:bottom w:val="nil"/>
              <w:right w:val="nil"/>
            </w:tcBorders>
            <w:noWrap/>
            <w:vAlign w:val="bottom"/>
            <w:hideMark/>
          </w:tcPr>
          <w:p w14:paraId="469AEE3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0,3063</w:t>
            </w:r>
          </w:p>
        </w:tc>
        <w:tc>
          <w:tcPr>
            <w:tcW w:w="799" w:type="dxa"/>
            <w:tcBorders>
              <w:top w:val="nil"/>
              <w:left w:val="nil"/>
              <w:bottom w:val="nil"/>
              <w:right w:val="nil"/>
            </w:tcBorders>
            <w:noWrap/>
            <w:vAlign w:val="bottom"/>
            <w:hideMark/>
          </w:tcPr>
          <w:p w14:paraId="40B16D1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71B25B7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626C2E89"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B422817"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408F0E4"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460E4274"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026BC0C3" w14:textId="77777777" w:rsidTr="00F913C2">
        <w:trPr>
          <w:trHeight w:val="280"/>
        </w:trPr>
        <w:tc>
          <w:tcPr>
            <w:tcW w:w="3209" w:type="dxa"/>
            <w:tcBorders>
              <w:top w:val="nil"/>
              <w:left w:val="nil"/>
              <w:bottom w:val="nil"/>
              <w:right w:val="nil"/>
            </w:tcBorders>
            <w:vAlign w:val="center"/>
            <w:hideMark/>
          </w:tcPr>
          <w:p w14:paraId="390F4205"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Life expectancy at birth</w:t>
            </w:r>
          </w:p>
        </w:tc>
        <w:tc>
          <w:tcPr>
            <w:tcW w:w="801" w:type="dxa"/>
            <w:tcBorders>
              <w:top w:val="nil"/>
              <w:left w:val="single" w:sz="8" w:space="0" w:color="auto"/>
              <w:bottom w:val="nil"/>
              <w:right w:val="single" w:sz="8" w:space="0" w:color="auto"/>
            </w:tcBorders>
            <w:shd w:val="clear" w:color="000000" w:fill="DDEBF7"/>
            <w:noWrap/>
            <w:vAlign w:val="bottom"/>
            <w:hideMark/>
          </w:tcPr>
          <w:p w14:paraId="19648040"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0,3085</w:t>
            </w:r>
          </w:p>
        </w:tc>
        <w:tc>
          <w:tcPr>
            <w:tcW w:w="801" w:type="dxa"/>
            <w:tcBorders>
              <w:top w:val="nil"/>
              <w:left w:val="nil"/>
              <w:bottom w:val="nil"/>
              <w:right w:val="nil"/>
            </w:tcBorders>
            <w:noWrap/>
            <w:vAlign w:val="bottom"/>
            <w:hideMark/>
          </w:tcPr>
          <w:p w14:paraId="3F98E73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0,1774</w:t>
            </w:r>
          </w:p>
        </w:tc>
        <w:tc>
          <w:tcPr>
            <w:tcW w:w="800" w:type="dxa"/>
            <w:tcBorders>
              <w:top w:val="nil"/>
              <w:left w:val="nil"/>
              <w:bottom w:val="nil"/>
              <w:right w:val="nil"/>
            </w:tcBorders>
            <w:noWrap/>
            <w:vAlign w:val="bottom"/>
            <w:hideMark/>
          </w:tcPr>
          <w:p w14:paraId="67EA621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0,0594</w:t>
            </w:r>
          </w:p>
        </w:tc>
        <w:tc>
          <w:tcPr>
            <w:tcW w:w="800" w:type="dxa"/>
            <w:tcBorders>
              <w:top w:val="nil"/>
              <w:left w:val="nil"/>
              <w:bottom w:val="nil"/>
              <w:right w:val="nil"/>
            </w:tcBorders>
            <w:noWrap/>
            <w:vAlign w:val="bottom"/>
            <w:hideMark/>
          </w:tcPr>
          <w:p w14:paraId="25C2395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0,1658</w:t>
            </w:r>
          </w:p>
        </w:tc>
        <w:tc>
          <w:tcPr>
            <w:tcW w:w="799" w:type="dxa"/>
            <w:tcBorders>
              <w:top w:val="nil"/>
              <w:left w:val="nil"/>
              <w:bottom w:val="nil"/>
              <w:right w:val="nil"/>
            </w:tcBorders>
            <w:noWrap/>
            <w:vAlign w:val="bottom"/>
            <w:hideMark/>
          </w:tcPr>
          <w:p w14:paraId="271F8E4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0,3021</w:t>
            </w:r>
          </w:p>
        </w:tc>
        <w:tc>
          <w:tcPr>
            <w:tcW w:w="799" w:type="dxa"/>
            <w:tcBorders>
              <w:top w:val="nil"/>
              <w:left w:val="nil"/>
              <w:bottom w:val="nil"/>
              <w:right w:val="nil"/>
            </w:tcBorders>
            <w:noWrap/>
            <w:vAlign w:val="bottom"/>
            <w:hideMark/>
          </w:tcPr>
          <w:p w14:paraId="00A256C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0,4894</w:t>
            </w:r>
          </w:p>
        </w:tc>
        <w:tc>
          <w:tcPr>
            <w:tcW w:w="799" w:type="dxa"/>
            <w:tcBorders>
              <w:top w:val="nil"/>
              <w:left w:val="nil"/>
              <w:bottom w:val="nil"/>
              <w:right w:val="nil"/>
            </w:tcBorders>
            <w:noWrap/>
            <w:vAlign w:val="bottom"/>
            <w:hideMark/>
          </w:tcPr>
          <w:p w14:paraId="6EE78BA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0,5638</w:t>
            </w:r>
          </w:p>
        </w:tc>
        <w:tc>
          <w:tcPr>
            <w:tcW w:w="799" w:type="dxa"/>
            <w:tcBorders>
              <w:top w:val="nil"/>
              <w:left w:val="nil"/>
              <w:bottom w:val="nil"/>
              <w:right w:val="nil"/>
            </w:tcBorders>
            <w:noWrap/>
            <w:vAlign w:val="bottom"/>
            <w:hideMark/>
          </w:tcPr>
          <w:p w14:paraId="43E52F1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-0,407</w:t>
            </w:r>
          </w:p>
        </w:tc>
        <w:tc>
          <w:tcPr>
            <w:tcW w:w="799" w:type="dxa"/>
            <w:tcBorders>
              <w:top w:val="nil"/>
              <w:left w:val="nil"/>
              <w:bottom w:val="nil"/>
              <w:right w:val="nil"/>
            </w:tcBorders>
            <w:noWrap/>
            <w:vAlign w:val="bottom"/>
            <w:hideMark/>
          </w:tcPr>
          <w:p w14:paraId="4A4CEF0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0,3332</w:t>
            </w:r>
          </w:p>
        </w:tc>
        <w:tc>
          <w:tcPr>
            <w:tcW w:w="799" w:type="dxa"/>
            <w:tcBorders>
              <w:top w:val="nil"/>
              <w:left w:val="nil"/>
              <w:bottom w:val="nil"/>
              <w:right w:val="nil"/>
            </w:tcBorders>
            <w:noWrap/>
            <w:vAlign w:val="bottom"/>
            <w:hideMark/>
          </w:tcPr>
          <w:p w14:paraId="047BDA8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0,7371</w:t>
            </w:r>
          </w:p>
        </w:tc>
        <w:tc>
          <w:tcPr>
            <w:tcW w:w="799" w:type="dxa"/>
            <w:tcBorders>
              <w:top w:val="nil"/>
              <w:left w:val="nil"/>
              <w:bottom w:val="nil"/>
              <w:right w:val="nil"/>
            </w:tcBorders>
            <w:noWrap/>
            <w:vAlign w:val="bottom"/>
            <w:hideMark/>
          </w:tcPr>
          <w:p w14:paraId="1E7B633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7E99ACE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688A68FD"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20EA9ABD"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633EFC8E"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1C9820C6" w14:textId="77777777" w:rsidTr="00F913C2">
        <w:trPr>
          <w:trHeight w:val="280"/>
        </w:trPr>
        <w:tc>
          <w:tcPr>
            <w:tcW w:w="3209" w:type="dxa"/>
            <w:tcBorders>
              <w:top w:val="nil"/>
              <w:left w:val="nil"/>
              <w:bottom w:val="nil"/>
              <w:right w:val="nil"/>
            </w:tcBorders>
            <w:vAlign w:val="center"/>
            <w:hideMark/>
          </w:tcPr>
          <w:p w14:paraId="7ACE9EE6"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spatial governance type</w:t>
            </w:r>
          </w:p>
        </w:tc>
        <w:tc>
          <w:tcPr>
            <w:tcW w:w="801" w:type="dxa"/>
            <w:tcBorders>
              <w:top w:val="nil"/>
              <w:left w:val="single" w:sz="8" w:space="0" w:color="auto"/>
              <w:bottom w:val="nil"/>
              <w:right w:val="single" w:sz="8" w:space="0" w:color="auto"/>
            </w:tcBorders>
            <w:shd w:val="clear" w:color="000000" w:fill="2F75B5"/>
            <w:noWrap/>
            <w:vAlign w:val="bottom"/>
            <w:hideMark/>
          </w:tcPr>
          <w:p w14:paraId="63B2E83F"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0,6163</w:t>
            </w:r>
          </w:p>
        </w:tc>
        <w:tc>
          <w:tcPr>
            <w:tcW w:w="801" w:type="dxa"/>
            <w:tcBorders>
              <w:top w:val="nil"/>
              <w:left w:val="nil"/>
              <w:bottom w:val="nil"/>
              <w:right w:val="nil"/>
            </w:tcBorders>
            <w:noWrap/>
            <w:vAlign w:val="bottom"/>
            <w:hideMark/>
          </w:tcPr>
          <w:p w14:paraId="6184B20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0,1474</w:t>
            </w:r>
          </w:p>
        </w:tc>
        <w:tc>
          <w:tcPr>
            <w:tcW w:w="800" w:type="dxa"/>
            <w:tcBorders>
              <w:top w:val="nil"/>
              <w:left w:val="nil"/>
              <w:bottom w:val="nil"/>
              <w:right w:val="nil"/>
            </w:tcBorders>
            <w:noWrap/>
            <w:vAlign w:val="bottom"/>
            <w:hideMark/>
          </w:tcPr>
          <w:p w14:paraId="3AAF452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0,2217</w:t>
            </w:r>
          </w:p>
        </w:tc>
        <w:tc>
          <w:tcPr>
            <w:tcW w:w="800" w:type="dxa"/>
            <w:tcBorders>
              <w:top w:val="nil"/>
              <w:left w:val="nil"/>
              <w:bottom w:val="nil"/>
              <w:right w:val="nil"/>
            </w:tcBorders>
            <w:noWrap/>
            <w:vAlign w:val="bottom"/>
            <w:hideMark/>
          </w:tcPr>
          <w:p w14:paraId="70FDF93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0,2325</w:t>
            </w:r>
          </w:p>
        </w:tc>
        <w:tc>
          <w:tcPr>
            <w:tcW w:w="799" w:type="dxa"/>
            <w:tcBorders>
              <w:top w:val="nil"/>
              <w:left w:val="nil"/>
              <w:bottom w:val="nil"/>
              <w:right w:val="nil"/>
            </w:tcBorders>
            <w:noWrap/>
            <w:vAlign w:val="bottom"/>
            <w:hideMark/>
          </w:tcPr>
          <w:p w14:paraId="5A4E5DF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0,0594</w:t>
            </w:r>
          </w:p>
        </w:tc>
        <w:tc>
          <w:tcPr>
            <w:tcW w:w="799" w:type="dxa"/>
            <w:tcBorders>
              <w:top w:val="nil"/>
              <w:left w:val="nil"/>
              <w:bottom w:val="nil"/>
              <w:right w:val="nil"/>
            </w:tcBorders>
            <w:noWrap/>
            <w:vAlign w:val="bottom"/>
            <w:hideMark/>
          </w:tcPr>
          <w:p w14:paraId="0B7896F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0,2247</w:t>
            </w:r>
          </w:p>
        </w:tc>
        <w:tc>
          <w:tcPr>
            <w:tcW w:w="799" w:type="dxa"/>
            <w:tcBorders>
              <w:top w:val="nil"/>
              <w:left w:val="nil"/>
              <w:bottom w:val="nil"/>
              <w:right w:val="nil"/>
            </w:tcBorders>
            <w:noWrap/>
            <w:vAlign w:val="bottom"/>
            <w:hideMark/>
          </w:tcPr>
          <w:p w14:paraId="2C4361D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0,1636</w:t>
            </w:r>
          </w:p>
        </w:tc>
        <w:tc>
          <w:tcPr>
            <w:tcW w:w="799" w:type="dxa"/>
            <w:tcBorders>
              <w:top w:val="nil"/>
              <w:left w:val="nil"/>
              <w:bottom w:val="nil"/>
              <w:right w:val="nil"/>
            </w:tcBorders>
            <w:noWrap/>
            <w:vAlign w:val="bottom"/>
            <w:hideMark/>
          </w:tcPr>
          <w:p w14:paraId="300D10C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-0,227</w:t>
            </w:r>
          </w:p>
        </w:tc>
        <w:tc>
          <w:tcPr>
            <w:tcW w:w="799" w:type="dxa"/>
            <w:tcBorders>
              <w:top w:val="nil"/>
              <w:left w:val="nil"/>
              <w:bottom w:val="nil"/>
              <w:right w:val="nil"/>
            </w:tcBorders>
            <w:noWrap/>
            <w:vAlign w:val="bottom"/>
            <w:hideMark/>
          </w:tcPr>
          <w:p w14:paraId="004896E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0,1573</w:t>
            </w:r>
          </w:p>
        </w:tc>
        <w:tc>
          <w:tcPr>
            <w:tcW w:w="799" w:type="dxa"/>
            <w:tcBorders>
              <w:top w:val="nil"/>
              <w:left w:val="nil"/>
              <w:bottom w:val="nil"/>
              <w:right w:val="nil"/>
            </w:tcBorders>
            <w:noWrap/>
            <w:vAlign w:val="bottom"/>
            <w:hideMark/>
          </w:tcPr>
          <w:p w14:paraId="7BD2E1A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0,5257</w:t>
            </w:r>
          </w:p>
        </w:tc>
        <w:tc>
          <w:tcPr>
            <w:tcW w:w="799" w:type="dxa"/>
            <w:tcBorders>
              <w:top w:val="nil"/>
              <w:left w:val="nil"/>
              <w:bottom w:val="nil"/>
              <w:right w:val="nil"/>
            </w:tcBorders>
            <w:noWrap/>
            <w:vAlign w:val="bottom"/>
            <w:hideMark/>
          </w:tcPr>
          <w:p w14:paraId="6426CE0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0,4111</w:t>
            </w:r>
          </w:p>
        </w:tc>
        <w:tc>
          <w:tcPr>
            <w:tcW w:w="799" w:type="dxa"/>
            <w:tcBorders>
              <w:top w:val="nil"/>
              <w:left w:val="nil"/>
              <w:bottom w:val="nil"/>
              <w:right w:val="nil"/>
            </w:tcBorders>
            <w:noWrap/>
            <w:vAlign w:val="bottom"/>
            <w:hideMark/>
          </w:tcPr>
          <w:p w14:paraId="3FBAEA6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00BEBDD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3086C8B0" w14:textId="77777777" w:rsidR="00F913C2" w:rsidRPr="0002056A" w:rsidRDefault="00F913C2" w:rsidP="00F913C2">
            <w:pPr>
              <w:spacing w:after="0" w:line="240" w:lineRule="auto"/>
              <w:rPr>
                <w:rFonts w:ascii="Georgia" w:eastAsia="Times New Roman" w:hAnsi="Georgia" w:cs="Times New Roman"/>
                <w:sz w:val="16"/>
                <w:szCs w:val="16"/>
                <w:lang w:val="en-GB" w:eastAsia="hu-HU"/>
              </w:rPr>
            </w:pPr>
          </w:p>
        </w:tc>
        <w:tc>
          <w:tcPr>
            <w:tcW w:w="799" w:type="dxa"/>
            <w:tcBorders>
              <w:top w:val="nil"/>
              <w:left w:val="nil"/>
              <w:bottom w:val="nil"/>
              <w:right w:val="nil"/>
            </w:tcBorders>
            <w:noWrap/>
            <w:vAlign w:val="bottom"/>
            <w:hideMark/>
          </w:tcPr>
          <w:p w14:paraId="3DCDD604"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4C1981D2" w14:textId="77777777" w:rsidTr="00F913C2">
        <w:trPr>
          <w:trHeight w:val="280"/>
        </w:trPr>
        <w:tc>
          <w:tcPr>
            <w:tcW w:w="3209" w:type="dxa"/>
            <w:tcBorders>
              <w:top w:val="nil"/>
              <w:left w:val="nil"/>
              <w:bottom w:val="nil"/>
              <w:right w:val="nil"/>
            </w:tcBorders>
            <w:vAlign w:val="center"/>
            <w:hideMark/>
          </w:tcPr>
          <w:p w14:paraId="132E087A"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spatial planning sector's development</w:t>
            </w:r>
          </w:p>
        </w:tc>
        <w:tc>
          <w:tcPr>
            <w:tcW w:w="801" w:type="dxa"/>
            <w:tcBorders>
              <w:top w:val="nil"/>
              <w:left w:val="single" w:sz="8" w:space="0" w:color="auto"/>
              <w:bottom w:val="nil"/>
              <w:right w:val="single" w:sz="8" w:space="0" w:color="auto"/>
            </w:tcBorders>
            <w:shd w:val="clear" w:color="000000" w:fill="DDEBF7"/>
            <w:noWrap/>
            <w:vAlign w:val="bottom"/>
            <w:hideMark/>
          </w:tcPr>
          <w:p w14:paraId="6807DACD"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0,2848</w:t>
            </w:r>
          </w:p>
        </w:tc>
        <w:tc>
          <w:tcPr>
            <w:tcW w:w="801" w:type="dxa"/>
            <w:tcBorders>
              <w:top w:val="nil"/>
              <w:left w:val="nil"/>
              <w:bottom w:val="nil"/>
              <w:right w:val="nil"/>
            </w:tcBorders>
            <w:noWrap/>
            <w:vAlign w:val="bottom"/>
            <w:hideMark/>
          </w:tcPr>
          <w:p w14:paraId="1061EA4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-0,014</w:t>
            </w:r>
          </w:p>
        </w:tc>
        <w:tc>
          <w:tcPr>
            <w:tcW w:w="800" w:type="dxa"/>
            <w:tcBorders>
              <w:top w:val="nil"/>
              <w:left w:val="nil"/>
              <w:bottom w:val="nil"/>
              <w:right w:val="nil"/>
            </w:tcBorders>
            <w:noWrap/>
            <w:vAlign w:val="bottom"/>
            <w:hideMark/>
          </w:tcPr>
          <w:p w14:paraId="1766612B"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-0,152</w:t>
            </w:r>
          </w:p>
        </w:tc>
        <w:tc>
          <w:tcPr>
            <w:tcW w:w="800" w:type="dxa"/>
            <w:tcBorders>
              <w:top w:val="nil"/>
              <w:left w:val="nil"/>
              <w:bottom w:val="nil"/>
              <w:right w:val="nil"/>
            </w:tcBorders>
            <w:noWrap/>
            <w:vAlign w:val="bottom"/>
            <w:hideMark/>
          </w:tcPr>
          <w:p w14:paraId="4DAA764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-0,084</w:t>
            </w:r>
          </w:p>
        </w:tc>
        <w:tc>
          <w:tcPr>
            <w:tcW w:w="799" w:type="dxa"/>
            <w:tcBorders>
              <w:top w:val="nil"/>
              <w:left w:val="nil"/>
              <w:bottom w:val="nil"/>
              <w:right w:val="nil"/>
            </w:tcBorders>
            <w:noWrap/>
            <w:vAlign w:val="bottom"/>
            <w:hideMark/>
          </w:tcPr>
          <w:p w14:paraId="1F8767F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-0,14</w:t>
            </w:r>
          </w:p>
        </w:tc>
        <w:tc>
          <w:tcPr>
            <w:tcW w:w="799" w:type="dxa"/>
            <w:tcBorders>
              <w:top w:val="nil"/>
              <w:left w:val="nil"/>
              <w:bottom w:val="nil"/>
              <w:right w:val="nil"/>
            </w:tcBorders>
            <w:noWrap/>
            <w:vAlign w:val="bottom"/>
            <w:hideMark/>
          </w:tcPr>
          <w:p w14:paraId="28AC4C1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0,1951</w:t>
            </w:r>
          </w:p>
        </w:tc>
        <w:tc>
          <w:tcPr>
            <w:tcW w:w="799" w:type="dxa"/>
            <w:tcBorders>
              <w:top w:val="nil"/>
              <w:left w:val="nil"/>
              <w:bottom w:val="nil"/>
              <w:right w:val="nil"/>
            </w:tcBorders>
            <w:noWrap/>
            <w:vAlign w:val="bottom"/>
            <w:hideMark/>
          </w:tcPr>
          <w:p w14:paraId="74EFF4A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0,352</w:t>
            </w:r>
          </w:p>
        </w:tc>
        <w:tc>
          <w:tcPr>
            <w:tcW w:w="799" w:type="dxa"/>
            <w:tcBorders>
              <w:top w:val="nil"/>
              <w:left w:val="nil"/>
              <w:bottom w:val="nil"/>
              <w:right w:val="nil"/>
            </w:tcBorders>
            <w:noWrap/>
            <w:vAlign w:val="bottom"/>
            <w:hideMark/>
          </w:tcPr>
          <w:p w14:paraId="3488C25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-0,399</w:t>
            </w:r>
          </w:p>
        </w:tc>
        <w:tc>
          <w:tcPr>
            <w:tcW w:w="799" w:type="dxa"/>
            <w:tcBorders>
              <w:top w:val="nil"/>
              <w:left w:val="nil"/>
              <w:bottom w:val="nil"/>
              <w:right w:val="nil"/>
            </w:tcBorders>
            <w:noWrap/>
            <w:vAlign w:val="bottom"/>
            <w:hideMark/>
          </w:tcPr>
          <w:p w14:paraId="7D956FF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0,3988</w:t>
            </w:r>
          </w:p>
        </w:tc>
        <w:tc>
          <w:tcPr>
            <w:tcW w:w="799" w:type="dxa"/>
            <w:tcBorders>
              <w:top w:val="nil"/>
              <w:left w:val="nil"/>
              <w:bottom w:val="nil"/>
              <w:right w:val="nil"/>
            </w:tcBorders>
            <w:noWrap/>
            <w:vAlign w:val="bottom"/>
            <w:hideMark/>
          </w:tcPr>
          <w:p w14:paraId="68F5D63C"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0,5105</w:t>
            </w:r>
          </w:p>
        </w:tc>
        <w:tc>
          <w:tcPr>
            <w:tcW w:w="799" w:type="dxa"/>
            <w:tcBorders>
              <w:top w:val="nil"/>
              <w:left w:val="nil"/>
              <w:bottom w:val="nil"/>
              <w:right w:val="nil"/>
            </w:tcBorders>
            <w:noWrap/>
            <w:vAlign w:val="bottom"/>
            <w:hideMark/>
          </w:tcPr>
          <w:p w14:paraId="3A28A4EC"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0,2601</w:t>
            </w:r>
          </w:p>
        </w:tc>
        <w:tc>
          <w:tcPr>
            <w:tcW w:w="799" w:type="dxa"/>
            <w:tcBorders>
              <w:top w:val="nil"/>
              <w:left w:val="nil"/>
              <w:bottom w:val="nil"/>
              <w:right w:val="nil"/>
            </w:tcBorders>
            <w:noWrap/>
            <w:vAlign w:val="bottom"/>
            <w:hideMark/>
          </w:tcPr>
          <w:p w14:paraId="444BC58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0,3028</w:t>
            </w:r>
          </w:p>
        </w:tc>
        <w:tc>
          <w:tcPr>
            <w:tcW w:w="799" w:type="dxa"/>
            <w:tcBorders>
              <w:top w:val="nil"/>
              <w:left w:val="nil"/>
              <w:bottom w:val="nil"/>
              <w:right w:val="nil"/>
            </w:tcBorders>
            <w:noWrap/>
            <w:vAlign w:val="bottom"/>
            <w:hideMark/>
          </w:tcPr>
          <w:p w14:paraId="29E4C28D"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4808692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p>
        </w:tc>
        <w:tc>
          <w:tcPr>
            <w:tcW w:w="799" w:type="dxa"/>
            <w:tcBorders>
              <w:top w:val="nil"/>
              <w:left w:val="nil"/>
              <w:bottom w:val="nil"/>
              <w:right w:val="nil"/>
            </w:tcBorders>
            <w:noWrap/>
            <w:vAlign w:val="bottom"/>
            <w:hideMark/>
          </w:tcPr>
          <w:p w14:paraId="05B6AD0D" w14:textId="77777777" w:rsidR="00F913C2" w:rsidRPr="0002056A" w:rsidRDefault="00F913C2" w:rsidP="00F913C2">
            <w:pPr>
              <w:spacing w:after="0" w:line="240" w:lineRule="auto"/>
              <w:rPr>
                <w:rFonts w:ascii="Georgia" w:eastAsia="Times New Roman" w:hAnsi="Georgia" w:cs="Times New Roman"/>
                <w:sz w:val="20"/>
                <w:szCs w:val="20"/>
                <w:lang w:val="en-GB" w:eastAsia="hu-HU"/>
              </w:rPr>
            </w:pPr>
          </w:p>
        </w:tc>
      </w:tr>
      <w:tr w:rsidR="00F913C2" w:rsidRPr="0002056A" w14:paraId="3DE97CDC" w14:textId="77777777" w:rsidTr="00F913C2">
        <w:trPr>
          <w:trHeight w:val="280"/>
        </w:trPr>
        <w:tc>
          <w:tcPr>
            <w:tcW w:w="3209" w:type="dxa"/>
            <w:tcBorders>
              <w:top w:val="nil"/>
              <w:left w:val="nil"/>
              <w:bottom w:val="nil"/>
              <w:right w:val="nil"/>
            </w:tcBorders>
            <w:vAlign w:val="center"/>
            <w:hideMark/>
          </w:tcPr>
          <w:p w14:paraId="099634AD"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nr. of adaptation planning cycles started</w:t>
            </w:r>
          </w:p>
        </w:tc>
        <w:tc>
          <w:tcPr>
            <w:tcW w:w="801" w:type="dxa"/>
            <w:tcBorders>
              <w:top w:val="nil"/>
              <w:left w:val="single" w:sz="8" w:space="0" w:color="auto"/>
              <w:bottom w:val="nil"/>
              <w:right w:val="single" w:sz="8" w:space="0" w:color="auto"/>
            </w:tcBorders>
            <w:shd w:val="clear" w:color="000000" w:fill="2F75B5"/>
            <w:noWrap/>
            <w:vAlign w:val="bottom"/>
            <w:hideMark/>
          </w:tcPr>
          <w:p w14:paraId="626F8D17" w14:textId="77777777" w:rsidR="00F913C2" w:rsidRPr="0002056A" w:rsidRDefault="00F913C2" w:rsidP="00F913C2">
            <w:pPr>
              <w:spacing w:after="0" w:line="240" w:lineRule="auto"/>
              <w:jc w:val="right"/>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0,5953</w:t>
            </w:r>
          </w:p>
        </w:tc>
        <w:tc>
          <w:tcPr>
            <w:tcW w:w="801" w:type="dxa"/>
            <w:tcBorders>
              <w:top w:val="nil"/>
              <w:left w:val="nil"/>
              <w:bottom w:val="nil"/>
              <w:right w:val="nil"/>
            </w:tcBorders>
            <w:noWrap/>
            <w:vAlign w:val="bottom"/>
            <w:hideMark/>
          </w:tcPr>
          <w:p w14:paraId="6C8486B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0,2471</w:t>
            </w:r>
          </w:p>
        </w:tc>
        <w:tc>
          <w:tcPr>
            <w:tcW w:w="800" w:type="dxa"/>
            <w:tcBorders>
              <w:top w:val="nil"/>
              <w:left w:val="nil"/>
              <w:bottom w:val="nil"/>
              <w:right w:val="nil"/>
            </w:tcBorders>
            <w:noWrap/>
            <w:vAlign w:val="bottom"/>
            <w:hideMark/>
          </w:tcPr>
          <w:p w14:paraId="33301E40"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-0,029</w:t>
            </w:r>
          </w:p>
        </w:tc>
        <w:tc>
          <w:tcPr>
            <w:tcW w:w="800" w:type="dxa"/>
            <w:tcBorders>
              <w:top w:val="nil"/>
              <w:left w:val="nil"/>
              <w:bottom w:val="nil"/>
              <w:right w:val="nil"/>
            </w:tcBorders>
            <w:noWrap/>
            <w:vAlign w:val="bottom"/>
            <w:hideMark/>
          </w:tcPr>
          <w:p w14:paraId="58055118"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0,3973</w:t>
            </w:r>
          </w:p>
        </w:tc>
        <w:tc>
          <w:tcPr>
            <w:tcW w:w="799" w:type="dxa"/>
            <w:tcBorders>
              <w:top w:val="nil"/>
              <w:left w:val="nil"/>
              <w:bottom w:val="nil"/>
              <w:right w:val="nil"/>
            </w:tcBorders>
            <w:noWrap/>
            <w:vAlign w:val="bottom"/>
            <w:hideMark/>
          </w:tcPr>
          <w:p w14:paraId="5F04E95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-0,021</w:t>
            </w:r>
          </w:p>
        </w:tc>
        <w:tc>
          <w:tcPr>
            <w:tcW w:w="799" w:type="dxa"/>
            <w:tcBorders>
              <w:top w:val="nil"/>
              <w:left w:val="nil"/>
              <w:bottom w:val="nil"/>
              <w:right w:val="nil"/>
            </w:tcBorders>
            <w:noWrap/>
            <w:vAlign w:val="bottom"/>
            <w:hideMark/>
          </w:tcPr>
          <w:p w14:paraId="5A79D1A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0,03</w:t>
            </w:r>
          </w:p>
        </w:tc>
        <w:tc>
          <w:tcPr>
            <w:tcW w:w="799" w:type="dxa"/>
            <w:tcBorders>
              <w:top w:val="nil"/>
              <w:left w:val="nil"/>
              <w:bottom w:val="nil"/>
              <w:right w:val="nil"/>
            </w:tcBorders>
            <w:noWrap/>
            <w:vAlign w:val="bottom"/>
            <w:hideMark/>
          </w:tcPr>
          <w:p w14:paraId="0E6DD6D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0,1823</w:t>
            </w:r>
          </w:p>
        </w:tc>
        <w:tc>
          <w:tcPr>
            <w:tcW w:w="799" w:type="dxa"/>
            <w:tcBorders>
              <w:top w:val="nil"/>
              <w:left w:val="nil"/>
              <w:bottom w:val="nil"/>
              <w:right w:val="nil"/>
            </w:tcBorders>
            <w:noWrap/>
            <w:vAlign w:val="bottom"/>
            <w:hideMark/>
          </w:tcPr>
          <w:p w14:paraId="26D75BF5"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0,0006</w:t>
            </w:r>
          </w:p>
        </w:tc>
        <w:tc>
          <w:tcPr>
            <w:tcW w:w="799" w:type="dxa"/>
            <w:tcBorders>
              <w:top w:val="nil"/>
              <w:left w:val="nil"/>
              <w:bottom w:val="nil"/>
              <w:right w:val="nil"/>
            </w:tcBorders>
            <w:noWrap/>
            <w:vAlign w:val="bottom"/>
            <w:hideMark/>
          </w:tcPr>
          <w:p w14:paraId="2EEF90C9"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0,1142</w:t>
            </w:r>
          </w:p>
        </w:tc>
        <w:tc>
          <w:tcPr>
            <w:tcW w:w="799" w:type="dxa"/>
            <w:tcBorders>
              <w:top w:val="nil"/>
              <w:left w:val="nil"/>
              <w:bottom w:val="nil"/>
              <w:right w:val="nil"/>
            </w:tcBorders>
            <w:noWrap/>
            <w:vAlign w:val="bottom"/>
            <w:hideMark/>
          </w:tcPr>
          <w:p w14:paraId="37922D2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0,2594</w:t>
            </w:r>
          </w:p>
        </w:tc>
        <w:tc>
          <w:tcPr>
            <w:tcW w:w="799" w:type="dxa"/>
            <w:tcBorders>
              <w:top w:val="nil"/>
              <w:left w:val="nil"/>
              <w:bottom w:val="nil"/>
              <w:right w:val="nil"/>
            </w:tcBorders>
            <w:noWrap/>
            <w:vAlign w:val="bottom"/>
            <w:hideMark/>
          </w:tcPr>
          <w:p w14:paraId="7DDA6171"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0,1036</w:t>
            </w:r>
          </w:p>
        </w:tc>
        <w:tc>
          <w:tcPr>
            <w:tcW w:w="799" w:type="dxa"/>
            <w:tcBorders>
              <w:top w:val="nil"/>
              <w:left w:val="nil"/>
              <w:bottom w:val="nil"/>
              <w:right w:val="nil"/>
            </w:tcBorders>
            <w:noWrap/>
            <w:vAlign w:val="bottom"/>
            <w:hideMark/>
          </w:tcPr>
          <w:p w14:paraId="3DD92210"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0,308</w:t>
            </w:r>
          </w:p>
        </w:tc>
        <w:tc>
          <w:tcPr>
            <w:tcW w:w="799" w:type="dxa"/>
            <w:tcBorders>
              <w:top w:val="nil"/>
              <w:left w:val="nil"/>
              <w:bottom w:val="nil"/>
              <w:right w:val="nil"/>
            </w:tcBorders>
            <w:noWrap/>
            <w:vAlign w:val="bottom"/>
            <w:hideMark/>
          </w:tcPr>
          <w:p w14:paraId="4DFC9CF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0,4258</w:t>
            </w:r>
          </w:p>
        </w:tc>
        <w:tc>
          <w:tcPr>
            <w:tcW w:w="799" w:type="dxa"/>
            <w:tcBorders>
              <w:top w:val="nil"/>
              <w:left w:val="nil"/>
              <w:bottom w:val="nil"/>
              <w:right w:val="nil"/>
            </w:tcBorders>
            <w:noWrap/>
            <w:vAlign w:val="bottom"/>
            <w:hideMark/>
          </w:tcPr>
          <w:p w14:paraId="6F1DE7A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99" w:type="dxa"/>
            <w:tcBorders>
              <w:top w:val="nil"/>
              <w:left w:val="nil"/>
              <w:bottom w:val="nil"/>
              <w:right w:val="nil"/>
            </w:tcBorders>
            <w:noWrap/>
            <w:vAlign w:val="bottom"/>
            <w:hideMark/>
          </w:tcPr>
          <w:p w14:paraId="694CAF2F" w14:textId="77777777" w:rsidR="00F913C2" w:rsidRPr="0002056A" w:rsidRDefault="00F913C2" w:rsidP="00F913C2">
            <w:pPr>
              <w:spacing w:after="0" w:line="240" w:lineRule="auto"/>
              <w:jc w:val="right"/>
              <w:rPr>
                <w:rFonts w:ascii="Georgia" w:eastAsia="Times New Roman" w:hAnsi="Georgia" w:cs="Calibri"/>
                <w:color w:val="000000"/>
                <w:lang w:val="en-GB" w:eastAsia="hu-HU"/>
              </w:rPr>
            </w:pPr>
          </w:p>
        </w:tc>
      </w:tr>
      <w:tr w:rsidR="00F913C2" w:rsidRPr="0002056A" w14:paraId="1AE9D991" w14:textId="77777777" w:rsidTr="00F913C2">
        <w:trPr>
          <w:trHeight w:val="280"/>
        </w:trPr>
        <w:tc>
          <w:tcPr>
            <w:tcW w:w="3209" w:type="dxa"/>
            <w:tcBorders>
              <w:top w:val="nil"/>
              <w:left w:val="nil"/>
              <w:bottom w:val="single" w:sz="8" w:space="0" w:color="auto"/>
              <w:right w:val="nil"/>
            </w:tcBorders>
            <w:vAlign w:val="center"/>
            <w:hideMark/>
          </w:tcPr>
          <w:p w14:paraId="4167D525" w14:textId="77777777" w:rsidR="00F913C2" w:rsidRPr="0002056A" w:rsidRDefault="00F913C2" w:rsidP="00F913C2">
            <w:pPr>
              <w:spacing w:after="0" w:line="240" w:lineRule="auto"/>
              <w:rPr>
                <w:rFonts w:ascii="Georgia" w:eastAsia="Times New Roman" w:hAnsi="Georgia" w:cs="Calibri"/>
                <w:i/>
                <w:iCs/>
                <w:color w:val="000000"/>
                <w:sz w:val="14"/>
                <w:szCs w:val="14"/>
                <w:lang w:val="en-GB" w:eastAsia="hu-HU"/>
              </w:rPr>
            </w:pPr>
            <w:r w:rsidRPr="0002056A">
              <w:rPr>
                <w:rFonts w:ascii="Georgia" w:eastAsia="Times New Roman" w:hAnsi="Georgia" w:cs="Calibri"/>
                <w:i/>
                <w:iCs/>
                <w:color w:val="000000"/>
                <w:sz w:val="14"/>
                <w:szCs w:val="14"/>
                <w:lang w:val="en-GB" w:eastAsia="hu-HU"/>
              </w:rPr>
              <w:t>% of renewable energy in electricity prod.</w:t>
            </w:r>
          </w:p>
        </w:tc>
        <w:tc>
          <w:tcPr>
            <w:tcW w:w="801" w:type="dxa"/>
            <w:tcBorders>
              <w:top w:val="nil"/>
              <w:left w:val="single" w:sz="8" w:space="0" w:color="auto"/>
              <w:bottom w:val="single" w:sz="8" w:space="0" w:color="auto"/>
              <w:right w:val="single" w:sz="8" w:space="0" w:color="auto"/>
            </w:tcBorders>
            <w:noWrap/>
            <w:vAlign w:val="bottom"/>
            <w:hideMark/>
          </w:tcPr>
          <w:p w14:paraId="4768C262"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0,1858</w:t>
            </w:r>
          </w:p>
        </w:tc>
        <w:tc>
          <w:tcPr>
            <w:tcW w:w="801" w:type="dxa"/>
            <w:tcBorders>
              <w:top w:val="nil"/>
              <w:left w:val="nil"/>
              <w:bottom w:val="single" w:sz="8" w:space="0" w:color="auto"/>
              <w:right w:val="nil"/>
            </w:tcBorders>
            <w:noWrap/>
            <w:vAlign w:val="bottom"/>
            <w:hideMark/>
          </w:tcPr>
          <w:p w14:paraId="18F6108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-0,029</w:t>
            </w:r>
          </w:p>
        </w:tc>
        <w:tc>
          <w:tcPr>
            <w:tcW w:w="800" w:type="dxa"/>
            <w:tcBorders>
              <w:top w:val="nil"/>
              <w:left w:val="nil"/>
              <w:bottom w:val="single" w:sz="8" w:space="0" w:color="auto"/>
              <w:right w:val="nil"/>
            </w:tcBorders>
            <w:noWrap/>
            <w:vAlign w:val="bottom"/>
            <w:hideMark/>
          </w:tcPr>
          <w:p w14:paraId="32E5E11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0,0809</w:t>
            </w:r>
          </w:p>
        </w:tc>
        <w:tc>
          <w:tcPr>
            <w:tcW w:w="800" w:type="dxa"/>
            <w:tcBorders>
              <w:top w:val="nil"/>
              <w:left w:val="nil"/>
              <w:bottom w:val="single" w:sz="8" w:space="0" w:color="auto"/>
              <w:right w:val="nil"/>
            </w:tcBorders>
            <w:noWrap/>
            <w:vAlign w:val="bottom"/>
            <w:hideMark/>
          </w:tcPr>
          <w:p w14:paraId="37F9107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-0,172</w:t>
            </w:r>
          </w:p>
        </w:tc>
        <w:tc>
          <w:tcPr>
            <w:tcW w:w="799" w:type="dxa"/>
            <w:tcBorders>
              <w:top w:val="nil"/>
              <w:left w:val="nil"/>
              <w:bottom w:val="single" w:sz="8" w:space="0" w:color="auto"/>
              <w:right w:val="nil"/>
            </w:tcBorders>
            <w:noWrap/>
            <w:vAlign w:val="bottom"/>
            <w:hideMark/>
          </w:tcPr>
          <w:p w14:paraId="68F9684A"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-0,247</w:t>
            </w:r>
          </w:p>
        </w:tc>
        <w:tc>
          <w:tcPr>
            <w:tcW w:w="799" w:type="dxa"/>
            <w:tcBorders>
              <w:top w:val="nil"/>
              <w:left w:val="nil"/>
              <w:bottom w:val="single" w:sz="8" w:space="0" w:color="auto"/>
              <w:right w:val="nil"/>
            </w:tcBorders>
            <w:noWrap/>
            <w:vAlign w:val="bottom"/>
            <w:hideMark/>
          </w:tcPr>
          <w:p w14:paraId="4322CE8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0,2556</w:t>
            </w:r>
          </w:p>
        </w:tc>
        <w:tc>
          <w:tcPr>
            <w:tcW w:w="799" w:type="dxa"/>
            <w:tcBorders>
              <w:top w:val="nil"/>
              <w:left w:val="nil"/>
              <w:bottom w:val="single" w:sz="8" w:space="0" w:color="auto"/>
              <w:right w:val="nil"/>
            </w:tcBorders>
            <w:noWrap/>
            <w:vAlign w:val="bottom"/>
            <w:hideMark/>
          </w:tcPr>
          <w:p w14:paraId="2959DD3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0,3608</w:t>
            </w:r>
          </w:p>
        </w:tc>
        <w:tc>
          <w:tcPr>
            <w:tcW w:w="799" w:type="dxa"/>
            <w:tcBorders>
              <w:top w:val="nil"/>
              <w:left w:val="nil"/>
              <w:bottom w:val="single" w:sz="8" w:space="0" w:color="auto"/>
              <w:right w:val="nil"/>
            </w:tcBorders>
            <w:noWrap/>
            <w:vAlign w:val="bottom"/>
            <w:hideMark/>
          </w:tcPr>
          <w:p w14:paraId="7789894F"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-0,101</w:t>
            </w:r>
          </w:p>
        </w:tc>
        <w:tc>
          <w:tcPr>
            <w:tcW w:w="799" w:type="dxa"/>
            <w:tcBorders>
              <w:top w:val="nil"/>
              <w:left w:val="nil"/>
              <w:bottom w:val="single" w:sz="8" w:space="0" w:color="auto"/>
              <w:right w:val="nil"/>
            </w:tcBorders>
            <w:noWrap/>
            <w:vAlign w:val="bottom"/>
            <w:hideMark/>
          </w:tcPr>
          <w:p w14:paraId="72658A37"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0,0391</w:t>
            </w:r>
          </w:p>
        </w:tc>
        <w:tc>
          <w:tcPr>
            <w:tcW w:w="799" w:type="dxa"/>
            <w:tcBorders>
              <w:top w:val="nil"/>
              <w:left w:val="nil"/>
              <w:bottom w:val="single" w:sz="8" w:space="0" w:color="auto"/>
              <w:right w:val="nil"/>
            </w:tcBorders>
            <w:noWrap/>
            <w:vAlign w:val="bottom"/>
            <w:hideMark/>
          </w:tcPr>
          <w:p w14:paraId="3C745D30"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0,3273</w:t>
            </w:r>
          </w:p>
        </w:tc>
        <w:tc>
          <w:tcPr>
            <w:tcW w:w="799" w:type="dxa"/>
            <w:tcBorders>
              <w:top w:val="nil"/>
              <w:left w:val="nil"/>
              <w:bottom w:val="single" w:sz="8" w:space="0" w:color="auto"/>
              <w:right w:val="nil"/>
            </w:tcBorders>
            <w:noWrap/>
            <w:vAlign w:val="bottom"/>
            <w:hideMark/>
          </w:tcPr>
          <w:p w14:paraId="5727C1FE"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0,208</w:t>
            </w:r>
          </w:p>
        </w:tc>
        <w:tc>
          <w:tcPr>
            <w:tcW w:w="799" w:type="dxa"/>
            <w:tcBorders>
              <w:top w:val="nil"/>
              <w:left w:val="nil"/>
              <w:bottom w:val="single" w:sz="8" w:space="0" w:color="auto"/>
              <w:right w:val="nil"/>
            </w:tcBorders>
            <w:noWrap/>
            <w:vAlign w:val="bottom"/>
            <w:hideMark/>
          </w:tcPr>
          <w:p w14:paraId="2B4A1906"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0,1976</w:t>
            </w:r>
          </w:p>
        </w:tc>
        <w:tc>
          <w:tcPr>
            <w:tcW w:w="799" w:type="dxa"/>
            <w:tcBorders>
              <w:top w:val="nil"/>
              <w:left w:val="nil"/>
              <w:bottom w:val="single" w:sz="8" w:space="0" w:color="auto"/>
              <w:right w:val="nil"/>
            </w:tcBorders>
            <w:noWrap/>
            <w:vAlign w:val="bottom"/>
            <w:hideMark/>
          </w:tcPr>
          <w:p w14:paraId="54AEB64C"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0,3342</w:t>
            </w:r>
          </w:p>
        </w:tc>
        <w:tc>
          <w:tcPr>
            <w:tcW w:w="799" w:type="dxa"/>
            <w:tcBorders>
              <w:top w:val="nil"/>
              <w:left w:val="nil"/>
              <w:bottom w:val="single" w:sz="8" w:space="0" w:color="auto"/>
              <w:right w:val="nil"/>
            </w:tcBorders>
            <w:noWrap/>
            <w:vAlign w:val="bottom"/>
            <w:hideMark/>
          </w:tcPr>
          <w:p w14:paraId="4D946783" w14:textId="77777777" w:rsidR="00F913C2" w:rsidRPr="0002056A" w:rsidRDefault="00F913C2" w:rsidP="00F913C2">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0,0589</w:t>
            </w:r>
          </w:p>
        </w:tc>
        <w:tc>
          <w:tcPr>
            <w:tcW w:w="799" w:type="dxa"/>
            <w:tcBorders>
              <w:top w:val="nil"/>
              <w:left w:val="nil"/>
              <w:bottom w:val="single" w:sz="8" w:space="0" w:color="auto"/>
              <w:right w:val="nil"/>
            </w:tcBorders>
            <w:noWrap/>
            <w:vAlign w:val="bottom"/>
            <w:hideMark/>
          </w:tcPr>
          <w:p w14:paraId="5153E7A1" w14:textId="77777777" w:rsidR="00F913C2" w:rsidRPr="0002056A" w:rsidRDefault="00F913C2" w:rsidP="00F913C2">
            <w:pPr>
              <w:spacing w:after="0" w:line="240" w:lineRule="auto"/>
              <w:jc w:val="right"/>
              <w:rPr>
                <w:rFonts w:ascii="Georgia" w:eastAsia="Times New Roman" w:hAnsi="Georgia" w:cs="Calibri"/>
                <w:color w:val="000000"/>
                <w:lang w:val="en-GB" w:eastAsia="hu-HU"/>
              </w:rPr>
            </w:pPr>
            <w:r w:rsidRPr="0002056A">
              <w:rPr>
                <w:rFonts w:ascii="Georgia" w:eastAsia="Times New Roman" w:hAnsi="Georgia" w:cs="Calibri"/>
                <w:color w:val="000000"/>
                <w:lang w:val="en-GB" w:eastAsia="hu-HU"/>
              </w:rPr>
              <w:t>1</w:t>
            </w:r>
          </w:p>
        </w:tc>
      </w:tr>
    </w:tbl>
    <w:p w14:paraId="53273466" w14:textId="77777777" w:rsidR="00F913C2" w:rsidRPr="0002056A" w:rsidRDefault="00F913C2" w:rsidP="00DC1114">
      <w:pPr>
        <w:spacing w:before="120" w:after="120" w:line="240" w:lineRule="auto"/>
        <w:jc w:val="center"/>
        <w:rPr>
          <w:rFonts w:ascii="Georgia" w:hAnsi="Georgia" w:cs="Times New Roman"/>
          <w:i/>
          <w:sz w:val="18"/>
          <w:szCs w:val="18"/>
          <w:highlight w:val="yellow"/>
          <w:lang w:val="en-GB"/>
        </w:rPr>
      </w:pPr>
    </w:p>
    <w:p w14:paraId="27887D69" w14:textId="77777777" w:rsidR="00F913C2" w:rsidRPr="0002056A" w:rsidRDefault="00F913C2" w:rsidP="00DC1114">
      <w:pPr>
        <w:spacing w:before="120" w:after="120" w:line="240" w:lineRule="auto"/>
        <w:jc w:val="center"/>
        <w:rPr>
          <w:rFonts w:ascii="Georgia" w:hAnsi="Georgia" w:cs="Times New Roman"/>
          <w:i/>
          <w:sz w:val="18"/>
          <w:szCs w:val="18"/>
          <w:highlight w:val="yellow"/>
          <w:lang w:val="en-GB"/>
        </w:rPr>
      </w:pPr>
    </w:p>
    <w:p w14:paraId="66253FF2" w14:textId="77777777" w:rsidR="00B05591" w:rsidRPr="0002056A" w:rsidRDefault="00B05591" w:rsidP="00B05591">
      <w:pPr>
        <w:rPr>
          <w:lang w:val="en-GB"/>
        </w:rPr>
      </w:pPr>
    </w:p>
    <w:p w14:paraId="07807897" w14:textId="77777777" w:rsidR="00DC1114" w:rsidRPr="0002056A" w:rsidRDefault="00DC1114" w:rsidP="00B05591">
      <w:pPr>
        <w:rPr>
          <w:lang w:val="en-GB"/>
        </w:rPr>
      </w:pPr>
    </w:p>
    <w:p w14:paraId="588B4903" w14:textId="77777777" w:rsidR="00DC1114" w:rsidRPr="0002056A" w:rsidRDefault="00DC1114" w:rsidP="00B05591">
      <w:pPr>
        <w:rPr>
          <w:lang w:val="en-GB"/>
        </w:rPr>
        <w:sectPr w:rsidR="00DC1114" w:rsidRPr="0002056A" w:rsidSect="009F0609">
          <w:pgSz w:w="16838" w:h="11906" w:orient="landscape"/>
          <w:pgMar w:top="1417" w:right="1417" w:bottom="1417" w:left="1417" w:header="708" w:footer="708" w:gutter="0"/>
          <w:cols w:space="708"/>
          <w:docGrid w:linePitch="360"/>
        </w:sectPr>
      </w:pPr>
    </w:p>
    <w:p w14:paraId="5151506D" w14:textId="77777777" w:rsidR="00DC1114" w:rsidRPr="0002056A" w:rsidRDefault="00DC1114" w:rsidP="00B05591">
      <w:pPr>
        <w:rPr>
          <w:lang w:val="en-GB"/>
        </w:rPr>
      </w:pPr>
    </w:p>
    <w:p w14:paraId="544E005E" w14:textId="65D25F8E" w:rsidR="0069352A" w:rsidRPr="0002056A" w:rsidRDefault="0069352A" w:rsidP="00214BD9">
      <w:pPr>
        <w:pStyle w:val="Cmsor2"/>
        <w:numPr>
          <w:ilvl w:val="1"/>
          <w:numId w:val="10"/>
        </w:numPr>
        <w:rPr>
          <w:rFonts w:asciiTheme="minorHAnsi" w:hAnsiTheme="minorHAnsi" w:cstheme="minorHAnsi"/>
          <w:b w:val="0"/>
          <w:bCs w:val="0"/>
          <w:i/>
          <w:iCs/>
          <w:lang w:val="en-GB"/>
        </w:rPr>
      </w:pPr>
      <w:bookmarkStart w:id="48" w:name="_Toc225578865"/>
      <w:r w:rsidRPr="0002056A">
        <w:rPr>
          <w:rFonts w:asciiTheme="minorHAnsi" w:hAnsiTheme="minorHAnsi" w:cstheme="minorHAnsi"/>
          <w:b w:val="0"/>
          <w:bCs w:val="0"/>
          <w:i/>
          <w:iCs/>
          <w:lang w:val="en-GB"/>
        </w:rPr>
        <w:t>Macro regional characteristics in the adaptation practice</w:t>
      </w:r>
      <w:bookmarkEnd w:id="48"/>
    </w:p>
    <w:p w14:paraId="3F45D8F8" w14:textId="62A94B11" w:rsidR="00BE582F" w:rsidRPr="0002056A" w:rsidRDefault="001449AF" w:rsidP="00596939">
      <w:pPr>
        <w:spacing w:before="120" w:after="120"/>
        <w:jc w:val="both"/>
        <w:rPr>
          <w:rFonts w:ascii="Georgia" w:hAnsi="Georgia"/>
          <w:lang w:val="en-GB"/>
        </w:rPr>
      </w:pPr>
      <w:r w:rsidRPr="0002056A">
        <w:rPr>
          <w:rFonts w:ascii="Georgia" w:hAnsi="Georgia"/>
          <w:lang w:val="en-GB"/>
        </w:rPr>
        <w:t>Chapter 5.2.8</w:t>
      </w:r>
      <w:r w:rsidR="00141B22">
        <w:rPr>
          <w:rFonts w:ascii="Georgia" w:hAnsi="Georgia"/>
          <w:lang w:val="en-GB"/>
        </w:rPr>
        <w:t>, meanwhile, summarised</w:t>
      </w:r>
      <w:r w:rsidR="00811E7B" w:rsidRPr="0002056A">
        <w:rPr>
          <w:rFonts w:ascii="Georgia" w:hAnsi="Georgia"/>
          <w:lang w:val="en-GB"/>
        </w:rPr>
        <w:t xml:space="preserve"> the main results of the aggregated spatial sensitivity composite indicator-based ranking of European countries, </w:t>
      </w:r>
      <w:r w:rsidR="00563C42" w:rsidRPr="0002056A">
        <w:rPr>
          <w:rFonts w:ascii="Georgia" w:hAnsi="Georgia"/>
          <w:lang w:val="en-GB"/>
        </w:rPr>
        <w:t xml:space="preserve">has </w:t>
      </w:r>
      <w:r w:rsidR="007E0139" w:rsidRPr="0002056A">
        <w:rPr>
          <w:rFonts w:ascii="Georgia" w:hAnsi="Georgia"/>
          <w:lang w:val="en-GB"/>
        </w:rPr>
        <w:t xml:space="preserve">already </w:t>
      </w:r>
      <w:r w:rsidRPr="0002056A">
        <w:rPr>
          <w:rFonts w:ascii="Georgia" w:hAnsi="Georgia"/>
          <w:lang w:val="en-GB"/>
        </w:rPr>
        <w:t xml:space="preserve">answered the question whether any macro regional determination or trend </w:t>
      </w:r>
      <w:r w:rsidR="00E03150" w:rsidRPr="0002056A">
        <w:rPr>
          <w:rFonts w:ascii="Georgia" w:hAnsi="Georgia"/>
          <w:lang w:val="en-GB"/>
        </w:rPr>
        <w:t>can be detected</w:t>
      </w:r>
      <w:r w:rsidRPr="0002056A">
        <w:rPr>
          <w:rFonts w:ascii="Georgia" w:hAnsi="Georgia"/>
          <w:lang w:val="en-GB"/>
        </w:rPr>
        <w:t xml:space="preserve"> in the spatial performance of national adaptation policy planning and MRE activities. As the mentioned </w:t>
      </w:r>
      <w:r w:rsidR="00BC3527" w:rsidRPr="0002056A">
        <w:rPr>
          <w:rFonts w:ascii="Georgia" w:hAnsi="Georgia"/>
          <w:lang w:val="en-GB"/>
        </w:rPr>
        <w:t>subchapter</w:t>
      </w:r>
      <w:r w:rsidRPr="0002056A">
        <w:rPr>
          <w:rFonts w:ascii="Georgia" w:hAnsi="Georgia"/>
          <w:lang w:val="en-GB"/>
        </w:rPr>
        <w:t xml:space="preserve"> introduced, the already known </w:t>
      </w:r>
      <w:r w:rsidR="0058644C" w:rsidRPr="0002056A">
        <w:rPr>
          <w:rFonts w:ascii="Georgia" w:hAnsi="Georgia"/>
          <w:lang w:val="en-GB"/>
        </w:rPr>
        <w:t xml:space="preserve">Northwest – Southeast divide that can be observed in other topics/issues in Europe, </w:t>
      </w:r>
      <w:r w:rsidR="00E03150" w:rsidRPr="0002056A">
        <w:rPr>
          <w:rFonts w:ascii="Georgia" w:hAnsi="Georgia"/>
          <w:lang w:val="en-GB"/>
        </w:rPr>
        <w:t>stands out</w:t>
      </w:r>
      <w:r w:rsidR="0058644C" w:rsidRPr="0002056A">
        <w:rPr>
          <w:rFonts w:ascii="Georgia" w:hAnsi="Georgia"/>
          <w:lang w:val="en-GB"/>
        </w:rPr>
        <w:t xml:space="preserve"> in climate adaptation policy </w:t>
      </w:r>
      <w:r w:rsidR="00563C42" w:rsidRPr="0002056A">
        <w:rPr>
          <w:rFonts w:ascii="Georgia" w:hAnsi="Georgia"/>
          <w:lang w:val="en-GB"/>
        </w:rPr>
        <w:t xml:space="preserve">planning </w:t>
      </w:r>
      <w:r w:rsidR="0058644C" w:rsidRPr="0002056A">
        <w:rPr>
          <w:rFonts w:ascii="Georgia" w:hAnsi="Georgia"/>
          <w:lang w:val="en-GB"/>
        </w:rPr>
        <w:t xml:space="preserve">instruments’ spatiality, too. The traditionally pioneer climate adaptation and spatial planner states of </w:t>
      </w:r>
      <w:r w:rsidR="0058644C" w:rsidRPr="0002056A">
        <w:rPr>
          <w:rFonts w:ascii="Georgia" w:hAnsi="Georgia"/>
          <w:i/>
          <w:iCs/>
          <w:lang w:val="en-GB"/>
        </w:rPr>
        <w:t>Western</w:t>
      </w:r>
      <w:r w:rsidR="0058644C" w:rsidRPr="0002056A">
        <w:rPr>
          <w:rFonts w:ascii="Georgia" w:hAnsi="Georgia"/>
          <w:lang w:val="en-GB"/>
        </w:rPr>
        <w:t xml:space="preserve"> and </w:t>
      </w:r>
      <w:r w:rsidR="0058644C" w:rsidRPr="0002056A">
        <w:rPr>
          <w:rFonts w:ascii="Georgia" w:hAnsi="Georgia"/>
          <w:i/>
          <w:iCs/>
          <w:lang w:val="en-GB"/>
        </w:rPr>
        <w:t>Northern Europe</w:t>
      </w:r>
      <w:r w:rsidR="0058644C" w:rsidRPr="0002056A">
        <w:rPr>
          <w:rFonts w:ascii="Georgia" w:hAnsi="Georgia"/>
          <w:lang w:val="en-GB"/>
        </w:rPr>
        <w:t xml:space="preserve"> (</w:t>
      </w:r>
      <w:r w:rsidR="0058644C" w:rsidRPr="0002056A">
        <w:rPr>
          <w:rFonts w:ascii="Georgia" w:hAnsi="Georgia"/>
          <w:i/>
          <w:iCs/>
          <w:lang w:val="en-GB"/>
        </w:rPr>
        <w:t>parts of the UK, Germany, Sw</w:t>
      </w:r>
      <w:r w:rsidR="00FB6BA5" w:rsidRPr="0002056A">
        <w:rPr>
          <w:rFonts w:ascii="Georgia" w:hAnsi="Georgia"/>
          <w:i/>
          <w:iCs/>
          <w:lang w:val="en-GB"/>
        </w:rPr>
        <w:t>i</w:t>
      </w:r>
      <w:r w:rsidR="0058644C" w:rsidRPr="0002056A">
        <w:rPr>
          <w:rFonts w:ascii="Georgia" w:hAnsi="Georgia"/>
          <w:i/>
          <w:iCs/>
          <w:lang w:val="en-GB"/>
        </w:rPr>
        <w:t xml:space="preserve">tzerland, </w:t>
      </w:r>
      <w:r w:rsidR="00FB6BA5" w:rsidRPr="0002056A">
        <w:rPr>
          <w:rFonts w:ascii="Georgia" w:hAnsi="Georgia"/>
          <w:i/>
          <w:iCs/>
          <w:lang w:val="en-GB"/>
        </w:rPr>
        <w:t xml:space="preserve">France, </w:t>
      </w:r>
      <w:r w:rsidR="0058644C" w:rsidRPr="0002056A">
        <w:rPr>
          <w:rFonts w:ascii="Georgia" w:hAnsi="Georgia"/>
          <w:i/>
          <w:iCs/>
          <w:lang w:val="en-GB"/>
        </w:rPr>
        <w:t>the Netherlands, Austria</w:t>
      </w:r>
      <w:r w:rsidR="0058644C" w:rsidRPr="0002056A">
        <w:rPr>
          <w:rFonts w:ascii="Georgia" w:hAnsi="Georgia"/>
          <w:lang w:val="en-GB"/>
        </w:rPr>
        <w:t xml:space="preserve"> and </w:t>
      </w:r>
      <w:r w:rsidR="0058644C" w:rsidRPr="0002056A">
        <w:rPr>
          <w:rFonts w:ascii="Georgia" w:hAnsi="Georgia"/>
          <w:i/>
          <w:iCs/>
          <w:lang w:val="en-GB"/>
        </w:rPr>
        <w:t>the Scandinavians</w:t>
      </w:r>
      <w:r w:rsidR="0058644C" w:rsidRPr="0002056A">
        <w:rPr>
          <w:rFonts w:ascii="Georgia" w:hAnsi="Georgia"/>
          <w:lang w:val="en-GB"/>
        </w:rPr>
        <w:t xml:space="preserve"> (minus Iceland) compose the upper ranks of the final list; </w:t>
      </w:r>
      <w:r w:rsidR="00CE0A46" w:rsidRPr="0002056A">
        <w:rPr>
          <w:rFonts w:ascii="Georgia" w:hAnsi="Georgia"/>
          <w:lang w:val="en-GB"/>
        </w:rPr>
        <w:t xml:space="preserve">completed with some well-performing </w:t>
      </w:r>
      <w:r w:rsidR="00CE0A46" w:rsidRPr="0002056A">
        <w:rPr>
          <w:rFonts w:ascii="Georgia" w:hAnsi="Georgia"/>
          <w:i/>
          <w:iCs/>
          <w:lang w:val="en-GB"/>
        </w:rPr>
        <w:t xml:space="preserve">Easterners (Poland, Hungary, Lithuania) </w:t>
      </w:r>
      <w:r w:rsidR="00CE0A46" w:rsidRPr="0002056A">
        <w:rPr>
          <w:rFonts w:ascii="Georgia" w:hAnsi="Georgia"/>
          <w:lang w:val="en-GB"/>
        </w:rPr>
        <w:t>and big</w:t>
      </w:r>
      <w:r w:rsidR="00CE0A46" w:rsidRPr="0002056A">
        <w:rPr>
          <w:rFonts w:ascii="Georgia" w:hAnsi="Georgia"/>
          <w:i/>
          <w:iCs/>
          <w:lang w:val="en-GB"/>
        </w:rPr>
        <w:t xml:space="preserve"> Southern states (Spain, Italy, </w:t>
      </w:r>
      <w:r w:rsidR="00216AD0" w:rsidRPr="0002056A">
        <w:rPr>
          <w:rFonts w:ascii="Georgia" w:hAnsi="Georgia"/>
          <w:i/>
          <w:iCs/>
          <w:lang w:val="en-GB"/>
        </w:rPr>
        <w:t>Türkiye</w:t>
      </w:r>
      <w:r w:rsidR="00796208" w:rsidRPr="0002056A">
        <w:rPr>
          <w:rFonts w:ascii="Georgia" w:hAnsi="Georgia"/>
          <w:i/>
          <w:iCs/>
          <w:lang w:val="en-GB"/>
        </w:rPr>
        <w:t>, Greece,</w:t>
      </w:r>
      <w:r w:rsidR="00796208" w:rsidRPr="0002056A">
        <w:rPr>
          <w:rFonts w:ascii="Georgia" w:hAnsi="Georgia"/>
          <w:lang w:val="en-GB"/>
        </w:rPr>
        <w:t xml:space="preserve"> </w:t>
      </w:r>
      <w:r w:rsidR="00796208" w:rsidRPr="0002056A">
        <w:rPr>
          <w:rFonts w:ascii="Georgia" w:hAnsi="Georgia"/>
          <w:i/>
          <w:iCs/>
          <w:lang w:val="en-GB"/>
        </w:rPr>
        <w:t>Portugal</w:t>
      </w:r>
      <w:r w:rsidR="00CE0A46" w:rsidRPr="0002056A">
        <w:rPr>
          <w:rFonts w:ascii="Georgia" w:hAnsi="Georgia"/>
          <w:lang w:val="en-GB"/>
        </w:rPr>
        <w:t>)</w:t>
      </w:r>
      <w:r w:rsidR="00796208" w:rsidRPr="0002056A">
        <w:rPr>
          <w:rFonts w:ascii="Georgia" w:hAnsi="Georgia"/>
          <w:lang w:val="en-GB"/>
        </w:rPr>
        <w:t xml:space="preserve">. More details </w:t>
      </w:r>
      <w:r w:rsidR="00CA238C" w:rsidRPr="0002056A">
        <w:rPr>
          <w:rFonts w:ascii="Georgia" w:hAnsi="Georgia"/>
          <w:lang w:val="en-GB"/>
        </w:rPr>
        <w:t>a</w:t>
      </w:r>
      <w:r w:rsidR="00796208" w:rsidRPr="0002056A">
        <w:rPr>
          <w:rFonts w:ascii="Georgia" w:hAnsi="Georgia"/>
          <w:lang w:val="en-GB"/>
        </w:rPr>
        <w:t>bout the</w:t>
      </w:r>
      <w:r w:rsidR="00CA238C" w:rsidRPr="0002056A">
        <w:rPr>
          <w:rFonts w:ascii="Georgia" w:hAnsi="Georgia"/>
          <w:lang w:val="en-GB"/>
        </w:rPr>
        <w:t>se</w:t>
      </w:r>
      <w:r w:rsidR="00796208" w:rsidRPr="0002056A">
        <w:rPr>
          <w:rFonts w:ascii="Georgia" w:hAnsi="Georgia"/>
          <w:lang w:val="en-GB"/>
        </w:rPr>
        <w:t xml:space="preserve"> outcomes </w:t>
      </w:r>
      <w:r w:rsidR="00D37488" w:rsidRPr="0002056A">
        <w:rPr>
          <w:rFonts w:ascii="Georgia" w:hAnsi="Georgia"/>
          <w:lang w:val="en-GB"/>
        </w:rPr>
        <w:t>are</w:t>
      </w:r>
      <w:r w:rsidR="00796208" w:rsidRPr="0002056A">
        <w:rPr>
          <w:rFonts w:ascii="Georgia" w:hAnsi="Georgia"/>
          <w:lang w:val="en-GB"/>
        </w:rPr>
        <w:t xml:space="preserve"> described by the Conclusions chapter.</w:t>
      </w:r>
    </w:p>
    <w:p w14:paraId="7978B0D8" w14:textId="6C04093B" w:rsidR="00A01708" w:rsidRPr="0002056A" w:rsidRDefault="00EE1DA9" w:rsidP="00596939">
      <w:pPr>
        <w:spacing w:before="120" w:after="120"/>
        <w:jc w:val="both"/>
        <w:rPr>
          <w:rFonts w:ascii="Georgia" w:hAnsi="Georgia"/>
          <w:lang w:val="en-GB"/>
        </w:rPr>
      </w:pPr>
      <w:r w:rsidRPr="0002056A">
        <w:rPr>
          <w:rFonts w:ascii="Georgia" w:hAnsi="Georgia"/>
          <w:lang w:val="en-GB"/>
        </w:rPr>
        <w:t xml:space="preserve">Although Chapter 5.2 </w:t>
      </w:r>
      <w:r w:rsidR="00DE2F5C">
        <w:rPr>
          <w:rFonts w:ascii="Georgia" w:hAnsi="Georgia"/>
          <w:lang w:val="en-GB"/>
        </w:rPr>
        <w:t>a</w:t>
      </w:r>
      <w:r w:rsidR="00141B22">
        <w:rPr>
          <w:rFonts w:ascii="Georgia" w:hAnsi="Georgia"/>
          <w:lang w:val="en-GB"/>
        </w:rPr>
        <w:t>lready presented the results of the analytical main and sub-aspects, it is worth describing</w:t>
      </w:r>
      <w:r w:rsidR="00363250" w:rsidRPr="0002056A">
        <w:rPr>
          <w:rFonts w:ascii="Georgia" w:hAnsi="Georgia"/>
          <w:lang w:val="en-GB"/>
        </w:rPr>
        <w:t xml:space="preserve"> the identified best practices by macro regions, in a more detailed way</w:t>
      </w:r>
      <w:r w:rsidR="00A113A8" w:rsidRPr="0002056A">
        <w:rPr>
          <w:rFonts w:ascii="Georgia" w:hAnsi="Georgia"/>
          <w:lang w:val="en-GB"/>
        </w:rPr>
        <w:t xml:space="preserve">, namely </w:t>
      </w:r>
      <w:r w:rsidR="00716706" w:rsidRPr="0002056A">
        <w:rPr>
          <w:rFonts w:ascii="Georgia" w:hAnsi="Georgia"/>
          <w:lang w:val="en-GB"/>
        </w:rPr>
        <w:t xml:space="preserve">the cases of </w:t>
      </w:r>
      <w:r w:rsidR="00A113A8" w:rsidRPr="0002056A">
        <w:rPr>
          <w:rFonts w:ascii="Georgia" w:hAnsi="Georgia"/>
          <w:lang w:val="en-GB"/>
        </w:rPr>
        <w:t xml:space="preserve">those countries from each macro region that showed the best performances generally or in a given analytical </w:t>
      </w:r>
      <w:r w:rsidR="004E4820" w:rsidRPr="0002056A">
        <w:rPr>
          <w:rFonts w:ascii="Georgia" w:hAnsi="Georgia"/>
          <w:lang w:val="en-GB"/>
        </w:rPr>
        <w:t xml:space="preserve">aspect. </w:t>
      </w:r>
      <w:r w:rsidR="00052B4A" w:rsidRPr="0002056A">
        <w:rPr>
          <w:rFonts w:ascii="Georgia" w:hAnsi="Georgia"/>
          <w:lang w:val="en-GB"/>
        </w:rPr>
        <w:t xml:space="preserve">Annex </w:t>
      </w:r>
      <w:r w:rsidR="00555483" w:rsidRPr="0002056A">
        <w:rPr>
          <w:rFonts w:ascii="Georgia" w:hAnsi="Georgia"/>
          <w:lang w:val="en-GB"/>
        </w:rPr>
        <w:t>4</w:t>
      </w:r>
      <w:r w:rsidR="00052B4A" w:rsidRPr="0002056A">
        <w:rPr>
          <w:rFonts w:ascii="Georgia" w:hAnsi="Georgia"/>
          <w:lang w:val="en-GB"/>
        </w:rPr>
        <w:t xml:space="preserve"> especially focuses on the introduction of these best country example</w:t>
      </w:r>
      <w:r w:rsidR="00716706" w:rsidRPr="0002056A">
        <w:rPr>
          <w:rFonts w:ascii="Georgia" w:hAnsi="Georgia"/>
          <w:lang w:val="en-GB"/>
        </w:rPr>
        <w:t>s</w:t>
      </w:r>
      <w:r w:rsidR="00052B4A" w:rsidRPr="0002056A">
        <w:rPr>
          <w:rFonts w:ascii="Georgia" w:hAnsi="Georgia"/>
          <w:lang w:val="en-GB"/>
        </w:rPr>
        <w:t xml:space="preserve"> in the 4 European macro regions</w:t>
      </w:r>
      <w:r w:rsidR="00C7474E" w:rsidRPr="0002056A">
        <w:rPr>
          <w:rFonts w:ascii="Georgia" w:hAnsi="Georgia"/>
          <w:lang w:val="en-GB"/>
        </w:rPr>
        <w:t xml:space="preserve"> identified by Chapter 4.1.2.</w:t>
      </w:r>
    </w:p>
    <w:p w14:paraId="719D5EAE" w14:textId="28118AFA" w:rsidR="004E4820" w:rsidRPr="0002056A" w:rsidRDefault="004E4820" w:rsidP="00596939">
      <w:pPr>
        <w:spacing w:before="120" w:after="120"/>
        <w:jc w:val="both"/>
        <w:rPr>
          <w:rFonts w:ascii="Georgia" w:hAnsi="Georgia" w:cs="Calibri"/>
          <w:lang w:val="en-GB"/>
        </w:rPr>
      </w:pPr>
      <w:r w:rsidRPr="0002056A">
        <w:rPr>
          <w:rFonts w:ascii="Georgia" w:hAnsi="Georgia" w:cs="Calibri"/>
          <w:lang w:val="en-GB"/>
        </w:rPr>
        <w:t>As</w:t>
      </w:r>
      <w:r w:rsidR="00C7474E" w:rsidRPr="0002056A">
        <w:rPr>
          <w:rFonts w:ascii="Georgia" w:hAnsi="Georgia" w:cs="Calibri"/>
          <w:lang w:val="en-GB"/>
        </w:rPr>
        <w:t xml:space="preserve"> the dissertation </w:t>
      </w:r>
      <w:r w:rsidRPr="0002056A">
        <w:rPr>
          <w:rFonts w:ascii="Georgia" w:hAnsi="Georgia" w:cs="Calibri"/>
          <w:lang w:val="en-GB"/>
        </w:rPr>
        <w:t>h</w:t>
      </w:r>
      <w:r w:rsidR="00C7474E" w:rsidRPr="0002056A">
        <w:rPr>
          <w:rFonts w:ascii="Georgia" w:hAnsi="Georgia" w:cs="Calibri"/>
          <w:lang w:val="en-GB"/>
        </w:rPr>
        <w:t>as</w:t>
      </w:r>
      <w:r w:rsidRPr="0002056A">
        <w:rPr>
          <w:rFonts w:ascii="Georgia" w:hAnsi="Georgia" w:cs="Calibri"/>
          <w:lang w:val="en-GB"/>
        </w:rPr>
        <w:t xml:space="preserve"> already mentioned, </w:t>
      </w:r>
      <w:r w:rsidRPr="0002056A">
        <w:rPr>
          <w:rFonts w:ascii="Georgia" w:hAnsi="Georgia" w:cs="Calibri"/>
          <w:b/>
          <w:bCs/>
          <w:lang w:val="en-GB"/>
        </w:rPr>
        <w:t>Western-European countries showed summarily the best performances</w:t>
      </w:r>
      <w:r w:rsidRPr="0002056A">
        <w:rPr>
          <w:rFonts w:ascii="Georgia" w:hAnsi="Georgia" w:cs="Calibri"/>
          <w:lang w:val="en-GB"/>
        </w:rPr>
        <w:t xml:space="preserve"> in </w:t>
      </w:r>
      <w:r w:rsidR="00C7474E" w:rsidRPr="0002056A">
        <w:rPr>
          <w:rFonts w:ascii="Georgia" w:hAnsi="Georgia" w:cs="Calibri"/>
          <w:lang w:val="en-GB"/>
        </w:rPr>
        <w:t>the</w:t>
      </w:r>
      <w:r w:rsidRPr="0002056A">
        <w:rPr>
          <w:rFonts w:ascii="Georgia" w:hAnsi="Georgia" w:cs="Calibri"/>
          <w:lang w:val="en-GB"/>
        </w:rPr>
        <w:t xml:space="preserve"> analysis. The final ranking of spatial sensitivity of climate policy planning and MRE </w:t>
      </w:r>
      <w:r w:rsidR="007B3D25" w:rsidRPr="0002056A">
        <w:rPr>
          <w:rFonts w:ascii="Georgia" w:hAnsi="Georgia" w:cs="Calibri"/>
          <w:lang w:val="en-GB"/>
        </w:rPr>
        <w:t xml:space="preserve">activities </w:t>
      </w:r>
      <w:r w:rsidRPr="0002056A">
        <w:rPr>
          <w:rFonts w:ascii="Georgia" w:hAnsi="Georgia" w:cs="Calibri"/>
          <w:lang w:val="en-GB"/>
        </w:rPr>
        <w:t xml:space="preserve">comprises </w:t>
      </w:r>
      <w:r w:rsidR="007B3D25" w:rsidRPr="0002056A">
        <w:rPr>
          <w:rFonts w:ascii="Georgia" w:hAnsi="Georgia" w:cs="Calibri"/>
          <w:lang w:val="en-GB"/>
        </w:rPr>
        <w:t>W</w:t>
      </w:r>
      <w:r w:rsidRPr="0002056A">
        <w:rPr>
          <w:rFonts w:ascii="Georgia" w:hAnsi="Georgia" w:cs="Calibri"/>
          <w:lang w:val="en-GB"/>
        </w:rPr>
        <w:t>estern</w:t>
      </w:r>
      <w:r w:rsidR="007B3D25" w:rsidRPr="0002056A">
        <w:rPr>
          <w:rFonts w:ascii="Georgia" w:hAnsi="Georgia" w:cs="Calibri"/>
          <w:lang w:val="en-GB"/>
        </w:rPr>
        <w:t xml:space="preserve">-European states </w:t>
      </w:r>
      <w:r w:rsidRPr="0002056A">
        <w:rPr>
          <w:rFonts w:ascii="Georgia" w:hAnsi="Georgia" w:cs="Calibri"/>
          <w:lang w:val="en-GB"/>
        </w:rPr>
        <w:t xml:space="preserve">in the first 7 positions. These countries basically perform well in the </w:t>
      </w:r>
      <w:r w:rsidR="007B3D25" w:rsidRPr="0002056A">
        <w:rPr>
          <w:rFonts w:ascii="Georgia" w:hAnsi="Georgia" w:cs="Calibri"/>
          <w:i/>
          <w:iCs/>
          <w:lang w:val="en-GB"/>
        </w:rPr>
        <w:t xml:space="preserve">spatial </w:t>
      </w:r>
      <w:r w:rsidRPr="0002056A">
        <w:rPr>
          <w:rFonts w:ascii="Georgia" w:hAnsi="Georgia" w:cs="Calibri"/>
          <w:i/>
          <w:iCs/>
          <w:lang w:val="en-GB"/>
        </w:rPr>
        <w:t>MRE-related aspects</w:t>
      </w:r>
      <w:r w:rsidRPr="0002056A">
        <w:rPr>
          <w:rFonts w:ascii="Georgia" w:hAnsi="Georgia" w:cs="Calibri"/>
          <w:lang w:val="en-GB"/>
        </w:rPr>
        <w:t xml:space="preserve">, show very </w:t>
      </w:r>
      <w:r w:rsidRPr="0002056A">
        <w:rPr>
          <w:rFonts w:ascii="Georgia" w:hAnsi="Georgia" w:cs="Calibri"/>
          <w:i/>
          <w:iCs/>
          <w:lang w:val="en-GB"/>
        </w:rPr>
        <w:t xml:space="preserve">strong coherence with both European and their own national level spatial policy objectives, </w:t>
      </w:r>
      <w:r w:rsidRPr="0002056A">
        <w:rPr>
          <w:rFonts w:ascii="Georgia" w:hAnsi="Georgia" w:cs="Calibri"/>
          <w:lang w:val="en-GB"/>
        </w:rPr>
        <w:t>and</w:t>
      </w:r>
      <w:r w:rsidRPr="0002056A">
        <w:rPr>
          <w:rFonts w:ascii="Georgia" w:hAnsi="Georgia" w:cs="Calibri"/>
          <w:i/>
          <w:iCs/>
          <w:lang w:val="en-GB"/>
        </w:rPr>
        <w:t xml:space="preserve"> international spatial aspects</w:t>
      </w:r>
      <w:r w:rsidRPr="0002056A">
        <w:rPr>
          <w:rFonts w:ascii="Georgia" w:hAnsi="Georgia" w:cs="Calibri"/>
          <w:lang w:val="en-GB"/>
        </w:rPr>
        <w:t xml:space="preserve"> are also strong in their </w:t>
      </w:r>
      <w:r w:rsidR="00B148F8" w:rsidRPr="0002056A">
        <w:rPr>
          <w:rFonts w:ascii="Georgia" w:hAnsi="Georgia" w:cs="Calibri"/>
          <w:lang w:val="en-GB"/>
        </w:rPr>
        <w:t xml:space="preserve">adaptation </w:t>
      </w:r>
      <w:r w:rsidRPr="0002056A">
        <w:rPr>
          <w:rFonts w:ascii="Georgia" w:hAnsi="Georgia" w:cs="Calibri"/>
          <w:lang w:val="en-GB"/>
        </w:rPr>
        <w:t>policy approach. Four of them (</w:t>
      </w:r>
      <w:r w:rsidRPr="0002056A">
        <w:rPr>
          <w:rFonts w:ascii="Georgia" w:hAnsi="Georgia" w:cs="Calibri"/>
          <w:b/>
          <w:bCs/>
          <w:i/>
          <w:iCs/>
          <w:lang w:val="en-GB"/>
        </w:rPr>
        <w:t>Austria, the Netherlands, Germany, Scotland</w:t>
      </w:r>
      <w:r w:rsidRPr="0002056A">
        <w:rPr>
          <w:rFonts w:ascii="Georgia" w:hAnsi="Georgia" w:cs="Calibri"/>
          <w:lang w:val="en-GB"/>
        </w:rPr>
        <w:t xml:space="preserve">) </w:t>
      </w:r>
      <w:r w:rsidR="00B148F8" w:rsidRPr="0002056A">
        <w:rPr>
          <w:rFonts w:ascii="Georgia" w:hAnsi="Georgia" w:cs="Calibri"/>
          <w:lang w:val="en-GB"/>
        </w:rPr>
        <w:t>are</w:t>
      </w:r>
      <w:r w:rsidRPr="0002056A">
        <w:rPr>
          <w:rFonts w:ascii="Georgia" w:hAnsi="Georgia" w:cs="Calibri"/>
          <w:lang w:val="en-GB"/>
        </w:rPr>
        <w:t xml:space="preserve"> worth even for a detailed introduction. </w:t>
      </w:r>
      <w:r w:rsidRPr="0002056A">
        <w:rPr>
          <w:rFonts w:ascii="Georgia" w:hAnsi="Georgia" w:cs="Calibri"/>
          <w:i/>
          <w:iCs/>
          <w:lang w:val="en-GB"/>
        </w:rPr>
        <w:t xml:space="preserve">Switzerland </w:t>
      </w:r>
      <w:r w:rsidRPr="0002056A">
        <w:rPr>
          <w:rFonts w:ascii="Georgia" w:hAnsi="Georgia" w:cs="Calibri"/>
          <w:lang w:val="en-GB"/>
        </w:rPr>
        <w:t>show</w:t>
      </w:r>
      <w:r w:rsidR="009C0813" w:rsidRPr="0002056A">
        <w:rPr>
          <w:rFonts w:ascii="Georgia" w:hAnsi="Georgia" w:cs="Calibri"/>
          <w:lang w:val="en-GB"/>
        </w:rPr>
        <w:t>s</w:t>
      </w:r>
      <w:r w:rsidRPr="0002056A">
        <w:rPr>
          <w:rFonts w:ascii="Georgia" w:hAnsi="Georgia" w:cs="Calibri"/>
          <w:lang w:val="en-GB"/>
        </w:rPr>
        <w:t xml:space="preserve"> very similar features to Austria and Germany, meanwhile </w:t>
      </w:r>
      <w:r w:rsidRPr="0002056A">
        <w:rPr>
          <w:rFonts w:ascii="Georgia" w:hAnsi="Georgia" w:cs="Calibri"/>
          <w:i/>
          <w:iCs/>
          <w:lang w:val="en-GB"/>
        </w:rPr>
        <w:t xml:space="preserve">England </w:t>
      </w:r>
      <w:r w:rsidRPr="0002056A">
        <w:rPr>
          <w:rFonts w:ascii="Georgia" w:hAnsi="Georgia" w:cs="Calibri"/>
          <w:lang w:val="en-GB"/>
        </w:rPr>
        <w:t xml:space="preserve">to Scotland, meanwhile </w:t>
      </w:r>
      <w:r w:rsidRPr="0002056A">
        <w:rPr>
          <w:rFonts w:ascii="Georgia" w:hAnsi="Georgia" w:cs="Calibri"/>
          <w:i/>
          <w:iCs/>
          <w:lang w:val="en-GB"/>
        </w:rPr>
        <w:t>France</w:t>
      </w:r>
      <w:r w:rsidRPr="0002056A">
        <w:rPr>
          <w:rFonts w:ascii="Georgia" w:hAnsi="Georgia" w:cs="Calibri"/>
          <w:lang w:val="en-GB"/>
        </w:rPr>
        <w:t xml:space="preserve"> is </w:t>
      </w:r>
      <w:r w:rsidR="00141B22">
        <w:rPr>
          <w:rFonts w:ascii="Georgia" w:hAnsi="Georgia" w:cs="Calibri"/>
          <w:lang w:val="en-GB"/>
        </w:rPr>
        <w:t>a</w:t>
      </w:r>
      <w:r w:rsidR="00141B22" w:rsidRPr="0002056A">
        <w:rPr>
          <w:rFonts w:ascii="Georgia" w:hAnsi="Georgia" w:cs="Calibri"/>
          <w:lang w:val="en-GB"/>
        </w:rPr>
        <w:t xml:space="preserve"> </w:t>
      </w:r>
      <w:r w:rsidRPr="0002056A">
        <w:rPr>
          <w:rFonts w:ascii="Georgia" w:hAnsi="Georgia" w:cs="Calibri"/>
          <w:lang w:val="en-GB"/>
        </w:rPr>
        <w:t xml:space="preserve">mixture of the others, so due to limitations of the dissertation’s extent, </w:t>
      </w:r>
      <w:r w:rsidR="009C0813" w:rsidRPr="0002056A">
        <w:rPr>
          <w:rFonts w:ascii="Georgia" w:hAnsi="Georgia" w:cs="Calibri"/>
          <w:lang w:val="en-GB"/>
        </w:rPr>
        <w:t xml:space="preserve">Annex </w:t>
      </w:r>
      <w:r w:rsidR="00555483" w:rsidRPr="0002056A">
        <w:rPr>
          <w:rFonts w:ascii="Georgia" w:hAnsi="Georgia" w:cs="Calibri"/>
          <w:lang w:val="en-GB"/>
        </w:rPr>
        <w:t>4</w:t>
      </w:r>
      <w:r w:rsidR="009C0813" w:rsidRPr="0002056A">
        <w:rPr>
          <w:rFonts w:ascii="Georgia" w:hAnsi="Georgia" w:cs="Calibri"/>
          <w:lang w:val="en-GB"/>
        </w:rPr>
        <w:t xml:space="preserve">a) </w:t>
      </w:r>
      <w:r w:rsidRPr="0002056A">
        <w:rPr>
          <w:rFonts w:ascii="Georgia" w:hAnsi="Georgia" w:cs="Calibri"/>
          <w:lang w:val="en-GB"/>
        </w:rPr>
        <w:t>concentrate</w:t>
      </w:r>
      <w:r w:rsidR="003640E8" w:rsidRPr="0002056A">
        <w:rPr>
          <w:rFonts w:ascii="Georgia" w:hAnsi="Georgia" w:cs="Calibri"/>
          <w:lang w:val="en-GB"/>
        </w:rPr>
        <w:t>s</w:t>
      </w:r>
      <w:r w:rsidRPr="0002056A">
        <w:rPr>
          <w:rFonts w:ascii="Georgia" w:hAnsi="Georgia" w:cs="Calibri"/>
          <w:lang w:val="en-GB"/>
        </w:rPr>
        <w:t xml:space="preserve"> only o</w:t>
      </w:r>
      <w:r w:rsidR="003640E8" w:rsidRPr="0002056A">
        <w:rPr>
          <w:rFonts w:ascii="Georgia" w:hAnsi="Georgia" w:cs="Calibri"/>
          <w:lang w:val="en-GB"/>
        </w:rPr>
        <w:t>n</w:t>
      </w:r>
      <w:r w:rsidRPr="0002056A">
        <w:rPr>
          <w:rFonts w:ascii="Georgia" w:hAnsi="Georgia" w:cs="Calibri"/>
          <w:lang w:val="en-GB"/>
        </w:rPr>
        <w:t xml:space="preserve"> the first four countries. </w:t>
      </w:r>
    </w:p>
    <w:p w14:paraId="3D461B25" w14:textId="54852F65" w:rsidR="004E4820" w:rsidRPr="0002056A" w:rsidRDefault="004E4820" w:rsidP="00596939">
      <w:pPr>
        <w:spacing w:before="120" w:after="120"/>
        <w:jc w:val="both"/>
        <w:rPr>
          <w:rFonts w:ascii="Georgia" w:hAnsi="Georgia" w:cs="Calibri"/>
          <w:lang w:val="en-GB"/>
        </w:rPr>
      </w:pPr>
      <w:r w:rsidRPr="0002056A">
        <w:rPr>
          <w:rFonts w:ascii="Georgia" w:hAnsi="Georgia" w:cs="Calibri"/>
          <w:lang w:val="en-GB"/>
        </w:rPr>
        <w:t xml:space="preserve">Almost all of the </w:t>
      </w:r>
      <w:r w:rsidRPr="0002056A">
        <w:rPr>
          <w:rFonts w:ascii="Georgia" w:hAnsi="Georgia" w:cs="Calibri"/>
          <w:b/>
          <w:bCs/>
          <w:lang w:val="en-GB"/>
        </w:rPr>
        <w:t>Northern</w:t>
      </w:r>
      <w:r w:rsidR="003640E8" w:rsidRPr="0002056A">
        <w:rPr>
          <w:rFonts w:ascii="Georgia" w:hAnsi="Georgia" w:cs="Calibri"/>
          <w:b/>
          <w:bCs/>
          <w:lang w:val="en-GB"/>
        </w:rPr>
        <w:t>-</w:t>
      </w:r>
      <w:r w:rsidRPr="0002056A">
        <w:rPr>
          <w:rFonts w:ascii="Georgia" w:hAnsi="Georgia" w:cs="Calibri"/>
          <w:b/>
          <w:bCs/>
          <w:lang w:val="en-GB"/>
        </w:rPr>
        <w:t>European countries</w:t>
      </w:r>
      <w:r w:rsidRPr="0002056A">
        <w:rPr>
          <w:rFonts w:ascii="Georgia" w:hAnsi="Georgia" w:cs="Calibri"/>
          <w:lang w:val="en-GB"/>
        </w:rPr>
        <w:t xml:space="preserve"> (with the exclusion of Iceland) performed well in the comparative analysis, positioning themselves in the upper ranks of the final spatial sensitivity list, showing good results particularly </w:t>
      </w:r>
      <w:r w:rsidRPr="0002056A">
        <w:rPr>
          <w:rFonts w:ascii="Georgia" w:hAnsi="Georgia" w:cs="Calibri"/>
          <w:i/>
          <w:iCs/>
          <w:lang w:val="en-GB"/>
        </w:rPr>
        <w:t xml:space="preserve">in international spatial perspectives </w:t>
      </w:r>
      <w:r w:rsidRPr="0002056A">
        <w:rPr>
          <w:rFonts w:ascii="Georgia" w:hAnsi="Georgia" w:cs="Calibri"/>
          <w:lang w:val="en-GB"/>
        </w:rPr>
        <w:t>and</w:t>
      </w:r>
      <w:r w:rsidRPr="0002056A">
        <w:rPr>
          <w:rFonts w:ascii="Georgia" w:hAnsi="Georgia" w:cs="Calibri"/>
          <w:i/>
          <w:iCs/>
          <w:lang w:val="en-GB"/>
        </w:rPr>
        <w:t xml:space="preserve"> coherence with regional development priorities</w:t>
      </w:r>
      <w:r w:rsidRPr="0002056A">
        <w:rPr>
          <w:rFonts w:ascii="Georgia" w:hAnsi="Georgia" w:cs="Calibri"/>
          <w:lang w:val="en-GB"/>
        </w:rPr>
        <w:t xml:space="preserve"> as well as in their </w:t>
      </w:r>
      <w:r w:rsidRPr="0002056A">
        <w:rPr>
          <w:rFonts w:ascii="Georgia" w:hAnsi="Georgia" w:cs="Calibri"/>
          <w:i/>
          <w:iCs/>
          <w:lang w:val="en-GB"/>
        </w:rPr>
        <w:t>objective system’s spatiality</w:t>
      </w:r>
      <w:r w:rsidRPr="0002056A">
        <w:rPr>
          <w:rFonts w:ascii="Georgia" w:hAnsi="Georgia" w:cs="Calibri"/>
          <w:lang w:val="en-GB"/>
        </w:rPr>
        <w:t xml:space="preserve">. </w:t>
      </w:r>
      <w:r w:rsidR="001215C3" w:rsidRPr="0002056A">
        <w:rPr>
          <w:rFonts w:ascii="Georgia" w:hAnsi="Georgia" w:cs="Calibri"/>
          <w:lang w:val="en-GB"/>
        </w:rPr>
        <w:t xml:space="preserve">Annex </w:t>
      </w:r>
      <w:r w:rsidR="00555483" w:rsidRPr="0002056A">
        <w:rPr>
          <w:rFonts w:ascii="Georgia" w:hAnsi="Georgia" w:cs="Calibri"/>
          <w:lang w:val="en-GB"/>
        </w:rPr>
        <w:t>4</w:t>
      </w:r>
      <w:r w:rsidR="001215C3" w:rsidRPr="0002056A">
        <w:rPr>
          <w:rFonts w:ascii="Georgia" w:hAnsi="Georgia" w:cs="Calibri"/>
          <w:lang w:val="en-GB"/>
        </w:rPr>
        <w:t xml:space="preserve">b) presents the case of </w:t>
      </w:r>
      <w:r w:rsidR="001215C3" w:rsidRPr="0002056A">
        <w:rPr>
          <w:rFonts w:ascii="Georgia" w:hAnsi="Georgia" w:cs="Calibri"/>
          <w:b/>
          <w:bCs/>
          <w:i/>
          <w:iCs/>
          <w:lang w:val="en-GB"/>
        </w:rPr>
        <w:t xml:space="preserve">Sweden, Finland </w:t>
      </w:r>
      <w:r w:rsidR="001215C3" w:rsidRPr="0002056A">
        <w:rPr>
          <w:rFonts w:ascii="Georgia" w:hAnsi="Georgia" w:cs="Calibri"/>
          <w:lang w:val="en-GB"/>
        </w:rPr>
        <w:t xml:space="preserve">and </w:t>
      </w:r>
      <w:r w:rsidR="001215C3" w:rsidRPr="0002056A">
        <w:rPr>
          <w:rFonts w:ascii="Georgia" w:hAnsi="Georgia" w:cs="Calibri"/>
          <w:b/>
          <w:bCs/>
          <w:i/>
          <w:iCs/>
          <w:lang w:val="en-GB"/>
        </w:rPr>
        <w:t>Norway</w:t>
      </w:r>
      <w:r w:rsidR="001215C3" w:rsidRPr="0002056A">
        <w:rPr>
          <w:rFonts w:ascii="Georgia" w:hAnsi="Georgia" w:cs="Calibri"/>
          <w:lang w:val="en-GB"/>
        </w:rPr>
        <w:t xml:space="preserve"> as the </w:t>
      </w:r>
      <w:r w:rsidR="00820DBC" w:rsidRPr="0002056A">
        <w:rPr>
          <w:rFonts w:ascii="Georgia" w:hAnsi="Georgia" w:cs="Calibri"/>
          <w:lang w:val="en-GB"/>
        </w:rPr>
        <w:t>three</w:t>
      </w:r>
      <w:r w:rsidR="001215C3" w:rsidRPr="0002056A">
        <w:rPr>
          <w:rFonts w:ascii="Georgia" w:hAnsi="Georgia" w:cs="Calibri"/>
          <w:lang w:val="en-GB"/>
        </w:rPr>
        <w:t xml:space="preserve"> strongest </w:t>
      </w:r>
      <w:r w:rsidR="00BA0605" w:rsidRPr="0002056A">
        <w:rPr>
          <w:rFonts w:ascii="Georgia" w:hAnsi="Georgia" w:cs="Calibri"/>
          <w:lang w:val="en-GB"/>
        </w:rPr>
        <w:t>performer</w:t>
      </w:r>
      <w:r w:rsidR="00C474A9" w:rsidRPr="0002056A">
        <w:rPr>
          <w:rFonts w:ascii="Georgia" w:hAnsi="Georgia" w:cs="Calibri"/>
          <w:lang w:val="en-GB"/>
        </w:rPr>
        <w:t>s</w:t>
      </w:r>
      <w:r w:rsidR="00BA0605" w:rsidRPr="0002056A">
        <w:rPr>
          <w:rFonts w:ascii="Georgia" w:hAnsi="Georgia" w:cs="Calibri"/>
          <w:lang w:val="en-GB"/>
        </w:rPr>
        <w:t xml:space="preserve"> from the </w:t>
      </w:r>
      <w:r w:rsidR="00820DBC" w:rsidRPr="0002056A">
        <w:rPr>
          <w:rFonts w:ascii="Georgia" w:hAnsi="Georgia" w:cs="Calibri"/>
          <w:lang w:val="en-GB"/>
        </w:rPr>
        <w:t xml:space="preserve">macro </w:t>
      </w:r>
      <w:r w:rsidR="00BA0605" w:rsidRPr="0002056A">
        <w:rPr>
          <w:rFonts w:ascii="Georgia" w:hAnsi="Georgia" w:cs="Calibri"/>
          <w:lang w:val="en-GB"/>
        </w:rPr>
        <w:t>region.</w:t>
      </w:r>
    </w:p>
    <w:p w14:paraId="458C1D81" w14:textId="14E34825" w:rsidR="004E4820" w:rsidRPr="0002056A" w:rsidRDefault="004E4820" w:rsidP="00596939">
      <w:pPr>
        <w:spacing w:before="120" w:after="120"/>
        <w:jc w:val="both"/>
        <w:rPr>
          <w:rFonts w:ascii="Georgia" w:hAnsi="Georgia"/>
          <w:lang w:val="en-GB"/>
        </w:rPr>
      </w:pPr>
      <w:r w:rsidRPr="0002056A">
        <w:rPr>
          <w:rFonts w:ascii="Georgia" w:hAnsi="Georgia"/>
          <w:b/>
          <w:bCs/>
          <w:lang w:val="en-GB"/>
        </w:rPr>
        <w:t>The Mediterranean area’s countries</w:t>
      </w:r>
      <w:r w:rsidRPr="0002056A">
        <w:rPr>
          <w:rFonts w:ascii="Georgia" w:hAnsi="Georgia"/>
          <w:lang w:val="en-GB"/>
        </w:rPr>
        <w:t xml:space="preserve"> show mixed results in the analysis. The bigger ones (</w:t>
      </w:r>
      <w:r w:rsidRPr="0002056A">
        <w:rPr>
          <w:rFonts w:ascii="Georgia" w:hAnsi="Georgia"/>
          <w:i/>
          <w:iCs/>
          <w:lang w:val="en-GB"/>
        </w:rPr>
        <w:t>Türkiye, Spain, Greece, Italy, Portugal</w:t>
      </w:r>
      <w:r w:rsidRPr="0002056A">
        <w:rPr>
          <w:rFonts w:ascii="Georgia" w:hAnsi="Georgia"/>
          <w:lang w:val="en-GB"/>
        </w:rPr>
        <w:t>) present remarkable results in their</w:t>
      </w:r>
      <w:r w:rsidRPr="0002056A">
        <w:rPr>
          <w:rFonts w:ascii="Georgia" w:hAnsi="Georgia"/>
          <w:i/>
          <w:iCs/>
          <w:lang w:val="en-GB"/>
        </w:rPr>
        <w:t xml:space="preserve"> situation analyses’ spatial approach</w:t>
      </w:r>
      <w:r w:rsidRPr="0002056A">
        <w:rPr>
          <w:rFonts w:ascii="Georgia" w:hAnsi="Georgia"/>
          <w:lang w:val="en-GB"/>
        </w:rPr>
        <w:t xml:space="preserve"> or in their </w:t>
      </w:r>
      <w:r w:rsidRPr="0002056A">
        <w:rPr>
          <w:rFonts w:ascii="Georgia" w:hAnsi="Georgia"/>
          <w:i/>
          <w:iCs/>
          <w:lang w:val="en-GB"/>
        </w:rPr>
        <w:t>objective systems’ spatial emphases</w:t>
      </w:r>
      <w:r w:rsidRPr="0002056A">
        <w:rPr>
          <w:rFonts w:ascii="Georgia" w:hAnsi="Georgia"/>
          <w:lang w:val="en-GB"/>
        </w:rPr>
        <w:t>; meanwhile the smaller ones (</w:t>
      </w:r>
      <w:r w:rsidRPr="0002056A">
        <w:rPr>
          <w:rFonts w:ascii="Georgia" w:hAnsi="Georgia"/>
          <w:i/>
          <w:iCs/>
          <w:lang w:val="en-GB"/>
        </w:rPr>
        <w:t>Malta, Cyprus</w:t>
      </w:r>
      <w:r w:rsidRPr="0002056A">
        <w:rPr>
          <w:rFonts w:ascii="Georgia" w:hAnsi="Georgia"/>
          <w:lang w:val="en-GB"/>
        </w:rPr>
        <w:t xml:space="preserve"> or countries from the </w:t>
      </w:r>
      <w:r w:rsidRPr="0002056A">
        <w:rPr>
          <w:rFonts w:ascii="Georgia" w:hAnsi="Georgia"/>
          <w:i/>
          <w:iCs/>
          <w:lang w:val="en-GB"/>
        </w:rPr>
        <w:t>Southern Balkan</w:t>
      </w:r>
      <w:r w:rsidRPr="0002056A">
        <w:rPr>
          <w:rFonts w:ascii="Georgia" w:hAnsi="Georgia"/>
          <w:lang w:val="en-GB"/>
        </w:rPr>
        <w:t xml:space="preserve">) performed rather generally weakly. </w:t>
      </w:r>
      <w:r w:rsidR="00BA0605" w:rsidRPr="0002056A">
        <w:rPr>
          <w:rFonts w:ascii="Georgia" w:hAnsi="Georgia"/>
          <w:lang w:val="en-GB"/>
        </w:rPr>
        <w:t xml:space="preserve">Annex </w:t>
      </w:r>
      <w:r w:rsidR="00555483" w:rsidRPr="0002056A">
        <w:rPr>
          <w:rFonts w:ascii="Georgia" w:hAnsi="Georgia"/>
          <w:lang w:val="en-GB"/>
        </w:rPr>
        <w:t>4</w:t>
      </w:r>
      <w:r w:rsidR="00BA0605" w:rsidRPr="0002056A">
        <w:rPr>
          <w:rFonts w:ascii="Georgia" w:hAnsi="Georgia"/>
          <w:lang w:val="en-GB"/>
        </w:rPr>
        <w:t>c)</w:t>
      </w:r>
      <w:r w:rsidRPr="0002056A">
        <w:rPr>
          <w:rFonts w:ascii="Georgia" w:hAnsi="Georgia"/>
          <w:lang w:val="en-GB"/>
        </w:rPr>
        <w:t xml:space="preserve"> </w:t>
      </w:r>
      <w:r w:rsidR="00BA0605" w:rsidRPr="0002056A">
        <w:rPr>
          <w:rFonts w:ascii="Georgia" w:hAnsi="Georgia"/>
          <w:lang w:val="en-GB"/>
        </w:rPr>
        <w:t>introduces</w:t>
      </w:r>
      <w:r w:rsidRPr="0002056A">
        <w:rPr>
          <w:rFonts w:ascii="Georgia" w:hAnsi="Georgia"/>
          <w:lang w:val="en-GB"/>
        </w:rPr>
        <w:t xml:space="preserve"> two outstanding practices, </w:t>
      </w:r>
      <w:r w:rsidR="00BA0605" w:rsidRPr="0002056A">
        <w:rPr>
          <w:rFonts w:ascii="Georgia" w:hAnsi="Georgia"/>
          <w:b/>
          <w:bCs/>
          <w:i/>
          <w:iCs/>
          <w:lang w:val="en-GB"/>
        </w:rPr>
        <w:t>Türkiye</w:t>
      </w:r>
      <w:r w:rsidR="00BA0605" w:rsidRPr="0002056A">
        <w:rPr>
          <w:rFonts w:ascii="Georgia" w:hAnsi="Georgia"/>
          <w:lang w:val="en-GB"/>
        </w:rPr>
        <w:t xml:space="preserve"> and </w:t>
      </w:r>
      <w:r w:rsidR="00BA0605" w:rsidRPr="0002056A">
        <w:rPr>
          <w:rFonts w:ascii="Georgia" w:hAnsi="Georgia"/>
          <w:b/>
          <w:bCs/>
          <w:i/>
          <w:iCs/>
          <w:lang w:val="en-GB"/>
        </w:rPr>
        <w:t>Spain</w:t>
      </w:r>
      <w:r w:rsidR="00BA0605" w:rsidRPr="0002056A">
        <w:rPr>
          <w:rFonts w:ascii="Georgia" w:hAnsi="Georgia"/>
          <w:lang w:val="en-GB"/>
        </w:rPr>
        <w:t xml:space="preserve">; </w:t>
      </w:r>
      <w:r w:rsidRPr="0002056A">
        <w:rPr>
          <w:rFonts w:ascii="Georgia" w:hAnsi="Georgia"/>
          <w:lang w:val="en-GB"/>
        </w:rPr>
        <w:t xml:space="preserve">but we must note, that instead of Spain </w:t>
      </w:r>
      <w:r w:rsidRPr="0002056A">
        <w:rPr>
          <w:rFonts w:ascii="Georgia" w:hAnsi="Georgia"/>
          <w:i/>
          <w:iCs/>
          <w:lang w:val="en-GB"/>
        </w:rPr>
        <w:t xml:space="preserve">Italy, Portugal </w:t>
      </w:r>
      <w:r w:rsidRPr="0002056A">
        <w:rPr>
          <w:rFonts w:ascii="Georgia" w:hAnsi="Georgia"/>
          <w:lang w:val="en-GB"/>
        </w:rPr>
        <w:t xml:space="preserve">or </w:t>
      </w:r>
      <w:r w:rsidRPr="0002056A">
        <w:rPr>
          <w:rFonts w:ascii="Georgia" w:hAnsi="Georgia"/>
          <w:i/>
          <w:iCs/>
          <w:lang w:val="en-GB"/>
        </w:rPr>
        <w:t>Greece</w:t>
      </w:r>
      <w:r w:rsidRPr="0002056A">
        <w:rPr>
          <w:rFonts w:ascii="Georgia" w:hAnsi="Georgia"/>
          <w:lang w:val="en-GB"/>
        </w:rPr>
        <w:t xml:space="preserve"> also could have been a proper example, but due to </w:t>
      </w:r>
      <w:r w:rsidR="00B338F3" w:rsidRPr="0002056A">
        <w:rPr>
          <w:rFonts w:ascii="Georgia" w:hAnsi="Georgia"/>
          <w:lang w:val="en-GB"/>
        </w:rPr>
        <w:t xml:space="preserve">the </w:t>
      </w:r>
      <w:r w:rsidRPr="0002056A">
        <w:rPr>
          <w:rFonts w:ascii="Georgia" w:hAnsi="Georgia"/>
          <w:lang w:val="en-GB"/>
        </w:rPr>
        <w:t xml:space="preserve">strict length constraints, we include only Spain </w:t>
      </w:r>
      <w:r w:rsidR="00B338F3" w:rsidRPr="0002056A">
        <w:rPr>
          <w:rFonts w:ascii="Georgia" w:hAnsi="Georgia"/>
          <w:lang w:val="en-GB"/>
        </w:rPr>
        <w:t>in addition to</w:t>
      </w:r>
      <w:r w:rsidRPr="0002056A">
        <w:rPr>
          <w:rFonts w:ascii="Georgia" w:hAnsi="Georgia"/>
          <w:lang w:val="en-GB"/>
        </w:rPr>
        <w:t xml:space="preserve"> Türkiye in the </w:t>
      </w:r>
      <w:r w:rsidR="00112F4C" w:rsidRPr="0002056A">
        <w:rPr>
          <w:rFonts w:ascii="Georgia" w:hAnsi="Georgia"/>
          <w:lang w:val="en-GB"/>
        </w:rPr>
        <w:t xml:space="preserve">respective </w:t>
      </w:r>
      <w:r w:rsidR="00593E37" w:rsidRPr="0002056A">
        <w:rPr>
          <w:rFonts w:ascii="Georgia" w:hAnsi="Georgia"/>
          <w:lang w:val="en-GB"/>
        </w:rPr>
        <w:t xml:space="preserve">Annex </w:t>
      </w:r>
      <w:r w:rsidRPr="0002056A">
        <w:rPr>
          <w:rFonts w:ascii="Georgia" w:hAnsi="Georgia"/>
          <w:lang w:val="en-GB"/>
        </w:rPr>
        <w:t xml:space="preserve">chapter. </w:t>
      </w:r>
    </w:p>
    <w:p w14:paraId="2B54A725" w14:textId="661D175C" w:rsidR="004E4820" w:rsidRPr="0002056A" w:rsidRDefault="004E4820" w:rsidP="00E92418">
      <w:pPr>
        <w:spacing w:before="120" w:after="120"/>
        <w:jc w:val="both"/>
        <w:rPr>
          <w:rFonts w:ascii="Georgia" w:hAnsi="Georgia"/>
          <w:lang w:val="en-GB"/>
        </w:rPr>
      </w:pPr>
      <w:r w:rsidRPr="0002056A">
        <w:rPr>
          <w:rFonts w:ascii="Georgia" w:hAnsi="Georgia"/>
          <w:lang w:val="en-GB"/>
        </w:rPr>
        <w:t xml:space="preserve">We find most of the </w:t>
      </w:r>
      <w:r w:rsidRPr="0002056A">
        <w:rPr>
          <w:rFonts w:ascii="Georgia" w:hAnsi="Georgia"/>
          <w:b/>
          <w:bCs/>
          <w:lang w:val="en-GB"/>
        </w:rPr>
        <w:t>Eastern-Central-European countries</w:t>
      </w:r>
      <w:r w:rsidRPr="0002056A">
        <w:rPr>
          <w:rFonts w:ascii="Georgia" w:hAnsi="Georgia"/>
          <w:lang w:val="en-GB"/>
        </w:rPr>
        <w:t xml:space="preserve"> in the second and third categories. The two best-performing states, </w:t>
      </w:r>
      <w:r w:rsidR="00F66F3A" w:rsidRPr="0002056A">
        <w:rPr>
          <w:rFonts w:ascii="Georgia" w:hAnsi="Georgia"/>
          <w:lang w:val="en-GB"/>
        </w:rPr>
        <w:t xml:space="preserve">presented by Annex </w:t>
      </w:r>
      <w:r w:rsidR="00555483" w:rsidRPr="0002056A">
        <w:rPr>
          <w:rFonts w:ascii="Georgia" w:hAnsi="Georgia"/>
          <w:lang w:val="en-GB"/>
        </w:rPr>
        <w:t>4</w:t>
      </w:r>
      <w:r w:rsidR="00F66F3A" w:rsidRPr="0002056A">
        <w:rPr>
          <w:rFonts w:ascii="Georgia" w:hAnsi="Georgia"/>
          <w:lang w:val="en-GB"/>
        </w:rPr>
        <w:t xml:space="preserve">d), </w:t>
      </w:r>
      <w:r w:rsidRPr="0002056A">
        <w:rPr>
          <w:rFonts w:ascii="Georgia" w:hAnsi="Georgia"/>
          <w:b/>
          <w:bCs/>
          <w:i/>
          <w:iCs/>
          <w:lang w:val="en-GB"/>
        </w:rPr>
        <w:t>Poland</w:t>
      </w:r>
      <w:r w:rsidRPr="0002056A">
        <w:rPr>
          <w:rFonts w:ascii="Georgia" w:hAnsi="Georgia"/>
          <w:lang w:val="en-GB"/>
        </w:rPr>
        <w:t xml:space="preserve"> and </w:t>
      </w:r>
      <w:r w:rsidRPr="0002056A">
        <w:rPr>
          <w:rFonts w:ascii="Georgia" w:hAnsi="Georgia"/>
          <w:b/>
          <w:bCs/>
          <w:i/>
          <w:iCs/>
          <w:lang w:val="en-GB"/>
        </w:rPr>
        <w:t>Hungary</w:t>
      </w:r>
      <w:r w:rsidRPr="0002056A">
        <w:rPr>
          <w:rFonts w:ascii="Georgia" w:hAnsi="Georgia"/>
          <w:lang w:val="en-GB"/>
        </w:rPr>
        <w:t xml:space="preserve"> </w:t>
      </w:r>
      <w:r w:rsidRPr="0002056A">
        <w:rPr>
          <w:rFonts w:ascii="Georgia" w:hAnsi="Georgia"/>
          <w:lang w:val="en-GB"/>
        </w:rPr>
        <w:lastRenderedPageBreak/>
        <w:t xml:space="preserve">stand out of the others mainly with their </w:t>
      </w:r>
      <w:r w:rsidRPr="0002056A">
        <w:rPr>
          <w:rFonts w:ascii="Georgia" w:hAnsi="Georgia"/>
          <w:i/>
          <w:iCs/>
          <w:lang w:val="en-GB"/>
        </w:rPr>
        <w:t>situation analyses’ spatial performances</w:t>
      </w:r>
      <w:r w:rsidRPr="0002056A">
        <w:rPr>
          <w:rFonts w:ascii="Georgia" w:hAnsi="Georgia"/>
          <w:lang w:val="en-GB"/>
        </w:rPr>
        <w:t xml:space="preserve">: </w:t>
      </w:r>
      <w:r w:rsidRPr="0002056A">
        <w:rPr>
          <w:rFonts w:ascii="Georgia" w:hAnsi="Georgia"/>
          <w:i/>
          <w:iCs/>
          <w:lang w:val="en-GB"/>
        </w:rPr>
        <w:t xml:space="preserve">space phraseology, map content </w:t>
      </w:r>
      <w:r w:rsidRPr="0002056A">
        <w:rPr>
          <w:rFonts w:ascii="Georgia" w:hAnsi="Georgia"/>
          <w:lang w:val="en-GB"/>
        </w:rPr>
        <w:t xml:space="preserve">and </w:t>
      </w:r>
      <w:r w:rsidRPr="0002056A">
        <w:rPr>
          <w:rFonts w:ascii="Georgia" w:hAnsi="Georgia"/>
          <w:i/>
          <w:iCs/>
          <w:lang w:val="en-GB"/>
        </w:rPr>
        <w:t>other spatially relevant topics emerge</w:t>
      </w:r>
      <w:r w:rsidRPr="0002056A">
        <w:rPr>
          <w:rFonts w:ascii="Georgia" w:hAnsi="Georgia"/>
          <w:lang w:val="en-GB"/>
        </w:rPr>
        <w:t xml:space="preserve"> relatively frequently in the evidence-seeking parts of the NAS documents</w:t>
      </w:r>
      <w:r w:rsidR="00555FDF" w:rsidRPr="0002056A">
        <w:rPr>
          <w:rFonts w:ascii="Georgia" w:hAnsi="Georgia"/>
          <w:lang w:val="en-GB"/>
        </w:rPr>
        <w:t>.</w:t>
      </w:r>
      <w:r w:rsidRPr="0002056A">
        <w:rPr>
          <w:rFonts w:ascii="Georgia" w:hAnsi="Georgia"/>
          <w:lang w:val="en-GB"/>
        </w:rPr>
        <w:t xml:space="preserve"> Hungary presents a particularly great example in GIS-based decision support activities, too, in the form of its NAGiS system</w:t>
      </w:r>
      <w:r w:rsidR="00555FDF" w:rsidRPr="0002056A">
        <w:rPr>
          <w:rFonts w:ascii="Georgia" w:hAnsi="Georgia"/>
          <w:lang w:val="en-GB"/>
        </w:rPr>
        <w:t>, which could be considered as a benchmark solution even in European terms</w:t>
      </w:r>
      <w:r w:rsidRPr="0002056A">
        <w:rPr>
          <w:rFonts w:ascii="Georgia" w:hAnsi="Georgia"/>
          <w:lang w:val="en-GB"/>
        </w:rPr>
        <w:t>.</w:t>
      </w:r>
    </w:p>
    <w:p w14:paraId="495F2D5B" w14:textId="010F6064" w:rsidR="00EC2DEA" w:rsidRPr="0002056A" w:rsidRDefault="00171CF7" w:rsidP="00214BD9">
      <w:pPr>
        <w:pStyle w:val="Cmsor1"/>
        <w:numPr>
          <w:ilvl w:val="0"/>
          <w:numId w:val="10"/>
        </w:numPr>
        <w:rPr>
          <w:rFonts w:asciiTheme="minorHAnsi" w:hAnsiTheme="minorHAnsi" w:cstheme="minorHAnsi"/>
          <w:lang w:val="en-GB"/>
        </w:rPr>
      </w:pPr>
      <w:bookmarkStart w:id="49" w:name="_Toc225578866"/>
      <w:r w:rsidRPr="0002056A">
        <w:rPr>
          <w:rFonts w:asciiTheme="minorHAnsi" w:hAnsiTheme="minorHAnsi" w:cstheme="minorHAnsi"/>
          <w:lang w:val="en-GB"/>
        </w:rPr>
        <w:t>C</w:t>
      </w:r>
      <w:r w:rsidR="00893027" w:rsidRPr="0002056A">
        <w:rPr>
          <w:rFonts w:asciiTheme="minorHAnsi" w:hAnsiTheme="minorHAnsi" w:cstheme="minorHAnsi"/>
          <w:lang w:val="en-GB"/>
        </w:rPr>
        <w:t>onclusions</w:t>
      </w:r>
      <w:r w:rsidRPr="0002056A">
        <w:rPr>
          <w:rFonts w:asciiTheme="minorHAnsi" w:hAnsiTheme="minorHAnsi" w:cstheme="minorHAnsi"/>
          <w:lang w:val="en-GB"/>
        </w:rPr>
        <w:t xml:space="preserve"> and discussion</w:t>
      </w:r>
      <w:bookmarkEnd w:id="49"/>
      <w:r w:rsidRPr="0002056A">
        <w:rPr>
          <w:rFonts w:asciiTheme="minorHAnsi" w:hAnsiTheme="minorHAnsi" w:cstheme="minorHAnsi"/>
          <w:lang w:val="en-GB"/>
        </w:rPr>
        <w:t xml:space="preserve"> </w:t>
      </w:r>
    </w:p>
    <w:p w14:paraId="4E8F0039" w14:textId="264D8DC1" w:rsidR="00F72D5D" w:rsidRPr="0002056A" w:rsidRDefault="00F72D5D" w:rsidP="00F00409">
      <w:pPr>
        <w:spacing w:before="120" w:after="120"/>
        <w:jc w:val="both"/>
        <w:rPr>
          <w:rFonts w:ascii="Georgia" w:hAnsi="Georgia"/>
          <w:lang w:val="en-GB"/>
        </w:rPr>
      </w:pPr>
      <w:r w:rsidRPr="0002056A">
        <w:rPr>
          <w:rFonts w:ascii="Georgia" w:hAnsi="Georgia"/>
          <w:lang w:val="en-GB"/>
        </w:rPr>
        <w:t xml:space="preserve">This final chapter of the dissertation summarizes </w:t>
      </w:r>
      <w:r w:rsidR="005C3E59" w:rsidRPr="0002056A">
        <w:rPr>
          <w:rFonts w:ascii="Georgia" w:hAnsi="Georgia"/>
          <w:lang w:val="en-GB"/>
        </w:rPr>
        <w:t xml:space="preserve">and structures </w:t>
      </w:r>
      <w:r w:rsidR="00DA34A3" w:rsidRPr="0002056A">
        <w:rPr>
          <w:rFonts w:ascii="Georgia" w:hAnsi="Georgia"/>
          <w:lang w:val="en-GB"/>
        </w:rPr>
        <w:t xml:space="preserve">of the outcomes. Based on </w:t>
      </w:r>
      <w:r w:rsidRPr="0002056A">
        <w:rPr>
          <w:rFonts w:ascii="Georgia" w:hAnsi="Georgia"/>
          <w:lang w:val="en-GB"/>
        </w:rPr>
        <w:t xml:space="preserve">the main results of </w:t>
      </w:r>
      <w:r w:rsidR="005C3E59" w:rsidRPr="0002056A">
        <w:rPr>
          <w:rFonts w:ascii="Georgia" w:hAnsi="Georgia"/>
          <w:lang w:val="en-GB"/>
        </w:rPr>
        <w:t>the</w:t>
      </w:r>
      <w:r w:rsidRPr="0002056A">
        <w:rPr>
          <w:rFonts w:ascii="Georgia" w:hAnsi="Georgia"/>
          <w:lang w:val="en-GB"/>
        </w:rPr>
        <w:t xml:space="preserve"> literature review and the empirical </w:t>
      </w:r>
      <w:r w:rsidR="00216AD0" w:rsidRPr="0002056A">
        <w:rPr>
          <w:rFonts w:ascii="Georgia" w:hAnsi="Georgia"/>
          <w:lang w:val="en-GB"/>
        </w:rPr>
        <w:t>work phase</w:t>
      </w:r>
      <w:r w:rsidR="00DA34A3" w:rsidRPr="0002056A">
        <w:rPr>
          <w:rFonts w:ascii="Georgia" w:hAnsi="Georgia"/>
          <w:lang w:val="en-GB"/>
        </w:rPr>
        <w:t>, the</w:t>
      </w:r>
      <w:r w:rsidR="003E3B36" w:rsidRPr="0002056A">
        <w:rPr>
          <w:rFonts w:ascii="Georgia" w:hAnsi="Georgia"/>
          <w:lang w:val="en-GB"/>
        </w:rPr>
        <w:t xml:space="preserve"> first </w:t>
      </w:r>
      <w:r w:rsidR="00BC3527" w:rsidRPr="0002056A">
        <w:rPr>
          <w:rFonts w:ascii="Georgia" w:hAnsi="Georgia"/>
          <w:lang w:val="en-GB"/>
        </w:rPr>
        <w:t>subchapter</w:t>
      </w:r>
      <w:r w:rsidR="003E3B36" w:rsidRPr="0002056A">
        <w:rPr>
          <w:rFonts w:ascii="Georgia" w:hAnsi="Georgia"/>
          <w:lang w:val="en-GB"/>
        </w:rPr>
        <w:t xml:space="preserve"> </w:t>
      </w:r>
      <w:r w:rsidR="00DA34A3" w:rsidRPr="0002056A">
        <w:rPr>
          <w:rFonts w:ascii="Georgia" w:hAnsi="Georgia"/>
          <w:lang w:val="en-GB"/>
        </w:rPr>
        <w:t>answers</w:t>
      </w:r>
      <w:r w:rsidR="00E70B72" w:rsidRPr="0002056A">
        <w:rPr>
          <w:rFonts w:ascii="Georgia" w:hAnsi="Georgia"/>
          <w:lang w:val="en-GB"/>
        </w:rPr>
        <w:t xml:space="preserve"> </w:t>
      </w:r>
      <w:r w:rsidR="00DA34A3" w:rsidRPr="0002056A">
        <w:rPr>
          <w:rFonts w:ascii="Georgia" w:hAnsi="Georgia"/>
          <w:lang w:val="en-GB"/>
        </w:rPr>
        <w:t xml:space="preserve">the dissertation’s </w:t>
      </w:r>
      <w:r w:rsidR="00E70B72" w:rsidRPr="0002056A">
        <w:rPr>
          <w:rFonts w:ascii="Georgia" w:hAnsi="Georgia"/>
          <w:lang w:val="en-GB"/>
        </w:rPr>
        <w:t xml:space="preserve">research questions. </w:t>
      </w:r>
      <w:r w:rsidR="004016F7" w:rsidRPr="0002056A">
        <w:rPr>
          <w:rFonts w:ascii="Georgia" w:hAnsi="Georgia"/>
          <w:lang w:val="en-GB"/>
        </w:rPr>
        <w:t>In the s</w:t>
      </w:r>
      <w:r w:rsidR="00E70B72" w:rsidRPr="0002056A">
        <w:rPr>
          <w:rFonts w:ascii="Georgia" w:hAnsi="Georgia"/>
          <w:lang w:val="en-GB"/>
        </w:rPr>
        <w:t>econd</w:t>
      </w:r>
      <w:r w:rsidR="004016F7" w:rsidRPr="0002056A">
        <w:rPr>
          <w:rFonts w:ascii="Georgia" w:hAnsi="Georgia"/>
          <w:lang w:val="en-GB"/>
        </w:rPr>
        <w:t xml:space="preserve"> subchapter</w:t>
      </w:r>
      <w:r w:rsidR="00E70B72" w:rsidRPr="0002056A">
        <w:rPr>
          <w:rFonts w:ascii="Georgia" w:hAnsi="Georgia"/>
          <w:lang w:val="en-GB"/>
        </w:rPr>
        <w:t xml:space="preserve">, based on these answers, the </w:t>
      </w:r>
      <w:r w:rsidR="00570E45" w:rsidRPr="0002056A">
        <w:rPr>
          <w:rFonts w:ascii="Georgia" w:hAnsi="Georgia"/>
          <w:lang w:val="en-GB"/>
        </w:rPr>
        <w:t xml:space="preserve">main </w:t>
      </w:r>
      <w:r w:rsidR="00E70B72" w:rsidRPr="0002056A">
        <w:rPr>
          <w:rFonts w:ascii="Georgia" w:hAnsi="Georgia"/>
          <w:lang w:val="en-GB"/>
        </w:rPr>
        <w:t xml:space="preserve">conclusions are drawn, </w:t>
      </w:r>
      <w:r w:rsidR="00D92D7A" w:rsidRPr="0002056A">
        <w:rPr>
          <w:rFonts w:ascii="Georgia" w:hAnsi="Georgia"/>
          <w:lang w:val="en-GB"/>
        </w:rPr>
        <w:t>even</w:t>
      </w:r>
      <w:r w:rsidR="00570E45" w:rsidRPr="0002056A">
        <w:rPr>
          <w:rFonts w:ascii="Georgia" w:hAnsi="Georgia"/>
          <w:lang w:val="en-GB"/>
        </w:rPr>
        <w:t xml:space="preserve"> emphasizing</w:t>
      </w:r>
      <w:r w:rsidR="00D92D7A" w:rsidRPr="0002056A">
        <w:rPr>
          <w:rFonts w:ascii="Georgia" w:hAnsi="Georgia"/>
          <w:lang w:val="en-GB"/>
        </w:rPr>
        <w:t xml:space="preserve"> the new scientific results as well as the limits of the research</w:t>
      </w:r>
      <w:r w:rsidR="00D4133A" w:rsidRPr="0002056A">
        <w:rPr>
          <w:rFonts w:ascii="Georgia" w:hAnsi="Georgia"/>
          <w:lang w:val="en-GB"/>
        </w:rPr>
        <w:t>. M</w:t>
      </w:r>
      <w:r w:rsidR="00D92D7A" w:rsidRPr="0002056A">
        <w:rPr>
          <w:rFonts w:ascii="Georgia" w:hAnsi="Georgia"/>
          <w:lang w:val="en-GB"/>
        </w:rPr>
        <w:t>oreover, recommendations for further research directions</w:t>
      </w:r>
      <w:r w:rsidR="00291B69" w:rsidRPr="0002056A">
        <w:rPr>
          <w:rFonts w:ascii="Georgia" w:hAnsi="Georgia"/>
          <w:lang w:val="en-GB"/>
        </w:rPr>
        <w:t xml:space="preserve"> are also presented.</w:t>
      </w:r>
      <w:r w:rsidR="00E70B72" w:rsidRPr="0002056A">
        <w:rPr>
          <w:rFonts w:ascii="Georgia" w:hAnsi="Georgia"/>
          <w:lang w:val="en-GB"/>
        </w:rPr>
        <w:t xml:space="preserve"> </w:t>
      </w:r>
    </w:p>
    <w:p w14:paraId="7AAF4B26" w14:textId="393863AB" w:rsidR="00171CF7" w:rsidRPr="0002056A" w:rsidRDefault="00FA2C76" w:rsidP="00FA2C76">
      <w:pPr>
        <w:pStyle w:val="Cmsor2"/>
        <w:numPr>
          <w:ilvl w:val="1"/>
          <w:numId w:val="30"/>
        </w:numPr>
        <w:rPr>
          <w:rFonts w:asciiTheme="minorHAnsi" w:hAnsiTheme="minorHAnsi" w:cstheme="minorHAnsi"/>
          <w:b w:val="0"/>
          <w:bCs w:val="0"/>
          <w:i/>
          <w:iCs/>
          <w:lang w:val="en-GB"/>
        </w:rPr>
      </w:pPr>
      <w:bookmarkStart w:id="50" w:name="_Toc225578867"/>
      <w:r w:rsidRPr="0002056A">
        <w:rPr>
          <w:rFonts w:asciiTheme="minorHAnsi" w:hAnsiTheme="minorHAnsi" w:cstheme="minorHAnsi"/>
          <w:b w:val="0"/>
          <w:bCs w:val="0"/>
          <w:i/>
          <w:iCs/>
          <w:lang w:val="en-GB"/>
        </w:rPr>
        <w:t>A</w:t>
      </w:r>
      <w:r w:rsidR="00171CF7" w:rsidRPr="0002056A">
        <w:rPr>
          <w:rFonts w:asciiTheme="minorHAnsi" w:hAnsiTheme="minorHAnsi" w:cstheme="minorHAnsi"/>
          <w:b w:val="0"/>
          <w:bCs w:val="0"/>
          <w:i/>
          <w:iCs/>
          <w:lang w:val="en-GB"/>
        </w:rPr>
        <w:t xml:space="preserve">nswers to </w:t>
      </w:r>
      <w:r w:rsidR="00D4133A" w:rsidRPr="0002056A">
        <w:rPr>
          <w:rFonts w:asciiTheme="minorHAnsi" w:hAnsiTheme="minorHAnsi" w:cstheme="minorHAnsi"/>
          <w:b w:val="0"/>
          <w:bCs w:val="0"/>
          <w:i/>
          <w:iCs/>
          <w:lang w:val="en-GB"/>
        </w:rPr>
        <w:t xml:space="preserve">the </w:t>
      </w:r>
      <w:r w:rsidR="00171CF7" w:rsidRPr="0002056A">
        <w:rPr>
          <w:rFonts w:asciiTheme="minorHAnsi" w:hAnsiTheme="minorHAnsi" w:cstheme="minorHAnsi"/>
          <w:b w:val="0"/>
          <w:bCs w:val="0"/>
          <w:i/>
          <w:iCs/>
          <w:lang w:val="en-GB"/>
        </w:rPr>
        <w:t>research questions</w:t>
      </w:r>
      <w:bookmarkEnd w:id="50"/>
    </w:p>
    <w:p w14:paraId="3EBDF210" w14:textId="58B5B73D" w:rsidR="00570E45" w:rsidRPr="0002056A" w:rsidRDefault="00570E45" w:rsidP="00F00409">
      <w:pPr>
        <w:spacing w:before="120" w:after="120"/>
        <w:jc w:val="both"/>
        <w:rPr>
          <w:rFonts w:ascii="Georgia" w:hAnsi="Georgia"/>
          <w:lang w:val="en-GB"/>
        </w:rPr>
      </w:pPr>
      <w:r w:rsidRPr="0002056A">
        <w:rPr>
          <w:rFonts w:ascii="Georgia" w:hAnsi="Georgia"/>
          <w:lang w:val="en-GB"/>
        </w:rPr>
        <w:t>The dissertation’s sta</w:t>
      </w:r>
      <w:r w:rsidR="00D4133A" w:rsidRPr="0002056A">
        <w:rPr>
          <w:rFonts w:ascii="Georgia" w:hAnsi="Georgia"/>
          <w:lang w:val="en-GB"/>
        </w:rPr>
        <w:t>r</w:t>
      </w:r>
      <w:r w:rsidRPr="0002056A">
        <w:rPr>
          <w:rFonts w:ascii="Georgia" w:hAnsi="Georgia"/>
          <w:lang w:val="en-GB"/>
        </w:rPr>
        <w:t>ting points were the one main and five sub-questions</w:t>
      </w:r>
      <w:r w:rsidR="00AB5255" w:rsidRPr="0002056A">
        <w:rPr>
          <w:rFonts w:ascii="Georgia" w:hAnsi="Georgia"/>
          <w:lang w:val="en-GB"/>
        </w:rPr>
        <w:t xml:space="preserve"> introduced by Chapter 2.2.</w:t>
      </w:r>
      <w:r w:rsidRPr="0002056A">
        <w:rPr>
          <w:rFonts w:ascii="Georgia" w:hAnsi="Georgia"/>
          <w:lang w:val="en-GB"/>
        </w:rPr>
        <w:t xml:space="preserve"> </w:t>
      </w:r>
      <w:r w:rsidR="004A39E3" w:rsidRPr="0002056A">
        <w:rPr>
          <w:rFonts w:ascii="Georgia" w:hAnsi="Georgia"/>
          <w:lang w:val="en-GB"/>
        </w:rPr>
        <w:t>T</w:t>
      </w:r>
      <w:r w:rsidRPr="0002056A">
        <w:rPr>
          <w:rFonts w:ascii="Georgia" w:hAnsi="Georgia"/>
          <w:lang w:val="en-GB"/>
        </w:rPr>
        <w:t>he following</w:t>
      </w:r>
      <w:r w:rsidR="00AB5255" w:rsidRPr="0002056A">
        <w:rPr>
          <w:rFonts w:ascii="Georgia" w:hAnsi="Georgia"/>
          <w:lang w:val="en-GB"/>
        </w:rPr>
        <w:t xml:space="preserve"> pages</w:t>
      </w:r>
      <w:r w:rsidRPr="0002056A">
        <w:rPr>
          <w:rFonts w:ascii="Georgia" w:hAnsi="Georgia"/>
          <w:lang w:val="en-GB"/>
        </w:rPr>
        <w:t xml:space="preserve"> go through these 1+5 elements, introducing those results of the dissertation that </w:t>
      </w:r>
      <w:r w:rsidR="00AE6EFF" w:rsidRPr="0002056A">
        <w:rPr>
          <w:rFonts w:ascii="Georgia" w:hAnsi="Georgia"/>
          <w:lang w:val="en-GB"/>
        </w:rPr>
        <w:t>support the responses</w:t>
      </w:r>
      <w:r w:rsidRPr="0002056A">
        <w:rPr>
          <w:rFonts w:ascii="Georgia" w:hAnsi="Georgia"/>
          <w:lang w:val="en-GB"/>
        </w:rPr>
        <w:t xml:space="preserve"> to the question raised.</w:t>
      </w:r>
    </w:p>
    <w:p w14:paraId="31E2FD26" w14:textId="62B8B2BA" w:rsidR="00171CF7" w:rsidRPr="0002056A" w:rsidRDefault="00171CF7" w:rsidP="00171CF7">
      <w:pPr>
        <w:pStyle w:val="Cmsor3"/>
        <w:rPr>
          <w:color w:val="FF0000"/>
          <w:lang w:val="en-GB"/>
        </w:rPr>
      </w:pPr>
      <w:bookmarkStart w:id="51" w:name="_Toc225578868"/>
      <w:r w:rsidRPr="0002056A">
        <w:rPr>
          <w:lang w:val="en-GB"/>
        </w:rPr>
        <w:t xml:space="preserve">RSQ1: </w:t>
      </w:r>
      <w:r w:rsidR="00692B91" w:rsidRPr="0002056A">
        <w:rPr>
          <w:lang w:val="en-GB"/>
        </w:rPr>
        <w:t>Defining the concept of</w:t>
      </w:r>
      <w:r w:rsidRPr="0002056A">
        <w:rPr>
          <w:lang w:val="en-GB"/>
        </w:rPr>
        <w:t xml:space="preserve"> spatial sensitivity</w:t>
      </w:r>
      <w:r w:rsidR="00692B91" w:rsidRPr="0002056A">
        <w:rPr>
          <w:lang w:val="en-GB"/>
        </w:rPr>
        <w:t xml:space="preserve"> </w:t>
      </w:r>
      <w:r w:rsidRPr="0002056A">
        <w:rPr>
          <w:lang w:val="en-GB"/>
        </w:rPr>
        <w:t>in adaptation policies</w:t>
      </w:r>
      <w:bookmarkEnd w:id="51"/>
      <w:r w:rsidRPr="0002056A">
        <w:rPr>
          <w:lang w:val="en-GB"/>
        </w:rPr>
        <w:t xml:space="preserve"> </w:t>
      </w:r>
      <w:r w:rsidRPr="0002056A">
        <w:rPr>
          <w:color w:val="FF0000"/>
          <w:lang w:val="en-GB"/>
        </w:rPr>
        <w:t xml:space="preserve"> </w:t>
      </w:r>
    </w:p>
    <w:p w14:paraId="4DEBD6CF" w14:textId="4EABCF4D" w:rsidR="005B6D53" w:rsidRPr="0002056A" w:rsidRDefault="0055277C" w:rsidP="00F00409">
      <w:pPr>
        <w:spacing w:before="120" w:after="120"/>
        <w:jc w:val="both"/>
        <w:rPr>
          <w:rFonts w:ascii="Georgia" w:hAnsi="Georgia"/>
          <w:lang w:val="en-GB"/>
        </w:rPr>
      </w:pPr>
      <w:r w:rsidRPr="0002056A">
        <w:rPr>
          <w:rFonts w:ascii="Georgia" w:hAnsi="Georgia"/>
          <w:lang w:val="en-GB"/>
        </w:rPr>
        <w:t xml:space="preserve">The </w:t>
      </w:r>
      <w:r w:rsidR="000D7ACB" w:rsidRPr="0002056A">
        <w:rPr>
          <w:rFonts w:ascii="Georgia" w:hAnsi="Georgia"/>
          <w:lang w:val="en-GB"/>
        </w:rPr>
        <w:t xml:space="preserve">dissertation’s comprehensive </w:t>
      </w:r>
      <w:r w:rsidRPr="0002056A">
        <w:rPr>
          <w:rFonts w:ascii="Georgia" w:hAnsi="Georgia"/>
          <w:lang w:val="en-GB"/>
        </w:rPr>
        <w:t xml:space="preserve">literature review itself </w:t>
      </w:r>
      <w:r w:rsidR="00394BCB" w:rsidRPr="0002056A">
        <w:rPr>
          <w:rFonts w:ascii="Georgia" w:hAnsi="Georgia"/>
          <w:lang w:val="en-GB"/>
        </w:rPr>
        <w:t xml:space="preserve">brought several examples to </w:t>
      </w:r>
      <w:r w:rsidRPr="0002056A">
        <w:rPr>
          <w:rFonts w:ascii="Georgia" w:hAnsi="Georgia"/>
          <w:lang w:val="en-GB"/>
        </w:rPr>
        <w:t xml:space="preserve">prove the assumption that </w:t>
      </w:r>
      <w:r w:rsidR="000D7ACB" w:rsidRPr="0002056A">
        <w:rPr>
          <w:rFonts w:ascii="Georgia" w:hAnsi="Georgia"/>
          <w:lang w:val="en-GB"/>
        </w:rPr>
        <w:t>g</w:t>
      </w:r>
      <w:r w:rsidRPr="0002056A">
        <w:rPr>
          <w:rFonts w:ascii="Georgia" w:hAnsi="Georgia"/>
          <w:lang w:val="en-GB"/>
        </w:rPr>
        <w:t>eographical space and</w:t>
      </w:r>
      <w:r w:rsidR="00394BCB" w:rsidRPr="0002056A">
        <w:rPr>
          <w:rFonts w:ascii="Georgia" w:hAnsi="Georgia"/>
          <w:lang w:val="en-GB"/>
        </w:rPr>
        <w:t xml:space="preserve"> climate </w:t>
      </w:r>
      <w:r w:rsidRPr="0002056A">
        <w:rPr>
          <w:rFonts w:ascii="Georgia" w:hAnsi="Georgia"/>
          <w:lang w:val="en-GB"/>
        </w:rPr>
        <w:t>adaptation are closely related to each other. Nevertheless, proportion of literature items dealing explicitly with adaptation policy’s spatiality</w:t>
      </w:r>
      <w:r w:rsidR="007A60F6" w:rsidRPr="0002056A">
        <w:rPr>
          <w:rFonts w:ascii="Georgia" w:hAnsi="Georgia"/>
          <w:lang w:val="en-GB"/>
        </w:rPr>
        <w:t xml:space="preserve"> is still low. </w:t>
      </w:r>
      <w:r w:rsidR="00007F47" w:rsidRPr="0002056A">
        <w:rPr>
          <w:rFonts w:ascii="Georgia" w:hAnsi="Georgia"/>
          <w:lang w:val="en-GB"/>
        </w:rPr>
        <w:t xml:space="preserve">In </w:t>
      </w:r>
      <w:r w:rsidR="00216AD0" w:rsidRPr="0002056A">
        <w:rPr>
          <w:rFonts w:ascii="Georgia" w:hAnsi="Georgia"/>
          <w:lang w:val="en-GB"/>
        </w:rPr>
        <w:t>addition</w:t>
      </w:r>
      <w:r w:rsidR="00007F47" w:rsidRPr="0002056A">
        <w:rPr>
          <w:rFonts w:ascii="Georgia" w:hAnsi="Georgia"/>
          <w:lang w:val="en-GB"/>
        </w:rPr>
        <w:t xml:space="preserve"> to </w:t>
      </w:r>
      <w:r w:rsidR="007A60F6" w:rsidRPr="0002056A">
        <w:rPr>
          <w:rFonts w:ascii="Georgia" w:hAnsi="Georgia"/>
          <w:lang w:val="en-GB"/>
        </w:rPr>
        <w:t xml:space="preserve">some studies </w:t>
      </w:r>
      <w:r w:rsidR="00007F47" w:rsidRPr="0002056A">
        <w:rPr>
          <w:rFonts w:ascii="Georgia" w:hAnsi="Georgia"/>
          <w:lang w:val="en-GB"/>
        </w:rPr>
        <w:t xml:space="preserve">either </w:t>
      </w:r>
      <w:r w:rsidR="007A60F6" w:rsidRPr="0002056A">
        <w:rPr>
          <w:rFonts w:ascii="Georgia" w:hAnsi="Georgia"/>
          <w:lang w:val="en-GB"/>
        </w:rPr>
        <w:t xml:space="preserve">emphasising regional geography’s role and its </w:t>
      </w:r>
      <w:r w:rsidR="00D37488" w:rsidRPr="0002056A">
        <w:rPr>
          <w:rFonts w:ascii="Georgia" w:hAnsi="Georgia"/>
          <w:lang w:val="en-GB"/>
        </w:rPr>
        <w:t>methods in</w:t>
      </w:r>
      <w:r w:rsidR="007A60F6" w:rsidRPr="0002056A">
        <w:rPr>
          <w:rFonts w:ascii="Georgia" w:hAnsi="Georgia"/>
          <w:lang w:val="en-GB"/>
        </w:rPr>
        <w:t xml:space="preserve"> the understanding of adaptation’s spatiality </w:t>
      </w:r>
      <w:r w:rsidR="001A4FF9" w:rsidRPr="0002056A">
        <w:rPr>
          <w:rFonts w:ascii="Georgia" w:hAnsi="Georgia"/>
          <w:lang w:val="en-GB"/>
        </w:rPr>
        <w:t>or art</w:t>
      </w:r>
      <w:r w:rsidR="00394BCB" w:rsidRPr="0002056A">
        <w:rPr>
          <w:rFonts w:ascii="Georgia" w:hAnsi="Georgia"/>
          <w:lang w:val="en-GB"/>
        </w:rPr>
        <w:t>i</w:t>
      </w:r>
      <w:r w:rsidR="001A4FF9" w:rsidRPr="0002056A">
        <w:rPr>
          <w:rFonts w:ascii="Georgia" w:hAnsi="Georgia"/>
          <w:lang w:val="en-GB"/>
        </w:rPr>
        <w:t xml:space="preserve">cles underlining the relation between adaptation policy-related and spatial planning, only a few studies concentrated on adaptation </w:t>
      </w:r>
      <w:r w:rsidR="005E1141" w:rsidRPr="0002056A">
        <w:rPr>
          <w:rFonts w:ascii="Georgia" w:hAnsi="Georgia"/>
          <w:lang w:val="en-GB"/>
        </w:rPr>
        <w:t>policy activities</w:t>
      </w:r>
      <w:r w:rsidR="001A4FF9" w:rsidRPr="0002056A">
        <w:rPr>
          <w:rFonts w:ascii="Georgia" w:hAnsi="Georgia"/>
          <w:lang w:val="en-GB"/>
        </w:rPr>
        <w:t xml:space="preserve">’ </w:t>
      </w:r>
      <w:r w:rsidR="00D71F1D" w:rsidRPr="0002056A">
        <w:rPr>
          <w:rFonts w:ascii="Georgia" w:hAnsi="Georgia"/>
          <w:lang w:val="en-GB"/>
        </w:rPr>
        <w:t xml:space="preserve">actual </w:t>
      </w:r>
      <w:r w:rsidR="001A4FF9" w:rsidRPr="0002056A">
        <w:rPr>
          <w:rFonts w:ascii="Georgia" w:hAnsi="Georgia"/>
          <w:lang w:val="en-GB"/>
        </w:rPr>
        <w:t>spatial content</w:t>
      </w:r>
      <w:r w:rsidR="005E1141" w:rsidRPr="0002056A">
        <w:rPr>
          <w:rFonts w:ascii="Georgia" w:hAnsi="Georgia"/>
          <w:lang w:val="en-GB"/>
        </w:rPr>
        <w:t xml:space="preserve">. </w:t>
      </w:r>
      <w:r w:rsidR="00C214E9" w:rsidRPr="0002056A">
        <w:rPr>
          <w:rFonts w:ascii="Georgia" w:hAnsi="Georgia"/>
          <w:lang w:val="en-GB"/>
        </w:rPr>
        <w:t xml:space="preserve">Moreover, </w:t>
      </w:r>
      <w:r w:rsidR="001A4FF9" w:rsidRPr="0002056A">
        <w:rPr>
          <w:rFonts w:ascii="Georgia" w:hAnsi="Georgia"/>
          <w:lang w:val="en-GB"/>
        </w:rPr>
        <w:t>most of the</w:t>
      </w:r>
      <w:r w:rsidR="00C214E9" w:rsidRPr="0002056A">
        <w:rPr>
          <w:rFonts w:ascii="Georgia" w:hAnsi="Georgia"/>
          <w:lang w:val="en-GB"/>
        </w:rPr>
        <w:t>se docu</w:t>
      </w:r>
      <w:r w:rsidR="001A4FF9" w:rsidRPr="0002056A">
        <w:rPr>
          <w:rFonts w:ascii="Georgia" w:hAnsi="Georgia"/>
          <w:lang w:val="en-GB"/>
        </w:rPr>
        <w:t>m</w:t>
      </w:r>
      <w:r w:rsidR="00C214E9" w:rsidRPr="0002056A">
        <w:rPr>
          <w:rFonts w:ascii="Georgia" w:hAnsi="Georgia"/>
          <w:lang w:val="en-GB"/>
        </w:rPr>
        <w:t>ents</w:t>
      </w:r>
      <w:r w:rsidR="001A4FF9" w:rsidRPr="0002056A">
        <w:rPr>
          <w:rFonts w:ascii="Georgia" w:hAnsi="Georgia"/>
          <w:lang w:val="en-GB"/>
        </w:rPr>
        <w:t xml:space="preserve"> did that implicitly (</w:t>
      </w:r>
      <w:r w:rsidR="007244F4" w:rsidRPr="0002056A">
        <w:rPr>
          <w:rFonts w:ascii="Georgia" w:hAnsi="Georgia"/>
          <w:lang w:val="en-GB"/>
        </w:rPr>
        <w:t xml:space="preserve">e.g. </w:t>
      </w:r>
      <w:r w:rsidR="00AE4EC6" w:rsidRPr="0002056A">
        <w:rPr>
          <w:rFonts w:ascii="Georgia" w:hAnsi="Georgia" w:cs="Times New Roman"/>
          <w:smallCaps/>
          <w:lang w:val="en-GB"/>
        </w:rPr>
        <w:t xml:space="preserve">Fleischhauer et al., 2007; </w:t>
      </w:r>
      <w:r w:rsidR="00A83670" w:rsidRPr="0002056A">
        <w:rPr>
          <w:rFonts w:ascii="Georgia" w:hAnsi="Georgia" w:cs="Times New Roman"/>
          <w:smallCaps/>
          <w:lang w:val="en-GB"/>
        </w:rPr>
        <w:t>Greiving et al., 2007;</w:t>
      </w:r>
      <w:r w:rsidR="00A83670" w:rsidRPr="0002056A">
        <w:rPr>
          <w:rFonts w:ascii="Georgia" w:hAnsi="Georgia" w:cs="Times New Roman"/>
          <w:lang w:val="en-GB"/>
        </w:rPr>
        <w:t xml:space="preserve"> </w:t>
      </w:r>
      <w:r w:rsidR="00A83670" w:rsidRPr="0002056A">
        <w:rPr>
          <w:rFonts w:ascii="Georgia" w:hAnsi="Georgia"/>
          <w:smallCaps/>
          <w:lang w:val="en-GB"/>
        </w:rPr>
        <w:t>Do</w:t>
      </w:r>
      <w:r w:rsidR="00A83670" w:rsidRPr="0002056A">
        <w:rPr>
          <w:rFonts w:ascii="Georgia" w:hAnsi="Georgia" w:cstheme="minorHAnsi"/>
          <w:smallCaps/>
          <w:lang w:val="en-GB"/>
        </w:rPr>
        <w:t xml:space="preserve">sch et al., 2008; </w:t>
      </w:r>
      <w:r w:rsidR="00AE4EC6" w:rsidRPr="0002056A">
        <w:rPr>
          <w:rFonts w:ascii="Georgia" w:hAnsi="Georgia" w:cs="Times New Roman"/>
          <w:smallCaps/>
          <w:lang w:val="en-GB"/>
        </w:rPr>
        <w:t xml:space="preserve">Schuster </w:t>
      </w:r>
      <w:r w:rsidR="00AE4EC6" w:rsidRPr="0002056A">
        <w:rPr>
          <w:rFonts w:ascii="Georgia" w:hAnsi="Georgia" w:cs="Times New Roman"/>
          <w:lang w:val="en-GB"/>
        </w:rPr>
        <w:t xml:space="preserve">in 2008; </w:t>
      </w:r>
      <w:r w:rsidR="00A83670" w:rsidRPr="0002056A">
        <w:rPr>
          <w:rFonts w:ascii="Georgia" w:hAnsi="Georgia"/>
          <w:smallCaps/>
          <w:lang w:val="en-GB"/>
        </w:rPr>
        <w:t xml:space="preserve">Mickwitz et al, 2009; </w:t>
      </w:r>
      <w:r w:rsidR="00A83670" w:rsidRPr="0002056A">
        <w:rPr>
          <w:rFonts w:ascii="Georgia" w:hAnsi="Georgia" w:cs="Times New Roman"/>
          <w:smallCaps/>
          <w:lang w:val="en-GB"/>
        </w:rPr>
        <w:t xml:space="preserve">Roggema, 2012; </w:t>
      </w:r>
      <w:r w:rsidR="00AE4EC6" w:rsidRPr="0002056A">
        <w:rPr>
          <w:rFonts w:ascii="Georgia" w:hAnsi="Georgia" w:cs="Times New Roman"/>
          <w:smallCaps/>
          <w:lang w:val="en-GB"/>
        </w:rPr>
        <w:t>Greiving &amp; Schmidt-Thomé, 2013</w:t>
      </w:r>
      <w:r w:rsidR="00A83670" w:rsidRPr="0002056A">
        <w:rPr>
          <w:rFonts w:ascii="Georgia" w:hAnsi="Georgia" w:cs="Times New Roman"/>
          <w:smallCaps/>
          <w:lang w:val="en-GB"/>
        </w:rPr>
        <w:t xml:space="preserve">; </w:t>
      </w:r>
      <w:r w:rsidR="00AE4EC6" w:rsidRPr="0002056A">
        <w:rPr>
          <w:rFonts w:ascii="Georgia" w:hAnsi="Georgia"/>
          <w:smallCaps/>
          <w:lang w:val="en-GB"/>
        </w:rPr>
        <w:t>Leiter et al., 2017</w:t>
      </w:r>
      <w:r w:rsidR="00A83670" w:rsidRPr="0002056A">
        <w:rPr>
          <w:rFonts w:ascii="Georgia" w:hAnsi="Georgia"/>
          <w:smallCaps/>
          <w:lang w:val="en-GB"/>
        </w:rPr>
        <w:t>;</w:t>
      </w:r>
      <w:r w:rsidR="00AE4EC6" w:rsidRPr="0002056A">
        <w:rPr>
          <w:rFonts w:ascii="Georgia" w:hAnsi="Georgia"/>
          <w:lang w:val="en-GB"/>
        </w:rPr>
        <w:t xml:space="preserve"> </w:t>
      </w:r>
      <w:r w:rsidR="00AE4EC6" w:rsidRPr="0002056A">
        <w:rPr>
          <w:rFonts w:ascii="Georgia" w:hAnsi="Georgia" w:cstheme="minorHAnsi"/>
          <w:smallCaps/>
          <w:lang w:val="en-GB"/>
        </w:rPr>
        <w:t>Leiter, 2021</w:t>
      </w:r>
      <w:r w:rsidR="007244F4" w:rsidRPr="0002056A">
        <w:rPr>
          <w:rFonts w:ascii="Georgia" w:hAnsi="Georgia" w:cstheme="minorHAnsi"/>
          <w:smallCaps/>
          <w:lang w:val="en-GB"/>
        </w:rPr>
        <w:t>; Taylor, 2023; Paasi, 2023</w:t>
      </w:r>
      <w:r w:rsidR="001A4FF9" w:rsidRPr="0002056A">
        <w:rPr>
          <w:rFonts w:ascii="Georgia" w:hAnsi="Georgia"/>
          <w:lang w:val="en-GB"/>
        </w:rPr>
        <w:t>). Only</w:t>
      </w:r>
      <w:r w:rsidR="00AE4EC6" w:rsidRPr="0002056A">
        <w:rPr>
          <w:rFonts w:ascii="Georgia" w:hAnsi="Georgia" w:cstheme="minorHAnsi"/>
          <w:smallCaps/>
          <w:lang w:val="en-GB"/>
        </w:rPr>
        <w:t xml:space="preserve"> Swart, et al., 2009</w:t>
      </w:r>
      <w:r w:rsidR="00C64C2F" w:rsidRPr="0002056A">
        <w:rPr>
          <w:rFonts w:ascii="Georgia" w:hAnsi="Georgia" w:cstheme="minorHAnsi"/>
          <w:smallCaps/>
          <w:lang w:val="en-GB"/>
        </w:rPr>
        <w:t>;</w:t>
      </w:r>
      <w:r w:rsidR="001A4FF9" w:rsidRPr="0002056A">
        <w:rPr>
          <w:rFonts w:ascii="Georgia" w:hAnsi="Georgia"/>
          <w:lang w:val="en-GB"/>
        </w:rPr>
        <w:t xml:space="preserve"> </w:t>
      </w:r>
      <w:r w:rsidR="00AE4EC6" w:rsidRPr="0002056A">
        <w:rPr>
          <w:rFonts w:ascii="Georgia" w:hAnsi="Georgia" w:cs="Times New Roman"/>
          <w:smallCaps/>
          <w:lang w:val="en-GB"/>
        </w:rPr>
        <w:t>Greiving</w:t>
      </w:r>
      <w:r w:rsidR="00D71F1D" w:rsidRPr="0002056A">
        <w:rPr>
          <w:rFonts w:ascii="Georgia" w:hAnsi="Georgia" w:cs="Times New Roman"/>
          <w:smallCaps/>
          <w:lang w:val="en-GB"/>
        </w:rPr>
        <w:t>&amp;</w:t>
      </w:r>
      <w:r w:rsidR="00AE4EC6" w:rsidRPr="0002056A">
        <w:rPr>
          <w:rFonts w:ascii="Georgia" w:hAnsi="Georgia" w:cs="Times New Roman"/>
          <w:smallCaps/>
          <w:lang w:val="en-GB"/>
        </w:rPr>
        <w:t xml:space="preserve">Fleischhauer 2010 </w:t>
      </w:r>
      <w:r w:rsidR="00AE4EC6" w:rsidRPr="0002056A">
        <w:rPr>
          <w:rFonts w:ascii="Georgia" w:hAnsi="Georgia" w:cs="Times New Roman"/>
          <w:lang w:val="en-GB"/>
        </w:rPr>
        <w:t>and</w:t>
      </w:r>
      <w:r w:rsidR="00AE4EC6" w:rsidRPr="0002056A">
        <w:rPr>
          <w:rFonts w:ascii="Georgia" w:hAnsi="Georgia" w:cs="Times New Roman"/>
          <w:smallCaps/>
          <w:lang w:val="en-GB"/>
        </w:rPr>
        <w:t xml:space="preserve"> 2012; </w:t>
      </w:r>
      <w:r w:rsidR="00C64C2F" w:rsidRPr="0002056A">
        <w:rPr>
          <w:rFonts w:ascii="Georgia" w:hAnsi="Georgia"/>
          <w:lang w:val="en-GB"/>
        </w:rPr>
        <w:t>and</w:t>
      </w:r>
      <w:r w:rsidR="00C64C2F" w:rsidRPr="0002056A">
        <w:rPr>
          <w:rFonts w:ascii="Georgia" w:hAnsi="Georgia" w:cs="Times New Roman"/>
          <w:smallCaps/>
          <w:lang w:val="en-GB"/>
        </w:rPr>
        <w:t xml:space="preserve"> </w:t>
      </w:r>
      <w:r w:rsidR="00AE4EC6" w:rsidRPr="0002056A">
        <w:rPr>
          <w:rFonts w:ascii="Georgia" w:hAnsi="Georgia" w:cstheme="minorHAnsi"/>
          <w:smallCaps/>
          <w:lang w:val="en-GB"/>
        </w:rPr>
        <w:t xml:space="preserve">OECD, 2023 </w:t>
      </w:r>
      <w:r w:rsidR="00C64C2F" w:rsidRPr="0002056A">
        <w:rPr>
          <w:rFonts w:ascii="Georgia" w:hAnsi="Georgia"/>
          <w:lang w:val="en-GB"/>
        </w:rPr>
        <w:t xml:space="preserve">can </w:t>
      </w:r>
      <w:r w:rsidR="001A4FF9" w:rsidRPr="0002056A">
        <w:rPr>
          <w:rFonts w:ascii="Georgia" w:hAnsi="Georgia"/>
          <w:lang w:val="en-GB"/>
        </w:rPr>
        <w:t>be mention</w:t>
      </w:r>
      <w:r w:rsidR="008942AB" w:rsidRPr="0002056A">
        <w:rPr>
          <w:rFonts w:ascii="Georgia" w:hAnsi="Georgia"/>
          <w:lang w:val="en-GB"/>
        </w:rPr>
        <w:t>e</w:t>
      </w:r>
      <w:r w:rsidR="001A4FF9" w:rsidRPr="0002056A">
        <w:rPr>
          <w:rFonts w:ascii="Georgia" w:hAnsi="Georgia"/>
          <w:lang w:val="en-GB"/>
        </w:rPr>
        <w:t>d</w:t>
      </w:r>
      <w:r w:rsidR="00957A37" w:rsidRPr="0002056A">
        <w:rPr>
          <w:rFonts w:ascii="Georgia" w:hAnsi="Georgia"/>
          <w:lang w:val="en-GB"/>
        </w:rPr>
        <w:t xml:space="preserve">, as </w:t>
      </w:r>
      <w:r w:rsidR="00D71F1D" w:rsidRPr="0002056A">
        <w:rPr>
          <w:rFonts w:ascii="Georgia" w:hAnsi="Georgia"/>
          <w:lang w:val="en-GB"/>
        </w:rPr>
        <w:t>real</w:t>
      </w:r>
      <w:r w:rsidR="00957A37" w:rsidRPr="0002056A">
        <w:rPr>
          <w:rFonts w:ascii="Georgia" w:hAnsi="Georgia"/>
          <w:lang w:val="en-GB"/>
        </w:rPr>
        <w:t xml:space="preserve"> spatially oriented analyses of climate adaptation policy activities. This dissertation could play an important role in the examination of this niche topic, namely spatial performance of adaptation policy </w:t>
      </w:r>
      <w:r w:rsidR="00DE42FF" w:rsidRPr="0002056A">
        <w:rPr>
          <w:rFonts w:ascii="Georgia" w:hAnsi="Georgia"/>
          <w:lang w:val="en-GB"/>
        </w:rPr>
        <w:t>planning and MRE</w:t>
      </w:r>
      <w:r w:rsidR="00957A37" w:rsidRPr="0002056A">
        <w:rPr>
          <w:rFonts w:ascii="Georgia" w:hAnsi="Georgia"/>
          <w:lang w:val="en-GB"/>
        </w:rPr>
        <w:t>.</w:t>
      </w:r>
    </w:p>
    <w:p w14:paraId="0C64AE4C" w14:textId="67B8D680" w:rsidR="00BE60F5" w:rsidRPr="0002056A" w:rsidRDefault="004908E2" w:rsidP="00F00409">
      <w:pPr>
        <w:tabs>
          <w:tab w:val="left" w:pos="6237"/>
        </w:tabs>
        <w:spacing w:before="120" w:after="120"/>
        <w:jc w:val="both"/>
        <w:rPr>
          <w:rFonts w:ascii="Georgia" w:hAnsi="Georgia"/>
          <w:lang w:val="en-GB"/>
        </w:rPr>
      </w:pPr>
      <w:r w:rsidRPr="0002056A">
        <w:rPr>
          <w:rFonts w:ascii="Georgia" w:hAnsi="Georgia"/>
          <w:lang w:val="en-GB"/>
        </w:rPr>
        <w:t>T</w:t>
      </w:r>
      <w:r w:rsidR="003E4598" w:rsidRPr="0002056A">
        <w:rPr>
          <w:rFonts w:ascii="Georgia" w:hAnsi="Georgia"/>
          <w:lang w:val="en-GB"/>
        </w:rPr>
        <w:t xml:space="preserve">o answer the first research question, the </w:t>
      </w:r>
      <w:r w:rsidR="00D323B7" w:rsidRPr="0002056A">
        <w:rPr>
          <w:rFonts w:ascii="Georgia" w:hAnsi="Georgia"/>
          <w:lang w:val="en-GB"/>
        </w:rPr>
        <w:t>dissertation</w:t>
      </w:r>
      <w:r w:rsidR="003E4598" w:rsidRPr="0002056A">
        <w:rPr>
          <w:rFonts w:ascii="Georgia" w:hAnsi="Georgia"/>
          <w:lang w:val="en-GB"/>
        </w:rPr>
        <w:t xml:space="preserve"> </w:t>
      </w:r>
      <w:r w:rsidR="003C5864" w:rsidRPr="0002056A">
        <w:rPr>
          <w:rFonts w:ascii="Georgia" w:hAnsi="Georgia"/>
          <w:lang w:val="en-GB"/>
        </w:rPr>
        <w:t xml:space="preserve">also </w:t>
      </w:r>
      <w:r w:rsidR="003E4598" w:rsidRPr="0002056A">
        <w:rPr>
          <w:rFonts w:ascii="Georgia" w:hAnsi="Georgia"/>
          <w:lang w:val="en-GB"/>
        </w:rPr>
        <w:t>overviewed the most important space-oriented disciplines</w:t>
      </w:r>
      <w:r w:rsidR="003C5864" w:rsidRPr="0002056A">
        <w:rPr>
          <w:rFonts w:ascii="Georgia" w:hAnsi="Georgia"/>
          <w:lang w:val="en-GB"/>
        </w:rPr>
        <w:t>’</w:t>
      </w:r>
      <w:r w:rsidR="003E4598" w:rsidRPr="0002056A">
        <w:rPr>
          <w:rFonts w:ascii="Georgia" w:hAnsi="Georgia"/>
          <w:lang w:val="en-GB"/>
        </w:rPr>
        <w:t xml:space="preserve"> and practi</w:t>
      </w:r>
      <w:r w:rsidR="00D323B7" w:rsidRPr="0002056A">
        <w:rPr>
          <w:rFonts w:ascii="Georgia" w:hAnsi="Georgia"/>
          <w:lang w:val="en-GB"/>
        </w:rPr>
        <w:t>c</w:t>
      </w:r>
      <w:r w:rsidR="003E4598" w:rsidRPr="0002056A">
        <w:rPr>
          <w:rFonts w:ascii="Georgia" w:hAnsi="Georgia"/>
          <w:lang w:val="en-GB"/>
        </w:rPr>
        <w:t>al fields</w:t>
      </w:r>
      <w:r w:rsidR="003C5864" w:rsidRPr="0002056A">
        <w:rPr>
          <w:rFonts w:ascii="Georgia" w:hAnsi="Georgia"/>
          <w:lang w:val="en-GB"/>
        </w:rPr>
        <w:t>’</w:t>
      </w:r>
      <w:r w:rsidR="003E4598" w:rsidRPr="0002056A">
        <w:rPr>
          <w:rFonts w:ascii="Georgia" w:hAnsi="Georgia"/>
          <w:lang w:val="en-GB"/>
        </w:rPr>
        <w:t xml:space="preserve"> </w:t>
      </w:r>
      <w:r w:rsidR="00BC5EBC" w:rsidRPr="0002056A">
        <w:rPr>
          <w:rFonts w:ascii="Georgia" w:hAnsi="Georgia"/>
          <w:lang w:val="en-GB"/>
        </w:rPr>
        <w:t>different space concepts and interpretations to make proper foundations for the empirical analys</w:t>
      </w:r>
      <w:r w:rsidR="00D323B7" w:rsidRPr="0002056A">
        <w:rPr>
          <w:rFonts w:ascii="Georgia" w:hAnsi="Georgia"/>
          <w:lang w:val="en-GB"/>
        </w:rPr>
        <w:t>i</w:t>
      </w:r>
      <w:r w:rsidR="00BC5EBC" w:rsidRPr="0002056A">
        <w:rPr>
          <w:rFonts w:ascii="Georgia" w:hAnsi="Georgia"/>
          <w:lang w:val="en-GB"/>
        </w:rPr>
        <w:t xml:space="preserve">s of the weight of spatiality and </w:t>
      </w:r>
      <w:r w:rsidR="003C5864" w:rsidRPr="0002056A">
        <w:rPr>
          <w:rFonts w:ascii="Georgia" w:hAnsi="Georgia"/>
          <w:lang w:val="en-GB"/>
        </w:rPr>
        <w:t xml:space="preserve">the </w:t>
      </w:r>
      <w:r w:rsidR="00BC5EBC" w:rsidRPr="0002056A">
        <w:rPr>
          <w:rFonts w:ascii="Georgia" w:hAnsi="Georgia"/>
          <w:lang w:val="en-GB"/>
        </w:rPr>
        <w:t>emergence of spatial approaches in climate adaptation policy activities.</w:t>
      </w:r>
      <w:r w:rsidR="003F11B9" w:rsidRPr="0002056A">
        <w:rPr>
          <w:rFonts w:ascii="Georgia" w:hAnsi="Georgia"/>
          <w:lang w:val="en-GB"/>
        </w:rPr>
        <w:t xml:space="preserve"> </w:t>
      </w:r>
      <w:r w:rsidR="00A44A79" w:rsidRPr="0002056A">
        <w:rPr>
          <w:rFonts w:ascii="Georgia" w:hAnsi="Georgia"/>
          <w:lang w:val="en-GB"/>
        </w:rPr>
        <w:t>As the “</w:t>
      </w:r>
      <w:r w:rsidR="00A44A79" w:rsidRPr="0002056A">
        <w:rPr>
          <w:rFonts w:ascii="Georgia" w:hAnsi="Georgia"/>
          <w:i/>
          <w:iCs/>
          <w:lang w:val="en-GB"/>
        </w:rPr>
        <w:t>Theoretical framework and literature analysis</w:t>
      </w:r>
      <w:r w:rsidR="00A44A79" w:rsidRPr="0002056A">
        <w:rPr>
          <w:rFonts w:ascii="Georgia" w:hAnsi="Georgia"/>
          <w:lang w:val="en-GB"/>
        </w:rPr>
        <w:t>” chapter’s</w:t>
      </w:r>
      <w:r w:rsidR="00BB0D0C" w:rsidRPr="0002056A">
        <w:rPr>
          <w:rFonts w:ascii="Georgia" w:hAnsi="Georgia"/>
          <w:lang w:val="en-GB"/>
        </w:rPr>
        <w:t xml:space="preserve"> </w:t>
      </w:r>
      <w:r w:rsidR="002903EE" w:rsidRPr="0002056A">
        <w:rPr>
          <w:rFonts w:ascii="Georgia" w:hAnsi="Georgia"/>
          <w:lang w:val="en-GB"/>
        </w:rPr>
        <w:t>3.6.</w:t>
      </w:r>
      <w:r w:rsidR="00BB0D0C" w:rsidRPr="0002056A">
        <w:rPr>
          <w:rFonts w:ascii="Georgia" w:hAnsi="Georgia"/>
          <w:lang w:val="en-GB"/>
        </w:rPr>
        <w:t xml:space="preserve"> subchapter </w:t>
      </w:r>
      <w:r w:rsidR="00D3037E" w:rsidRPr="0002056A">
        <w:rPr>
          <w:rFonts w:ascii="Georgia" w:hAnsi="Georgia"/>
          <w:lang w:val="en-GB"/>
        </w:rPr>
        <w:t xml:space="preserve">and Annex 2 </w:t>
      </w:r>
      <w:r w:rsidR="00A44A79" w:rsidRPr="0002056A">
        <w:rPr>
          <w:rFonts w:ascii="Georgia" w:hAnsi="Georgia"/>
          <w:lang w:val="en-GB"/>
        </w:rPr>
        <w:t>describe, d</w:t>
      </w:r>
      <w:r w:rsidR="003F11B9" w:rsidRPr="0002056A">
        <w:rPr>
          <w:rFonts w:ascii="Georgia" w:hAnsi="Georgia"/>
          <w:lang w:val="en-GB"/>
        </w:rPr>
        <w:t>uring the overview a</w:t>
      </w:r>
      <w:r w:rsidR="00BC5EBC" w:rsidRPr="0002056A">
        <w:rPr>
          <w:rFonts w:ascii="Georgia" w:hAnsi="Georgia"/>
          <w:lang w:val="en-GB"/>
        </w:rPr>
        <w:t xml:space="preserve"> wide variety of interpretations of relevant disciplines and policy domains emerge</w:t>
      </w:r>
      <w:r w:rsidR="003F11B9" w:rsidRPr="0002056A">
        <w:rPr>
          <w:rFonts w:ascii="Georgia" w:hAnsi="Georgia"/>
          <w:lang w:val="en-GB"/>
        </w:rPr>
        <w:t xml:space="preserve">d: </w:t>
      </w:r>
      <w:r w:rsidR="00BC5EBC" w:rsidRPr="0002056A">
        <w:rPr>
          <w:rFonts w:ascii="Georgia" w:hAnsi="Georgia"/>
          <w:lang w:val="en-GB"/>
        </w:rPr>
        <w:t xml:space="preserve">absolute and objective space interpretations of natural sciences and environmental geography; the relative approach of social and economic geography, regional geography </w:t>
      </w:r>
      <w:r w:rsidR="00DC0D84" w:rsidRPr="0002056A">
        <w:rPr>
          <w:rFonts w:ascii="Georgia" w:hAnsi="Georgia"/>
          <w:lang w:val="en-GB"/>
        </w:rPr>
        <w:t xml:space="preserve">and </w:t>
      </w:r>
      <w:r w:rsidR="00BC5EBC" w:rsidRPr="0002056A">
        <w:rPr>
          <w:rFonts w:ascii="Georgia" w:hAnsi="Georgia"/>
          <w:lang w:val="en-GB"/>
        </w:rPr>
        <w:t xml:space="preserve">geopolitics; and </w:t>
      </w:r>
      <w:r w:rsidR="00336618" w:rsidRPr="0002056A">
        <w:rPr>
          <w:rFonts w:ascii="Georgia" w:hAnsi="Georgia"/>
          <w:lang w:val="en-GB"/>
        </w:rPr>
        <w:t>partly interpretati</w:t>
      </w:r>
      <w:r w:rsidR="00BC5EBC" w:rsidRPr="0002056A">
        <w:rPr>
          <w:rFonts w:ascii="Georgia" w:hAnsi="Georgia"/>
          <w:lang w:val="en-GB"/>
        </w:rPr>
        <w:t>on</w:t>
      </w:r>
      <w:r w:rsidR="00336618" w:rsidRPr="0002056A">
        <w:rPr>
          <w:rFonts w:ascii="Georgia" w:hAnsi="Georgia"/>
          <w:lang w:val="en-GB"/>
        </w:rPr>
        <w:t xml:space="preserve">s of </w:t>
      </w:r>
      <w:r w:rsidR="00BC5EBC" w:rsidRPr="0002056A">
        <w:rPr>
          <w:rFonts w:ascii="Georgia" w:hAnsi="Georgia"/>
          <w:lang w:val="en-GB"/>
        </w:rPr>
        <w:t>those disciplines that focus on internal space concepts</w:t>
      </w:r>
      <w:r w:rsidR="00336618" w:rsidRPr="0002056A">
        <w:rPr>
          <w:rFonts w:ascii="Georgia" w:hAnsi="Georgia"/>
          <w:lang w:val="en-GB"/>
        </w:rPr>
        <w:t>, too</w:t>
      </w:r>
      <w:r w:rsidR="00BC5EBC" w:rsidRPr="0002056A">
        <w:rPr>
          <w:rFonts w:ascii="Georgia" w:hAnsi="Georgia"/>
          <w:lang w:val="en-GB"/>
        </w:rPr>
        <w:t xml:space="preserve"> (political and administrative studies, and partly even the regional studies). On top of these even some practical fields’ (regional development policy, strategic spatial</w:t>
      </w:r>
      <w:r w:rsidR="003E4BCC" w:rsidRPr="0002056A">
        <w:rPr>
          <w:rFonts w:ascii="Georgia" w:hAnsi="Georgia"/>
          <w:lang w:val="en-GB"/>
        </w:rPr>
        <w:t>, urban</w:t>
      </w:r>
      <w:r w:rsidR="00BC5EBC" w:rsidRPr="0002056A">
        <w:rPr>
          <w:rFonts w:ascii="Georgia" w:hAnsi="Georgia"/>
          <w:lang w:val="en-GB"/>
        </w:rPr>
        <w:t xml:space="preserve"> and land use planning) spatial approaches and related concepts </w:t>
      </w:r>
      <w:r w:rsidR="00E1598C" w:rsidRPr="0002056A">
        <w:rPr>
          <w:rFonts w:ascii="Georgia" w:hAnsi="Georgia"/>
          <w:lang w:val="en-GB"/>
        </w:rPr>
        <w:t>(territorial cohesion and is sub</w:t>
      </w:r>
      <w:r w:rsidR="00DC0D84" w:rsidRPr="0002056A">
        <w:rPr>
          <w:rFonts w:ascii="Georgia" w:hAnsi="Georgia"/>
          <w:lang w:val="en-GB"/>
        </w:rPr>
        <w:t>-</w:t>
      </w:r>
      <w:r w:rsidR="00E1598C" w:rsidRPr="0002056A">
        <w:rPr>
          <w:rFonts w:ascii="Georgia" w:hAnsi="Georgia"/>
          <w:lang w:val="en-GB"/>
        </w:rPr>
        <w:t xml:space="preserve">concepts) </w:t>
      </w:r>
      <w:r w:rsidR="00BC5EBC" w:rsidRPr="0002056A">
        <w:rPr>
          <w:rFonts w:ascii="Georgia" w:hAnsi="Georgia"/>
          <w:lang w:val="en-GB"/>
        </w:rPr>
        <w:t>were also examined.</w:t>
      </w:r>
      <w:r w:rsidR="00C6591F" w:rsidRPr="0002056A">
        <w:rPr>
          <w:rFonts w:ascii="Georgia" w:hAnsi="Georgia"/>
          <w:lang w:val="en-GB"/>
        </w:rPr>
        <w:t xml:space="preserve"> To create </w:t>
      </w:r>
      <w:r w:rsidR="00A23FAE" w:rsidRPr="0002056A">
        <w:rPr>
          <w:rFonts w:ascii="Georgia" w:hAnsi="Georgia"/>
          <w:lang w:val="en-GB"/>
        </w:rPr>
        <w:t>its</w:t>
      </w:r>
      <w:r w:rsidR="00C6591F" w:rsidRPr="0002056A">
        <w:rPr>
          <w:rFonts w:ascii="Georgia" w:hAnsi="Georgia"/>
          <w:lang w:val="en-GB"/>
        </w:rPr>
        <w:t xml:space="preserve"> own spatial sensitivity definition</w:t>
      </w:r>
      <w:r w:rsidR="00A23FAE" w:rsidRPr="0002056A">
        <w:rPr>
          <w:rFonts w:ascii="Georgia" w:hAnsi="Georgia"/>
          <w:lang w:val="en-GB"/>
        </w:rPr>
        <w:t>,</w:t>
      </w:r>
      <w:r w:rsidR="00C6591F" w:rsidRPr="0002056A">
        <w:rPr>
          <w:rFonts w:ascii="Georgia" w:hAnsi="Georgia"/>
          <w:lang w:val="en-GB"/>
        </w:rPr>
        <w:t xml:space="preserve"> the </w:t>
      </w:r>
      <w:r w:rsidR="00C6591F" w:rsidRPr="0002056A">
        <w:rPr>
          <w:rFonts w:ascii="Georgia" w:hAnsi="Georgia"/>
          <w:lang w:val="en-GB"/>
        </w:rPr>
        <w:lastRenderedPageBreak/>
        <w:t xml:space="preserve">dissertation </w:t>
      </w:r>
      <w:r w:rsidR="00BC5EBC" w:rsidRPr="0002056A">
        <w:rPr>
          <w:rFonts w:ascii="Georgia" w:hAnsi="Georgia"/>
          <w:lang w:val="en-GB"/>
        </w:rPr>
        <w:t>make</w:t>
      </w:r>
      <w:r w:rsidR="00A23FAE" w:rsidRPr="0002056A">
        <w:rPr>
          <w:rFonts w:ascii="Georgia" w:hAnsi="Georgia"/>
          <w:lang w:val="en-GB"/>
        </w:rPr>
        <w:t>s</w:t>
      </w:r>
      <w:r w:rsidR="00BC5EBC" w:rsidRPr="0002056A">
        <w:rPr>
          <w:rFonts w:ascii="Georgia" w:hAnsi="Georgia"/>
          <w:lang w:val="en-GB"/>
        </w:rPr>
        <w:t xml:space="preserve"> use both of absolutist (the container-like, 3-dimesional space) and relative interpretations (where the relation system between spatial elements is the basic regulator). The former is utilizable in the depiction of the geographical space as the place where climate change processes occur. The relativist approach can be used in the analysis of spatial dimensions</w:t>
      </w:r>
      <w:r w:rsidR="00FE41F7" w:rsidRPr="0002056A">
        <w:rPr>
          <w:rFonts w:ascii="Georgia" w:hAnsi="Georgia"/>
          <w:lang w:val="en-GB"/>
        </w:rPr>
        <w:t xml:space="preserve"> as differences and structures</w:t>
      </w:r>
      <w:r w:rsidR="00B41028" w:rsidRPr="0002056A">
        <w:rPr>
          <w:rFonts w:ascii="Georgia" w:hAnsi="Georgia"/>
          <w:lang w:val="en-GB"/>
        </w:rPr>
        <w:t>,</w:t>
      </w:r>
      <w:r w:rsidR="00BC5EBC" w:rsidRPr="0002056A">
        <w:rPr>
          <w:rFonts w:ascii="Georgia" w:hAnsi="Georgia"/>
          <w:lang w:val="en-GB"/>
        </w:rPr>
        <w:t xml:space="preserve"> as climate policy monitors different spatial impacts of and adaptive capacities/vulnerabilities to climate change in given territorial units. </w:t>
      </w:r>
      <w:r w:rsidR="00667745" w:rsidRPr="0002056A">
        <w:rPr>
          <w:rFonts w:ascii="Georgia" w:hAnsi="Georgia"/>
          <w:lang w:val="en-GB"/>
        </w:rPr>
        <w:t>V</w:t>
      </w:r>
      <w:r w:rsidR="00BC5EBC" w:rsidRPr="0002056A">
        <w:rPr>
          <w:rFonts w:ascii="Georgia" w:hAnsi="Georgia"/>
          <w:lang w:val="en-GB"/>
        </w:rPr>
        <w:t xml:space="preserve">ulnerability assessments also </w:t>
      </w:r>
      <w:r w:rsidR="00C474A9" w:rsidRPr="0002056A">
        <w:rPr>
          <w:rFonts w:ascii="Georgia" w:hAnsi="Georgia"/>
          <w:lang w:val="en-GB"/>
        </w:rPr>
        <w:t>use</w:t>
      </w:r>
      <w:r w:rsidR="00BC5EBC" w:rsidRPr="0002056A">
        <w:rPr>
          <w:rFonts w:ascii="Georgia" w:hAnsi="Georgia"/>
          <w:lang w:val="en-GB"/>
        </w:rPr>
        <w:t xml:space="preserve"> relative space interpretations. The interpretative approach is also remarkable, because adaptation policy </w:t>
      </w:r>
      <w:r w:rsidR="00C474A9" w:rsidRPr="0002056A">
        <w:rPr>
          <w:rFonts w:ascii="Georgia" w:hAnsi="Georgia"/>
          <w:lang w:val="en-GB"/>
        </w:rPr>
        <w:t>crosscuts</w:t>
      </w:r>
      <w:r w:rsidR="00BC5EBC" w:rsidRPr="0002056A">
        <w:rPr>
          <w:rFonts w:ascii="Georgia" w:hAnsi="Georgia"/>
          <w:lang w:val="en-GB"/>
        </w:rPr>
        <w:t xml:space="preserve"> several sectors, harmonizing different sectoral considerations that </w:t>
      </w:r>
      <w:r w:rsidR="00306760" w:rsidRPr="0002056A">
        <w:rPr>
          <w:rFonts w:ascii="Georgia" w:hAnsi="Georgia"/>
          <w:lang w:val="en-GB"/>
        </w:rPr>
        <w:t xml:space="preserve">often </w:t>
      </w:r>
      <w:r w:rsidR="00BC5EBC" w:rsidRPr="0002056A">
        <w:rPr>
          <w:rFonts w:ascii="Georgia" w:hAnsi="Georgia"/>
          <w:lang w:val="en-GB"/>
        </w:rPr>
        <w:t xml:space="preserve">requires </w:t>
      </w:r>
      <w:r w:rsidR="00306760" w:rsidRPr="0002056A">
        <w:rPr>
          <w:rFonts w:ascii="Georgia" w:hAnsi="Georgia"/>
          <w:lang w:val="en-GB"/>
        </w:rPr>
        <w:t xml:space="preserve">harmonizing the </w:t>
      </w:r>
      <w:r w:rsidR="00BC5EBC" w:rsidRPr="0002056A">
        <w:rPr>
          <w:rFonts w:ascii="Georgia" w:hAnsi="Georgia"/>
          <w:lang w:val="en-GB"/>
        </w:rPr>
        <w:t>different interpretations</w:t>
      </w:r>
      <w:r w:rsidR="00306760" w:rsidRPr="0002056A">
        <w:rPr>
          <w:rFonts w:ascii="Georgia" w:hAnsi="Georgia"/>
          <w:lang w:val="en-GB"/>
        </w:rPr>
        <w:t xml:space="preserve"> of space</w:t>
      </w:r>
      <w:r w:rsidR="00BC5EBC" w:rsidRPr="0002056A">
        <w:rPr>
          <w:rFonts w:ascii="Georgia" w:hAnsi="Georgia"/>
          <w:lang w:val="en-GB"/>
        </w:rPr>
        <w:t>.</w:t>
      </w:r>
      <w:r w:rsidR="00BE60F5" w:rsidRPr="0002056A">
        <w:rPr>
          <w:rFonts w:ascii="Georgia" w:hAnsi="Georgia"/>
          <w:lang w:val="en-GB"/>
        </w:rPr>
        <w:t xml:space="preserve"> </w:t>
      </w:r>
      <w:r w:rsidR="00BE60F5" w:rsidRPr="0002056A">
        <w:rPr>
          <w:rFonts w:ascii="Georgia" w:hAnsi="Georgia" w:cstheme="minorHAnsi"/>
          <w:lang w:val="en-GB"/>
        </w:rPr>
        <w:t xml:space="preserve">Relativist, constructivist spatial approaches also emphasise the relational dimension, regarding space as a direct product of society made up from societal relations. These </w:t>
      </w:r>
      <w:r w:rsidR="00BE60F5" w:rsidRPr="0002056A">
        <w:rPr>
          <w:rFonts w:ascii="Georgia" w:hAnsi="Georgia"/>
          <w:lang w:val="en-GB"/>
        </w:rPr>
        <w:t>socially constructed internal and social space interpretations can influence society’s practical administrational spatial structure</w:t>
      </w:r>
      <w:r w:rsidR="002646F5" w:rsidRPr="0002056A">
        <w:rPr>
          <w:rFonts w:ascii="Georgia" w:hAnsi="Georgia"/>
          <w:lang w:val="en-GB"/>
        </w:rPr>
        <w:t>s</w:t>
      </w:r>
      <w:r w:rsidR="00BE60F5" w:rsidRPr="0002056A">
        <w:rPr>
          <w:rFonts w:ascii="Georgia" w:hAnsi="Georgia"/>
          <w:lang w:val="en-GB"/>
        </w:rPr>
        <w:t xml:space="preserve">, too. </w:t>
      </w:r>
      <w:r w:rsidR="00563607" w:rsidRPr="0002056A">
        <w:rPr>
          <w:rFonts w:ascii="Georgia" w:hAnsi="Georgia"/>
          <w:lang w:val="en-GB"/>
        </w:rPr>
        <w:t>In this regard, t</w:t>
      </w:r>
      <w:r w:rsidR="00BE60F5" w:rsidRPr="0002056A">
        <w:rPr>
          <w:rFonts w:ascii="Georgia" w:hAnsi="Georgia"/>
          <w:lang w:val="en-GB"/>
        </w:rPr>
        <w:t xml:space="preserve">he research is interested in </w:t>
      </w:r>
      <w:r w:rsidR="00141B22">
        <w:rPr>
          <w:rFonts w:ascii="Georgia" w:hAnsi="Georgia"/>
          <w:lang w:val="en-GB"/>
        </w:rPr>
        <w:t>the extent to which differences in national adaptation planning and MRE system-building practices in different countries are rooted in national administrative</w:t>
      </w:r>
      <w:r w:rsidR="00BE60F5" w:rsidRPr="0002056A">
        <w:rPr>
          <w:rFonts w:ascii="Georgia" w:hAnsi="Georgia"/>
          <w:lang w:val="en-GB"/>
        </w:rPr>
        <w:t xml:space="preserve"> and governmental features.</w:t>
      </w:r>
      <w:r w:rsidR="00BE60F5" w:rsidRPr="0002056A">
        <w:rPr>
          <w:rFonts w:ascii="Georgia" w:hAnsi="Georgia" w:cstheme="minorHAnsi"/>
          <w:lang w:val="en-GB"/>
        </w:rPr>
        <w:t xml:space="preserve"> </w:t>
      </w:r>
      <w:r w:rsidR="00354B43" w:rsidRPr="0002056A">
        <w:rPr>
          <w:rFonts w:ascii="Georgia" w:hAnsi="Georgia" w:cstheme="minorHAnsi"/>
          <w:lang w:val="en-GB"/>
        </w:rPr>
        <w:t>Finally, as t</w:t>
      </w:r>
      <w:r w:rsidR="00BE60F5" w:rsidRPr="0002056A">
        <w:rPr>
          <w:rFonts w:ascii="Georgia" w:hAnsi="Georgia"/>
          <w:lang w:val="en-GB"/>
        </w:rPr>
        <w:t>he</w:t>
      </w:r>
      <w:r w:rsidR="00354B43" w:rsidRPr="0002056A">
        <w:rPr>
          <w:rFonts w:ascii="Georgia" w:hAnsi="Georgia"/>
          <w:lang w:val="en-GB"/>
        </w:rPr>
        <w:t xml:space="preserve"> subject</w:t>
      </w:r>
      <w:r w:rsidR="00D0281E" w:rsidRPr="0002056A">
        <w:rPr>
          <w:rFonts w:ascii="Georgia" w:hAnsi="Georgia"/>
          <w:lang w:val="en-GB"/>
        </w:rPr>
        <w:t>s</w:t>
      </w:r>
      <w:r w:rsidR="00354B43" w:rsidRPr="0002056A">
        <w:rPr>
          <w:rFonts w:ascii="Georgia" w:hAnsi="Georgia"/>
          <w:lang w:val="en-GB"/>
        </w:rPr>
        <w:t xml:space="preserve"> of the </w:t>
      </w:r>
      <w:r w:rsidR="00BE60F5" w:rsidRPr="0002056A">
        <w:rPr>
          <w:rFonts w:ascii="Georgia" w:hAnsi="Georgia"/>
          <w:lang w:val="en-GB"/>
        </w:rPr>
        <w:t>research, climate adaptation planning and MRE a</w:t>
      </w:r>
      <w:r w:rsidR="00D0281E" w:rsidRPr="0002056A">
        <w:rPr>
          <w:rFonts w:ascii="Georgia" w:hAnsi="Georgia"/>
          <w:lang w:val="en-GB"/>
        </w:rPr>
        <w:t>re</w:t>
      </w:r>
      <w:r w:rsidR="00BE60F5" w:rsidRPr="0002056A">
        <w:rPr>
          <w:rFonts w:ascii="Georgia" w:hAnsi="Georgia"/>
          <w:lang w:val="en-GB"/>
        </w:rPr>
        <w:t xml:space="preserve"> practical issue</w:t>
      </w:r>
      <w:r w:rsidR="00D0281E" w:rsidRPr="0002056A">
        <w:rPr>
          <w:rFonts w:ascii="Georgia" w:hAnsi="Georgia"/>
          <w:lang w:val="en-GB"/>
        </w:rPr>
        <w:t>s</w:t>
      </w:r>
      <w:r w:rsidR="00BE60F5" w:rsidRPr="0002056A">
        <w:rPr>
          <w:rFonts w:ascii="Georgia" w:hAnsi="Georgia"/>
          <w:lang w:val="en-GB"/>
        </w:rPr>
        <w:t xml:space="preserve">, even applied policy-oriented space interpretations </w:t>
      </w:r>
      <w:r w:rsidR="00563607" w:rsidRPr="0002056A">
        <w:rPr>
          <w:rFonts w:ascii="Georgia" w:hAnsi="Georgia"/>
          <w:lang w:val="en-GB"/>
        </w:rPr>
        <w:t>were</w:t>
      </w:r>
      <w:r w:rsidR="00BE60F5" w:rsidRPr="0002056A">
        <w:rPr>
          <w:rFonts w:ascii="Georgia" w:hAnsi="Georgia"/>
          <w:lang w:val="en-GB"/>
        </w:rPr>
        <w:t xml:space="preserve"> used</w:t>
      </w:r>
      <w:r w:rsidR="00B731DB" w:rsidRPr="0002056A">
        <w:rPr>
          <w:rFonts w:ascii="Georgia" w:hAnsi="Georgia"/>
          <w:lang w:val="en-GB"/>
        </w:rPr>
        <w:t xml:space="preserve"> (</w:t>
      </w:r>
      <w:r w:rsidR="00BE60F5" w:rsidRPr="0002056A">
        <w:rPr>
          <w:rFonts w:ascii="Georgia" w:hAnsi="Georgia"/>
          <w:lang w:val="en-GB"/>
        </w:rPr>
        <w:t>regional development policy’s territorial cohesion-oriented conceptual background</w:t>
      </w:r>
      <w:r w:rsidR="00D501C5" w:rsidRPr="0002056A">
        <w:rPr>
          <w:rFonts w:ascii="Georgia" w:hAnsi="Georgia"/>
          <w:lang w:val="en-GB"/>
        </w:rPr>
        <w:t xml:space="preserve">) as well as terminologies of </w:t>
      </w:r>
      <w:r w:rsidR="00BE60F5" w:rsidRPr="0002056A">
        <w:rPr>
          <w:rFonts w:ascii="Georgia" w:hAnsi="Georgia"/>
          <w:lang w:val="en-GB"/>
        </w:rPr>
        <w:t xml:space="preserve">the related strategic and spatial planning activities. </w:t>
      </w:r>
    </w:p>
    <w:p w14:paraId="06CE9129" w14:textId="32535DA3" w:rsidR="001F6A91" w:rsidRPr="0002056A" w:rsidRDefault="00BB0D0C" w:rsidP="00F00409">
      <w:pPr>
        <w:tabs>
          <w:tab w:val="left" w:pos="6237"/>
        </w:tabs>
        <w:spacing w:before="120" w:after="120"/>
        <w:jc w:val="both"/>
        <w:rPr>
          <w:rFonts w:ascii="Georgia" w:hAnsi="Georgia" w:cs="Times New Roman"/>
          <w:lang w:val="en-GB"/>
        </w:rPr>
      </w:pPr>
      <w:r w:rsidRPr="0002056A">
        <w:rPr>
          <w:rFonts w:ascii="Georgia" w:hAnsi="Georgia" w:cs="Times New Roman"/>
          <w:lang w:val="en-GB"/>
        </w:rPr>
        <w:t>The “</w:t>
      </w:r>
      <w:r w:rsidRPr="0002056A">
        <w:rPr>
          <w:rFonts w:ascii="Georgia" w:hAnsi="Georgia" w:cs="Times New Roman"/>
          <w:i/>
          <w:iCs/>
          <w:lang w:val="en-GB"/>
        </w:rPr>
        <w:t>Material</w:t>
      </w:r>
      <w:r w:rsidR="00E92ED4" w:rsidRPr="0002056A">
        <w:rPr>
          <w:rFonts w:ascii="Georgia" w:hAnsi="Georgia" w:cs="Times New Roman"/>
          <w:i/>
          <w:iCs/>
          <w:lang w:val="en-GB"/>
        </w:rPr>
        <w:t>s a</w:t>
      </w:r>
      <w:r w:rsidRPr="0002056A">
        <w:rPr>
          <w:rFonts w:ascii="Georgia" w:hAnsi="Georgia" w:cs="Times New Roman"/>
          <w:i/>
          <w:iCs/>
          <w:lang w:val="en-GB"/>
        </w:rPr>
        <w:t>nd methods of the empirical research</w:t>
      </w:r>
      <w:r w:rsidRPr="0002056A">
        <w:rPr>
          <w:rFonts w:ascii="Georgia" w:hAnsi="Georgia" w:cs="Times New Roman"/>
          <w:lang w:val="en-GB"/>
        </w:rPr>
        <w:t>” chapter</w:t>
      </w:r>
      <w:r w:rsidR="00043244" w:rsidRPr="0002056A">
        <w:rPr>
          <w:rFonts w:ascii="Georgia" w:hAnsi="Georgia" w:cs="Times New Roman"/>
          <w:lang w:val="en-GB"/>
        </w:rPr>
        <w:t xml:space="preserve">’s </w:t>
      </w:r>
      <w:r w:rsidR="00E92ED4" w:rsidRPr="0002056A">
        <w:rPr>
          <w:rFonts w:ascii="Georgia" w:hAnsi="Georgia" w:cs="Times New Roman"/>
          <w:lang w:val="en-GB"/>
        </w:rPr>
        <w:t>4.</w:t>
      </w:r>
      <w:r w:rsidR="00BE37C2" w:rsidRPr="0002056A">
        <w:rPr>
          <w:rFonts w:ascii="Georgia" w:hAnsi="Georgia" w:cs="Times New Roman"/>
          <w:lang w:val="en-GB"/>
        </w:rPr>
        <w:t>1</w:t>
      </w:r>
      <w:r w:rsidR="00E92ED4" w:rsidRPr="0002056A">
        <w:rPr>
          <w:rFonts w:ascii="Georgia" w:hAnsi="Georgia" w:cs="Times New Roman"/>
          <w:lang w:val="en-GB"/>
        </w:rPr>
        <w:t>.</w:t>
      </w:r>
      <w:r w:rsidR="00043244" w:rsidRPr="0002056A">
        <w:rPr>
          <w:rFonts w:ascii="Georgia" w:hAnsi="Georgia" w:cs="Times New Roman"/>
          <w:lang w:val="en-GB"/>
        </w:rPr>
        <w:t xml:space="preserve"> subchapter s</w:t>
      </w:r>
      <w:r w:rsidR="00BC5EBC" w:rsidRPr="0002056A">
        <w:rPr>
          <w:rFonts w:ascii="Georgia" w:hAnsi="Georgia" w:cs="Times New Roman"/>
          <w:lang w:val="en-GB"/>
        </w:rPr>
        <w:t>ummari</w:t>
      </w:r>
      <w:r w:rsidR="00043244" w:rsidRPr="0002056A">
        <w:rPr>
          <w:rFonts w:ascii="Georgia" w:hAnsi="Georgia" w:cs="Times New Roman"/>
          <w:lang w:val="en-GB"/>
        </w:rPr>
        <w:t>ses</w:t>
      </w:r>
      <w:r w:rsidR="00BC5EBC" w:rsidRPr="0002056A">
        <w:rPr>
          <w:rFonts w:ascii="Georgia" w:hAnsi="Georgia" w:cs="Times New Roman"/>
          <w:lang w:val="en-GB"/>
        </w:rPr>
        <w:t xml:space="preserve"> the usability of different space approaches and interpretations of the examined </w:t>
      </w:r>
      <w:r w:rsidR="00C474A9" w:rsidRPr="0002056A">
        <w:rPr>
          <w:rFonts w:ascii="Georgia" w:hAnsi="Georgia" w:cs="Times New Roman"/>
          <w:lang w:val="en-GB"/>
        </w:rPr>
        <w:t>disciplines and</w:t>
      </w:r>
      <w:r w:rsidR="00D066A4" w:rsidRPr="0002056A">
        <w:rPr>
          <w:rFonts w:ascii="Georgia" w:hAnsi="Georgia" w:cs="Times New Roman"/>
          <w:lang w:val="en-GB"/>
        </w:rPr>
        <w:t xml:space="preserve"> </w:t>
      </w:r>
      <w:r w:rsidR="00BC5EBC" w:rsidRPr="0002056A">
        <w:rPr>
          <w:rFonts w:ascii="Georgia" w:hAnsi="Georgia" w:cs="Times New Roman"/>
          <w:lang w:val="en-GB"/>
        </w:rPr>
        <w:t>dr</w:t>
      </w:r>
      <w:r w:rsidR="00043244" w:rsidRPr="0002056A">
        <w:rPr>
          <w:rFonts w:ascii="Georgia" w:hAnsi="Georgia" w:cs="Times New Roman"/>
          <w:lang w:val="en-GB"/>
        </w:rPr>
        <w:t xml:space="preserve">aws </w:t>
      </w:r>
      <w:r w:rsidR="00BC5EBC" w:rsidRPr="0002056A">
        <w:rPr>
          <w:rFonts w:ascii="Georgia" w:hAnsi="Georgia" w:cs="Times New Roman"/>
          <w:lang w:val="en-GB"/>
        </w:rPr>
        <w:t xml:space="preserve">the conclusion in the form </w:t>
      </w:r>
      <w:r w:rsidR="00BE37C2" w:rsidRPr="0002056A">
        <w:rPr>
          <w:rFonts w:ascii="Georgia" w:hAnsi="Georgia" w:cs="Times New Roman"/>
          <w:lang w:val="en-GB"/>
        </w:rPr>
        <w:t>of</w:t>
      </w:r>
      <w:r w:rsidR="00BC5EBC" w:rsidRPr="0002056A">
        <w:rPr>
          <w:rFonts w:ascii="Georgia" w:hAnsi="Georgia" w:cs="Times New Roman"/>
          <w:lang w:val="en-GB"/>
        </w:rPr>
        <w:t xml:space="preserve"> an indicative definition for spatiality / spatial </w:t>
      </w:r>
      <w:r w:rsidR="00D066A4" w:rsidRPr="0002056A">
        <w:rPr>
          <w:rFonts w:ascii="Georgia" w:hAnsi="Georgia" w:cs="Times New Roman"/>
          <w:lang w:val="en-GB"/>
        </w:rPr>
        <w:t xml:space="preserve">approach </w:t>
      </w:r>
      <w:r w:rsidR="00BC5EBC" w:rsidRPr="0002056A">
        <w:rPr>
          <w:rFonts w:ascii="Georgia" w:hAnsi="Georgia" w:cs="Times New Roman"/>
          <w:lang w:val="en-GB"/>
        </w:rPr>
        <w:t xml:space="preserve">in </w:t>
      </w:r>
      <w:r w:rsidR="003319F0" w:rsidRPr="0002056A">
        <w:rPr>
          <w:rFonts w:ascii="Georgia" w:hAnsi="Georgia" w:cs="Times New Roman"/>
          <w:lang w:val="en-GB"/>
        </w:rPr>
        <w:t xml:space="preserve">adaptation </w:t>
      </w:r>
      <w:r w:rsidR="00BC5EBC" w:rsidRPr="0002056A">
        <w:rPr>
          <w:rFonts w:ascii="Georgia" w:hAnsi="Georgia" w:cs="Times New Roman"/>
          <w:lang w:val="en-GB"/>
        </w:rPr>
        <w:t xml:space="preserve">policy planning </w:t>
      </w:r>
      <w:r w:rsidR="00D066A4" w:rsidRPr="0002056A">
        <w:rPr>
          <w:rFonts w:ascii="Georgia" w:hAnsi="Georgia" w:cs="Times New Roman"/>
          <w:lang w:val="en-GB"/>
        </w:rPr>
        <w:t xml:space="preserve">and the sensitivity to this spatial approach. </w:t>
      </w:r>
      <w:r w:rsidR="00BC5EBC" w:rsidRPr="0002056A">
        <w:rPr>
          <w:rFonts w:ascii="Georgia" w:hAnsi="Georgia" w:cs="Times New Roman"/>
          <w:lang w:val="en-GB"/>
        </w:rPr>
        <w:t xml:space="preserve">In general, spatiality </w:t>
      </w:r>
      <w:r w:rsidR="00075EA0" w:rsidRPr="0002056A">
        <w:rPr>
          <w:rFonts w:ascii="Georgia" w:hAnsi="Georgia" w:cs="Times New Roman"/>
          <w:lang w:val="en-GB"/>
        </w:rPr>
        <w:t xml:space="preserve">in a given activity </w:t>
      </w:r>
      <w:r w:rsidR="00BC5EBC" w:rsidRPr="0002056A">
        <w:rPr>
          <w:rFonts w:ascii="Georgia" w:hAnsi="Georgia" w:cs="Times New Roman"/>
          <w:lang w:val="en-GB"/>
        </w:rPr>
        <w:t xml:space="preserve">can mean the prevalence of the spatial/territorial </w:t>
      </w:r>
      <w:r w:rsidR="00075EA0" w:rsidRPr="0002056A">
        <w:rPr>
          <w:rFonts w:ascii="Georgia" w:hAnsi="Georgia" w:cs="Times New Roman"/>
          <w:lang w:val="en-GB"/>
        </w:rPr>
        <w:t>considerations</w:t>
      </w:r>
      <w:r w:rsidR="00BC5EBC" w:rsidRPr="0002056A">
        <w:rPr>
          <w:rFonts w:ascii="Georgia" w:hAnsi="Georgia" w:cs="Times New Roman"/>
          <w:lang w:val="en-GB"/>
        </w:rPr>
        <w:t xml:space="preserve"> </w:t>
      </w:r>
      <w:r w:rsidR="009D5489" w:rsidRPr="0002056A">
        <w:rPr>
          <w:rFonts w:ascii="Georgia" w:hAnsi="Georgia" w:cs="Times New Roman"/>
          <w:lang w:val="en-GB"/>
        </w:rPr>
        <w:t xml:space="preserve">(focus on spatial elements and geographical endowments; </w:t>
      </w:r>
      <w:r w:rsidR="008C26AD" w:rsidRPr="0002056A">
        <w:rPr>
          <w:rFonts w:ascii="Georgia" w:hAnsi="Georgia" w:cs="Times New Roman"/>
          <w:lang w:val="en-GB"/>
        </w:rPr>
        <w:t xml:space="preserve">examination of the spatial differences of a given topic and the spatial configuration of a given </w:t>
      </w:r>
      <w:r w:rsidR="0028767B" w:rsidRPr="0002056A">
        <w:rPr>
          <w:rFonts w:ascii="Georgia" w:hAnsi="Georgia" w:cs="Times New Roman"/>
          <w:lang w:val="en-GB"/>
        </w:rPr>
        <w:t>phenomenon</w:t>
      </w:r>
      <w:r w:rsidR="008C26AD" w:rsidRPr="0002056A">
        <w:rPr>
          <w:rFonts w:ascii="Georgia" w:hAnsi="Georgia" w:cs="Times New Roman"/>
          <w:lang w:val="en-GB"/>
        </w:rPr>
        <w:t>)</w:t>
      </w:r>
      <w:r w:rsidR="00F90FC5" w:rsidRPr="0002056A">
        <w:rPr>
          <w:rFonts w:ascii="Georgia" w:hAnsi="Georgia" w:cs="Times New Roman"/>
          <w:lang w:val="en-GB"/>
        </w:rPr>
        <w:t xml:space="preserve"> in</w:t>
      </w:r>
      <w:r w:rsidR="008C26AD" w:rsidRPr="0002056A">
        <w:rPr>
          <w:rFonts w:ascii="Georgia" w:hAnsi="Georgia" w:cs="Times New Roman"/>
          <w:lang w:val="en-GB"/>
        </w:rPr>
        <w:t xml:space="preserve"> </w:t>
      </w:r>
      <w:r w:rsidR="00BC5EBC" w:rsidRPr="0002056A">
        <w:rPr>
          <w:rFonts w:ascii="Georgia" w:hAnsi="Georgia" w:cs="Times New Roman"/>
          <w:lang w:val="en-GB"/>
        </w:rPr>
        <w:t>the examined approaches, decisions and actions</w:t>
      </w:r>
      <w:r w:rsidR="009A044D" w:rsidRPr="0002056A">
        <w:rPr>
          <w:rFonts w:ascii="Georgia" w:hAnsi="Georgia" w:cs="Times New Roman"/>
          <w:lang w:val="en-GB"/>
        </w:rPr>
        <w:t>: these</w:t>
      </w:r>
      <w:r w:rsidR="00BC5EBC" w:rsidRPr="0002056A">
        <w:rPr>
          <w:rFonts w:ascii="Georgia" w:hAnsi="Georgia" w:cs="Times New Roman"/>
          <w:lang w:val="en-GB"/>
        </w:rPr>
        <w:t xml:space="preserve"> are significantly influenced by geographic characteristics, spatially/territorially different natural/social/economic endowments, and spatial structures.</w:t>
      </w:r>
    </w:p>
    <w:p w14:paraId="3A638E2F" w14:textId="2227001D" w:rsidR="00BC5EBC" w:rsidRPr="0002056A" w:rsidRDefault="001F6A91" w:rsidP="00F00409">
      <w:pPr>
        <w:tabs>
          <w:tab w:val="left" w:pos="6237"/>
        </w:tabs>
        <w:spacing w:before="120" w:after="120"/>
        <w:jc w:val="both"/>
        <w:rPr>
          <w:rFonts w:ascii="Georgia" w:hAnsi="Georgia" w:cs="Times New Roman"/>
          <w:lang w:val="en-GB"/>
        </w:rPr>
      </w:pPr>
      <w:r w:rsidRPr="0002056A">
        <w:rPr>
          <w:rFonts w:ascii="Georgia" w:hAnsi="Georgia" w:cs="Times New Roman"/>
          <w:lang w:val="en-GB"/>
        </w:rPr>
        <w:t>Du</w:t>
      </w:r>
      <w:r w:rsidR="00BC5EBC" w:rsidRPr="0002056A">
        <w:rPr>
          <w:rFonts w:ascii="Georgia" w:hAnsi="Georgia" w:cs="Times New Roman"/>
          <w:lang w:val="en-GB"/>
        </w:rPr>
        <w:t>ring th</w:t>
      </w:r>
      <w:r w:rsidRPr="0002056A">
        <w:rPr>
          <w:rFonts w:ascii="Georgia" w:hAnsi="Georgia" w:cs="Times New Roman"/>
          <w:lang w:val="en-GB"/>
        </w:rPr>
        <w:t>e</w:t>
      </w:r>
      <w:r w:rsidR="00BC5EBC" w:rsidRPr="0002056A">
        <w:rPr>
          <w:rFonts w:ascii="Georgia" w:hAnsi="Georgia" w:cs="Times New Roman"/>
          <w:lang w:val="en-GB"/>
        </w:rPr>
        <w:t xml:space="preserve"> research under the term spatiality in policy making</w:t>
      </w:r>
      <w:r w:rsidR="00F21321" w:rsidRPr="0002056A">
        <w:rPr>
          <w:rFonts w:ascii="Georgia" w:hAnsi="Georgia" w:cs="Times New Roman"/>
          <w:lang w:val="en-GB"/>
        </w:rPr>
        <w:t>,</w:t>
      </w:r>
      <w:r w:rsidR="00BC5EBC" w:rsidRPr="0002056A">
        <w:rPr>
          <w:rFonts w:ascii="Georgia" w:hAnsi="Georgia" w:cs="Times New Roman"/>
          <w:lang w:val="en-GB"/>
        </w:rPr>
        <w:t xml:space="preserve"> </w:t>
      </w:r>
      <w:r w:rsidR="00F21321" w:rsidRPr="0002056A">
        <w:rPr>
          <w:rFonts w:ascii="Georgia" w:hAnsi="Georgia" w:cs="Times New Roman"/>
          <w:lang w:val="en-GB"/>
        </w:rPr>
        <w:t xml:space="preserve">the dissertation </w:t>
      </w:r>
      <w:r w:rsidRPr="0002056A">
        <w:rPr>
          <w:rFonts w:ascii="Georgia" w:hAnsi="Georgia" w:cs="Times New Roman"/>
          <w:lang w:val="en-GB"/>
        </w:rPr>
        <w:t>understand</w:t>
      </w:r>
      <w:r w:rsidR="00F21321" w:rsidRPr="0002056A">
        <w:rPr>
          <w:rFonts w:ascii="Georgia" w:hAnsi="Georgia" w:cs="Times New Roman"/>
          <w:lang w:val="en-GB"/>
        </w:rPr>
        <w:t>s</w:t>
      </w:r>
      <w:r w:rsidRPr="0002056A">
        <w:rPr>
          <w:rFonts w:ascii="Georgia" w:hAnsi="Georgia" w:cs="Times New Roman"/>
          <w:lang w:val="en-GB"/>
        </w:rPr>
        <w:t xml:space="preserve"> </w:t>
      </w:r>
      <w:r w:rsidR="00BC5EBC" w:rsidRPr="0002056A">
        <w:rPr>
          <w:rFonts w:ascii="Georgia" w:hAnsi="Georgia" w:cs="Times New Roman"/>
          <w:lang w:val="en-GB"/>
        </w:rPr>
        <w:t xml:space="preserve">the conscious, constant and consequent taking of external and internal spatial elements and their characteristics, territorial/spatial differences, and </w:t>
      </w:r>
      <w:r w:rsidR="00F21321" w:rsidRPr="0002056A">
        <w:rPr>
          <w:rFonts w:ascii="Georgia" w:hAnsi="Georgia" w:cs="Times New Roman"/>
          <w:lang w:val="en-GB"/>
        </w:rPr>
        <w:t xml:space="preserve">their </w:t>
      </w:r>
      <w:r w:rsidR="00BC5EBC" w:rsidRPr="0002056A">
        <w:rPr>
          <w:rFonts w:ascii="Georgia" w:hAnsi="Georgia" w:cs="Times New Roman"/>
          <w:lang w:val="en-GB"/>
        </w:rPr>
        <w:t xml:space="preserve">spatial order into consideration within the absolute or relative space in planning and MRE, particularly in climate adaptation. </w:t>
      </w:r>
    </w:p>
    <w:p w14:paraId="2F3F54CF" w14:textId="573E22AC" w:rsidR="003B478A" w:rsidRPr="0002056A" w:rsidRDefault="004908E2" w:rsidP="00F00409">
      <w:pPr>
        <w:tabs>
          <w:tab w:val="left" w:pos="6237"/>
        </w:tabs>
        <w:spacing w:before="120" w:after="120"/>
        <w:jc w:val="both"/>
        <w:rPr>
          <w:rFonts w:ascii="Georgia" w:hAnsi="Georgia" w:cs="Times New Roman"/>
          <w:lang w:val="en-GB"/>
        </w:rPr>
      </w:pPr>
      <w:r w:rsidRPr="0002056A">
        <w:rPr>
          <w:rFonts w:ascii="Georgia" w:hAnsi="Georgia" w:cs="Times New Roman"/>
          <w:lang w:val="en-GB"/>
        </w:rPr>
        <w:t>Based on th</w:t>
      </w:r>
      <w:r w:rsidR="00F76371" w:rsidRPr="0002056A">
        <w:rPr>
          <w:rFonts w:ascii="Georgia" w:hAnsi="Georgia" w:cs="Times New Roman"/>
          <w:lang w:val="en-GB"/>
        </w:rPr>
        <w:t>ese</w:t>
      </w:r>
      <w:r w:rsidRPr="0002056A">
        <w:rPr>
          <w:rFonts w:ascii="Georgia" w:hAnsi="Georgia" w:cs="Times New Roman"/>
          <w:lang w:val="en-GB"/>
        </w:rPr>
        <w:t xml:space="preserve">, </w:t>
      </w:r>
      <w:r w:rsidR="00F76371" w:rsidRPr="0002056A">
        <w:rPr>
          <w:rFonts w:ascii="Georgia" w:hAnsi="Georgia" w:cs="Times New Roman"/>
          <w:lang w:val="en-GB"/>
        </w:rPr>
        <w:t>the dissertation</w:t>
      </w:r>
      <w:r w:rsidR="00BC5EBC" w:rsidRPr="0002056A">
        <w:rPr>
          <w:rFonts w:ascii="Georgia" w:hAnsi="Georgia" w:cs="Times New Roman"/>
          <w:lang w:val="en-GB"/>
        </w:rPr>
        <w:t xml:space="preserve"> consider</w:t>
      </w:r>
      <w:r w:rsidR="00F76371" w:rsidRPr="0002056A">
        <w:rPr>
          <w:rFonts w:ascii="Georgia" w:hAnsi="Georgia" w:cs="Times New Roman"/>
          <w:lang w:val="en-GB"/>
        </w:rPr>
        <w:t>s</w:t>
      </w:r>
      <w:r w:rsidR="00BC5EBC" w:rsidRPr="0002056A">
        <w:rPr>
          <w:rFonts w:ascii="Georgia" w:hAnsi="Georgia" w:cs="Times New Roman"/>
          <w:lang w:val="en-GB"/>
        </w:rPr>
        <w:t xml:space="preserve"> adaptation policy </w:t>
      </w:r>
      <w:r w:rsidR="00F76371" w:rsidRPr="0002056A">
        <w:rPr>
          <w:rFonts w:ascii="Georgia" w:hAnsi="Georgia" w:cs="Times New Roman"/>
          <w:lang w:val="en-GB"/>
        </w:rPr>
        <w:t xml:space="preserve">planning or MRE </w:t>
      </w:r>
      <w:r w:rsidR="00BC5EBC" w:rsidRPr="0002056A">
        <w:rPr>
          <w:rFonts w:ascii="Georgia" w:hAnsi="Georgia" w:cs="Times New Roman"/>
          <w:lang w:val="en-GB"/>
        </w:rPr>
        <w:t>activit</w:t>
      </w:r>
      <w:r w:rsidR="00F76371" w:rsidRPr="0002056A">
        <w:rPr>
          <w:rFonts w:ascii="Georgia" w:hAnsi="Georgia" w:cs="Times New Roman"/>
          <w:lang w:val="en-GB"/>
        </w:rPr>
        <w:t>ies</w:t>
      </w:r>
      <w:r w:rsidR="00BC5EBC" w:rsidRPr="0002056A">
        <w:rPr>
          <w:rFonts w:ascii="Georgia" w:hAnsi="Georgia" w:cs="Times New Roman"/>
          <w:lang w:val="en-GB"/>
        </w:rPr>
        <w:t xml:space="preserve"> spatially conscious/sensitive</w:t>
      </w:r>
      <w:r w:rsidR="00872F45" w:rsidRPr="0002056A">
        <w:rPr>
          <w:rFonts w:ascii="Georgia" w:hAnsi="Georgia" w:cs="Times New Roman"/>
          <w:lang w:val="en-GB"/>
        </w:rPr>
        <w:t>,</w:t>
      </w:r>
      <w:r w:rsidR="00BC5EBC" w:rsidRPr="0002056A">
        <w:rPr>
          <w:rFonts w:ascii="Georgia" w:hAnsi="Georgia" w:cs="Times New Roman"/>
          <w:lang w:val="en-GB"/>
        </w:rPr>
        <w:t xml:space="preserve"> if it puts significant weight on the</w:t>
      </w:r>
      <w:r w:rsidR="006E0254" w:rsidRPr="0002056A">
        <w:rPr>
          <w:rFonts w:ascii="Georgia" w:hAnsi="Georgia" w:cs="Times New Roman"/>
          <w:lang w:val="en-GB"/>
        </w:rPr>
        <w:t xml:space="preserve"> </w:t>
      </w:r>
      <w:r w:rsidR="00216AD0" w:rsidRPr="0002056A">
        <w:rPr>
          <w:rFonts w:ascii="Georgia" w:hAnsi="Georgia" w:cs="Times New Roman"/>
          <w:lang w:val="en-GB"/>
        </w:rPr>
        <w:t>enlisted</w:t>
      </w:r>
      <w:r w:rsidR="00BC5EBC" w:rsidRPr="0002056A">
        <w:rPr>
          <w:rFonts w:ascii="Georgia" w:hAnsi="Georgia" w:cs="Times New Roman"/>
          <w:lang w:val="en-GB"/>
        </w:rPr>
        <w:t xml:space="preserve"> spatial dimensions</w:t>
      </w:r>
      <w:r w:rsidR="00141B22">
        <w:rPr>
          <w:rFonts w:ascii="Georgia" w:hAnsi="Georgia" w:cs="Times New Roman"/>
          <w:lang w:val="en-GB"/>
        </w:rPr>
        <w:t>, both in its evidence-seeking phase, reasoning, and decision-making, during the setting-up of adaptation indicator sets, and conducting evaluations or establishing climate adaptation decision-supporting</w:t>
      </w:r>
      <w:r w:rsidR="00BC5EBC" w:rsidRPr="0002056A">
        <w:rPr>
          <w:rFonts w:ascii="Georgia" w:hAnsi="Georgia" w:cs="Times New Roman"/>
          <w:lang w:val="en-GB"/>
        </w:rPr>
        <w:t xml:space="preserve"> systems. If these aspects are at least equal with the weight of the </w:t>
      </w:r>
      <w:r w:rsidR="00872F45" w:rsidRPr="0002056A">
        <w:rPr>
          <w:rFonts w:ascii="Georgia" w:hAnsi="Georgia" w:cs="Times New Roman"/>
          <w:lang w:val="en-GB"/>
        </w:rPr>
        <w:t xml:space="preserve">traditional </w:t>
      </w:r>
      <w:r w:rsidR="00BC5EBC" w:rsidRPr="0002056A">
        <w:rPr>
          <w:rFonts w:ascii="Georgia" w:hAnsi="Georgia" w:cs="Times New Roman"/>
          <w:lang w:val="en-GB"/>
        </w:rPr>
        <w:t>sectoral approach (</w:t>
      </w:r>
      <w:r w:rsidR="00872F45" w:rsidRPr="0002056A">
        <w:rPr>
          <w:rFonts w:ascii="Georgia" w:hAnsi="Georgia" w:cs="Times New Roman"/>
          <w:lang w:val="en-GB"/>
        </w:rPr>
        <w:t xml:space="preserve">i.e. </w:t>
      </w:r>
      <w:r w:rsidR="00BC5EBC" w:rsidRPr="0002056A">
        <w:rPr>
          <w:rFonts w:ascii="Georgia" w:hAnsi="Georgia" w:cs="Times New Roman"/>
          <w:lang w:val="en-GB"/>
        </w:rPr>
        <w:t>separated handling of different thematic fields</w:t>
      </w:r>
      <w:r w:rsidR="00872F45" w:rsidRPr="0002056A">
        <w:rPr>
          <w:rFonts w:ascii="Georgia" w:hAnsi="Georgia" w:cs="Times New Roman"/>
          <w:lang w:val="en-GB"/>
        </w:rPr>
        <w:t xml:space="preserve"> parallel with each other</w:t>
      </w:r>
      <w:r w:rsidR="00BC5EBC" w:rsidRPr="0002056A">
        <w:rPr>
          <w:rFonts w:ascii="Georgia" w:hAnsi="Georgia" w:cs="Times New Roman"/>
          <w:lang w:val="en-GB"/>
        </w:rPr>
        <w:t>) or even dominate it, then we can talk about a spatially oriented approach, or spatial sensitivity of these activities.</w:t>
      </w:r>
    </w:p>
    <w:p w14:paraId="21471C7D" w14:textId="77777777" w:rsidR="003B478A" w:rsidRPr="0002056A" w:rsidRDefault="003B478A">
      <w:pPr>
        <w:spacing w:after="160" w:line="259" w:lineRule="auto"/>
        <w:rPr>
          <w:rFonts w:ascii="Georgia" w:hAnsi="Georgia" w:cs="Times New Roman"/>
          <w:lang w:val="en-GB"/>
        </w:rPr>
      </w:pPr>
      <w:r w:rsidRPr="0002056A">
        <w:rPr>
          <w:rFonts w:ascii="Georgia" w:hAnsi="Georgia" w:cs="Times New Roman"/>
          <w:lang w:val="en-GB"/>
        </w:rPr>
        <w:br w:type="page"/>
      </w:r>
    </w:p>
    <w:p w14:paraId="5451E722" w14:textId="77777777" w:rsidR="00BC5EBC" w:rsidRPr="0002056A" w:rsidRDefault="00BC5EBC" w:rsidP="00F00409">
      <w:pPr>
        <w:tabs>
          <w:tab w:val="left" w:pos="6237"/>
        </w:tabs>
        <w:spacing w:before="120" w:after="120"/>
        <w:jc w:val="both"/>
        <w:rPr>
          <w:rFonts w:ascii="Georgia" w:hAnsi="Georgia" w:cs="Times New Roman"/>
          <w:lang w:val="en-GB"/>
        </w:rPr>
      </w:pPr>
    </w:p>
    <w:p w14:paraId="3A1C2B4F" w14:textId="2A351C97" w:rsidR="00EC6760" w:rsidRPr="0002056A" w:rsidRDefault="00EC6760"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bCs/>
          <w:i/>
          <w:iCs/>
          <w:color w:val="FF0000"/>
          <w:lang w:val="en-GB"/>
        </w:rPr>
      </w:pPr>
      <w:r w:rsidRPr="0002056A">
        <w:rPr>
          <w:rFonts w:ascii="Georgia" w:hAnsi="Georgia"/>
          <w:bCs/>
          <w:lang w:val="en-GB"/>
        </w:rPr>
        <w:t xml:space="preserve">All in all, hypothesis #H1: </w:t>
      </w:r>
      <w:r w:rsidRPr="0002056A">
        <w:rPr>
          <w:rFonts w:ascii="Georgia" w:hAnsi="Georgia"/>
          <w:bCs/>
          <w:i/>
          <w:iCs/>
          <w:color w:val="4472C4" w:themeColor="accent1"/>
          <w:lang w:val="en-GB"/>
        </w:rPr>
        <w:t>“</w:t>
      </w:r>
      <w:r w:rsidR="00286791" w:rsidRPr="00286791">
        <w:rPr>
          <w:rFonts w:ascii="Georgia" w:hAnsi="Georgia"/>
          <w:bCs/>
          <w:i/>
          <w:iCs/>
          <w:color w:val="4472C4" w:themeColor="accent1"/>
          <w:lang w:val="en-GB"/>
        </w:rPr>
        <w:t xml:space="preserve">The ability of climate adaptation policies to </w:t>
      </w:r>
      <w:r w:rsidR="00141B22">
        <w:rPr>
          <w:rFonts w:ascii="Georgia" w:hAnsi="Georgia"/>
          <w:bCs/>
          <w:i/>
          <w:iCs/>
          <w:color w:val="4472C4" w:themeColor="accent1"/>
          <w:lang w:val="en-GB"/>
        </w:rPr>
        <w:t>recognise</w:t>
      </w:r>
      <w:r w:rsidR="00141B22" w:rsidRPr="00286791">
        <w:rPr>
          <w:rFonts w:ascii="Georgia" w:hAnsi="Georgia"/>
          <w:bCs/>
          <w:i/>
          <w:iCs/>
          <w:color w:val="4472C4" w:themeColor="accent1"/>
          <w:lang w:val="en-GB"/>
        </w:rPr>
        <w:t xml:space="preserve"> </w:t>
      </w:r>
      <w:r w:rsidR="00286791" w:rsidRPr="00286791">
        <w:rPr>
          <w:rFonts w:ascii="Georgia" w:hAnsi="Georgia"/>
          <w:bCs/>
          <w:i/>
          <w:iCs/>
          <w:color w:val="4472C4" w:themeColor="accent1"/>
          <w:lang w:val="en-GB"/>
        </w:rPr>
        <w:t>spatially specific (geographical) contexts and to tailor their interventions accordingly can be captured by a common concept</w:t>
      </w:r>
      <w:r w:rsidRPr="0002056A">
        <w:rPr>
          <w:rFonts w:ascii="Georgia" w:hAnsi="Georgia"/>
          <w:bCs/>
          <w:i/>
          <w:iCs/>
          <w:color w:val="4472C4" w:themeColor="accent1"/>
          <w:lang w:val="en-GB"/>
        </w:rPr>
        <w:t>”</w:t>
      </w:r>
      <w:r w:rsidR="00452D8C" w:rsidRPr="0002056A">
        <w:rPr>
          <w:rFonts w:ascii="Georgia" w:hAnsi="Georgia"/>
          <w:bCs/>
          <w:i/>
          <w:iCs/>
          <w:color w:val="5B9BD5" w:themeColor="accent5"/>
          <w:lang w:val="en-GB"/>
        </w:rPr>
        <w:t xml:space="preserve"> </w:t>
      </w:r>
      <w:r w:rsidR="00452D8C" w:rsidRPr="0002056A">
        <w:rPr>
          <w:rFonts w:ascii="Georgia" w:hAnsi="Georgia"/>
          <w:lang w:val="en-GB"/>
        </w:rPr>
        <w:t>has proved to be basically true</w:t>
      </w:r>
      <w:r w:rsidR="007C0947">
        <w:rPr>
          <w:rFonts w:ascii="Georgia" w:hAnsi="Georgia"/>
          <w:lang w:val="en-GB"/>
        </w:rPr>
        <w:t xml:space="preserve">. Although </w:t>
      </w:r>
      <w:r w:rsidR="00452D8C" w:rsidRPr="0002056A">
        <w:rPr>
          <w:rFonts w:ascii="Georgia" w:hAnsi="Georgia"/>
          <w:lang w:val="en-GB"/>
        </w:rPr>
        <w:t xml:space="preserve">the related scientific and grey literature started to </w:t>
      </w:r>
      <w:r w:rsidR="00141B22">
        <w:rPr>
          <w:rFonts w:ascii="Georgia" w:hAnsi="Georgia"/>
          <w:lang w:val="en-GB"/>
        </w:rPr>
        <w:t>recognise the importance of geographical diversity</w:t>
      </w:r>
      <w:r w:rsidR="00440225">
        <w:rPr>
          <w:rFonts w:ascii="Georgia" w:hAnsi="Georgia"/>
          <w:lang w:val="en-GB"/>
        </w:rPr>
        <w:t>, they did it</w:t>
      </w:r>
      <w:r w:rsidR="00452D8C" w:rsidRPr="0002056A">
        <w:rPr>
          <w:rFonts w:ascii="Georgia" w:hAnsi="Georgia"/>
          <w:lang w:val="en-GB"/>
        </w:rPr>
        <w:t xml:space="preserve"> </w:t>
      </w:r>
      <w:r w:rsidR="00CF2159" w:rsidRPr="0002056A">
        <w:rPr>
          <w:rFonts w:ascii="Georgia" w:hAnsi="Georgia"/>
          <w:lang w:val="en-GB"/>
        </w:rPr>
        <w:t xml:space="preserve">mostly </w:t>
      </w:r>
      <w:r w:rsidR="00452D8C" w:rsidRPr="0002056A">
        <w:rPr>
          <w:rFonts w:ascii="Georgia" w:hAnsi="Georgia"/>
          <w:lang w:val="en-GB"/>
        </w:rPr>
        <w:t xml:space="preserve">implicitly; </w:t>
      </w:r>
      <w:r w:rsidR="00CF2159" w:rsidRPr="0002056A">
        <w:rPr>
          <w:rFonts w:ascii="Georgia" w:hAnsi="Georgia"/>
          <w:lang w:val="en-GB"/>
        </w:rPr>
        <w:t>examples of explicit analysis of climate adaptation’s spatiality are still rare</w:t>
      </w:r>
      <w:r w:rsidR="0050402B" w:rsidRPr="0002056A">
        <w:rPr>
          <w:rFonts w:ascii="Georgia" w:hAnsi="Georgia"/>
          <w:lang w:val="en-GB"/>
        </w:rPr>
        <w:t xml:space="preserve">. </w:t>
      </w:r>
      <w:r w:rsidR="00CB788D">
        <w:rPr>
          <w:rFonts w:ascii="Georgia" w:hAnsi="Georgia"/>
          <w:lang w:val="en-GB"/>
        </w:rPr>
        <w:t>Consequently, t</w:t>
      </w:r>
      <w:r w:rsidR="0050402B" w:rsidRPr="0002056A">
        <w:rPr>
          <w:rFonts w:ascii="Georgia" w:hAnsi="Georgia"/>
          <w:lang w:val="en-GB"/>
        </w:rPr>
        <w:t>o capture the essence of spatiality in climate adaptation policy planning</w:t>
      </w:r>
      <w:r w:rsidR="00141B22">
        <w:rPr>
          <w:rFonts w:ascii="Georgia" w:hAnsi="Georgia"/>
          <w:lang w:val="en-GB"/>
        </w:rPr>
        <w:t>, the dissertation has developed its own complex spatiality and spatial sensitivity concepts</w:t>
      </w:r>
      <w:r w:rsidR="000309F5" w:rsidRPr="0002056A">
        <w:rPr>
          <w:rFonts w:ascii="Georgia" w:hAnsi="Georgia"/>
          <w:lang w:val="en-GB"/>
        </w:rPr>
        <w:t>.</w:t>
      </w:r>
      <w:r w:rsidRPr="0002056A">
        <w:rPr>
          <w:rFonts w:ascii="Georgia" w:hAnsi="Georgia"/>
          <w:bCs/>
          <w:i/>
          <w:iCs/>
          <w:color w:val="FF0000"/>
          <w:lang w:val="en-GB"/>
        </w:rPr>
        <w:t xml:space="preserve"> </w:t>
      </w:r>
    </w:p>
    <w:p w14:paraId="3371BC08" w14:textId="7F5A6DA3" w:rsidR="00171CF7" w:rsidRPr="0002056A" w:rsidRDefault="00171CF7" w:rsidP="00171CF7">
      <w:pPr>
        <w:pStyle w:val="Cmsor3"/>
        <w:rPr>
          <w:lang w:val="en-GB"/>
        </w:rPr>
      </w:pPr>
      <w:bookmarkStart w:id="52" w:name="_Toc225578869"/>
      <w:r w:rsidRPr="0002056A">
        <w:rPr>
          <w:lang w:val="en-GB"/>
        </w:rPr>
        <w:t xml:space="preserve">RSQ2 </w:t>
      </w:r>
      <w:r w:rsidR="00C86B14">
        <w:rPr>
          <w:lang w:val="en-GB"/>
        </w:rPr>
        <w:t>Assessing</w:t>
      </w:r>
      <w:r w:rsidR="00253E9C">
        <w:rPr>
          <w:lang w:val="en-GB"/>
        </w:rPr>
        <w:t xml:space="preserve"> </w:t>
      </w:r>
      <w:r w:rsidR="00692B91" w:rsidRPr="0002056A">
        <w:rPr>
          <w:lang w:val="en-GB"/>
        </w:rPr>
        <w:t>spatial sensitivity in climate</w:t>
      </w:r>
      <w:r w:rsidRPr="0002056A">
        <w:rPr>
          <w:lang w:val="en-GB"/>
        </w:rPr>
        <w:t xml:space="preserve"> adaptation policies</w:t>
      </w:r>
      <w:bookmarkEnd w:id="52"/>
      <w:r w:rsidRPr="0002056A">
        <w:rPr>
          <w:lang w:val="en-GB"/>
        </w:rPr>
        <w:t xml:space="preserve"> </w:t>
      </w:r>
    </w:p>
    <w:p w14:paraId="4E63C0EE" w14:textId="63FB0436" w:rsidR="00EF694D" w:rsidRPr="0002056A" w:rsidRDefault="00974589" w:rsidP="00F00409">
      <w:pPr>
        <w:spacing w:before="120" w:after="120"/>
        <w:jc w:val="both"/>
        <w:rPr>
          <w:rFonts w:ascii="Georgia" w:hAnsi="Georgia" w:cs="Times New Roman"/>
          <w:lang w:val="en-GB"/>
        </w:rPr>
      </w:pPr>
      <w:r w:rsidRPr="0002056A">
        <w:rPr>
          <w:rFonts w:ascii="Georgia" w:hAnsi="Georgia"/>
          <w:lang w:val="en-GB"/>
        </w:rPr>
        <w:t>Based on the answer to R</w:t>
      </w:r>
      <w:r w:rsidR="00925AF5" w:rsidRPr="0002056A">
        <w:rPr>
          <w:rFonts w:ascii="Georgia" w:hAnsi="Georgia"/>
          <w:lang w:val="en-GB"/>
        </w:rPr>
        <w:t>S</w:t>
      </w:r>
      <w:r w:rsidRPr="0002056A">
        <w:rPr>
          <w:rFonts w:ascii="Georgia" w:hAnsi="Georgia"/>
          <w:lang w:val="en-GB"/>
        </w:rPr>
        <w:t>Q1, R</w:t>
      </w:r>
      <w:r w:rsidR="00925AF5" w:rsidRPr="0002056A">
        <w:rPr>
          <w:rFonts w:ascii="Georgia" w:hAnsi="Georgia"/>
          <w:lang w:val="en-GB"/>
        </w:rPr>
        <w:t>S</w:t>
      </w:r>
      <w:r w:rsidRPr="0002056A">
        <w:rPr>
          <w:rFonts w:ascii="Georgia" w:hAnsi="Georgia"/>
          <w:lang w:val="en-GB"/>
        </w:rPr>
        <w:t>Q2</w:t>
      </w:r>
      <w:r w:rsidR="00543C3E" w:rsidRPr="0002056A">
        <w:rPr>
          <w:rFonts w:ascii="Georgia" w:hAnsi="Georgia"/>
          <w:lang w:val="en-GB"/>
        </w:rPr>
        <w:t xml:space="preserve"> </w:t>
      </w:r>
      <w:r w:rsidR="00B338EF" w:rsidRPr="0002056A">
        <w:rPr>
          <w:rFonts w:ascii="Georgia" w:hAnsi="Georgia"/>
          <w:lang w:val="en-GB"/>
        </w:rPr>
        <w:t>searched</w:t>
      </w:r>
      <w:r w:rsidR="00543C3E" w:rsidRPr="0002056A">
        <w:rPr>
          <w:rFonts w:ascii="Georgia" w:hAnsi="Georgia"/>
          <w:lang w:val="en-GB"/>
        </w:rPr>
        <w:t xml:space="preserve"> </w:t>
      </w:r>
      <w:r w:rsidR="00141B22">
        <w:rPr>
          <w:rFonts w:ascii="Georgia" w:hAnsi="Georgia"/>
          <w:lang w:val="en-GB"/>
        </w:rPr>
        <w:t>for</w:t>
      </w:r>
      <w:r w:rsidR="00141B22" w:rsidRPr="0002056A">
        <w:rPr>
          <w:rFonts w:ascii="Georgia" w:hAnsi="Georgia"/>
          <w:lang w:val="en-GB"/>
        </w:rPr>
        <w:t xml:space="preserve"> </w:t>
      </w:r>
      <w:r w:rsidR="00543C3E" w:rsidRPr="0002056A">
        <w:rPr>
          <w:rFonts w:ascii="Georgia" w:hAnsi="Georgia"/>
          <w:lang w:val="en-GB"/>
        </w:rPr>
        <w:t>way</w:t>
      </w:r>
      <w:r w:rsidR="00ED17CD" w:rsidRPr="0002056A">
        <w:rPr>
          <w:rFonts w:ascii="Georgia" w:hAnsi="Georgia"/>
          <w:lang w:val="en-GB"/>
        </w:rPr>
        <w:t>s of</w:t>
      </w:r>
      <w:r w:rsidR="00543C3E" w:rsidRPr="0002056A">
        <w:rPr>
          <w:rFonts w:ascii="Georgia" w:hAnsi="Georgia"/>
          <w:lang w:val="en-GB"/>
        </w:rPr>
        <w:t xml:space="preserve"> </w:t>
      </w:r>
      <w:r w:rsidR="00C86B14">
        <w:rPr>
          <w:rFonts w:ascii="Georgia" w:hAnsi="Georgia"/>
          <w:lang w:val="en-GB"/>
        </w:rPr>
        <w:t>assessing</w:t>
      </w:r>
      <w:r w:rsidR="00543C3E" w:rsidRPr="0002056A">
        <w:rPr>
          <w:rFonts w:ascii="Georgia" w:hAnsi="Georgia"/>
          <w:lang w:val="en-GB"/>
        </w:rPr>
        <w:t xml:space="preserve"> spatial sensitivity in </w:t>
      </w:r>
      <w:r w:rsidR="00A87B78" w:rsidRPr="0002056A">
        <w:rPr>
          <w:rFonts w:ascii="Georgia" w:hAnsi="Georgia"/>
          <w:lang w:val="en-GB"/>
        </w:rPr>
        <w:t xml:space="preserve">adaptation policy planning and MRE within </w:t>
      </w:r>
      <w:r w:rsidR="00543C3E" w:rsidRPr="0002056A">
        <w:rPr>
          <w:rFonts w:ascii="Georgia" w:hAnsi="Georgia"/>
          <w:lang w:val="en-GB"/>
        </w:rPr>
        <w:t xml:space="preserve">the dissertation. The </w:t>
      </w:r>
      <w:r w:rsidR="00ED17CD" w:rsidRPr="0002056A">
        <w:rPr>
          <w:rFonts w:ascii="Georgia" w:hAnsi="Georgia"/>
          <w:lang w:val="en-GB"/>
        </w:rPr>
        <w:t xml:space="preserve">applied </w:t>
      </w:r>
      <w:r w:rsidR="00543C3E" w:rsidRPr="0002056A">
        <w:rPr>
          <w:rFonts w:ascii="Georgia" w:hAnsi="Georgia"/>
          <w:lang w:val="en-GB"/>
        </w:rPr>
        <w:t xml:space="preserve">solution became a </w:t>
      </w:r>
      <w:r w:rsidR="00C15972" w:rsidRPr="0002056A">
        <w:rPr>
          <w:rFonts w:ascii="Georgia" w:hAnsi="Georgia"/>
          <w:lang w:val="en-GB"/>
        </w:rPr>
        <w:t xml:space="preserve">comparative analysis of European </w:t>
      </w:r>
      <w:r w:rsidR="00141B22">
        <w:rPr>
          <w:rFonts w:ascii="Georgia" w:hAnsi="Georgia"/>
          <w:lang w:val="en-GB"/>
        </w:rPr>
        <w:t>national-level</w:t>
      </w:r>
      <w:r w:rsidR="00C15972" w:rsidRPr="0002056A">
        <w:rPr>
          <w:rFonts w:ascii="Georgia" w:hAnsi="Georgia"/>
          <w:lang w:val="en-GB"/>
        </w:rPr>
        <w:t xml:space="preserve"> adaptation policy planning tools (strategic documents, MRE background materials and actual reports, decision support systems), based on the </w:t>
      </w:r>
      <w:r w:rsidR="00D82924" w:rsidRPr="0002056A">
        <w:rPr>
          <w:rFonts w:ascii="Georgia" w:hAnsi="Georgia"/>
          <w:lang w:val="en-GB"/>
        </w:rPr>
        <w:t>definition of spatial</w:t>
      </w:r>
      <w:r w:rsidR="00A87B78" w:rsidRPr="0002056A">
        <w:rPr>
          <w:rFonts w:ascii="Georgia" w:hAnsi="Georgia"/>
          <w:lang w:val="en-GB"/>
        </w:rPr>
        <w:t>ity</w:t>
      </w:r>
      <w:r w:rsidR="00D82924" w:rsidRPr="0002056A">
        <w:rPr>
          <w:rFonts w:ascii="Georgia" w:hAnsi="Georgia"/>
          <w:lang w:val="en-GB"/>
        </w:rPr>
        <w:t xml:space="preserve"> and spatial sensitivity and </w:t>
      </w:r>
      <w:r w:rsidR="00A87B78" w:rsidRPr="0002056A">
        <w:rPr>
          <w:rFonts w:ascii="Georgia" w:hAnsi="Georgia"/>
          <w:lang w:val="en-GB"/>
        </w:rPr>
        <w:t>involv</w:t>
      </w:r>
      <w:r w:rsidR="00D82924" w:rsidRPr="0002056A">
        <w:rPr>
          <w:rFonts w:ascii="Georgia" w:hAnsi="Georgia"/>
          <w:lang w:val="en-GB"/>
        </w:rPr>
        <w:t>ing a large number of analytical aspects (</w:t>
      </w:r>
      <w:r w:rsidR="000958DB" w:rsidRPr="0002056A">
        <w:rPr>
          <w:rFonts w:ascii="Georgia" w:hAnsi="Georgia"/>
          <w:lang w:val="en-GB"/>
        </w:rPr>
        <w:t>7</w:t>
      </w:r>
      <w:r w:rsidR="00D82924" w:rsidRPr="0002056A">
        <w:rPr>
          <w:rFonts w:ascii="Georgia" w:hAnsi="Georgia"/>
          <w:lang w:val="en-GB"/>
        </w:rPr>
        <w:t xml:space="preserve"> main and 3</w:t>
      </w:r>
      <w:r w:rsidR="000958DB" w:rsidRPr="0002056A">
        <w:rPr>
          <w:rFonts w:ascii="Georgia" w:hAnsi="Georgia"/>
          <w:lang w:val="en-GB"/>
        </w:rPr>
        <w:t>4</w:t>
      </w:r>
      <w:r w:rsidR="00D82924" w:rsidRPr="0002056A">
        <w:rPr>
          <w:rFonts w:ascii="Georgia" w:hAnsi="Georgia"/>
          <w:lang w:val="en-GB"/>
        </w:rPr>
        <w:t xml:space="preserve"> sub</w:t>
      </w:r>
      <w:r w:rsidR="000958DB" w:rsidRPr="0002056A">
        <w:rPr>
          <w:rFonts w:ascii="Georgia" w:hAnsi="Georgia"/>
          <w:lang w:val="en-GB"/>
        </w:rPr>
        <w:t>-</w:t>
      </w:r>
      <w:r w:rsidR="00D82924" w:rsidRPr="0002056A">
        <w:rPr>
          <w:rFonts w:ascii="Georgia" w:hAnsi="Georgia"/>
          <w:lang w:val="en-GB"/>
        </w:rPr>
        <w:t>factors)</w:t>
      </w:r>
      <w:r w:rsidR="00ED389F" w:rsidRPr="0002056A">
        <w:rPr>
          <w:rFonts w:ascii="Georgia" w:hAnsi="Georgia"/>
          <w:lang w:val="en-GB"/>
        </w:rPr>
        <w:t>. The aspects and sub</w:t>
      </w:r>
      <w:r w:rsidR="00A25DEB" w:rsidRPr="0002056A">
        <w:rPr>
          <w:rFonts w:ascii="Georgia" w:hAnsi="Georgia"/>
          <w:lang w:val="en-GB"/>
        </w:rPr>
        <w:t>-</w:t>
      </w:r>
      <w:r w:rsidR="00ED389F" w:rsidRPr="0002056A">
        <w:rPr>
          <w:rFonts w:ascii="Georgia" w:hAnsi="Georgia"/>
          <w:lang w:val="en-GB"/>
        </w:rPr>
        <w:t>aspects derive from the different space concepts, approaches</w:t>
      </w:r>
      <w:r w:rsidR="00141B22">
        <w:rPr>
          <w:rFonts w:ascii="Georgia" w:hAnsi="Georgia"/>
          <w:lang w:val="en-GB"/>
        </w:rPr>
        <w:t xml:space="preserve"> and interpretations of the earlier-introduced</w:t>
      </w:r>
      <w:r w:rsidR="00ED389F" w:rsidRPr="0002056A">
        <w:rPr>
          <w:rFonts w:ascii="Georgia" w:hAnsi="Georgia"/>
          <w:lang w:val="en-GB"/>
        </w:rPr>
        <w:t xml:space="preserve"> space-oriented disciplines</w:t>
      </w:r>
      <w:r w:rsidR="00DA3E3C" w:rsidRPr="0002056A">
        <w:rPr>
          <w:rFonts w:ascii="Georgia" w:hAnsi="Georgia"/>
          <w:lang w:val="en-GB"/>
        </w:rPr>
        <w:t xml:space="preserve"> and fields</w:t>
      </w:r>
      <w:r w:rsidR="00ED389F" w:rsidRPr="0002056A">
        <w:rPr>
          <w:rFonts w:ascii="Georgia" w:hAnsi="Georgia"/>
          <w:lang w:val="en-GB"/>
        </w:rPr>
        <w:t xml:space="preserve">. </w:t>
      </w:r>
      <w:r w:rsidR="00ED389F" w:rsidRPr="0002056A">
        <w:rPr>
          <w:rFonts w:ascii="Georgia" w:hAnsi="Georgia" w:cs="Times New Roman"/>
          <w:lang w:val="en-GB"/>
        </w:rPr>
        <w:t>The “</w:t>
      </w:r>
      <w:r w:rsidR="00ED389F" w:rsidRPr="0002056A">
        <w:rPr>
          <w:rFonts w:ascii="Georgia" w:hAnsi="Georgia" w:cs="Times New Roman"/>
          <w:i/>
          <w:iCs/>
          <w:lang w:val="en-GB"/>
        </w:rPr>
        <w:t>Material and methods of the empirical research</w:t>
      </w:r>
      <w:r w:rsidR="00ED389F" w:rsidRPr="0002056A">
        <w:rPr>
          <w:rFonts w:ascii="Georgia" w:hAnsi="Georgia" w:cs="Times New Roman"/>
          <w:lang w:val="en-GB"/>
        </w:rPr>
        <w:t>” chapter’s “</w:t>
      </w:r>
      <w:r w:rsidR="00ED389F" w:rsidRPr="0002056A">
        <w:rPr>
          <w:rFonts w:ascii="Georgia" w:hAnsi="Georgia" w:cs="Times New Roman"/>
          <w:i/>
          <w:iCs/>
          <w:lang w:val="en-GB"/>
        </w:rPr>
        <w:t>Measuring spatial sensitivity</w:t>
      </w:r>
      <w:r w:rsidR="00ED389F" w:rsidRPr="0002056A">
        <w:rPr>
          <w:rFonts w:ascii="Georgia" w:hAnsi="Georgia" w:cs="Times New Roman"/>
          <w:lang w:val="en-GB"/>
        </w:rPr>
        <w:t xml:space="preserve">” subchapter </w:t>
      </w:r>
      <w:r w:rsidR="00DA3E3C" w:rsidRPr="0002056A">
        <w:rPr>
          <w:rFonts w:ascii="Georgia" w:hAnsi="Georgia" w:cs="Times New Roman"/>
          <w:lang w:val="en-GB"/>
        </w:rPr>
        <w:t>presen</w:t>
      </w:r>
      <w:r w:rsidR="00ED389F" w:rsidRPr="0002056A">
        <w:rPr>
          <w:rFonts w:ascii="Georgia" w:hAnsi="Georgia" w:cs="Times New Roman"/>
          <w:lang w:val="en-GB"/>
        </w:rPr>
        <w:t xml:space="preserve">ts the logic of the comparative analysis </w:t>
      </w:r>
      <w:r w:rsidR="00AC21FA" w:rsidRPr="0002056A">
        <w:rPr>
          <w:rFonts w:ascii="Georgia" w:hAnsi="Georgia" w:cs="Times New Roman"/>
          <w:lang w:val="en-GB"/>
        </w:rPr>
        <w:t>and the disciplinary/thematic roots of its sub</w:t>
      </w:r>
      <w:r w:rsidR="00216AD0">
        <w:rPr>
          <w:rFonts w:ascii="Georgia" w:hAnsi="Georgia" w:cs="Times New Roman"/>
          <w:lang w:val="en-GB"/>
        </w:rPr>
        <w:t>-</w:t>
      </w:r>
      <w:r w:rsidR="00AC21FA" w:rsidRPr="0002056A">
        <w:rPr>
          <w:rFonts w:ascii="Georgia" w:hAnsi="Georgia" w:cs="Times New Roman"/>
          <w:lang w:val="en-GB"/>
        </w:rPr>
        <w:t>aspects.</w:t>
      </w:r>
    </w:p>
    <w:p w14:paraId="533BAE7B" w14:textId="14D39F9D" w:rsidR="000958DB" w:rsidRPr="0002056A" w:rsidRDefault="00EF694D" w:rsidP="00F00409">
      <w:pPr>
        <w:spacing w:before="120" w:after="120"/>
        <w:jc w:val="both"/>
        <w:rPr>
          <w:rFonts w:ascii="Georgia" w:hAnsi="Georgia" w:cs="Times New Roman"/>
          <w:lang w:val="en-GB"/>
        </w:rPr>
      </w:pPr>
      <w:r w:rsidRPr="0002056A">
        <w:rPr>
          <w:rFonts w:ascii="Georgia" w:hAnsi="Georgia" w:cs="Times New Roman"/>
          <w:lang w:val="en-GB"/>
        </w:rPr>
        <w:t xml:space="preserve">The comparisons </w:t>
      </w:r>
      <w:r w:rsidR="00C474A9" w:rsidRPr="0002056A">
        <w:rPr>
          <w:rFonts w:ascii="Georgia" w:hAnsi="Georgia" w:cs="Times New Roman"/>
          <w:lang w:val="en-GB"/>
        </w:rPr>
        <w:t>take</w:t>
      </w:r>
      <w:r w:rsidRPr="0002056A">
        <w:rPr>
          <w:rFonts w:ascii="Georgia" w:hAnsi="Georgia" w:cs="Times New Roman"/>
          <w:lang w:val="en-GB"/>
        </w:rPr>
        <w:t xml:space="preserve"> a critical lead, not just the description of the national characteristics </w:t>
      </w:r>
      <w:r w:rsidR="00604FF8" w:rsidRPr="0002056A">
        <w:rPr>
          <w:rFonts w:ascii="Times New Roman" w:hAnsi="Times New Roman" w:cs="Times New Roman"/>
          <w:lang w:val="en-GB"/>
        </w:rPr>
        <w:t>˗</w:t>
      </w:r>
      <w:r w:rsidRPr="0002056A">
        <w:rPr>
          <w:rFonts w:ascii="Georgia" w:hAnsi="Georgia" w:cs="Times New Roman"/>
          <w:lang w:val="en-GB"/>
        </w:rPr>
        <w:t xml:space="preserve"> the</w:t>
      </w:r>
      <w:r w:rsidR="00300896" w:rsidRPr="0002056A">
        <w:rPr>
          <w:rFonts w:ascii="Georgia" w:hAnsi="Georgia" w:cs="Times New Roman"/>
          <w:lang w:val="en-GB"/>
        </w:rPr>
        <w:t xml:space="preserve"> use of an</w:t>
      </w:r>
      <w:r w:rsidRPr="0002056A">
        <w:rPr>
          <w:rFonts w:ascii="Georgia" w:hAnsi="Georgia" w:cs="Times New Roman"/>
          <w:lang w:val="en-GB"/>
        </w:rPr>
        <w:t xml:space="preserve"> explicit system of analytical aspects </w:t>
      </w:r>
      <w:r w:rsidR="00300896" w:rsidRPr="0002056A">
        <w:rPr>
          <w:rFonts w:ascii="Georgia" w:hAnsi="Georgia" w:cs="Times New Roman"/>
          <w:lang w:val="en-GB"/>
        </w:rPr>
        <w:t>(</w:t>
      </w:r>
      <w:r w:rsidR="00604FF8" w:rsidRPr="0002056A">
        <w:rPr>
          <w:rFonts w:ascii="Georgia" w:hAnsi="Georgia" w:cs="Times New Roman"/>
          <w:lang w:val="en-GB"/>
        </w:rPr>
        <w:t xml:space="preserve">instead of ad-hoc </w:t>
      </w:r>
      <w:r w:rsidR="00300896" w:rsidRPr="0002056A">
        <w:rPr>
          <w:rFonts w:ascii="Georgia" w:hAnsi="Georgia" w:cs="Times New Roman"/>
          <w:lang w:val="en-GB"/>
        </w:rPr>
        <w:t xml:space="preserve">considerations) </w:t>
      </w:r>
      <w:r w:rsidRPr="0002056A">
        <w:rPr>
          <w:rFonts w:ascii="Georgia" w:hAnsi="Georgia" w:cs="Times New Roman"/>
          <w:lang w:val="en-GB"/>
        </w:rPr>
        <w:t xml:space="preserve">serves this. </w:t>
      </w:r>
      <w:r w:rsidR="000958DB" w:rsidRPr="0002056A">
        <w:rPr>
          <w:rFonts w:ascii="Georgia" w:hAnsi="Georgia" w:cs="Times New Roman"/>
          <w:lang w:val="en-GB"/>
        </w:rPr>
        <w:t xml:space="preserve">The identification and selection of the final pool of aspects and sub-aspects followed a logic based on consideration of the available resource materials, the weight of the different phases within the planning cycle and complementary information. Taking into account these parameters, the majority of the analytical aspects </w:t>
      </w:r>
      <w:r w:rsidR="00141B22">
        <w:rPr>
          <w:rFonts w:ascii="Georgia" w:hAnsi="Georgia" w:cs="Times New Roman"/>
          <w:lang w:val="en-GB"/>
        </w:rPr>
        <w:t>concentrate</w:t>
      </w:r>
      <w:r w:rsidR="00141B22" w:rsidRPr="0002056A">
        <w:rPr>
          <w:rFonts w:ascii="Georgia" w:hAnsi="Georgia" w:cs="Times New Roman"/>
          <w:lang w:val="en-GB"/>
        </w:rPr>
        <w:t xml:space="preserve"> </w:t>
      </w:r>
      <w:r w:rsidR="000958DB" w:rsidRPr="0002056A">
        <w:rPr>
          <w:rFonts w:ascii="Georgia" w:hAnsi="Georgia" w:cs="Times New Roman"/>
          <w:lang w:val="en-GB"/>
        </w:rPr>
        <w:t xml:space="preserve">on </w:t>
      </w:r>
      <w:r w:rsidR="0093728D" w:rsidRPr="0002056A">
        <w:rPr>
          <w:rFonts w:ascii="Georgia" w:hAnsi="Georgia" w:cs="Times New Roman"/>
          <w:lang w:val="en-GB"/>
        </w:rPr>
        <w:t xml:space="preserve">the characteristics of </w:t>
      </w:r>
      <w:r w:rsidR="000958DB" w:rsidRPr="0002056A">
        <w:rPr>
          <w:rFonts w:ascii="Georgia" w:hAnsi="Georgia" w:cs="Times New Roman"/>
          <w:lang w:val="en-GB"/>
        </w:rPr>
        <w:t>adaptation policy</w:t>
      </w:r>
      <w:r w:rsidR="0093728D" w:rsidRPr="0002056A">
        <w:rPr>
          <w:rFonts w:ascii="Georgia" w:hAnsi="Georgia" w:cs="Times New Roman"/>
          <w:lang w:val="en-GB"/>
        </w:rPr>
        <w:t>-related</w:t>
      </w:r>
      <w:r w:rsidR="000958DB" w:rsidRPr="0002056A">
        <w:rPr>
          <w:rFonts w:ascii="Georgia" w:hAnsi="Georgia" w:cs="Times New Roman"/>
          <w:lang w:val="en-GB"/>
        </w:rPr>
        <w:t xml:space="preserve"> strategic planning documents. The reason for this is that within the planning cycle the actual planning itself still </w:t>
      </w:r>
      <w:r w:rsidR="000D6992" w:rsidRPr="0002056A">
        <w:rPr>
          <w:rFonts w:ascii="Georgia" w:hAnsi="Georgia" w:cs="Times New Roman"/>
          <w:lang w:val="en-GB"/>
        </w:rPr>
        <w:t>plays</w:t>
      </w:r>
      <w:r w:rsidR="000958DB" w:rsidRPr="0002056A">
        <w:rPr>
          <w:rFonts w:ascii="Georgia" w:hAnsi="Georgia" w:cs="Times New Roman"/>
          <w:lang w:val="en-GB"/>
        </w:rPr>
        <w:t xml:space="preserve"> the most crucial role compared to the later phases (implementation, monitoring and evaluation)</w:t>
      </w:r>
      <w:r w:rsidR="009033DE" w:rsidRPr="0002056A">
        <w:rPr>
          <w:rFonts w:ascii="Georgia" w:hAnsi="Georgia" w:cs="Times New Roman"/>
          <w:lang w:val="en-GB"/>
        </w:rPr>
        <w:t xml:space="preserve"> as planning is still the foundation and basis of the later phases</w:t>
      </w:r>
      <w:r w:rsidR="000958DB" w:rsidRPr="0002056A">
        <w:rPr>
          <w:rFonts w:ascii="Georgia" w:hAnsi="Georgia" w:cs="Times New Roman"/>
          <w:lang w:val="en-GB"/>
        </w:rPr>
        <w:t xml:space="preserve">. Moreover, NAS and NAP documents are more widely available </w:t>
      </w:r>
      <w:r w:rsidR="00141B22">
        <w:rPr>
          <w:rFonts w:ascii="Georgia" w:hAnsi="Georgia" w:cs="Times New Roman"/>
          <w:lang w:val="en-GB"/>
        </w:rPr>
        <w:t>than</w:t>
      </w:r>
      <w:r w:rsidR="00141B22" w:rsidRPr="0002056A">
        <w:rPr>
          <w:rFonts w:ascii="Georgia" w:hAnsi="Georgia" w:cs="Times New Roman"/>
          <w:lang w:val="en-GB"/>
        </w:rPr>
        <w:t xml:space="preserve"> </w:t>
      </w:r>
      <w:r w:rsidR="000958DB" w:rsidRPr="0002056A">
        <w:rPr>
          <w:rFonts w:ascii="Georgia" w:hAnsi="Georgia" w:cs="Times New Roman"/>
          <w:lang w:val="en-GB"/>
        </w:rPr>
        <w:t xml:space="preserve">MRE-related materials in the majority of the </w:t>
      </w:r>
      <w:r w:rsidR="00346E99" w:rsidRPr="0002056A">
        <w:rPr>
          <w:rFonts w:ascii="Georgia" w:hAnsi="Georgia" w:cs="Times New Roman"/>
          <w:lang w:val="en-GB"/>
        </w:rPr>
        <w:t xml:space="preserve">analysed </w:t>
      </w:r>
      <w:r w:rsidR="000958DB" w:rsidRPr="0002056A">
        <w:rPr>
          <w:rFonts w:ascii="Georgia" w:hAnsi="Georgia" w:cs="Times New Roman"/>
          <w:lang w:val="en-GB"/>
        </w:rPr>
        <w:t>countries</w:t>
      </w:r>
      <w:r w:rsidR="00B127E7" w:rsidRPr="0002056A">
        <w:rPr>
          <w:rFonts w:ascii="Georgia" w:hAnsi="Georgia" w:cs="Times New Roman"/>
          <w:lang w:val="en-GB"/>
        </w:rPr>
        <w:t>.</w:t>
      </w:r>
      <w:r w:rsidR="000958DB" w:rsidRPr="0002056A">
        <w:rPr>
          <w:rFonts w:ascii="Georgia" w:hAnsi="Georgia" w:cs="Times New Roman"/>
          <w:lang w:val="en-GB"/>
        </w:rPr>
        <w:t xml:space="preserve"> Monitoring and evaluation a</w:t>
      </w:r>
      <w:r w:rsidR="00346E99" w:rsidRPr="0002056A">
        <w:rPr>
          <w:rFonts w:ascii="Georgia" w:hAnsi="Georgia" w:cs="Times New Roman"/>
          <w:lang w:val="en-GB"/>
        </w:rPr>
        <w:t>re</w:t>
      </w:r>
      <w:r w:rsidR="000958DB" w:rsidRPr="0002056A">
        <w:rPr>
          <w:rFonts w:ascii="Georgia" w:hAnsi="Georgia" w:cs="Times New Roman"/>
          <w:lang w:val="en-GB"/>
        </w:rPr>
        <w:t xml:space="preserve"> also important parts of the adaptation planning cycle, but </w:t>
      </w:r>
      <w:r w:rsidR="00346E99" w:rsidRPr="0002056A">
        <w:rPr>
          <w:rFonts w:ascii="Georgia" w:hAnsi="Georgia" w:cs="Times New Roman"/>
          <w:lang w:val="en-GB"/>
        </w:rPr>
        <w:t xml:space="preserve">they are </w:t>
      </w:r>
      <w:r w:rsidR="000958DB" w:rsidRPr="0002056A">
        <w:rPr>
          <w:rFonts w:ascii="Georgia" w:hAnsi="Georgia" w:cs="Times New Roman"/>
          <w:lang w:val="en-GB"/>
        </w:rPr>
        <w:t>so far relatively less developed activities in this field</w:t>
      </w:r>
      <w:r w:rsidR="00346E99" w:rsidRPr="0002056A">
        <w:rPr>
          <w:rFonts w:ascii="Georgia" w:hAnsi="Georgia" w:cs="Times New Roman"/>
          <w:lang w:val="en-GB"/>
        </w:rPr>
        <w:t xml:space="preserve"> – they </w:t>
      </w:r>
      <w:r w:rsidR="00141B22">
        <w:rPr>
          <w:rFonts w:ascii="Georgia" w:hAnsi="Georgia" w:cs="Times New Roman"/>
          <w:lang w:val="en-GB"/>
        </w:rPr>
        <w:t xml:space="preserve">are </w:t>
      </w:r>
      <w:r w:rsidR="00B127E7" w:rsidRPr="0002056A">
        <w:rPr>
          <w:rFonts w:ascii="Georgia" w:hAnsi="Georgia" w:cs="Times New Roman"/>
          <w:lang w:val="en-GB"/>
        </w:rPr>
        <w:t>represented by</w:t>
      </w:r>
      <w:r w:rsidR="000958DB" w:rsidRPr="0002056A">
        <w:rPr>
          <w:rFonts w:ascii="Georgia" w:hAnsi="Georgia" w:cs="Times New Roman"/>
          <w:lang w:val="en-GB"/>
        </w:rPr>
        <w:t xml:space="preserve"> 1 main </w:t>
      </w:r>
      <w:r w:rsidR="00FA0359" w:rsidRPr="0002056A">
        <w:rPr>
          <w:rFonts w:ascii="Georgia" w:hAnsi="Georgia" w:cs="Times New Roman"/>
          <w:lang w:val="en-GB"/>
        </w:rPr>
        <w:t xml:space="preserve">comprehensive </w:t>
      </w:r>
      <w:r w:rsidR="00B127E7" w:rsidRPr="0002056A">
        <w:rPr>
          <w:rFonts w:ascii="Georgia" w:hAnsi="Georgia" w:cs="Times New Roman"/>
          <w:lang w:val="en-GB"/>
        </w:rPr>
        <w:t xml:space="preserve">analytical </w:t>
      </w:r>
      <w:r w:rsidR="000958DB" w:rsidRPr="0002056A">
        <w:rPr>
          <w:rFonts w:ascii="Georgia" w:hAnsi="Georgia" w:cs="Times New Roman"/>
          <w:lang w:val="en-GB"/>
        </w:rPr>
        <w:t>aspect</w:t>
      </w:r>
      <w:r w:rsidR="00B127E7" w:rsidRPr="0002056A">
        <w:rPr>
          <w:rFonts w:ascii="Georgia" w:hAnsi="Georgia" w:cs="Times New Roman"/>
          <w:lang w:val="en-GB"/>
        </w:rPr>
        <w:t xml:space="preserve"> in the empirical assessment</w:t>
      </w:r>
      <w:r w:rsidR="000958DB" w:rsidRPr="0002056A">
        <w:rPr>
          <w:rFonts w:ascii="Georgia" w:hAnsi="Georgia" w:cs="Times New Roman"/>
          <w:lang w:val="en-GB"/>
        </w:rPr>
        <w:t xml:space="preserve">. </w:t>
      </w:r>
      <w:r w:rsidR="000A316D" w:rsidRPr="0002056A">
        <w:rPr>
          <w:rFonts w:ascii="Georgia" w:hAnsi="Georgia" w:cs="Times New Roman"/>
          <w:lang w:val="en-GB"/>
        </w:rPr>
        <w:t>On top of the document</w:t>
      </w:r>
      <w:r w:rsidR="00141B22">
        <w:rPr>
          <w:rFonts w:ascii="Georgia" w:hAnsi="Georgia" w:cs="Times New Roman"/>
          <w:lang w:val="en-GB"/>
        </w:rPr>
        <w:t>,</w:t>
      </w:r>
      <w:r w:rsidR="000A316D" w:rsidRPr="0002056A">
        <w:rPr>
          <w:rFonts w:ascii="Georgia" w:hAnsi="Georgia" w:cs="Times New Roman"/>
          <w:lang w:val="en-GB"/>
        </w:rPr>
        <w:t xml:space="preserve"> the general spatial issues-related sub-aspects (consisting of the space phraseology of the documents, the emphasis on lower spatial levels’ adaptation actions and planning activities) as well as </w:t>
      </w:r>
      <w:r w:rsidR="00317771" w:rsidRPr="0002056A">
        <w:rPr>
          <w:rFonts w:ascii="Georgia" w:hAnsi="Georgia" w:cs="Times New Roman"/>
          <w:lang w:val="en-GB"/>
        </w:rPr>
        <w:t xml:space="preserve">the sub-aspects focusing on monitoring </w:t>
      </w:r>
      <w:r w:rsidR="00221F53" w:rsidRPr="0002056A">
        <w:rPr>
          <w:rFonts w:ascii="Georgia" w:hAnsi="Georgia" w:cs="Times New Roman"/>
          <w:lang w:val="en-GB"/>
        </w:rPr>
        <w:t>&amp;</w:t>
      </w:r>
      <w:r w:rsidR="00317771" w:rsidRPr="0002056A">
        <w:rPr>
          <w:rFonts w:ascii="Georgia" w:hAnsi="Georgia" w:cs="Times New Roman"/>
          <w:lang w:val="en-GB"/>
        </w:rPr>
        <w:t xml:space="preserve"> evaluation activities</w:t>
      </w:r>
      <w:r w:rsidR="00221F53" w:rsidRPr="0002056A">
        <w:rPr>
          <w:rFonts w:ascii="Georgia" w:hAnsi="Georgia" w:cs="Times New Roman"/>
          <w:lang w:val="en-GB"/>
        </w:rPr>
        <w:t xml:space="preserve"> and inter- and transnational dimensions</w:t>
      </w:r>
      <w:r w:rsidR="00317771" w:rsidRPr="0002056A">
        <w:rPr>
          <w:rFonts w:ascii="Georgia" w:hAnsi="Georgia" w:cs="Times New Roman"/>
          <w:lang w:val="en-GB"/>
        </w:rPr>
        <w:t xml:space="preserve"> were based partly</w:t>
      </w:r>
      <w:r w:rsidR="000A316D" w:rsidRPr="0002056A">
        <w:rPr>
          <w:rFonts w:ascii="Georgia" w:hAnsi="Georgia" w:cs="Times New Roman"/>
          <w:lang w:val="en-GB"/>
        </w:rPr>
        <w:t xml:space="preserve"> on information received from questionnaires/</w:t>
      </w:r>
      <w:r w:rsidR="00BE6418" w:rsidRPr="0002056A">
        <w:rPr>
          <w:rFonts w:ascii="Georgia" w:hAnsi="Georgia" w:cs="Times New Roman"/>
          <w:lang w:val="en-GB"/>
        </w:rPr>
        <w:t xml:space="preserve">e-mail </w:t>
      </w:r>
      <w:r w:rsidR="000A316D" w:rsidRPr="0002056A">
        <w:rPr>
          <w:rFonts w:ascii="Georgia" w:hAnsi="Georgia" w:cs="Times New Roman"/>
          <w:lang w:val="en-GB"/>
        </w:rPr>
        <w:t>interviews.</w:t>
      </w:r>
      <w:r w:rsidR="000D6992" w:rsidRPr="0002056A">
        <w:rPr>
          <w:rFonts w:ascii="Georgia" w:hAnsi="Georgia" w:cs="Times New Roman"/>
          <w:lang w:val="en-GB"/>
        </w:rPr>
        <w:t xml:space="preserve"> </w:t>
      </w:r>
    </w:p>
    <w:p w14:paraId="6C9AC610" w14:textId="347CE1E6" w:rsidR="00FA2208" w:rsidRDefault="00B54139" w:rsidP="00F00409">
      <w:pPr>
        <w:spacing w:before="120" w:after="120"/>
        <w:jc w:val="both"/>
        <w:rPr>
          <w:rFonts w:ascii="Georgia" w:hAnsi="Georgia"/>
          <w:lang w:val="en-GB"/>
        </w:rPr>
      </w:pPr>
      <w:r w:rsidRPr="0002056A">
        <w:rPr>
          <w:rFonts w:ascii="Georgia" w:hAnsi="Georgia"/>
          <w:lang w:val="en-GB"/>
        </w:rPr>
        <w:t xml:space="preserve">The composite indicator was calculated on the basis of the analytical aspects: at the end of the analysis spatial sensitivity of national adaptation policies has been measured by an aggregated indicator, calculated by adding the scores corresponding to the classification for each sub-aspect of a given country together. Best categories meant 5 points; upper-middle categories 3; </w:t>
      </w:r>
      <w:r w:rsidR="00141B22">
        <w:rPr>
          <w:rFonts w:ascii="Georgia" w:hAnsi="Georgia"/>
          <w:lang w:val="en-GB"/>
        </w:rPr>
        <w:t>lower-middle categories 1; meanwhile, the lowest and irrelevant categories 0 points</w:t>
      </w:r>
      <w:r w:rsidRPr="0002056A">
        <w:rPr>
          <w:rFonts w:ascii="Georgia" w:hAnsi="Georgia"/>
          <w:lang w:val="en-GB"/>
        </w:rPr>
        <w:t>.</w:t>
      </w:r>
    </w:p>
    <w:p w14:paraId="267DDDFE" w14:textId="77777777" w:rsidR="00FA2208" w:rsidRDefault="00FA2208">
      <w:pPr>
        <w:spacing w:after="160" w:line="259" w:lineRule="auto"/>
        <w:rPr>
          <w:rFonts w:ascii="Georgia" w:hAnsi="Georgia"/>
          <w:lang w:val="en-GB"/>
        </w:rPr>
      </w:pPr>
      <w:r>
        <w:rPr>
          <w:rFonts w:ascii="Georgia" w:hAnsi="Georgia"/>
          <w:lang w:val="en-GB"/>
        </w:rPr>
        <w:br w:type="page"/>
      </w:r>
    </w:p>
    <w:p w14:paraId="3EF7BCFE" w14:textId="77777777" w:rsidR="00B54139" w:rsidRPr="0002056A" w:rsidRDefault="00B54139" w:rsidP="00F00409">
      <w:pPr>
        <w:spacing w:before="120" w:after="120"/>
        <w:jc w:val="both"/>
        <w:rPr>
          <w:rFonts w:ascii="Georgia" w:hAnsi="Georgia" w:cs="Times New Roman"/>
          <w:lang w:val="en-GB"/>
        </w:rPr>
      </w:pPr>
    </w:p>
    <w:p w14:paraId="4E35AFC5" w14:textId="556E9AA5" w:rsidR="00AA3F29" w:rsidRPr="0002056A" w:rsidRDefault="00AA3F29"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bCs/>
          <w:i/>
          <w:iCs/>
          <w:color w:val="4472C4" w:themeColor="accent1"/>
          <w:lang w:val="en-GB"/>
        </w:rPr>
      </w:pPr>
      <w:r w:rsidRPr="0002056A">
        <w:rPr>
          <w:rFonts w:ascii="Georgia" w:hAnsi="Georgia"/>
          <w:lang w:val="en-GB"/>
        </w:rPr>
        <w:t>As for hypothesis #H2</w:t>
      </w:r>
      <w:r w:rsidRPr="0002056A">
        <w:rPr>
          <w:rFonts w:ascii="Georgia" w:hAnsi="Georgia"/>
          <w:bCs/>
          <w:i/>
          <w:iCs/>
          <w:color w:val="4472C4" w:themeColor="accent1"/>
          <w:lang w:val="en-GB"/>
        </w:rPr>
        <w:t xml:space="preserve"> “</w:t>
      </w:r>
      <w:r w:rsidR="007A24CD" w:rsidRPr="0002056A">
        <w:rPr>
          <w:rFonts w:ascii="Georgia" w:hAnsi="Georgia"/>
          <w:bCs/>
          <w:i/>
          <w:iCs/>
          <w:color w:val="4472C4" w:themeColor="accent1"/>
          <w:lang w:val="en-GB"/>
        </w:rPr>
        <w:t>Spatial sensitivity of national adaptation policy activities can be examined and measured by the analysis of their instruments</w:t>
      </w:r>
      <w:r w:rsidR="00191EEF" w:rsidRPr="0002056A">
        <w:rPr>
          <w:rFonts w:ascii="Georgia" w:hAnsi="Georgia"/>
          <w:bCs/>
          <w:i/>
          <w:iCs/>
          <w:color w:val="4472C4" w:themeColor="accent1"/>
          <w:lang w:val="en-GB"/>
        </w:rPr>
        <w:t>”</w:t>
      </w:r>
      <w:r w:rsidR="00191EEF" w:rsidRPr="0002056A">
        <w:rPr>
          <w:rFonts w:ascii="Georgia" w:hAnsi="Georgia" w:cs="Times New Roman"/>
          <w:lang w:val="en-GB"/>
        </w:rPr>
        <w:t>, t</w:t>
      </w:r>
      <w:r w:rsidR="00D55C14" w:rsidRPr="0002056A">
        <w:rPr>
          <w:rFonts w:ascii="Georgia" w:hAnsi="Georgia" w:cs="Times New Roman"/>
          <w:lang w:val="en-GB"/>
        </w:rPr>
        <w:t>he dissertation i</w:t>
      </w:r>
      <w:r w:rsidR="007923F4" w:rsidRPr="0002056A">
        <w:rPr>
          <w:rFonts w:ascii="Georgia" w:hAnsi="Georgia" w:cs="Times New Roman"/>
          <w:lang w:val="en-GB"/>
        </w:rPr>
        <w:t xml:space="preserve">n itself is the </w:t>
      </w:r>
      <w:r w:rsidR="00792B3A" w:rsidRPr="0002056A">
        <w:rPr>
          <w:rFonts w:ascii="Georgia" w:hAnsi="Georgia" w:cs="Times New Roman"/>
          <w:lang w:val="en-GB"/>
        </w:rPr>
        <w:t xml:space="preserve">positive </w:t>
      </w:r>
      <w:r w:rsidR="007923F4" w:rsidRPr="0002056A">
        <w:rPr>
          <w:rFonts w:ascii="Georgia" w:hAnsi="Georgia" w:cs="Times New Roman"/>
          <w:lang w:val="en-GB"/>
        </w:rPr>
        <w:t xml:space="preserve">answer: it elaborated </w:t>
      </w:r>
      <w:r w:rsidR="00C0475B" w:rsidRPr="0002056A">
        <w:rPr>
          <w:rFonts w:ascii="Georgia" w:hAnsi="Georgia" w:cs="Times New Roman"/>
          <w:lang w:val="en-GB"/>
        </w:rPr>
        <w:t xml:space="preserve">a complex, comprehensive </w:t>
      </w:r>
      <w:r w:rsidR="00216AD0" w:rsidRPr="0002056A">
        <w:rPr>
          <w:rFonts w:ascii="Georgia" w:hAnsi="Georgia" w:cs="Times New Roman"/>
          <w:lang w:val="en-GB"/>
        </w:rPr>
        <w:t>analytical</w:t>
      </w:r>
      <w:r w:rsidR="00C0475B" w:rsidRPr="0002056A">
        <w:rPr>
          <w:rFonts w:ascii="Georgia" w:hAnsi="Georgia" w:cs="Times New Roman"/>
          <w:lang w:val="en-GB"/>
        </w:rPr>
        <w:t xml:space="preserve"> aspect system to conduct the comparative </w:t>
      </w:r>
      <w:r w:rsidR="00197029" w:rsidRPr="0002056A">
        <w:rPr>
          <w:rFonts w:ascii="Georgia" w:hAnsi="Georgia" w:cs="Times New Roman"/>
          <w:lang w:val="en-GB"/>
        </w:rPr>
        <w:t>assessment</w:t>
      </w:r>
      <w:r w:rsidR="00C0475B" w:rsidRPr="0002056A">
        <w:rPr>
          <w:rFonts w:ascii="Georgia" w:hAnsi="Georgia" w:cs="Times New Roman"/>
          <w:lang w:val="en-GB"/>
        </w:rPr>
        <w:t xml:space="preserve"> of European countries</w:t>
      </w:r>
      <w:r w:rsidR="00197029" w:rsidRPr="0002056A">
        <w:rPr>
          <w:rFonts w:ascii="Georgia" w:hAnsi="Georgia" w:cs="Times New Roman"/>
          <w:lang w:val="en-GB"/>
        </w:rPr>
        <w:t>’</w:t>
      </w:r>
      <w:r w:rsidR="00C0475B" w:rsidRPr="0002056A">
        <w:rPr>
          <w:rFonts w:ascii="Georgia" w:hAnsi="Georgia" w:cs="Times New Roman"/>
          <w:lang w:val="en-GB"/>
        </w:rPr>
        <w:t xml:space="preserve"> national adaptation policy</w:t>
      </w:r>
      <w:r w:rsidR="00FB3CD0" w:rsidRPr="0002056A">
        <w:rPr>
          <w:rFonts w:ascii="Georgia" w:hAnsi="Georgia" w:cs="Times New Roman"/>
          <w:lang w:val="en-GB"/>
        </w:rPr>
        <w:t xml:space="preserve"> </w:t>
      </w:r>
      <w:r w:rsidR="00C0475B" w:rsidRPr="0002056A">
        <w:rPr>
          <w:rFonts w:ascii="Georgia" w:hAnsi="Georgia" w:cs="Times New Roman"/>
          <w:lang w:val="en-GB"/>
        </w:rPr>
        <w:t xml:space="preserve">planning </w:t>
      </w:r>
      <w:r w:rsidR="00FB3CD0" w:rsidRPr="0002056A">
        <w:rPr>
          <w:rFonts w:ascii="Georgia" w:hAnsi="Georgia" w:cs="Times New Roman"/>
          <w:lang w:val="en-GB"/>
        </w:rPr>
        <w:t>activities</w:t>
      </w:r>
      <w:r w:rsidR="005A3FA9" w:rsidRPr="0002056A">
        <w:rPr>
          <w:rFonts w:ascii="Georgia" w:hAnsi="Georgia" w:cs="Times New Roman"/>
          <w:lang w:val="en-GB"/>
        </w:rPr>
        <w:t>, o</w:t>
      </w:r>
      <w:r w:rsidR="00C0475B" w:rsidRPr="0002056A">
        <w:rPr>
          <w:rFonts w:ascii="Georgia" w:hAnsi="Georgia" w:cs="Times New Roman"/>
          <w:lang w:val="en-GB"/>
        </w:rPr>
        <w:t>ffer</w:t>
      </w:r>
      <w:r w:rsidR="005A3FA9" w:rsidRPr="0002056A">
        <w:rPr>
          <w:rFonts w:ascii="Georgia" w:hAnsi="Georgia" w:cs="Times New Roman"/>
          <w:lang w:val="en-GB"/>
        </w:rPr>
        <w:t>ing</w:t>
      </w:r>
      <w:r w:rsidR="00C0475B" w:rsidRPr="0002056A">
        <w:rPr>
          <w:rFonts w:ascii="Georgia" w:hAnsi="Georgia" w:cs="Times New Roman"/>
          <w:lang w:val="en-GB"/>
        </w:rPr>
        <w:t xml:space="preserve"> a solution</w:t>
      </w:r>
      <w:r w:rsidRPr="0002056A">
        <w:rPr>
          <w:rFonts w:ascii="Georgia" w:hAnsi="Georgia" w:cs="Times New Roman"/>
          <w:lang w:val="en-GB"/>
        </w:rPr>
        <w:t xml:space="preserve"> </w:t>
      </w:r>
      <w:r w:rsidR="00792B3A" w:rsidRPr="0002056A">
        <w:rPr>
          <w:rFonts w:ascii="Georgia" w:hAnsi="Georgia" w:cs="Times New Roman"/>
          <w:lang w:val="en-GB"/>
        </w:rPr>
        <w:t>to examine and measure the sensitivity of adaptation planning and MRE instruments to spatial issues.</w:t>
      </w:r>
    </w:p>
    <w:p w14:paraId="2D473E13" w14:textId="3C923B05" w:rsidR="00171CF7" w:rsidRPr="0002056A" w:rsidRDefault="00171CF7" w:rsidP="00171CF7">
      <w:pPr>
        <w:pStyle w:val="Cmsor3"/>
        <w:rPr>
          <w:lang w:val="en-GB"/>
        </w:rPr>
      </w:pPr>
      <w:bookmarkStart w:id="53" w:name="_Toc225578870"/>
      <w:r w:rsidRPr="0002056A">
        <w:rPr>
          <w:lang w:val="en-GB"/>
        </w:rPr>
        <w:t xml:space="preserve">RSQ3: </w:t>
      </w:r>
      <w:r w:rsidR="00850AAB" w:rsidRPr="0002056A">
        <w:rPr>
          <w:lang w:val="en-GB"/>
        </w:rPr>
        <w:t>The</w:t>
      </w:r>
      <w:r w:rsidRPr="0002056A">
        <w:rPr>
          <w:lang w:val="en-GB"/>
        </w:rPr>
        <w:t xml:space="preserve"> extent </w:t>
      </w:r>
      <w:r w:rsidR="00D36221">
        <w:rPr>
          <w:lang w:val="en-GB"/>
        </w:rPr>
        <w:t>of</w:t>
      </w:r>
      <w:r w:rsidR="00850AAB" w:rsidRPr="0002056A">
        <w:rPr>
          <w:lang w:val="en-GB"/>
        </w:rPr>
        <w:t xml:space="preserve"> </w:t>
      </w:r>
      <w:r w:rsidRPr="0002056A">
        <w:rPr>
          <w:lang w:val="en-GB"/>
        </w:rPr>
        <w:t xml:space="preserve">spatiality </w:t>
      </w:r>
      <w:r w:rsidR="00D36221">
        <w:rPr>
          <w:lang w:val="en-GB"/>
        </w:rPr>
        <w:t>emerg</w:t>
      </w:r>
      <w:r w:rsidRPr="0002056A">
        <w:rPr>
          <w:lang w:val="en-GB"/>
        </w:rPr>
        <w:t xml:space="preserve">ing in </w:t>
      </w:r>
      <w:r w:rsidR="00850AAB" w:rsidRPr="0002056A">
        <w:rPr>
          <w:lang w:val="en-GB"/>
        </w:rPr>
        <w:t xml:space="preserve">European national </w:t>
      </w:r>
      <w:r w:rsidRPr="0002056A">
        <w:rPr>
          <w:lang w:val="en-GB"/>
        </w:rPr>
        <w:t>adaptation policy instruments</w:t>
      </w:r>
      <w:bookmarkEnd w:id="53"/>
    </w:p>
    <w:p w14:paraId="75AA62D5" w14:textId="26EE4285" w:rsidR="00E614D7" w:rsidRPr="0002056A" w:rsidRDefault="00112C60" w:rsidP="00F00409">
      <w:pPr>
        <w:spacing w:before="120" w:after="120"/>
        <w:jc w:val="both"/>
        <w:rPr>
          <w:rFonts w:ascii="Georgia" w:hAnsi="Georgia"/>
          <w:lang w:val="en-GB"/>
        </w:rPr>
      </w:pPr>
      <w:r w:rsidRPr="0002056A">
        <w:rPr>
          <w:rFonts w:ascii="Georgia" w:hAnsi="Georgia"/>
          <w:lang w:val="en-GB"/>
        </w:rPr>
        <w:t>The overall answer is</w:t>
      </w:r>
      <w:r w:rsidR="005A3FA9" w:rsidRPr="0002056A">
        <w:rPr>
          <w:rFonts w:ascii="Georgia" w:hAnsi="Georgia"/>
          <w:lang w:val="en-GB"/>
        </w:rPr>
        <w:t xml:space="preserve"> that</w:t>
      </w:r>
      <w:r w:rsidRPr="0002056A">
        <w:rPr>
          <w:rFonts w:ascii="Georgia" w:hAnsi="Georgia"/>
          <w:lang w:val="en-GB"/>
        </w:rPr>
        <w:t xml:space="preserve"> </w:t>
      </w:r>
      <w:r w:rsidR="00197029" w:rsidRPr="0002056A">
        <w:rPr>
          <w:rFonts w:ascii="Georgia" w:hAnsi="Georgia"/>
          <w:lang w:val="en-GB"/>
        </w:rPr>
        <w:t xml:space="preserve">spatiality is emerging in European national adaptation policy instruments </w:t>
      </w:r>
      <w:r w:rsidRPr="0002056A">
        <w:rPr>
          <w:rFonts w:ascii="Georgia" w:hAnsi="Georgia"/>
          <w:lang w:val="en-GB"/>
        </w:rPr>
        <w:t xml:space="preserve">to a limited extent. To describe the situation in a more detailed way, </w:t>
      </w:r>
      <w:r w:rsidR="00EA60A3" w:rsidRPr="0002056A">
        <w:rPr>
          <w:rFonts w:ascii="Georgia" w:hAnsi="Georgia"/>
          <w:lang w:val="en-GB"/>
        </w:rPr>
        <w:t>basically</w:t>
      </w:r>
      <w:r w:rsidR="00141B22">
        <w:rPr>
          <w:rFonts w:ascii="Georgia" w:hAnsi="Georgia"/>
          <w:lang w:val="en-GB"/>
        </w:rPr>
        <w:t>,</w:t>
      </w:r>
      <w:r w:rsidR="00EA60A3" w:rsidRPr="0002056A">
        <w:rPr>
          <w:rFonts w:ascii="Georgia" w:hAnsi="Georgia"/>
          <w:lang w:val="en-GB"/>
        </w:rPr>
        <w:t xml:space="preserve"> weak results can be </w:t>
      </w:r>
      <w:r w:rsidR="00CE0F51" w:rsidRPr="0002056A">
        <w:rPr>
          <w:rFonts w:ascii="Georgia" w:hAnsi="Georgia"/>
          <w:lang w:val="en-GB"/>
        </w:rPr>
        <w:t>registered. Even the best-performing states of the analysis show</w:t>
      </w:r>
      <w:r w:rsidR="00EA60A3" w:rsidRPr="0002056A">
        <w:rPr>
          <w:rFonts w:ascii="Georgia" w:hAnsi="Georgia"/>
          <w:lang w:val="en-GB"/>
        </w:rPr>
        <w:t xml:space="preserve"> medium</w:t>
      </w:r>
      <w:r w:rsidR="00141B22">
        <w:rPr>
          <w:rFonts w:ascii="Georgia" w:hAnsi="Georgia"/>
          <w:lang w:val="en-GB"/>
        </w:rPr>
        <w:t>-</w:t>
      </w:r>
      <w:r w:rsidR="00EA60A3" w:rsidRPr="0002056A">
        <w:rPr>
          <w:rFonts w:ascii="Georgia" w:hAnsi="Georgia"/>
          <w:lang w:val="en-GB"/>
        </w:rPr>
        <w:t xml:space="preserve">level </w:t>
      </w:r>
      <w:r w:rsidR="00CE0F51" w:rsidRPr="0002056A">
        <w:rPr>
          <w:rFonts w:ascii="Georgia" w:hAnsi="Georgia"/>
          <w:lang w:val="en-GB"/>
        </w:rPr>
        <w:t>results</w:t>
      </w:r>
      <w:r w:rsidR="00EA60A3" w:rsidRPr="0002056A">
        <w:rPr>
          <w:rFonts w:ascii="Georgia" w:hAnsi="Georgia"/>
          <w:lang w:val="en-GB"/>
        </w:rPr>
        <w:t xml:space="preserve"> at best (from the maximum available 17</w:t>
      </w:r>
      <w:r w:rsidR="00B826E3" w:rsidRPr="0002056A">
        <w:rPr>
          <w:rFonts w:ascii="Georgia" w:hAnsi="Georgia"/>
          <w:lang w:val="en-GB"/>
        </w:rPr>
        <w:t>0</w:t>
      </w:r>
      <w:r w:rsidR="00EA60A3" w:rsidRPr="0002056A">
        <w:rPr>
          <w:rFonts w:ascii="Georgia" w:hAnsi="Georgia"/>
          <w:lang w:val="en-GB"/>
        </w:rPr>
        <w:t xml:space="preserve"> </w:t>
      </w:r>
      <w:r w:rsidR="00216AD0" w:rsidRPr="0002056A">
        <w:rPr>
          <w:rFonts w:ascii="Georgia" w:hAnsi="Georgia"/>
          <w:lang w:val="en-GB"/>
        </w:rPr>
        <w:t>point</w:t>
      </w:r>
      <w:r w:rsidR="00216AD0">
        <w:rPr>
          <w:rFonts w:ascii="Georgia" w:hAnsi="Georgia"/>
          <w:lang w:val="en-GB"/>
        </w:rPr>
        <w:t>s</w:t>
      </w:r>
      <w:r w:rsidR="00141B22">
        <w:rPr>
          <w:rFonts w:ascii="Georgia" w:hAnsi="Georgia"/>
          <w:lang w:val="en-GB"/>
        </w:rPr>
        <w:t>,</w:t>
      </w:r>
      <w:r w:rsidR="00EA60A3" w:rsidRPr="0002056A">
        <w:rPr>
          <w:rFonts w:ascii="Georgia" w:hAnsi="Georgia"/>
          <w:lang w:val="en-GB"/>
        </w:rPr>
        <w:t xml:space="preserve"> the best</w:t>
      </w:r>
      <w:r w:rsidR="00141B22">
        <w:rPr>
          <w:rFonts w:ascii="Georgia" w:hAnsi="Georgia"/>
          <w:lang w:val="en-GB"/>
        </w:rPr>
        <w:t>-</w:t>
      </w:r>
      <w:r w:rsidR="00EA60A3" w:rsidRPr="0002056A">
        <w:rPr>
          <w:rFonts w:ascii="Georgia" w:hAnsi="Georgia"/>
          <w:lang w:val="en-GB"/>
        </w:rPr>
        <w:t xml:space="preserve">performing Austria reached </w:t>
      </w:r>
      <w:r w:rsidR="00F162D9" w:rsidRPr="0002056A">
        <w:rPr>
          <w:rFonts w:ascii="Georgia" w:hAnsi="Georgia"/>
          <w:lang w:val="en-GB"/>
        </w:rPr>
        <w:t>9</w:t>
      </w:r>
      <w:r w:rsidR="00197029" w:rsidRPr="0002056A">
        <w:rPr>
          <w:rFonts w:ascii="Georgia" w:hAnsi="Georgia"/>
          <w:lang w:val="en-GB"/>
        </w:rPr>
        <w:t>7</w:t>
      </w:r>
      <w:r w:rsidR="00EA60A3" w:rsidRPr="0002056A">
        <w:rPr>
          <w:rFonts w:ascii="Georgia" w:hAnsi="Georgia"/>
          <w:lang w:val="en-GB"/>
        </w:rPr>
        <w:t xml:space="preserve"> points, its </w:t>
      </w:r>
      <w:r w:rsidR="00CE0F51" w:rsidRPr="0002056A">
        <w:rPr>
          <w:rFonts w:ascii="Georgia" w:hAnsi="Georgia"/>
          <w:lang w:val="en-GB"/>
        </w:rPr>
        <w:t>direct</w:t>
      </w:r>
      <w:r w:rsidR="003C723C" w:rsidRPr="0002056A">
        <w:rPr>
          <w:rFonts w:ascii="Georgia" w:hAnsi="Georgia"/>
          <w:lang w:val="en-GB"/>
        </w:rPr>
        <w:t xml:space="preserve"> </w:t>
      </w:r>
      <w:r w:rsidR="00EA60A3" w:rsidRPr="0002056A">
        <w:rPr>
          <w:rFonts w:ascii="Georgia" w:hAnsi="Georgia"/>
          <w:lang w:val="en-GB"/>
        </w:rPr>
        <w:t xml:space="preserve">followers </w:t>
      </w:r>
      <w:r w:rsidR="003C723C" w:rsidRPr="0002056A">
        <w:rPr>
          <w:rFonts w:ascii="Georgia" w:hAnsi="Georgia"/>
          <w:lang w:val="en-GB"/>
        </w:rPr>
        <w:t xml:space="preserve">in the ranking stand </w:t>
      </w:r>
      <w:r w:rsidR="00EA60A3" w:rsidRPr="0002056A">
        <w:rPr>
          <w:rFonts w:ascii="Georgia" w:hAnsi="Georgia"/>
          <w:lang w:val="en-GB"/>
        </w:rPr>
        <w:t>between 7</w:t>
      </w:r>
      <w:r w:rsidR="00E042BB" w:rsidRPr="0002056A">
        <w:rPr>
          <w:rFonts w:ascii="Georgia" w:hAnsi="Georgia"/>
          <w:lang w:val="en-GB"/>
        </w:rPr>
        <w:t>7</w:t>
      </w:r>
      <w:r w:rsidR="00EA60A3" w:rsidRPr="0002056A">
        <w:rPr>
          <w:rFonts w:ascii="Georgia" w:hAnsi="Georgia"/>
          <w:lang w:val="en-GB"/>
        </w:rPr>
        <w:t>-84</w:t>
      </w:r>
      <w:r w:rsidR="003C723C" w:rsidRPr="0002056A">
        <w:rPr>
          <w:rFonts w:ascii="Georgia" w:hAnsi="Georgia"/>
          <w:lang w:val="en-GB"/>
        </w:rPr>
        <w:t xml:space="preserve"> points</w:t>
      </w:r>
      <w:r w:rsidR="00EA60A3" w:rsidRPr="0002056A">
        <w:rPr>
          <w:rFonts w:ascii="Georgia" w:hAnsi="Georgia"/>
          <w:lang w:val="en-GB"/>
        </w:rPr>
        <w:t>)</w:t>
      </w:r>
      <w:r w:rsidR="003C723C" w:rsidRPr="0002056A">
        <w:rPr>
          <w:rFonts w:ascii="Georgia" w:hAnsi="Georgia"/>
          <w:lang w:val="en-GB"/>
        </w:rPr>
        <w:t xml:space="preserve"> - that is </w:t>
      </w:r>
      <w:r w:rsidR="00EA60A3" w:rsidRPr="0002056A">
        <w:rPr>
          <w:rFonts w:ascii="Georgia" w:hAnsi="Georgia"/>
          <w:lang w:val="en-GB"/>
        </w:rPr>
        <w:t xml:space="preserve">around 50 (+/- </w:t>
      </w:r>
      <w:r w:rsidR="003F17F3" w:rsidRPr="0002056A">
        <w:rPr>
          <w:rFonts w:ascii="Georgia" w:hAnsi="Georgia"/>
          <w:lang w:val="en-GB"/>
        </w:rPr>
        <w:t>8</w:t>
      </w:r>
      <w:r w:rsidR="00EA60A3" w:rsidRPr="0002056A">
        <w:rPr>
          <w:rFonts w:ascii="Georgia" w:hAnsi="Georgia"/>
          <w:lang w:val="en-GB"/>
        </w:rPr>
        <w:t>) %</w:t>
      </w:r>
      <w:r w:rsidR="003C723C" w:rsidRPr="0002056A">
        <w:rPr>
          <w:rFonts w:ascii="Georgia" w:hAnsi="Georgia"/>
          <w:lang w:val="en-GB"/>
        </w:rPr>
        <w:t xml:space="preserve"> performance at maximum.</w:t>
      </w:r>
      <w:r w:rsidR="00EA60A3" w:rsidRPr="0002056A">
        <w:rPr>
          <w:rFonts w:ascii="Georgia" w:hAnsi="Georgia"/>
          <w:lang w:val="en-GB"/>
        </w:rPr>
        <w:t xml:space="preserve"> These </w:t>
      </w:r>
      <w:r w:rsidR="00E614D7" w:rsidRPr="0002056A">
        <w:rPr>
          <w:rFonts w:ascii="Georgia" w:hAnsi="Georgia"/>
          <w:lang w:val="en-GB"/>
        </w:rPr>
        <w:t xml:space="preserve">outcomes </w:t>
      </w:r>
      <w:r w:rsidR="00141B22">
        <w:rPr>
          <w:rFonts w:ascii="Georgia" w:hAnsi="Georgia"/>
          <w:lang w:val="en-GB"/>
        </w:rPr>
        <w:t>verify</w:t>
      </w:r>
      <w:r w:rsidR="00141B22" w:rsidRPr="0002056A">
        <w:rPr>
          <w:rFonts w:ascii="Georgia" w:hAnsi="Georgia"/>
          <w:lang w:val="en-GB"/>
        </w:rPr>
        <w:t xml:space="preserve"> </w:t>
      </w:r>
      <w:r w:rsidR="00EA60A3" w:rsidRPr="0002056A">
        <w:rPr>
          <w:rFonts w:ascii="Georgia" w:hAnsi="Georgia"/>
          <w:lang w:val="en-GB"/>
        </w:rPr>
        <w:t xml:space="preserve">that in European national adaptation policies the sectoral approach </w:t>
      </w:r>
      <w:r w:rsidR="00197029" w:rsidRPr="0002056A">
        <w:rPr>
          <w:rFonts w:ascii="Georgia" w:hAnsi="Georgia"/>
          <w:lang w:val="en-GB"/>
        </w:rPr>
        <w:t xml:space="preserve">still </w:t>
      </w:r>
      <w:r w:rsidR="00EA60A3" w:rsidRPr="0002056A">
        <w:rPr>
          <w:rFonts w:ascii="Georgia" w:hAnsi="Georgia"/>
          <w:lang w:val="en-GB"/>
        </w:rPr>
        <w:t xml:space="preserve">prevails. </w:t>
      </w:r>
    </w:p>
    <w:p w14:paraId="30B08CFE" w14:textId="3083CB50" w:rsidR="00EA60A3" w:rsidRPr="0002056A" w:rsidRDefault="00EA60A3" w:rsidP="00F00409">
      <w:pPr>
        <w:spacing w:before="120" w:after="120"/>
        <w:jc w:val="both"/>
        <w:rPr>
          <w:rFonts w:ascii="Georgia" w:hAnsi="Georgia"/>
          <w:lang w:val="en-GB"/>
        </w:rPr>
      </w:pPr>
      <w:r w:rsidRPr="0002056A">
        <w:rPr>
          <w:rFonts w:ascii="Georgia" w:hAnsi="Georgia"/>
          <w:lang w:val="en-GB"/>
        </w:rPr>
        <w:t>Out of the analytical aspects, general spatiality (</w:t>
      </w:r>
      <w:r w:rsidR="00E614D7" w:rsidRPr="0002056A">
        <w:rPr>
          <w:rFonts w:ascii="Georgia" w:hAnsi="Georgia"/>
          <w:lang w:val="en-GB"/>
        </w:rPr>
        <w:t xml:space="preserve">space phraseology, </w:t>
      </w:r>
      <w:r w:rsidRPr="0002056A">
        <w:rPr>
          <w:rFonts w:ascii="Georgia" w:hAnsi="Georgia"/>
          <w:lang w:val="en-GB"/>
        </w:rPr>
        <w:t xml:space="preserve">general </w:t>
      </w:r>
      <w:r w:rsidR="00E614D7" w:rsidRPr="0002056A">
        <w:rPr>
          <w:rFonts w:ascii="Georgia" w:hAnsi="Georgia"/>
          <w:lang w:val="en-GB"/>
        </w:rPr>
        <w:t>policy planning logic,</w:t>
      </w:r>
      <w:r w:rsidRPr="0002056A">
        <w:rPr>
          <w:rFonts w:ascii="Georgia" w:hAnsi="Georgia"/>
          <w:lang w:val="en-GB"/>
        </w:rPr>
        <w:t xml:space="preserve"> active role of spatial levels</w:t>
      </w:r>
      <w:r w:rsidR="00E614D7" w:rsidRPr="0002056A">
        <w:rPr>
          <w:rFonts w:ascii="Georgia" w:hAnsi="Georgia"/>
          <w:lang w:val="en-GB"/>
        </w:rPr>
        <w:t xml:space="preserve"> and propagation of lower-level planning activities in adaptation</w:t>
      </w:r>
      <w:r w:rsidRPr="0002056A">
        <w:rPr>
          <w:rFonts w:ascii="Georgia" w:hAnsi="Georgia"/>
          <w:lang w:val="en-GB"/>
        </w:rPr>
        <w:t xml:space="preserve">) and coherence with </w:t>
      </w:r>
      <w:r w:rsidR="006953AF" w:rsidRPr="0002056A">
        <w:rPr>
          <w:rFonts w:ascii="Georgia" w:hAnsi="Georgia"/>
          <w:lang w:val="en-GB"/>
        </w:rPr>
        <w:t xml:space="preserve">European /domestic national </w:t>
      </w:r>
      <w:r w:rsidRPr="0002056A">
        <w:rPr>
          <w:rFonts w:ascii="Georgia" w:hAnsi="Georgia"/>
          <w:lang w:val="en-GB"/>
        </w:rPr>
        <w:t>spatial development policy objectives performed generally well</w:t>
      </w:r>
      <w:r w:rsidR="006953AF" w:rsidRPr="0002056A">
        <w:rPr>
          <w:rFonts w:ascii="Georgia" w:hAnsi="Georgia"/>
          <w:lang w:val="en-GB"/>
        </w:rPr>
        <w:t xml:space="preserve">. However, </w:t>
      </w:r>
      <w:r w:rsidR="00141B22">
        <w:rPr>
          <w:rFonts w:ascii="Georgia" w:hAnsi="Georgia"/>
          <w:lang w:val="en-GB"/>
        </w:rPr>
        <w:t xml:space="preserve">the spatial performance of the NAS situation analyses and objective systems, NAP actions, international spatial/geopolitical outlooks and MRE activities’ spatiality aspects showed only a </w:t>
      </w:r>
      <w:r w:rsidRPr="0002056A">
        <w:rPr>
          <w:rFonts w:ascii="Georgia" w:hAnsi="Georgia"/>
          <w:lang w:val="en-GB"/>
        </w:rPr>
        <w:t xml:space="preserve">few very good </w:t>
      </w:r>
      <w:r w:rsidR="00D36221">
        <w:rPr>
          <w:rFonts w:ascii="Georgia" w:hAnsi="Georgia"/>
          <w:lang w:val="en-GB"/>
        </w:rPr>
        <w:t xml:space="preserve">country </w:t>
      </w:r>
      <w:r w:rsidRPr="0002056A">
        <w:rPr>
          <w:rFonts w:ascii="Georgia" w:hAnsi="Georgia"/>
          <w:lang w:val="en-GB"/>
        </w:rPr>
        <w:t xml:space="preserve">examples, </w:t>
      </w:r>
      <w:r w:rsidR="00D7339A" w:rsidRPr="0002056A">
        <w:rPr>
          <w:rFonts w:ascii="Georgia" w:hAnsi="Georgia"/>
          <w:lang w:val="en-GB"/>
        </w:rPr>
        <w:t>and</w:t>
      </w:r>
      <w:r w:rsidRPr="0002056A">
        <w:rPr>
          <w:rFonts w:ascii="Georgia" w:hAnsi="Georgia"/>
          <w:lang w:val="en-GB"/>
        </w:rPr>
        <w:t xml:space="preserve"> the majority of the countries performed mediocre or weak. </w:t>
      </w:r>
    </w:p>
    <w:p w14:paraId="69FB9F07" w14:textId="7B8DCD3D" w:rsidR="00A90498" w:rsidRPr="0002056A" w:rsidRDefault="00216AD0"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lang w:val="en-GB"/>
        </w:rPr>
      </w:pPr>
      <w:r w:rsidRPr="0002056A">
        <w:rPr>
          <w:rFonts w:ascii="Georgia" w:hAnsi="Georgia"/>
          <w:lang w:val="en-GB"/>
        </w:rPr>
        <w:t>Altogether</w:t>
      </w:r>
      <w:r w:rsidR="00A90498" w:rsidRPr="0002056A">
        <w:rPr>
          <w:rFonts w:ascii="Georgia" w:hAnsi="Georgia"/>
          <w:lang w:val="en-GB"/>
        </w:rPr>
        <w:t>, hypothesis #</w:t>
      </w:r>
      <w:r w:rsidR="00A90498" w:rsidRPr="0002056A">
        <w:rPr>
          <w:rFonts w:ascii="Georgia" w:hAnsi="Georgia"/>
          <w:bCs/>
          <w:i/>
          <w:iCs/>
          <w:color w:val="4472C4" w:themeColor="accent1"/>
          <w:lang w:val="en-GB"/>
        </w:rPr>
        <w:t xml:space="preserve">H3 </w:t>
      </w:r>
      <w:r w:rsidR="00A90498" w:rsidRPr="0002056A">
        <w:rPr>
          <w:rFonts w:ascii="Georgia" w:hAnsi="Georgia"/>
          <w:lang w:val="en-GB"/>
        </w:rPr>
        <w:t>“</w:t>
      </w:r>
      <w:r w:rsidR="005E6E80" w:rsidRPr="005E6E80">
        <w:rPr>
          <w:rFonts w:ascii="Georgia" w:hAnsi="Georgia"/>
          <w:bCs/>
          <w:i/>
          <w:iCs/>
          <w:color w:val="4472C4" w:themeColor="accent1"/>
          <w:lang w:val="en-GB"/>
        </w:rPr>
        <w:t>Sensitivity to spatial dimensions emerges in national adaptation policy instruments, but to a limited extent</w:t>
      </w:r>
      <w:r w:rsidR="00A90498" w:rsidRPr="0002056A">
        <w:rPr>
          <w:rFonts w:ascii="Georgia" w:hAnsi="Georgia"/>
          <w:lang w:val="en-GB"/>
        </w:rPr>
        <w:t>” proved to be true</w:t>
      </w:r>
      <w:r w:rsidR="00BC4B75" w:rsidRPr="0002056A">
        <w:rPr>
          <w:rFonts w:ascii="Georgia" w:hAnsi="Georgia"/>
          <w:lang w:val="en-GB"/>
        </w:rPr>
        <w:t>.</w:t>
      </w:r>
      <w:r w:rsidR="00EB2232">
        <w:rPr>
          <w:rFonts w:ascii="Georgia" w:hAnsi="Georgia"/>
          <w:lang w:val="en-GB"/>
        </w:rPr>
        <w:t xml:space="preserve"> Sensitivity</w:t>
      </w:r>
      <w:r w:rsidR="00D75A56">
        <w:rPr>
          <w:rFonts w:ascii="Georgia" w:hAnsi="Georgia"/>
          <w:lang w:val="en-GB"/>
        </w:rPr>
        <w:t xml:space="preserve"> t</w:t>
      </w:r>
      <w:r w:rsidR="00451F67">
        <w:rPr>
          <w:rFonts w:ascii="Georgia" w:hAnsi="Georgia"/>
          <w:lang w:val="en-GB"/>
        </w:rPr>
        <w:t>o</w:t>
      </w:r>
      <w:r w:rsidR="00D75A56">
        <w:rPr>
          <w:rFonts w:ascii="Georgia" w:hAnsi="Georgia"/>
          <w:lang w:val="en-GB"/>
        </w:rPr>
        <w:t xml:space="preserve"> spatial dimensions emerges in national adaptation policies indeed, but only implicitly and </w:t>
      </w:r>
      <w:r w:rsidR="00D36221">
        <w:rPr>
          <w:rFonts w:ascii="Georgia" w:hAnsi="Georgia"/>
          <w:lang w:val="en-GB"/>
        </w:rPr>
        <w:t>with</w:t>
      </w:r>
      <w:r w:rsidR="00D75A56">
        <w:rPr>
          <w:rFonts w:ascii="Georgia" w:hAnsi="Georgia"/>
          <w:lang w:val="en-GB"/>
        </w:rPr>
        <w:t xml:space="preserve"> low weight.</w:t>
      </w:r>
    </w:p>
    <w:p w14:paraId="2694E69D" w14:textId="68CC668F" w:rsidR="00171CF7" w:rsidRPr="0002056A" w:rsidRDefault="00171CF7" w:rsidP="00171CF7">
      <w:pPr>
        <w:pStyle w:val="Cmsor3"/>
        <w:rPr>
          <w:lang w:val="en-GB"/>
        </w:rPr>
      </w:pPr>
      <w:bookmarkStart w:id="54" w:name="_Toc225578871"/>
      <w:r w:rsidRPr="0002056A">
        <w:rPr>
          <w:lang w:val="en-GB"/>
        </w:rPr>
        <w:t xml:space="preserve">RSQ4: </w:t>
      </w:r>
      <w:r w:rsidR="00850AAB" w:rsidRPr="0002056A">
        <w:rPr>
          <w:lang w:val="en-GB"/>
        </w:rPr>
        <w:t xml:space="preserve">The main </w:t>
      </w:r>
      <w:r w:rsidR="00216AD0" w:rsidRPr="0002056A">
        <w:rPr>
          <w:lang w:val="en-GB"/>
        </w:rPr>
        <w:t>influential</w:t>
      </w:r>
      <w:r w:rsidR="00850AAB" w:rsidRPr="0002056A">
        <w:rPr>
          <w:lang w:val="en-GB"/>
        </w:rPr>
        <w:t xml:space="preserve"> factors </w:t>
      </w:r>
      <w:r w:rsidR="00F67EA8" w:rsidRPr="0002056A">
        <w:rPr>
          <w:lang w:val="en-GB"/>
        </w:rPr>
        <w:t>of</w:t>
      </w:r>
      <w:r w:rsidRPr="0002056A">
        <w:rPr>
          <w:lang w:val="en-GB"/>
        </w:rPr>
        <w:t xml:space="preserve"> </w:t>
      </w:r>
      <w:r w:rsidR="00F67EA8" w:rsidRPr="0002056A">
        <w:rPr>
          <w:lang w:val="en-GB"/>
        </w:rPr>
        <w:t xml:space="preserve">national adaptation policies’ </w:t>
      </w:r>
      <w:r w:rsidRPr="0002056A">
        <w:rPr>
          <w:lang w:val="en-GB"/>
        </w:rPr>
        <w:t>spatial sensitivity</w:t>
      </w:r>
      <w:bookmarkEnd w:id="54"/>
    </w:p>
    <w:p w14:paraId="78E27111" w14:textId="64751160" w:rsidR="00025D2E" w:rsidRPr="0002056A" w:rsidRDefault="00066D21" w:rsidP="00F00409">
      <w:pPr>
        <w:tabs>
          <w:tab w:val="num" w:pos="2160"/>
        </w:tabs>
        <w:spacing w:before="120" w:after="120"/>
        <w:jc w:val="both"/>
        <w:rPr>
          <w:rFonts w:ascii="Georgia" w:hAnsi="Georgia"/>
          <w:lang w:val="en-GB"/>
        </w:rPr>
      </w:pPr>
      <w:r w:rsidRPr="0002056A">
        <w:rPr>
          <w:rFonts w:ascii="Georgia" w:hAnsi="Georgia"/>
          <w:lang w:val="en-GB"/>
        </w:rPr>
        <w:t xml:space="preserve">The research </w:t>
      </w:r>
      <w:r w:rsidR="00562B25" w:rsidRPr="0002056A">
        <w:rPr>
          <w:rFonts w:ascii="Georgia" w:hAnsi="Georgia"/>
          <w:lang w:val="en-GB"/>
        </w:rPr>
        <w:t xml:space="preserve">in its 4th step </w:t>
      </w:r>
      <w:r w:rsidRPr="0002056A">
        <w:rPr>
          <w:rFonts w:ascii="Georgia" w:hAnsi="Georgia"/>
          <w:lang w:val="en-GB"/>
        </w:rPr>
        <w:t>also trie</w:t>
      </w:r>
      <w:r w:rsidR="00562B25" w:rsidRPr="0002056A">
        <w:rPr>
          <w:rFonts w:ascii="Georgia" w:hAnsi="Georgia"/>
          <w:lang w:val="en-GB"/>
        </w:rPr>
        <w:t>d</w:t>
      </w:r>
      <w:r w:rsidRPr="0002056A">
        <w:rPr>
          <w:rFonts w:ascii="Georgia" w:hAnsi="Georgia"/>
          <w:lang w:val="en-GB"/>
        </w:rPr>
        <w:t xml:space="preserve"> to identify the main influential factors of adaptation </w:t>
      </w:r>
      <w:r w:rsidR="00197029" w:rsidRPr="0002056A">
        <w:rPr>
          <w:rFonts w:ascii="Georgia" w:hAnsi="Georgia"/>
          <w:lang w:val="en-GB"/>
        </w:rPr>
        <w:t xml:space="preserve">planning and MRE </w:t>
      </w:r>
      <w:r w:rsidRPr="0002056A">
        <w:rPr>
          <w:rFonts w:ascii="Georgia" w:hAnsi="Georgia"/>
          <w:lang w:val="en-GB"/>
        </w:rPr>
        <w:t xml:space="preserve">tools’ spatial performance, </w:t>
      </w:r>
      <w:r w:rsidR="00D36221">
        <w:rPr>
          <w:rFonts w:ascii="Georgia" w:hAnsi="Georgia"/>
          <w:lang w:val="en-GB"/>
        </w:rPr>
        <w:t>by</w:t>
      </w:r>
      <w:r w:rsidRPr="0002056A">
        <w:rPr>
          <w:rFonts w:ascii="Georgia" w:hAnsi="Georgia"/>
          <w:lang w:val="en-GB"/>
        </w:rPr>
        <w:t xml:space="preserve"> comparing the </w:t>
      </w:r>
      <w:r w:rsidR="00ED20B0" w:rsidRPr="0002056A">
        <w:rPr>
          <w:rFonts w:ascii="Georgia" w:hAnsi="Georgia"/>
          <w:lang w:val="en-GB"/>
        </w:rPr>
        <w:t xml:space="preserve">values of the </w:t>
      </w:r>
      <w:r w:rsidRPr="0002056A">
        <w:rPr>
          <w:rFonts w:ascii="Georgia" w:hAnsi="Georgia"/>
          <w:lang w:val="en-GB"/>
        </w:rPr>
        <w:t xml:space="preserve">elaborated spatial sensitivity composite indicator </w:t>
      </w:r>
      <w:r w:rsidR="00B66185" w:rsidRPr="0002056A">
        <w:rPr>
          <w:rFonts w:ascii="Georgia" w:hAnsi="Georgia"/>
          <w:lang w:val="en-GB"/>
        </w:rPr>
        <w:t>to other social/economic/geographic/spatial administration-related indices to identify whether geomorphologic, natural geographic, social</w:t>
      </w:r>
      <w:r w:rsidR="00B21E92" w:rsidRPr="0002056A">
        <w:rPr>
          <w:rFonts w:ascii="Georgia" w:hAnsi="Georgia"/>
          <w:lang w:val="en-GB"/>
        </w:rPr>
        <w:t xml:space="preserve"> </w:t>
      </w:r>
      <w:r w:rsidR="000E56AC">
        <w:rPr>
          <w:rFonts w:ascii="Georgia" w:hAnsi="Georgia"/>
          <w:lang w:val="en-GB"/>
        </w:rPr>
        <w:t>or</w:t>
      </w:r>
      <w:r w:rsidR="00B21E92" w:rsidRPr="0002056A">
        <w:rPr>
          <w:rFonts w:ascii="Georgia" w:hAnsi="Georgia"/>
          <w:lang w:val="en-GB"/>
        </w:rPr>
        <w:t xml:space="preserve"> </w:t>
      </w:r>
      <w:r w:rsidR="00B66185" w:rsidRPr="0002056A">
        <w:rPr>
          <w:rFonts w:ascii="Georgia" w:hAnsi="Georgia"/>
          <w:lang w:val="en-GB"/>
        </w:rPr>
        <w:t xml:space="preserve">economic </w:t>
      </w:r>
      <w:r w:rsidR="00B21E92" w:rsidRPr="0002056A">
        <w:rPr>
          <w:rFonts w:ascii="Georgia" w:hAnsi="Georgia"/>
          <w:lang w:val="en-GB"/>
        </w:rPr>
        <w:t xml:space="preserve">characteristics </w:t>
      </w:r>
      <w:r w:rsidR="00B66185" w:rsidRPr="0002056A">
        <w:rPr>
          <w:rFonts w:ascii="Georgia" w:hAnsi="Georgia"/>
          <w:lang w:val="en-GB"/>
        </w:rPr>
        <w:t xml:space="preserve">or </w:t>
      </w:r>
      <w:r w:rsidR="00912CF4" w:rsidRPr="0002056A">
        <w:rPr>
          <w:rFonts w:ascii="Georgia" w:hAnsi="Georgia"/>
          <w:lang w:val="en-GB"/>
        </w:rPr>
        <w:t>spatial or adaptation policy</w:t>
      </w:r>
      <w:r w:rsidR="00ED20B0" w:rsidRPr="0002056A">
        <w:rPr>
          <w:rFonts w:ascii="Georgia" w:hAnsi="Georgia"/>
          <w:lang w:val="en-GB"/>
        </w:rPr>
        <w:t>-related</w:t>
      </w:r>
      <w:r w:rsidR="00B66185" w:rsidRPr="0002056A">
        <w:rPr>
          <w:rFonts w:ascii="Georgia" w:hAnsi="Georgia"/>
          <w:lang w:val="en-GB"/>
        </w:rPr>
        <w:t xml:space="preserve"> issues’ influence is the strongest</w:t>
      </w:r>
      <w:r w:rsidR="00B21E92" w:rsidRPr="0002056A">
        <w:rPr>
          <w:rFonts w:ascii="Georgia" w:hAnsi="Georgia"/>
          <w:lang w:val="en-GB"/>
        </w:rPr>
        <w:t xml:space="preserve"> driving force</w:t>
      </w:r>
      <w:r w:rsidR="00B66185" w:rsidRPr="0002056A">
        <w:rPr>
          <w:rFonts w:ascii="Georgia" w:hAnsi="Georgia"/>
          <w:lang w:val="en-GB"/>
        </w:rPr>
        <w:t xml:space="preserve">. </w:t>
      </w:r>
      <w:r w:rsidRPr="0002056A">
        <w:rPr>
          <w:rFonts w:ascii="Georgia" w:hAnsi="Georgia"/>
          <w:lang w:val="en-GB"/>
        </w:rPr>
        <w:t xml:space="preserve">Although the correlation analysis did not </w:t>
      </w:r>
      <w:r w:rsidR="00A45581" w:rsidRPr="0002056A">
        <w:rPr>
          <w:rFonts w:ascii="Georgia" w:hAnsi="Georgia"/>
          <w:lang w:val="en-GB"/>
        </w:rPr>
        <w:t>bring exclusively significant</w:t>
      </w:r>
      <w:r w:rsidRPr="0002056A">
        <w:rPr>
          <w:rFonts w:ascii="Georgia" w:hAnsi="Georgia"/>
          <w:lang w:val="en-GB"/>
        </w:rPr>
        <w:t xml:space="preserve"> results, some basic </w:t>
      </w:r>
      <w:r w:rsidR="00A45581" w:rsidRPr="0002056A">
        <w:rPr>
          <w:rFonts w:ascii="Georgia" w:hAnsi="Georgia"/>
          <w:lang w:val="en-GB"/>
        </w:rPr>
        <w:t>conclusion can be drawn</w:t>
      </w:r>
      <w:r w:rsidRPr="0002056A">
        <w:rPr>
          <w:rFonts w:ascii="Georgia" w:hAnsi="Georgia"/>
          <w:lang w:val="en-GB"/>
        </w:rPr>
        <w:t xml:space="preserve">. </w:t>
      </w:r>
      <w:r w:rsidR="00A45581" w:rsidRPr="0002056A">
        <w:rPr>
          <w:rFonts w:ascii="Georgia" w:hAnsi="Georgia"/>
          <w:lang w:val="en-GB"/>
        </w:rPr>
        <w:t>T</w:t>
      </w:r>
      <w:r w:rsidRPr="0002056A">
        <w:rPr>
          <w:rFonts w:ascii="Georgia" w:hAnsi="Georgia"/>
          <w:lang w:val="en-GB"/>
        </w:rPr>
        <w:t xml:space="preserve">he strongest influencing factors of national adaptation policy making’ spatial performance </w:t>
      </w:r>
      <w:r w:rsidR="004141ED" w:rsidRPr="0002056A">
        <w:rPr>
          <w:rFonts w:ascii="Georgia" w:hAnsi="Georgia"/>
          <w:lang w:val="en-GB"/>
        </w:rPr>
        <w:t xml:space="preserve">are the indices of </w:t>
      </w:r>
      <w:r w:rsidR="000E0F2C" w:rsidRPr="0002056A">
        <w:rPr>
          <w:rFonts w:ascii="Georgia" w:hAnsi="Georgia"/>
          <w:lang w:val="en-GB"/>
        </w:rPr>
        <w:t xml:space="preserve">spatial governance and </w:t>
      </w:r>
      <w:r w:rsidR="009B69D6" w:rsidRPr="0002056A">
        <w:rPr>
          <w:rFonts w:ascii="Georgia" w:hAnsi="Georgia"/>
          <w:lang w:val="en-GB"/>
        </w:rPr>
        <w:t xml:space="preserve">experiences in </w:t>
      </w:r>
      <w:r w:rsidR="004141ED" w:rsidRPr="0002056A">
        <w:rPr>
          <w:rFonts w:ascii="Georgia" w:hAnsi="Georgia"/>
          <w:lang w:val="en-GB"/>
        </w:rPr>
        <w:t xml:space="preserve">adaptation planning, indicating </w:t>
      </w:r>
      <w:r w:rsidRPr="0002056A">
        <w:rPr>
          <w:rFonts w:ascii="Georgia" w:hAnsi="Georgia"/>
          <w:lang w:val="en-GB"/>
        </w:rPr>
        <w:t xml:space="preserve">the quality, traditions and level of development both in </w:t>
      </w:r>
      <w:r w:rsidR="00CF08D5" w:rsidRPr="0002056A">
        <w:rPr>
          <w:rFonts w:ascii="Georgia" w:hAnsi="Georgia"/>
          <w:lang w:val="en-GB"/>
        </w:rPr>
        <w:t xml:space="preserve">spatial </w:t>
      </w:r>
      <w:r w:rsidR="00D67E0F">
        <w:rPr>
          <w:rFonts w:ascii="Georgia" w:hAnsi="Georgia"/>
          <w:lang w:val="en-GB"/>
        </w:rPr>
        <w:t xml:space="preserve">organisation </w:t>
      </w:r>
      <w:r w:rsidR="00CF08D5" w:rsidRPr="0002056A">
        <w:rPr>
          <w:rFonts w:ascii="Georgia" w:hAnsi="Georgia"/>
          <w:lang w:val="en-GB"/>
        </w:rPr>
        <w:t>and adaptation policy-related planning. But even these indices show at maximum ab</w:t>
      </w:r>
      <w:r w:rsidR="009B69D6" w:rsidRPr="0002056A">
        <w:rPr>
          <w:rFonts w:ascii="Georgia" w:hAnsi="Georgia"/>
          <w:lang w:val="en-GB"/>
        </w:rPr>
        <w:t>o</w:t>
      </w:r>
      <w:r w:rsidR="00CF08D5" w:rsidRPr="0002056A">
        <w:rPr>
          <w:rFonts w:ascii="Georgia" w:hAnsi="Georgia"/>
          <w:lang w:val="en-GB"/>
        </w:rPr>
        <w:t xml:space="preserve">ve-than-medium-level connection with the spatial sensitivity indicator. </w:t>
      </w:r>
      <w:r w:rsidR="005972E0" w:rsidRPr="0002056A">
        <w:rPr>
          <w:rFonts w:ascii="Georgia" w:hAnsi="Georgia"/>
          <w:lang w:val="en-GB"/>
        </w:rPr>
        <w:t xml:space="preserve">These indices are </w:t>
      </w:r>
      <w:r w:rsidRPr="0002056A">
        <w:rPr>
          <w:rFonts w:ascii="Georgia" w:hAnsi="Georgia"/>
          <w:lang w:val="en-GB"/>
        </w:rPr>
        <w:t xml:space="preserve">followed by </w:t>
      </w:r>
      <w:r w:rsidR="00216AD0" w:rsidRPr="0002056A">
        <w:rPr>
          <w:rFonts w:ascii="Georgia" w:hAnsi="Georgia"/>
          <w:lang w:val="en-GB"/>
        </w:rPr>
        <w:t>physical</w:t>
      </w:r>
      <w:r w:rsidR="005972E0" w:rsidRPr="0002056A">
        <w:rPr>
          <w:rFonts w:ascii="Georgia" w:hAnsi="Georgia"/>
          <w:lang w:val="en-GB"/>
        </w:rPr>
        <w:t xml:space="preserve"> (</w:t>
      </w:r>
      <w:r w:rsidR="009B69D6" w:rsidRPr="0002056A">
        <w:rPr>
          <w:rFonts w:ascii="Georgia" w:hAnsi="Georgia"/>
          <w:lang w:val="en-GB"/>
        </w:rPr>
        <w:t xml:space="preserve">population and </w:t>
      </w:r>
      <w:r w:rsidR="00C0138F" w:rsidRPr="0002056A">
        <w:rPr>
          <w:rFonts w:ascii="Georgia" w:hAnsi="Georgia"/>
          <w:lang w:val="en-GB"/>
        </w:rPr>
        <w:t>size of the country</w:t>
      </w:r>
      <w:r w:rsidR="005972E0" w:rsidRPr="0002056A">
        <w:rPr>
          <w:rFonts w:ascii="Georgia" w:hAnsi="Georgia"/>
          <w:lang w:val="en-GB"/>
        </w:rPr>
        <w:t xml:space="preserve">) or </w:t>
      </w:r>
      <w:r w:rsidR="00CC443E" w:rsidRPr="0002056A">
        <w:rPr>
          <w:rFonts w:ascii="Georgia" w:hAnsi="Georgia"/>
          <w:lang w:val="en-GB"/>
        </w:rPr>
        <w:t>social indices (HDI) showing weaker-than-medium level connections</w:t>
      </w:r>
      <w:r w:rsidRPr="0002056A">
        <w:rPr>
          <w:rFonts w:ascii="Georgia" w:hAnsi="Georgia"/>
          <w:lang w:val="en-GB"/>
        </w:rPr>
        <w:t xml:space="preserve">. </w:t>
      </w:r>
      <w:r w:rsidR="00C0138F" w:rsidRPr="0002056A">
        <w:rPr>
          <w:rFonts w:ascii="Georgia" w:hAnsi="Georgia"/>
          <w:lang w:val="en-GB"/>
        </w:rPr>
        <w:t xml:space="preserve">Summarily, </w:t>
      </w:r>
      <w:r w:rsidRPr="0002056A">
        <w:rPr>
          <w:rFonts w:ascii="Georgia" w:hAnsi="Georgia"/>
          <w:lang w:val="en-GB"/>
        </w:rPr>
        <w:t xml:space="preserve">similarly to the results </w:t>
      </w:r>
      <w:r w:rsidR="007329EE" w:rsidRPr="0002056A">
        <w:rPr>
          <w:rFonts w:ascii="Georgia" w:hAnsi="Georgia"/>
          <w:lang w:val="en-GB"/>
        </w:rPr>
        <w:t xml:space="preserve">of </w:t>
      </w:r>
      <w:r w:rsidR="00C0138F" w:rsidRPr="0002056A">
        <w:rPr>
          <w:rFonts w:ascii="Georgia" w:hAnsi="Georgia"/>
          <w:lang w:val="en-GB"/>
        </w:rPr>
        <w:t>former studies in the field (</w:t>
      </w:r>
      <w:r w:rsidRPr="0002056A">
        <w:rPr>
          <w:rFonts w:ascii="Georgia" w:hAnsi="Georgia" w:cstheme="minorHAnsi"/>
          <w:smallCaps/>
          <w:lang w:val="en-GB"/>
        </w:rPr>
        <w:t>Swart</w:t>
      </w:r>
      <w:r w:rsidR="00C0138F" w:rsidRPr="0002056A">
        <w:rPr>
          <w:rFonts w:ascii="Georgia" w:hAnsi="Georgia" w:cstheme="minorHAnsi"/>
          <w:smallCaps/>
          <w:lang w:val="en-GB"/>
        </w:rPr>
        <w:t xml:space="preserve">, </w:t>
      </w:r>
      <w:r w:rsidRPr="0002056A">
        <w:rPr>
          <w:rFonts w:ascii="Georgia" w:hAnsi="Georgia" w:cstheme="minorHAnsi"/>
          <w:smallCaps/>
          <w:lang w:val="en-GB"/>
        </w:rPr>
        <w:t>2009</w:t>
      </w:r>
      <w:r w:rsidR="00C0138F" w:rsidRPr="0002056A">
        <w:rPr>
          <w:rFonts w:ascii="Georgia" w:hAnsi="Georgia" w:cstheme="minorHAnsi"/>
          <w:smallCaps/>
          <w:lang w:val="en-GB"/>
        </w:rPr>
        <w:t>;</w:t>
      </w:r>
      <w:r w:rsidRPr="0002056A">
        <w:rPr>
          <w:rFonts w:ascii="Georgia" w:hAnsi="Georgia" w:cstheme="minorHAnsi"/>
          <w:smallCaps/>
          <w:lang w:val="en-GB"/>
        </w:rPr>
        <w:t xml:space="preserve"> Greiving&amp;Fleischhauer</w:t>
      </w:r>
      <w:r w:rsidR="00C0138F" w:rsidRPr="0002056A">
        <w:rPr>
          <w:rFonts w:ascii="Georgia" w:hAnsi="Georgia" w:cstheme="minorHAnsi"/>
          <w:smallCaps/>
          <w:lang w:val="en-GB"/>
        </w:rPr>
        <w:t>, 20</w:t>
      </w:r>
      <w:r w:rsidRPr="0002056A">
        <w:rPr>
          <w:rFonts w:ascii="Georgia" w:hAnsi="Georgia" w:cstheme="minorHAnsi"/>
          <w:smallCaps/>
          <w:lang w:val="en-GB"/>
        </w:rPr>
        <w:t>10 and 2012</w:t>
      </w:r>
      <w:r w:rsidR="00C0138F" w:rsidRPr="0002056A">
        <w:rPr>
          <w:rFonts w:ascii="Georgia" w:hAnsi="Georgia" w:cstheme="minorHAnsi"/>
          <w:smallCaps/>
          <w:lang w:val="en-GB"/>
        </w:rPr>
        <w:t xml:space="preserve">; </w:t>
      </w:r>
      <w:r w:rsidRPr="0002056A">
        <w:rPr>
          <w:rFonts w:ascii="Georgia" w:hAnsi="Georgia" w:cstheme="minorHAnsi"/>
          <w:smallCaps/>
          <w:lang w:val="en-GB"/>
        </w:rPr>
        <w:t>Leitner</w:t>
      </w:r>
      <w:r w:rsidR="00F91B22" w:rsidRPr="0002056A">
        <w:rPr>
          <w:rFonts w:ascii="Georgia" w:hAnsi="Georgia" w:cstheme="minorHAnsi"/>
          <w:smallCaps/>
          <w:lang w:val="en-GB"/>
        </w:rPr>
        <w:t xml:space="preserve">, </w:t>
      </w:r>
      <w:r w:rsidRPr="0002056A">
        <w:rPr>
          <w:rFonts w:ascii="Georgia" w:hAnsi="Georgia" w:cstheme="minorHAnsi"/>
          <w:smallCaps/>
          <w:lang w:val="en-GB"/>
        </w:rPr>
        <w:t>2021</w:t>
      </w:r>
      <w:r w:rsidRPr="0002056A">
        <w:rPr>
          <w:rFonts w:ascii="Georgia" w:hAnsi="Georgia"/>
          <w:lang w:val="en-GB"/>
        </w:rPr>
        <w:t xml:space="preserve">), the national level adaptation policy strategies, and according to my results, MRE-related documents still do not show </w:t>
      </w:r>
      <w:r w:rsidR="008E2D6A" w:rsidRPr="0002056A">
        <w:rPr>
          <w:rFonts w:ascii="Georgia" w:hAnsi="Georgia"/>
          <w:lang w:val="en-GB"/>
        </w:rPr>
        <w:t>significant</w:t>
      </w:r>
      <w:r w:rsidRPr="0002056A">
        <w:rPr>
          <w:rFonts w:ascii="Georgia" w:hAnsi="Georgia"/>
          <w:lang w:val="en-GB"/>
        </w:rPr>
        <w:t xml:space="preserve"> national characteristics</w:t>
      </w:r>
      <w:r w:rsidR="008E2D6A" w:rsidRPr="0002056A">
        <w:rPr>
          <w:rFonts w:ascii="Georgia" w:hAnsi="Georgia"/>
          <w:lang w:val="en-GB"/>
        </w:rPr>
        <w:t xml:space="preserve"> and</w:t>
      </w:r>
      <w:r w:rsidRPr="0002056A">
        <w:rPr>
          <w:rFonts w:ascii="Georgia" w:hAnsi="Georgia"/>
          <w:lang w:val="en-GB"/>
        </w:rPr>
        <w:t xml:space="preserve"> spatially tailored approaches, rather follow a uniformed, sector-oriented logic. </w:t>
      </w:r>
      <w:r w:rsidR="007963FF" w:rsidRPr="0002056A">
        <w:rPr>
          <w:rFonts w:ascii="Georgia" w:hAnsi="Georgia"/>
          <w:lang w:val="en-GB"/>
        </w:rPr>
        <w:t>S</w:t>
      </w:r>
      <w:r w:rsidR="00025D2E" w:rsidRPr="0002056A">
        <w:rPr>
          <w:rFonts w:ascii="Georgia" w:hAnsi="Georgia"/>
          <w:lang w:val="en-GB"/>
        </w:rPr>
        <w:t xml:space="preserve">patial sensitivity/performance of national level adaptation policy planning activities </w:t>
      </w:r>
      <w:r w:rsidR="007963FF" w:rsidRPr="0002056A">
        <w:rPr>
          <w:rFonts w:ascii="Georgia" w:hAnsi="Georgia"/>
          <w:lang w:val="en-GB"/>
        </w:rPr>
        <w:t xml:space="preserve">seemingly </w:t>
      </w:r>
      <w:r w:rsidR="00025D2E" w:rsidRPr="0002056A">
        <w:rPr>
          <w:rFonts w:ascii="Georgia" w:hAnsi="Georgia"/>
          <w:lang w:val="en-GB"/>
        </w:rPr>
        <w:t>depend</w:t>
      </w:r>
      <w:r w:rsidR="007963FF" w:rsidRPr="0002056A">
        <w:rPr>
          <w:rFonts w:ascii="Georgia" w:hAnsi="Georgia"/>
          <w:lang w:val="en-GB"/>
        </w:rPr>
        <w:t>s</w:t>
      </w:r>
      <w:r w:rsidR="00025D2E" w:rsidRPr="0002056A">
        <w:rPr>
          <w:rFonts w:ascii="Georgia" w:hAnsi="Georgia"/>
          <w:lang w:val="en-GB"/>
        </w:rPr>
        <w:t xml:space="preserve"> more on individual national circumstances and environment of climate policy planning than on physical </w:t>
      </w:r>
      <w:r w:rsidR="00025D2E" w:rsidRPr="0002056A">
        <w:rPr>
          <w:rFonts w:ascii="Georgia" w:hAnsi="Georgia"/>
          <w:lang w:val="en-GB"/>
        </w:rPr>
        <w:lastRenderedPageBreak/>
        <w:t xml:space="preserve">endowments, geographical characteristics or climatic trends, let alone the degree of economic or social development. The most </w:t>
      </w:r>
      <w:r w:rsidR="00216AD0" w:rsidRPr="0002056A">
        <w:rPr>
          <w:rFonts w:ascii="Georgia" w:hAnsi="Georgia"/>
          <w:lang w:val="en-GB"/>
        </w:rPr>
        <w:t>influential</w:t>
      </w:r>
      <w:r w:rsidR="00025D2E" w:rsidRPr="0002056A">
        <w:rPr>
          <w:rFonts w:ascii="Georgia" w:hAnsi="Georgia"/>
          <w:lang w:val="en-GB"/>
        </w:rPr>
        <w:t xml:space="preserve"> </w:t>
      </w:r>
      <w:r w:rsidR="009A4691">
        <w:rPr>
          <w:rFonts w:ascii="Georgia" w:hAnsi="Georgia"/>
          <w:lang w:val="en-GB"/>
        </w:rPr>
        <w:t>factors</w:t>
      </w:r>
      <w:r w:rsidR="004F2E6E" w:rsidRPr="0002056A">
        <w:rPr>
          <w:rFonts w:ascii="Georgia" w:hAnsi="Georgia"/>
          <w:lang w:val="en-GB"/>
        </w:rPr>
        <w:t xml:space="preserve"> could</w:t>
      </w:r>
      <w:r w:rsidR="00025D2E" w:rsidRPr="0002056A">
        <w:rPr>
          <w:rFonts w:ascii="Georgia" w:hAnsi="Georgia"/>
          <w:lang w:val="en-GB"/>
        </w:rPr>
        <w:t xml:space="preserve"> be the different approaches</w:t>
      </w:r>
      <w:r w:rsidR="007963FF" w:rsidRPr="0002056A">
        <w:rPr>
          <w:rFonts w:ascii="Georgia" w:hAnsi="Georgia"/>
          <w:lang w:val="en-GB"/>
        </w:rPr>
        <w:t>,</w:t>
      </w:r>
      <w:r w:rsidR="00025D2E" w:rsidRPr="0002056A">
        <w:rPr>
          <w:rFonts w:ascii="Georgia" w:hAnsi="Georgia"/>
          <w:lang w:val="en-GB"/>
        </w:rPr>
        <w:t xml:space="preserve"> attitudes </w:t>
      </w:r>
      <w:r w:rsidR="008F13FC" w:rsidRPr="0002056A">
        <w:rPr>
          <w:rFonts w:ascii="Georgia" w:hAnsi="Georgia"/>
          <w:lang w:val="en-GB"/>
        </w:rPr>
        <w:t xml:space="preserve">of planner groups and communities </w:t>
      </w:r>
      <w:r w:rsidR="007963FF" w:rsidRPr="0002056A">
        <w:rPr>
          <w:rFonts w:ascii="Georgia" w:hAnsi="Georgia"/>
          <w:lang w:val="en-GB"/>
        </w:rPr>
        <w:t xml:space="preserve">and </w:t>
      </w:r>
      <w:r w:rsidR="008F13FC" w:rsidRPr="0002056A">
        <w:rPr>
          <w:rFonts w:ascii="Georgia" w:hAnsi="Georgia"/>
          <w:lang w:val="en-GB"/>
        </w:rPr>
        <w:t xml:space="preserve">the </w:t>
      </w:r>
      <w:r w:rsidR="007963FF" w:rsidRPr="0002056A">
        <w:rPr>
          <w:rFonts w:ascii="Georgia" w:hAnsi="Georgia"/>
          <w:lang w:val="en-GB"/>
        </w:rPr>
        <w:t>level of institu</w:t>
      </w:r>
      <w:r w:rsidR="00A17216" w:rsidRPr="0002056A">
        <w:rPr>
          <w:rFonts w:ascii="Georgia" w:hAnsi="Georgia"/>
          <w:lang w:val="en-GB"/>
        </w:rPr>
        <w:t xml:space="preserve">tionalization </w:t>
      </w:r>
      <w:r w:rsidR="00025D2E" w:rsidRPr="0002056A">
        <w:rPr>
          <w:rFonts w:ascii="Georgia" w:hAnsi="Georgia"/>
          <w:lang w:val="en-GB"/>
        </w:rPr>
        <w:t xml:space="preserve">of </w:t>
      </w:r>
      <w:r w:rsidR="00A17216" w:rsidRPr="0002056A">
        <w:rPr>
          <w:rFonts w:ascii="Georgia" w:hAnsi="Georgia"/>
          <w:lang w:val="en-GB"/>
        </w:rPr>
        <w:t>adaptation planning or</w:t>
      </w:r>
      <w:r w:rsidR="00025D2E" w:rsidRPr="0002056A">
        <w:rPr>
          <w:rFonts w:ascii="Georgia" w:hAnsi="Georgia"/>
          <w:lang w:val="en-GB"/>
        </w:rPr>
        <w:t xml:space="preserve"> spatial administration forms</w:t>
      </w:r>
      <w:r w:rsidR="00A17216" w:rsidRPr="0002056A">
        <w:rPr>
          <w:rFonts w:ascii="Georgia" w:hAnsi="Georgia"/>
          <w:lang w:val="en-GB"/>
        </w:rPr>
        <w:t xml:space="preserve"> in </w:t>
      </w:r>
      <w:r w:rsidR="008F13FC" w:rsidRPr="0002056A">
        <w:rPr>
          <w:rFonts w:ascii="Georgia" w:hAnsi="Georgia"/>
          <w:lang w:val="en-GB"/>
        </w:rPr>
        <w:t xml:space="preserve">a </w:t>
      </w:r>
      <w:r w:rsidR="00A17216" w:rsidRPr="0002056A">
        <w:rPr>
          <w:rFonts w:ascii="Georgia" w:hAnsi="Georgia"/>
          <w:lang w:val="en-GB"/>
        </w:rPr>
        <w:t>given countr</w:t>
      </w:r>
      <w:r w:rsidR="008F13FC" w:rsidRPr="0002056A">
        <w:rPr>
          <w:rFonts w:ascii="Georgia" w:hAnsi="Georgia"/>
          <w:lang w:val="en-GB"/>
        </w:rPr>
        <w:t>y</w:t>
      </w:r>
      <w:r w:rsidR="00025D2E" w:rsidRPr="0002056A">
        <w:rPr>
          <w:rFonts w:ascii="Georgia" w:hAnsi="Georgia"/>
          <w:lang w:val="en-GB"/>
        </w:rPr>
        <w:t xml:space="preserve">. </w:t>
      </w:r>
    </w:p>
    <w:p w14:paraId="04B46C83" w14:textId="350322C3" w:rsidR="000D23A4" w:rsidRPr="0002056A" w:rsidRDefault="000D23A4"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lang w:val="en-GB"/>
        </w:rPr>
      </w:pPr>
      <w:r w:rsidRPr="0002056A">
        <w:rPr>
          <w:rFonts w:ascii="Georgia" w:hAnsi="Georgia"/>
          <w:lang w:val="en-GB"/>
        </w:rPr>
        <w:t>So, hypothesis #</w:t>
      </w:r>
      <w:r w:rsidRPr="0002056A">
        <w:rPr>
          <w:rFonts w:ascii="Georgia" w:hAnsi="Georgia"/>
          <w:bCs/>
          <w:i/>
          <w:iCs/>
          <w:color w:val="4472C4" w:themeColor="accent1"/>
          <w:lang w:val="en-GB"/>
        </w:rPr>
        <w:t>H4: “</w:t>
      </w:r>
      <w:r w:rsidR="007A24CD" w:rsidRPr="0002056A">
        <w:rPr>
          <w:rFonts w:ascii="Georgia" w:hAnsi="Georgia"/>
          <w:bCs/>
          <w:i/>
          <w:iCs/>
          <w:color w:val="4472C4" w:themeColor="accent1"/>
          <w:lang w:val="en-GB"/>
        </w:rPr>
        <w:t>Geographical characteristics of countries influence basically the spatial sensitivity of national adaptation policies</w:t>
      </w:r>
      <w:r w:rsidRPr="0002056A">
        <w:rPr>
          <w:rFonts w:ascii="Georgia" w:hAnsi="Georgia"/>
          <w:bCs/>
          <w:i/>
          <w:iCs/>
          <w:color w:val="4472C4" w:themeColor="accent1"/>
          <w:lang w:val="en-GB"/>
        </w:rPr>
        <w:t xml:space="preserve">” </w:t>
      </w:r>
      <w:r w:rsidRPr="0002056A">
        <w:rPr>
          <w:rFonts w:ascii="Georgia" w:hAnsi="Georgia"/>
          <w:lang w:val="en-GB"/>
        </w:rPr>
        <w:t xml:space="preserve">has proved to be only partly </w:t>
      </w:r>
      <w:r w:rsidR="00FB0470" w:rsidRPr="0002056A">
        <w:rPr>
          <w:rFonts w:ascii="Georgia" w:hAnsi="Georgia"/>
          <w:lang w:val="en-GB"/>
        </w:rPr>
        <w:t xml:space="preserve">(or rather barely) </w:t>
      </w:r>
      <w:r w:rsidRPr="0002056A">
        <w:rPr>
          <w:rFonts w:ascii="Georgia" w:hAnsi="Georgia"/>
          <w:lang w:val="en-GB"/>
        </w:rPr>
        <w:t xml:space="preserve">true: </w:t>
      </w:r>
      <w:r w:rsidR="00FB0470" w:rsidRPr="0002056A">
        <w:rPr>
          <w:rFonts w:ascii="Georgia" w:hAnsi="Georgia"/>
          <w:lang w:val="en-GB"/>
        </w:rPr>
        <w:t xml:space="preserve">though </w:t>
      </w:r>
      <w:r w:rsidRPr="0002056A">
        <w:rPr>
          <w:rFonts w:ascii="Georgia" w:hAnsi="Georgia"/>
          <w:lang w:val="en-GB"/>
        </w:rPr>
        <w:t xml:space="preserve">some </w:t>
      </w:r>
      <w:r w:rsidR="00216AD0" w:rsidRPr="0002056A">
        <w:rPr>
          <w:rFonts w:ascii="Georgia" w:hAnsi="Georgia"/>
          <w:lang w:val="en-GB"/>
        </w:rPr>
        <w:t>physical</w:t>
      </w:r>
      <w:r w:rsidRPr="0002056A">
        <w:rPr>
          <w:rFonts w:ascii="Georgia" w:hAnsi="Georgia"/>
          <w:lang w:val="en-GB"/>
        </w:rPr>
        <w:t>, geographical char</w:t>
      </w:r>
      <w:r w:rsidR="00530CA9" w:rsidRPr="0002056A">
        <w:rPr>
          <w:rFonts w:ascii="Georgia" w:hAnsi="Georgia"/>
          <w:lang w:val="en-GB"/>
        </w:rPr>
        <w:t>ac</w:t>
      </w:r>
      <w:r w:rsidRPr="0002056A">
        <w:rPr>
          <w:rFonts w:ascii="Georgia" w:hAnsi="Georgia"/>
          <w:lang w:val="en-GB"/>
        </w:rPr>
        <w:t>teristics show weaker-than-medium level correlation with the spatial composit</w:t>
      </w:r>
      <w:r w:rsidR="00530CA9" w:rsidRPr="0002056A">
        <w:rPr>
          <w:rFonts w:ascii="Georgia" w:hAnsi="Georgia"/>
          <w:lang w:val="en-GB"/>
        </w:rPr>
        <w:t>e</w:t>
      </w:r>
      <w:r w:rsidRPr="0002056A">
        <w:rPr>
          <w:rFonts w:ascii="Georgia" w:hAnsi="Georgia"/>
          <w:lang w:val="en-GB"/>
        </w:rPr>
        <w:t xml:space="preserve"> indicator of the analysis</w:t>
      </w:r>
      <w:r w:rsidR="00FB0470" w:rsidRPr="0002056A">
        <w:rPr>
          <w:rFonts w:ascii="Georgia" w:hAnsi="Georgia"/>
          <w:lang w:val="en-GB"/>
        </w:rPr>
        <w:t>;</w:t>
      </w:r>
      <w:r w:rsidRPr="0002056A">
        <w:rPr>
          <w:rFonts w:ascii="Georgia" w:hAnsi="Georgia"/>
          <w:lang w:val="en-GB"/>
        </w:rPr>
        <w:t xml:space="preserve"> the most decisive factors seem </w:t>
      </w:r>
      <w:r w:rsidR="0028767B" w:rsidRPr="0002056A">
        <w:rPr>
          <w:rFonts w:ascii="Georgia" w:hAnsi="Georgia"/>
          <w:lang w:val="en-GB"/>
        </w:rPr>
        <w:t>to</w:t>
      </w:r>
      <w:r w:rsidRPr="0002056A">
        <w:rPr>
          <w:rFonts w:ascii="Georgia" w:hAnsi="Georgia"/>
          <w:lang w:val="en-GB"/>
        </w:rPr>
        <w:t xml:space="preserve"> be the </w:t>
      </w:r>
      <w:r w:rsidR="00530CA9" w:rsidRPr="0002056A">
        <w:rPr>
          <w:rFonts w:ascii="Georgia" w:hAnsi="Georgia"/>
          <w:lang w:val="en-GB"/>
        </w:rPr>
        <w:t xml:space="preserve">type of spatial administration and </w:t>
      </w:r>
      <w:r w:rsidR="007C5DB8" w:rsidRPr="0002056A">
        <w:rPr>
          <w:rFonts w:ascii="Georgia" w:hAnsi="Georgia"/>
          <w:lang w:val="en-GB"/>
        </w:rPr>
        <w:t>development level of adaptation policy planning</w:t>
      </w:r>
      <w:r w:rsidRPr="0002056A">
        <w:rPr>
          <w:rFonts w:ascii="Georgia" w:hAnsi="Georgia"/>
          <w:lang w:val="en-GB"/>
        </w:rPr>
        <w:t>.</w:t>
      </w:r>
    </w:p>
    <w:p w14:paraId="472ACE70" w14:textId="36202A50" w:rsidR="00171CF7" w:rsidRPr="0002056A" w:rsidRDefault="00171CF7" w:rsidP="00171CF7">
      <w:pPr>
        <w:pStyle w:val="Cmsor3"/>
        <w:rPr>
          <w:lang w:val="en-GB"/>
        </w:rPr>
      </w:pPr>
      <w:bookmarkStart w:id="55" w:name="_Toc225578872"/>
      <w:r w:rsidRPr="0002056A">
        <w:rPr>
          <w:lang w:val="en-GB"/>
        </w:rPr>
        <w:t xml:space="preserve">RSQ5: </w:t>
      </w:r>
      <w:r w:rsidR="00F67EA8" w:rsidRPr="0002056A">
        <w:rPr>
          <w:lang w:val="en-GB"/>
        </w:rPr>
        <w:t>M</w:t>
      </w:r>
      <w:r w:rsidRPr="0002056A">
        <w:rPr>
          <w:lang w:val="en-GB"/>
        </w:rPr>
        <w:t xml:space="preserve">acro-regional characteristics in spatial sensitivity </w:t>
      </w:r>
      <w:r w:rsidR="00F67EA8" w:rsidRPr="0002056A">
        <w:rPr>
          <w:lang w:val="en-GB"/>
        </w:rPr>
        <w:t>performances of states</w:t>
      </w:r>
      <w:bookmarkEnd w:id="55"/>
      <w:r w:rsidRPr="0002056A">
        <w:rPr>
          <w:lang w:val="en-GB"/>
        </w:rPr>
        <w:t xml:space="preserve"> </w:t>
      </w:r>
    </w:p>
    <w:p w14:paraId="10AA78E4" w14:textId="1E749725" w:rsidR="0054416C" w:rsidRPr="0002056A" w:rsidRDefault="006E6282" w:rsidP="00F00409">
      <w:pPr>
        <w:spacing w:before="120" w:after="120"/>
        <w:jc w:val="both"/>
        <w:rPr>
          <w:rFonts w:ascii="Georgia" w:hAnsi="Georgia"/>
          <w:lang w:val="en-GB"/>
        </w:rPr>
      </w:pPr>
      <w:r w:rsidRPr="0002056A">
        <w:rPr>
          <w:rFonts w:ascii="Georgia" w:hAnsi="Georgia"/>
          <w:lang w:val="en-GB"/>
        </w:rPr>
        <w:t xml:space="preserve">The last part of the empirical </w:t>
      </w:r>
      <w:r w:rsidR="00216AD0" w:rsidRPr="0002056A">
        <w:rPr>
          <w:rFonts w:ascii="Georgia" w:hAnsi="Georgia"/>
          <w:lang w:val="en-GB"/>
        </w:rPr>
        <w:t>work phase</w:t>
      </w:r>
      <w:r w:rsidRPr="0002056A">
        <w:rPr>
          <w:rFonts w:ascii="Georgia" w:hAnsi="Georgia"/>
          <w:lang w:val="en-GB"/>
        </w:rPr>
        <w:t xml:space="preserve"> directly dealt with the question raised by the fifth R</w:t>
      </w:r>
      <w:r w:rsidR="00925AF5" w:rsidRPr="0002056A">
        <w:rPr>
          <w:rFonts w:ascii="Georgia" w:hAnsi="Georgia"/>
          <w:lang w:val="en-GB"/>
        </w:rPr>
        <w:t>S</w:t>
      </w:r>
      <w:r w:rsidRPr="0002056A">
        <w:rPr>
          <w:rFonts w:ascii="Georgia" w:hAnsi="Georgia"/>
          <w:lang w:val="en-GB"/>
        </w:rPr>
        <w:t xml:space="preserve">Q, but actually already the </w:t>
      </w:r>
      <w:r w:rsidR="00543224" w:rsidRPr="0002056A">
        <w:rPr>
          <w:rFonts w:ascii="Georgia" w:hAnsi="Georgia"/>
          <w:lang w:val="en-GB"/>
        </w:rPr>
        <w:t>earlier analytical results</w:t>
      </w:r>
      <w:r w:rsidR="004F2E6E" w:rsidRPr="0002056A">
        <w:rPr>
          <w:rFonts w:ascii="Georgia" w:hAnsi="Georgia"/>
          <w:lang w:val="en-GB"/>
        </w:rPr>
        <w:t xml:space="preserve"> (</w:t>
      </w:r>
      <w:r w:rsidR="00543224" w:rsidRPr="0002056A">
        <w:rPr>
          <w:rFonts w:ascii="Georgia" w:hAnsi="Georgia"/>
          <w:lang w:val="en-GB"/>
        </w:rPr>
        <w:t xml:space="preserve">the calculation of the spatial sensitivity </w:t>
      </w:r>
      <w:r w:rsidR="00216AD0" w:rsidRPr="0002056A">
        <w:rPr>
          <w:rFonts w:ascii="Georgia" w:hAnsi="Georgia"/>
          <w:lang w:val="en-GB"/>
        </w:rPr>
        <w:t>composite</w:t>
      </w:r>
      <w:r w:rsidR="00543224" w:rsidRPr="0002056A">
        <w:rPr>
          <w:rFonts w:ascii="Georgia" w:hAnsi="Georgia"/>
          <w:lang w:val="en-GB"/>
        </w:rPr>
        <w:t xml:space="preserve"> indicator and the ranking of the European countries according to it</w:t>
      </w:r>
      <w:r w:rsidR="004F2E6E" w:rsidRPr="0002056A">
        <w:rPr>
          <w:rFonts w:ascii="Georgia" w:hAnsi="Georgia"/>
          <w:lang w:val="en-GB"/>
        </w:rPr>
        <w:t>)</w:t>
      </w:r>
      <w:r w:rsidR="00543224" w:rsidRPr="0002056A">
        <w:rPr>
          <w:rFonts w:ascii="Georgia" w:hAnsi="Georgia"/>
          <w:lang w:val="en-GB"/>
        </w:rPr>
        <w:t xml:space="preserve"> gave proper response to the issue. </w:t>
      </w:r>
      <w:r w:rsidR="0059630B" w:rsidRPr="0002056A">
        <w:rPr>
          <w:rFonts w:ascii="Georgia" w:hAnsi="Georgia"/>
          <w:lang w:val="en-GB"/>
        </w:rPr>
        <w:t>In the comparative a</w:t>
      </w:r>
      <w:r w:rsidR="00B8229D" w:rsidRPr="0002056A">
        <w:rPr>
          <w:rFonts w:ascii="Georgia" w:hAnsi="Georgia"/>
          <w:lang w:val="en-GB"/>
        </w:rPr>
        <w:t>n</w:t>
      </w:r>
      <w:r w:rsidR="0059630B" w:rsidRPr="0002056A">
        <w:rPr>
          <w:rFonts w:ascii="Georgia" w:hAnsi="Georgia"/>
          <w:lang w:val="en-GB"/>
        </w:rPr>
        <w:t>alysis t</w:t>
      </w:r>
      <w:r w:rsidR="0054416C" w:rsidRPr="0002056A">
        <w:rPr>
          <w:rFonts w:ascii="Georgia" w:hAnsi="Georgia"/>
          <w:lang w:val="en-GB"/>
        </w:rPr>
        <w:t>he strongest spatial performances of national adaptation policies</w:t>
      </w:r>
      <w:r w:rsidR="0059630B" w:rsidRPr="0002056A">
        <w:rPr>
          <w:rFonts w:ascii="Georgia" w:hAnsi="Georgia"/>
          <w:lang w:val="en-GB"/>
        </w:rPr>
        <w:t xml:space="preserve"> emerged</w:t>
      </w:r>
      <w:r w:rsidR="0054416C" w:rsidRPr="0002056A">
        <w:rPr>
          <w:rFonts w:ascii="Georgia" w:hAnsi="Georgia"/>
          <w:lang w:val="en-GB"/>
        </w:rPr>
        <w:t xml:space="preserve"> in the traditionally outstandin</w:t>
      </w:r>
      <w:r w:rsidR="0059630B" w:rsidRPr="0002056A">
        <w:rPr>
          <w:rFonts w:ascii="Georgia" w:hAnsi="Georgia"/>
          <w:lang w:val="en-GB"/>
        </w:rPr>
        <w:t>g</w:t>
      </w:r>
      <w:r w:rsidR="0054416C" w:rsidRPr="0002056A">
        <w:rPr>
          <w:rFonts w:ascii="Georgia" w:hAnsi="Georgia"/>
          <w:lang w:val="en-GB"/>
        </w:rPr>
        <w:t xml:space="preserve"> spatial and adaptation policy planner </w:t>
      </w:r>
      <w:r w:rsidR="0054416C" w:rsidRPr="0002056A">
        <w:rPr>
          <w:rFonts w:ascii="Georgia" w:hAnsi="Georgia"/>
          <w:i/>
          <w:iCs/>
          <w:lang w:val="en-GB"/>
        </w:rPr>
        <w:t>Western</w:t>
      </w:r>
      <w:r w:rsidR="009D0749" w:rsidRPr="0002056A">
        <w:rPr>
          <w:rFonts w:ascii="Georgia" w:hAnsi="Georgia"/>
          <w:i/>
          <w:iCs/>
          <w:lang w:val="en-GB"/>
        </w:rPr>
        <w:t>-European</w:t>
      </w:r>
      <w:r w:rsidR="009D0749" w:rsidRPr="0002056A">
        <w:rPr>
          <w:rFonts w:ascii="Georgia" w:hAnsi="Georgia"/>
          <w:lang w:val="en-GB"/>
        </w:rPr>
        <w:t xml:space="preserve"> </w:t>
      </w:r>
      <w:r w:rsidR="0054416C" w:rsidRPr="0002056A">
        <w:rPr>
          <w:rFonts w:ascii="Georgia" w:hAnsi="Georgia"/>
          <w:lang w:val="en-GB"/>
        </w:rPr>
        <w:t>(</w:t>
      </w:r>
      <w:r w:rsidR="0054416C" w:rsidRPr="0002056A">
        <w:rPr>
          <w:rFonts w:ascii="Georgia" w:hAnsi="Georgia"/>
          <w:i/>
          <w:iCs/>
          <w:lang w:val="en-GB"/>
        </w:rPr>
        <w:t xml:space="preserve">Austria, The Netherlands, Scotland, </w:t>
      </w:r>
      <w:r w:rsidR="00E042BB" w:rsidRPr="0002056A">
        <w:rPr>
          <w:rFonts w:ascii="Georgia" w:hAnsi="Georgia"/>
          <w:i/>
          <w:iCs/>
          <w:lang w:val="en-GB"/>
        </w:rPr>
        <w:t xml:space="preserve">France, </w:t>
      </w:r>
      <w:r w:rsidR="0010335F" w:rsidRPr="0002056A">
        <w:rPr>
          <w:rFonts w:ascii="Georgia" w:hAnsi="Georgia"/>
          <w:i/>
          <w:iCs/>
          <w:lang w:val="en-GB"/>
        </w:rPr>
        <w:t xml:space="preserve">Germany, </w:t>
      </w:r>
      <w:r w:rsidR="0054416C" w:rsidRPr="0002056A">
        <w:rPr>
          <w:rFonts w:ascii="Georgia" w:hAnsi="Georgia"/>
          <w:i/>
          <w:iCs/>
          <w:lang w:val="en-GB"/>
        </w:rPr>
        <w:t>Switzerland, England</w:t>
      </w:r>
      <w:r w:rsidR="0054416C" w:rsidRPr="0002056A">
        <w:rPr>
          <w:rFonts w:ascii="Georgia" w:hAnsi="Georgia"/>
          <w:lang w:val="en-GB"/>
        </w:rPr>
        <w:t>)</w:t>
      </w:r>
      <w:r w:rsidR="009D0749" w:rsidRPr="0002056A">
        <w:rPr>
          <w:rFonts w:ascii="Georgia" w:hAnsi="Georgia"/>
          <w:lang w:val="en-GB"/>
        </w:rPr>
        <w:t xml:space="preserve"> states</w:t>
      </w:r>
      <w:r w:rsidR="00360654" w:rsidRPr="0002056A">
        <w:rPr>
          <w:rFonts w:ascii="Georgia" w:hAnsi="Georgia"/>
          <w:lang w:val="en-GB"/>
        </w:rPr>
        <w:t>, thanks to t</w:t>
      </w:r>
      <w:r w:rsidR="004F2E6E" w:rsidRPr="0002056A">
        <w:rPr>
          <w:rFonts w:ascii="Georgia" w:hAnsi="Georgia"/>
          <w:lang w:val="en-GB"/>
        </w:rPr>
        <w:t>heir</w:t>
      </w:r>
      <w:r w:rsidR="00360654" w:rsidRPr="0002056A">
        <w:rPr>
          <w:rFonts w:ascii="Georgia" w:hAnsi="Georgia"/>
          <w:lang w:val="en-GB"/>
        </w:rPr>
        <w:t xml:space="preserve"> great emphases on </w:t>
      </w:r>
      <w:r w:rsidR="00D66076">
        <w:rPr>
          <w:rFonts w:ascii="Georgia" w:hAnsi="Georgia"/>
          <w:lang w:val="en-GB"/>
        </w:rPr>
        <w:t>subnational</w:t>
      </w:r>
      <w:r w:rsidR="00360654" w:rsidRPr="0002056A">
        <w:rPr>
          <w:rFonts w:ascii="Georgia" w:hAnsi="Georgia"/>
          <w:lang w:val="en-GB"/>
        </w:rPr>
        <w:t xml:space="preserve"> level adaptation activities and balanced</w:t>
      </w:r>
      <w:r w:rsidR="00212865" w:rsidRPr="0002056A">
        <w:rPr>
          <w:rFonts w:ascii="Georgia" w:hAnsi="Georgia"/>
          <w:lang w:val="en-GB"/>
        </w:rPr>
        <w:t>,</w:t>
      </w:r>
      <w:r w:rsidR="00360654" w:rsidRPr="0002056A">
        <w:rPr>
          <w:rFonts w:ascii="Georgia" w:hAnsi="Georgia"/>
          <w:lang w:val="en-GB"/>
        </w:rPr>
        <w:t xml:space="preserve"> around-average performance throughout the entire </w:t>
      </w:r>
      <w:r w:rsidR="00D70D72" w:rsidRPr="0002056A">
        <w:rPr>
          <w:rFonts w:ascii="Georgia" w:hAnsi="Georgia"/>
          <w:lang w:val="en-GB"/>
        </w:rPr>
        <w:t xml:space="preserve">analytical </w:t>
      </w:r>
      <w:r w:rsidR="00360654" w:rsidRPr="0002056A">
        <w:rPr>
          <w:rFonts w:ascii="Georgia" w:hAnsi="Georgia"/>
          <w:lang w:val="en-GB"/>
        </w:rPr>
        <w:t>aspect system. These states are also go</w:t>
      </w:r>
      <w:r w:rsidR="00212865" w:rsidRPr="0002056A">
        <w:rPr>
          <w:rFonts w:ascii="Georgia" w:hAnsi="Georgia"/>
          <w:lang w:val="en-GB"/>
        </w:rPr>
        <w:t>-</w:t>
      </w:r>
      <w:r w:rsidR="00360654" w:rsidRPr="0002056A">
        <w:rPr>
          <w:rFonts w:ascii="Georgia" w:hAnsi="Georgia"/>
          <w:lang w:val="en-GB"/>
        </w:rPr>
        <w:t xml:space="preserve">ahead </w:t>
      </w:r>
      <w:r w:rsidR="00212865" w:rsidRPr="0002056A">
        <w:rPr>
          <w:rFonts w:ascii="Georgia" w:hAnsi="Georgia"/>
          <w:lang w:val="en-GB"/>
        </w:rPr>
        <w:t xml:space="preserve">ones </w:t>
      </w:r>
      <w:r w:rsidR="00360654" w:rsidRPr="0002056A">
        <w:rPr>
          <w:rFonts w:ascii="Georgia" w:hAnsi="Georgia"/>
          <w:lang w:val="en-GB"/>
        </w:rPr>
        <w:t xml:space="preserve">with the development or operation of </w:t>
      </w:r>
      <w:r w:rsidR="00212865" w:rsidRPr="0002056A">
        <w:rPr>
          <w:rFonts w:ascii="Georgia" w:hAnsi="Georgia"/>
          <w:lang w:val="en-GB"/>
        </w:rPr>
        <w:t xml:space="preserve">their </w:t>
      </w:r>
      <w:r w:rsidR="00360654" w:rsidRPr="0002056A">
        <w:rPr>
          <w:rFonts w:ascii="Georgia" w:hAnsi="Georgia"/>
          <w:lang w:val="en-GB"/>
        </w:rPr>
        <w:t xml:space="preserve">adaptation MRE systems. </w:t>
      </w:r>
      <w:r w:rsidR="0054416C" w:rsidRPr="0002056A">
        <w:rPr>
          <w:rFonts w:ascii="Georgia" w:hAnsi="Georgia"/>
          <w:lang w:val="en-GB"/>
        </w:rPr>
        <w:t xml:space="preserve">In the second best group </w:t>
      </w:r>
      <w:r w:rsidR="0054416C" w:rsidRPr="0002056A">
        <w:rPr>
          <w:rFonts w:ascii="Georgia" w:hAnsi="Georgia"/>
          <w:i/>
          <w:iCs/>
          <w:lang w:val="en-GB"/>
        </w:rPr>
        <w:t>North</w:t>
      </w:r>
      <w:r w:rsidR="007E2847" w:rsidRPr="0002056A">
        <w:rPr>
          <w:rFonts w:ascii="Georgia" w:hAnsi="Georgia"/>
          <w:i/>
          <w:iCs/>
          <w:lang w:val="en-GB"/>
        </w:rPr>
        <w:t>west</w:t>
      </w:r>
      <w:r w:rsidR="0054416C" w:rsidRPr="0002056A">
        <w:rPr>
          <w:rFonts w:ascii="Georgia" w:hAnsi="Georgia"/>
          <w:i/>
          <w:iCs/>
          <w:lang w:val="en-GB"/>
        </w:rPr>
        <w:t>ern</w:t>
      </w:r>
      <w:r w:rsidR="0081529B" w:rsidRPr="0002056A">
        <w:rPr>
          <w:rFonts w:ascii="Georgia" w:hAnsi="Georgia"/>
          <w:i/>
          <w:iCs/>
          <w:lang w:val="en-GB"/>
        </w:rPr>
        <w:t>-European</w:t>
      </w:r>
      <w:r w:rsidR="0054416C" w:rsidRPr="0002056A">
        <w:rPr>
          <w:rFonts w:ascii="Georgia" w:hAnsi="Georgia"/>
          <w:lang w:val="en-GB"/>
        </w:rPr>
        <w:t xml:space="preserve"> </w:t>
      </w:r>
      <w:r w:rsidR="005D671A" w:rsidRPr="0002056A">
        <w:rPr>
          <w:rFonts w:ascii="Georgia" w:hAnsi="Georgia"/>
          <w:lang w:val="en-GB"/>
        </w:rPr>
        <w:t xml:space="preserve">countries </w:t>
      </w:r>
      <w:r w:rsidR="0054416C" w:rsidRPr="0002056A">
        <w:rPr>
          <w:rFonts w:ascii="Georgia" w:hAnsi="Georgia"/>
          <w:lang w:val="en-GB"/>
        </w:rPr>
        <w:t>(</w:t>
      </w:r>
      <w:r w:rsidR="007E2847" w:rsidRPr="0002056A">
        <w:rPr>
          <w:rFonts w:ascii="Georgia" w:hAnsi="Georgia"/>
          <w:i/>
          <w:iCs/>
          <w:lang w:val="en-GB"/>
        </w:rPr>
        <w:t>Sweden,</w:t>
      </w:r>
      <w:r w:rsidR="00176363" w:rsidRPr="0002056A">
        <w:rPr>
          <w:rFonts w:ascii="Georgia" w:hAnsi="Georgia"/>
          <w:i/>
          <w:iCs/>
          <w:lang w:val="en-GB"/>
        </w:rPr>
        <w:t xml:space="preserve"> </w:t>
      </w:r>
      <w:r w:rsidR="003216EC" w:rsidRPr="0002056A">
        <w:rPr>
          <w:rFonts w:ascii="Georgia" w:hAnsi="Georgia"/>
          <w:i/>
          <w:iCs/>
          <w:lang w:val="en-GB"/>
        </w:rPr>
        <w:t xml:space="preserve">Norway, Finland, </w:t>
      </w:r>
      <w:r w:rsidR="0054416C" w:rsidRPr="0002056A">
        <w:rPr>
          <w:rFonts w:ascii="Georgia" w:hAnsi="Georgia"/>
          <w:i/>
          <w:iCs/>
          <w:lang w:val="en-GB"/>
        </w:rPr>
        <w:t>Denmark, Northern Ireland</w:t>
      </w:r>
      <w:r w:rsidR="0054416C" w:rsidRPr="0002056A">
        <w:rPr>
          <w:rFonts w:ascii="Georgia" w:hAnsi="Georgia"/>
          <w:lang w:val="en-GB"/>
        </w:rPr>
        <w:t xml:space="preserve">) </w:t>
      </w:r>
      <w:r w:rsidR="005D671A" w:rsidRPr="0002056A">
        <w:rPr>
          <w:rFonts w:ascii="Georgia" w:hAnsi="Georgia"/>
          <w:lang w:val="en-GB"/>
        </w:rPr>
        <w:t>appear, too</w:t>
      </w:r>
      <w:r w:rsidR="0081529B" w:rsidRPr="0002056A">
        <w:rPr>
          <w:rFonts w:ascii="Georgia" w:hAnsi="Georgia"/>
          <w:lang w:val="en-GB"/>
        </w:rPr>
        <w:t>;</w:t>
      </w:r>
      <w:r w:rsidR="005D671A" w:rsidRPr="0002056A">
        <w:rPr>
          <w:rFonts w:ascii="Georgia" w:hAnsi="Georgia"/>
          <w:lang w:val="en-GB"/>
        </w:rPr>
        <w:t xml:space="preserve"> together with </w:t>
      </w:r>
      <w:r w:rsidR="0054416C" w:rsidRPr="0002056A">
        <w:rPr>
          <w:rFonts w:ascii="Georgia" w:hAnsi="Georgia"/>
          <w:i/>
          <w:iCs/>
          <w:lang w:val="en-GB"/>
        </w:rPr>
        <w:t>Eastern-Central</w:t>
      </w:r>
      <w:r w:rsidR="0054416C" w:rsidRPr="0002056A">
        <w:rPr>
          <w:rFonts w:ascii="Georgia" w:hAnsi="Georgia"/>
          <w:lang w:val="en-GB"/>
        </w:rPr>
        <w:t xml:space="preserve"> (</w:t>
      </w:r>
      <w:r w:rsidR="0054416C" w:rsidRPr="0002056A">
        <w:rPr>
          <w:rFonts w:ascii="Georgia" w:hAnsi="Georgia"/>
          <w:i/>
          <w:iCs/>
          <w:lang w:val="en-GB"/>
        </w:rPr>
        <w:t xml:space="preserve">Hungary, </w:t>
      </w:r>
      <w:r w:rsidR="003216EC" w:rsidRPr="0002056A">
        <w:rPr>
          <w:rFonts w:ascii="Georgia" w:hAnsi="Georgia"/>
          <w:i/>
          <w:iCs/>
          <w:lang w:val="en-GB"/>
        </w:rPr>
        <w:t>Poland</w:t>
      </w:r>
      <w:r w:rsidR="00D70D72" w:rsidRPr="0002056A">
        <w:rPr>
          <w:rFonts w:ascii="Georgia" w:hAnsi="Georgia"/>
          <w:i/>
          <w:iCs/>
          <w:lang w:val="en-GB"/>
        </w:rPr>
        <w:t>,</w:t>
      </w:r>
      <w:r w:rsidR="003216EC" w:rsidRPr="0002056A">
        <w:rPr>
          <w:rFonts w:ascii="Georgia" w:hAnsi="Georgia"/>
          <w:i/>
          <w:iCs/>
          <w:lang w:val="en-GB"/>
        </w:rPr>
        <w:t xml:space="preserve"> </w:t>
      </w:r>
      <w:r w:rsidR="0054416C" w:rsidRPr="0002056A">
        <w:rPr>
          <w:rFonts w:ascii="Georgia" w:hAnsi="Georgia"/>
          <w:i/>
          <w:iCs/>
          <w:lang w:val="en-GB"/>
        </w:rPr>
        <w:t>Lithuania</w:t>
      </w:r>
      <w:r w:rsidR="0054416C" w:rsidRPr="0002056A">
        <w:rPr>
          <w:rFonts w:ascii="Georgia" w:hAnsi="Georgia"/>
          <w:lang w:val="en-GB"/>
        </w:rPr>
        <w:t xml:space="preserve">) and </w:t>
      </w:r>
      <w:r w:rsidR="0054416C" w:rsidRPr="0002056A">
        <w:rPr>
          <w:rFonts w:ascii="Georgia" w:hAnsi="Georgia"/>
          <w:i/>
          <w:iCs/>
          <w:lang w:val="en-GB"/>
        </w:rPr>
        <w:t>Southern-European</w:t>
      </w:r>
      <w:r w:rsidR="0054416C" w:rsidRPr="0002056A">
        <w:rPr>
          <w:rFonts w:ascii="Georgia" w:hAnsi="Georgia"/>
          <w:lang w:val="en-GB"/>
        </w:rPr>
        <w:t xml:space="preserve"> (</w:t>
      </w:r>
      <w:r w:rsidR="0054416C" w:rsidRPr="0002056A">
        <w:rPr>
          <w:rFonts w:ascii="Georgia" w:hAnsi="Georgia"/>
          <w:i/>
          <w:iCs/>
          <w:lang w:val="en-GB"/>
        </w:rPr>
        <w:t>Spain, Portugal, Greece, Italy</w:t>
      </w:r>
      <w:r w:rsidR="0081529B" w:rsidRPr="0002056A">
        <w:rPr>
          <w:rFonts w:ascii="Georgia" w:hAnsi="Georgia"/>
          <w:i/>
          <w:iCs/>
          <w:lang w:val="en-GB"/>
        </w:rPr>
        <w:t>, Bosnia</w:t>
      </w:r>
      <w:r w:rsidR="0054416C" w:rsidRPr="0002056A">
        <w:rPr>
          <w:rFonts w:ascii="Georgia" w:hAnsi="Georgia"/>
          <w:lang w:val="en-GB"/>
        </w:rPr>
        <w:t xml:space="preserve">) </w:t>
      </w:r>
      <w:r w:rsidR="005D671A" w:rsidRPr="0002056A">
        <w:rPr>
          <w:rFonts w:ascii="Georgia" w:hAnsi="Georgia"/>
          <w:lang w:val="en-GB"/>
        </w:rPr>
        <w:t>states, d</w:t>
      </w:r>
      <w:r w:rsidR="0054416C" w:rsidRPr="0002056A">
        <w:rPr>
          <w:rFonts w:ascii="Georgia" w:hAnsi="Georgia"/>
          <w:lang w:val="en-GB"/>
        </w:rPr>
        <w:t xml:space="preserve">ue to their relatively well-performing NAS situation analyses (Easterners), </w:t>
      </w:r>
      <w:r w:rsidR="007467E9" w:rsidRPr="0002056A">
        <w:rPr>
          <w:rFonts w:ascii="Georgia" w:hAnsi="Georgia"/>
          <w:lang w:val="en-GB"/>
        </w:rPr>
        <w:t xml:space="preserve">or </w:t>
      </w:r>
      <w:r w:rsidR="0054416C" w:rsidRPr="0002056A">
        <w:rPr>
          <w:rFonts w:ascii="Georgia" w:hAnsi="Georgia"/>
          <w:lang w:val="en-GB"/>
        </w:rPr>
        <w:t xml:space="preserve">international spatial outlook and coherence with European/national regional development policy objectives (Southerners, Westerners). </w:t>
      </w:r>
    </w:p>
    <w:p w14:paraId="76EC73C1" w14:textId="37F9BEE9" w:rsidR="0054416C" w:rsidRPr="0002056A" w:rsidRDefault="005D671A" w:rsidP="00F00409">
      <w:pPr>
        <w:spacing w:before="120" w:after="120"/>
        <w:jc w:val="both"/>
        <w:rPr>
          <w:rFonts w:ascii="Georgia" w:hAnsi="Georgia"/>
          <w:lang w:val="en-GB"/>
        </w:rPr>
      </w:pPr>
      <w:r w:rsidRPr="0002056A">
        <w:rPr>
          <w:rFonts w:ascii="Georgia" w:hAnsi="Georgia"/>
          <w:lang w:val="en-GB"/>
        </w:rPr>
        <w:t>On the other side of the scale, t</w:t>
      </w:r>
      <w:r w:rsidR="0054416C" w:rsidRPr="0002056A">
        <w:rPr>
          <w:rFonts w:ascii="Georgia" w:hAnsi="Georgia"/>
          <w:lang w:val="en-GB"/>
        </w:rPr>
        <w:t xml:space="preserve">he weakest performances can be experienced in the </w:t>
      </w:r>
      <w:r w:rsidR="0054416C" w:rsidRPr="0002056A">
        <w:rPr>
          <w:rFonts w:ascii="Georgia" w:hAnsi="Georgia"/>
          <w:i/>
          <w:iCs/>
          <w:lang w:val="en-GB"/>
        </w:rPr>
        <w:t>South-Eastern European</w:t>
      </w:r>
      <w:r w:rsidR="0054416C" w:rsidRPr="0002056A">
        <w:rPr>
          <w:rFonts w:ascii="Georgia" w:hAnsi="Georgia"/>
          <w:lang w:val="en-GB"/>
        </w:rPr>
        <w:t xml:space="preserve"> (</w:t>
      </w:r>
      <w:r w:rsidR="0054416C" w:rsidRPr="0002056A">
        <w:rPr>
          <w:rFonts w:ascii="Georgia" w:hAnsi="Georgia"/>
          <w:i/>
          <w:iCs/>
          <w:lang w:val="en-GB"/>
        </w:rPr>
        <w:t>North-Macedonia, Montenegro, Albania, Kosovo, Slovakia</w:t>
      </w:r>
      <w:r w:rsidR="00A427F5" w:rsidRPr="0002056A">
        <w:rPr>
          <w:rFonts w:ascii="Georgia" w:hAnsi="Georgia"/>
          <w:i/>
          <w:iCs/>
          <w:lang w:val="en-GB"/>
        </w:rPr>
        <w:t>, Bulgaria, Romania</w:t>
      </w:r>
      <w:r w:rsidR="0054416C" w:rsidRPr="0002056A">
        <w:rPr>
          <w:rFonts w:ascii="Georgia" w:hAnsi="Georgia"/>
          <w:lang w:val="en-GB"/>
        </w:rPr>
        <w:t xml:space="preserve">) and smaller </w:t>
      </w:r>
      <w:r w:rsidR="0054416C" w:rsidRPr="0002056A">
        <w:rPr>
          <w:rFonts w:ascii="Georgia" w:hAnsi="Georgia"/>
          <w:i/>
          <w:iCs/>
          <w:lang w:val="en-GB"/>
        </w:rPr>
        <w:t>South</w:t>
      </w:r>
      <w:r w:rsidR="00A427F5" w:rsidRPr="0002056A">
        <w:rPr>
          <w:rFonts w:ascii="Georgia" w:hAnsi="Georgia"/>
          <w:i/>
          <w:iCs/>
          <w:lang w:val="en-GB"/>
        </w:rPr>
        <w:t>ern</w:t>
      </w:r>
      <w:r w:rsidR="0054416C" w:rsidRPr="0002056A">
        <w:rPr>
          <w:rFonts w:ascii="Georgia" w:hAnsi="Georgia"/>
          <w:i/>
          <w:iCs/>
          <w:lang w:val="en-GB"/>
        </w:rPr>
        <w:t>-European</w:t>
      </w:r>
      <w:r w:rsidR="0054416C" w:rsidRPr="0002056A">
        <w:rPr>
          <w:rFonts w:ascii="Georgia" w:hAnsi="Georgia"/>
          <w:lang w:val="en-GB"/>
        </w:rPr>
        <w:t xml:space="preserve"> countries (</w:t>
      </w:r>
      <w:r w:rsidR="0054416C" w:rsidRPr="0002056A">
        <w:rPr>
          <w:rFonts w:ascii="Georgia" w:hAnsi="Georgia"/>
          <w:i/>
          <w:iCs/>
          <w:lang w:val="en-GB"/>
        </w:rPr>
        <w:t>Malta, Cyprus</w:t>
      </w:r>
      <w:r w:rsidR="0054416C" w:rsidRPr="0002056A">
        <w:rPr>
          <w:rFonts w:ascii="Georgia" w:hAnsi="Georgia"/>
          <w:lang w:val="en-GB"/>
        </w:rPr>
        <w:t>), with some surprisingly weak results</w:t>
      </w:r>
      <w:r w:rsidRPr="0002056A">
        <w:rPr>
          <w:rFonts w:ascii="Georgia" w:hAnsi="Georgia"/>
          <w:lang w:val="en-GB"/>
        </w:rPr>
        <w:t xml:space="preserve"> </w:t>
      </w:r>
      <w:r w:rsidR="0054416C" w:rsidRPr="0002056A">
        <w:rPr>
          <w:rFonts w:ascii="Georgia" w:hAnsi="Georgia"/>
          <w:lang w:val="en-GB"/>
        </w:rPr>
        <w:t>from other macro</w:t>
      </w:r>
      <w:r w:rsidRPr="0002056A">
        <w:rPr>
          <w:rFonts w:ascii="Georgia" w:hAnsi="Georgia"/>
          <w:lang w:val="en-GB"/>
        </w:rPr>
        <w:t xml:space="preserve"> </w:t>
      </w:r>
      <w:r w:rsidR="0054416C" w:rsidRPr="0002056A">
        <w:rPr>
          <w:rFonts w:ascii="Georgia" w:hAnsi="Georgia"/>
          <w:lang w:val="en-GB"/>
        </w:rPr>
        <w:t>regions</w:t>
      </w:r>
      <w:r w:rsidR="004A3D58" w:rsidRPr="0002056A">
        <w:rPr>
          <w:rFonts w:ascii="Georgia" w:hAnsi="Georgia"/>
          <w:lang w:val="en-GB"/>
        </w:rPr>
        <w:t>. E</w:t>
      </w:r>
      <w:r w:rsidR="007075FF" w:rsidRPr="0002056A">
        <w:rPr>
          <w:rFonts w:ascii="Georgia" w:hAnsi="Georgia"/>
          <w:lang w:val="en-GB"/>
        </w:rPr>
        <w:t xml:space="preserve">.g. </w:t>
      </w:r>
      <w:r w:rsidR="0054416C" w:rsidRPr="0002056A">
        <w:rPr>
          <w:rFonts w:ascii="Georgia" w:hAnsi="Georgia"/>
          <w:i/>
          <w:iCs/>
          <w:lang w:val="en-GB"/>
        </w:rPr>
        <w:t>Iceland</w:t>
      </w:r>
      <w:r w:rsidR="004A3D58" w:rsidRPr="0002056A">
        <w:rPr>
          <w:rFonts w:ascii="Georgia" w:hAnsi="Georgia"/>
          <w:i/>
          <w:iCs/>
          <w:lang w:val="en-GB"/>
        </w:rPr>
        <w:t xml:space="preserve"> </w:t>
      </w:r>
      <w:r w:rsidR="004A3D58" w:rsidRPr="0002056A">
        <w:rPr>
          <w:rFonts w:ascii="Georgia" w:hAnsi="Georgia"/>
          <w:lang w:val="en-GB"/>
        </w:rPr>
        <w:t>emerges here</w:t>
      </w:r>
      <w:r w:rsidR="0054416C" w:rsidRPr="0002056A">
        <w:rPr>
          <w:rFonts w:ascii="Georgia" w:hAnsi="Georgia"/>
          <w:lang w:val="en-GB"/>
        </w:rPr>
        <w:t xml:space="preserve">, thanks to its quite basic </w:t>
      </w:r>
      <w:r w:rsidRPr="0002056A">
        <w:rPr>
          <w:rFonts w:ascii="Georgia" w:hAnsi="Georgia"/>
          <w:lang w:val="en-GB"/>
        </w:rPr>
        <w:t xml:space="preserve">and narrow-content </w:t>
      </w:r>
      <w:r w:rsidR="0054416C" w:rsidRPr="0002056A">
        <w:rPr>
          <w:rFonts w:ascii="Georgia" w:hAnsi="Georgia"/>
          <w:lang w:val="en-GB"/>
        </w:rPr>
        <w:t>NAS – although in the recent years serious development initiatives started in the field of MRE and GIS-based decision support</w:t>
      </w:r>
      <w:r w:rsidR="0022341B">
        <w:rPr>
          <w:rFonts w:ascii="Georgia" w:hAnsi="Georgia"/>
          <w:lang w:val="en-GB"/>
        </w:rPr>
        <w:t xml:space="preserve"> in the country</w:t>
      </w:r>
      <w:r w:rsidR="0054416C" w:rsidRPr="0002056A">
        <w:rPr>
          <w:rFonts w:ascii="Georgia" w:hAnsi="Georgia"/>
          <w:lang w:val="en-GB"/>
        </w:rPr>
        <w:t xml:space="preserve">; or the exceptionally sectoral-minded </w:t>
      </w:r>
      <w:r w:rsidR="0054416C" w:rsidRPr="0002056A">
        <w:rPr>
          <w:rFonts w:ascii="Georgia" w:hAnsi="Georgia"/>
          <w:i/>
          <w:iCs/>
          <w:lang w:val="en-GB"/>
        </w:rPr>
        <w:t>Luxemburg</w:t>
      </w:r>
      <w:r w:rsidR="0054416C" w:rsidRPr="0002056A">
        <w:rPr>
          <w:rFonts w:ascii="Georgia" w:hAnsi="Georgia"/>
          <w:lang w:val="en-GB"/>
        </w:rPr>
        <w:t xml:space="preserve">. </w:t>
      </w:r>
      <w:r w:rsidR="00A23CA0" w:rsidRPr="0002056A">
        <w:rPr>
          <w:rFonts w:ascii="Georgia" w:hAnsi="Georgia"/>
          <w:lang w:val="en-GB"/>
        </w:rPr>
        <w:t>At the same time, t</w:t>
      </w:r>
      <w:r w:rsidR="0054416C" w:rsidRPr="0002056A">
        <w:rPr>
          <w:rFonts w:ascii="Georgia" w:hAnsi="Georgia"/>
          <w:lang w:val="en-GB"/>
        </w:rPr>
        <w:t>hese are mostly smaller</w:t>
      </w:r>
      <w:r w:rsidR="007075FF" w:rsidRPr="0002056A">
        <w:rPr>
          <w:rFonts w:ascii="Georgia" w:hAnsi="Georgia"/>
          <w:lang w:val="en-GB"/>
        </w:rPr>
        <w:t xml:space="preserve"> </w:t>
      </w:r>
      <w:r w:rsidR="004A3D58" w:rsidRPr="0002056A">
        <w:rPr>
          <w:rFonts w:ascii="Georgia" w:hAnsi="Georgia"/>
          <w:lang w:val="en-GB"/>
        </w:rPr>
        <w:t xml:space="preserve">(Luxemburg) </w:t>
      </w:r>
      <w:r w:rsidR="007075FF" w:rsidRPr="0002056A">
        <w:rPr>
          <w:rFonts w:ascii="Georgia" w:hAnsi="Georgia"/>
          <w:lang w:val="en-GB"/>
        </w:rPr>
        <w:t xml:space="preserve">or geographically homogenous </w:t>
      </w:r>
      <w:r w:rsidR="004A3D58" w:rsidRPr="0002056A">
        <w:rPr>
          <w:rFonts w:ascii="Georgia" w:hAnsi="Georgia"/>
          <w:lang w:val="en-GB"/>
        </w:rPr>
        <w:t xml:space="preserve">(Iceland) </w:t>
      </w:r>
      <w:r w:rsidR="00D70D72" w:rsidRPr="0002056A">
        <w:rPr>
          <w:rFonts w:ascii="Georgia" w:hAnsi="Georgia"/>
          <w:lang w:val="en-GB"/>
        </w:rPr>
        <w:t>state</w:t>
      </w:r>
      <w:r w:rsidR="0054416C" w:rsidRPr="0002056A">
        <w:rPr>
          <w:rFonts w:ascii="Georgia" w:hAnsi="Georgia"/>
          <w:lang w:val="en-GB"/>
        </w:rPr>
        <w:t xml:space="preserve">s where consideration of spatial differences within the </w:t>
      </w:r>
      <w:r w:rsidR="004A3D58" w:rsidRPr="0002056A">
        <w:rPr>
          <w:rFonts w:ascii="Georgia" w:hAnsi="Georgia"/>
          <w:lang w:val="en-GB"/>
        </w:rPr>
        <w:t>national frameworks</w:t>
      </w:r>
      <w:r w:rsidR="0054416C" w:rsidRPr="0002056A">
        <w:rPr>
          <w:rFonts w:ascii="Georgia" w:hAnsi="Georgia"/>
          <w:lang w:val="en-GB"/>
        </w:rPr>
        <w:t xml:space="preserve"> is not the first priority of adaptation planning.</w:t>
      </w:r>
    </w:p>
    <w:p w14:paraId="2A603167" w14:textId="1D9AA0DC" w:rsidR="003B478A" w:rsidRPr="0002056A" w:rsidRDefault="00FF2837" w:rsidP="00F00409">
      <w:pPr>
        <w:spacing w:before="120" w:after="120"/>
        <w:jc w:val="both"/>
        <w:rPr>
          <w:rFonts w:ascii="Georgia" w:hAnsi="Georgia"/>
          <w:lang w:val="en-GB"/>
        </w:rPr>
      </w:pPr>
      <w:r>
        <w:rPr>
          <w:rFonts w:ascii="Georgia" w:hAnsi="Georgia"/>
          <w:lang w:val="en-GB"/>
        </w:rPr>
        <w:t>Altogether, a</w:t>
      </w:r>
      <w:r w:rsidR="00D70D72" w:rsidRPr="0002056A">
        <w:rPr>
          <w:rFonts w:ascii="Georgia" w:hAnsi="Georgia"/>
          <w:lang w:val="en-GB"/>
        </w:rPr>
        <w:t>lthough t</w:t>
      </w:r>
      <w:r w:rsidR="00066D21" w:rsidRPr="0002056A">
        <w:rPr>
          <w:rFonts w:ascii="Georgia" w:hAnsi="Georgia"/>
          <w:lang w:val="en-GB"/>
        </w:rPr>
        <w:t>he macro</w:t>
      </w:r>
      <w:r w:rsidR="00D70D72" w:rsidRPr="0002056A">
        <w:rPr>
          <w:rFonts w:ascii="Georgia" w:hAnsi="Georgia"/>
          <w:lang w:val="en-GB"/>
        </w:rPr>
        <w:t xml:space="preserve"> </w:t>
      </w:r>
      <w:r w:rsidR="00066D21" w:rsidRPr="0002056A">
        <w:rPr>
          <w:rFonts w:ascii="Georgia" w:hAnsi="Georgia"/>
          <w:lang w:val="en-GB"/>
        </w:rPr>
        <w:t>regional position of a given country</w:t>
      </w:r>
      <w:r w:rsidR="00D70D72" w:rsidRPr="0002056A">
        <w:rPr>
          <w:rFonts w:ascii="Georgia" w:hAnsi="Georgia"/>
          <w:lang w:val="en-GB"/>
        </w:rPr>
        <w:t xml:space="preserve"> does</w:t>
      </w:r>
      <w:r w:rsidR="00066D21" w:rsidRPr="0002056A">
        <w:rPr>
          <w:rFonts w:ascii="Georgia" w:hAnsi="Georgia"/>
          <w:lang w:val="en-GB"/>
        </w:rPr>
        <w:t xml:space="preserve"> </w:t>
      </w:r>
      <w:r w:rsidR="00A23CA0" w:rsidRPr="0002056A">
        <w:rPr>
          <w:rFonts w:ascii="Georgia" w:hAnsi="Georgia"/>
          <w:lang w:val="en-GB"/>
        </w:rPr>
        <w:t>not directly</w:t>
      </w:r>
      <w:r w:rsidR="00066D21" w:rsidRPr="0002056A">
        <w:rPr>
          <w:rFonts w:ascii="Georgia" w:hAnsi="Georgia"/>
          <w:lang w:val="en-GB"/>
        </w:rPr>
        <w:t xml:space="preserve"> influence the spatial performance of adaptation policy planning activities</w:t>
      </w:r>
      <w:r w:rsidR="00A23CA0" w:rsidRPr="0002056A">
        <w:rPr>
          <w:rFonts w:ascii="Georgia" w:hAnsi="Georgia"/>
          <w:lang w:val="en-GB"/>
        </w:rPr>
        <w:t xml:space="preserve">, nevertheless, some </w:t>
      </w:r>
      <w:r w:rsidR="0010248D" w:rsidRPr="0002056A">
        <w:rPr>
          <w:rFonts w:ascii="Georgia" w:hAnsi="Georgia"/>
          <w:lang w:val="en-GB"/>
        </w:rPr>
        <w:t>geographical</w:t>
      </w:r>
      <w:r w:rsidR="00A23CA0" w:rsidRPr="0002056A">
        <w:rPr>
          <w:rFonts w:ascii="Georgia" w:hAnsi="Georgia"/>
          <w:lang w:val="en-GB"/>
        </w:rPr>
        <w:t xml:space="preserve"> </w:t>
      </w:r>
      <w:r w:rsidR="0000232C" w:rsidRPr="0002056A">
        <w:rPr>
          <w:rFonts w:ascii="Georgia" w:hAnsi="Georgia"/>
          <w:lang w:val="en-GB"/>
        </w:rPr>
        <w:t xml:space="preserve">pattern </w:t>
      </w:r>
      <w:r w:rsidR="00A23CA0" w:rsidRPr="0002056A">
        <w:rPr>
          <w:rFonts w:ascii="Georgia" w:hAnsi="Georgia"/>
          <w:lang w:val="en-GB"/>
        </w:rPr>
        <w:t>can be experienced</w:t>
      </w:r>
      <w:r w:rsidR="0000232C" w:rsidRPr="0002056A">
        <w:rPr>
          <w:rFonts w:ascii="Georgia" w:hAnsi="Georgia"/>
          <w:lang w:val="en-GB"/>
        </w:rPr>
        <w:t xml:space="preserve"> in the spatial sensitivity of national adaptation policies within Europe</w:t>
      </w:r>
      <w:r w:rsidR="00066D21" w:rsidRPr="0002056A">
        <w:rPr>
          <w:rFonts w:ascii="Georgia" w:hAnsi="Georgia"/>
          <w:lang w:val="en-GB"/>
        </w:rPr>
        <w:t>. In the comparative analysis Western and North</w:t>
      </w:r>
      <w:r w:rsidR="00AF477B" w:rsidRPr="0002056A">
        <w:rPr>
          <w:rFonts w:ascii="Georgia" w:hAnsi="Georgia"/>
          <w:lang w:val="en-GB"/>
        </w:rPr>
        <w:t>ern</w:t>
      </w:r>
      <w:r w:rsidR="00066D21" w:rsidRPr="0002056A">
        <w:rPr>
          <w:rFonts w:ascii="Georgia" w:hAnsi="Georgia"/>
          <w:lang w:val="en-GB"/>
        </w:rPr>
        <w:t xml:space="preserve"> states showed the most persuasive spatial performances, meanwhile, as we saw above, among the weakest performances mostly Southern and South-</w:t>
      </w:r>
      <w:r w:rsidR="00AF477B" w:rsidRPr="0002056A">
        <w:rPr>
          <w:rFonts w:ascii="Georgia" w:hAnsi="Georgia"/>
          <w:lang w:val="en-GB"/>
        </w:rPr>
        <w:t>E</w:t>
      </w:r>
      <w:r w:rsidR="00066D21" w:rsidRPr="0002056A">
        <w:rPr>
          <w:rFonts w:ascii="Georgia" w:hAnsi="Georgia"/>
          <w:lang w:val="en-GB"/>
        </w:rPr>
        <w:t>astern countries appear. Th</w:t>
      </w:r>
      <w:r>
        <w:rPr>
          <w:rFonts w:ascii="Georgia" w:hAnsi="Georgia"/>
          <w:lang w:val="en-GB"/>
        </w:rPr>
        <w:t>ese</w:t>
      </w:r>
      <w:r w:rsidR="00066D21" w:rsidRPr="0002056A">
        <w:rPr>
          <w:rFonts w:ascii="Georgia" w:hAnsi="Georgia"/>
          <w:lang w:val="en-GB"/>
        </w:rPr>
        <w:t xml:space="preserve"> results (even if we take into consideration some surprising out-of-line performances) only underline the well-known Northwest-Southeast divide</w:t>
      </w:r>
      <w:r w:rsidR="0000232C" w:rsidRPr="0002056A">
        <w:rPr>
          <w:rFonts w:ascii="Georgia" w:hAnsi="Georgia"/>
          <w:lang w:val="en-GB"/>
        </w:rPr>
        <w:t xml:space="preserve"> in </w:t>
      </w:r>
      <w:r>
        <w:rPr>
          <w:rFonts w:ascii="Georgia" w:hAnsi="Georgia"/>
          <w:lang w:val="en-GB"/>
        </w:rPr>
        <w:t xml:space="preserve">Europe in </w:t>
      </w:r>
      <w:r w:rsidR="0000232C" w:rsidRPr="0002056A">
        <w:rPr>
          <w:rFonts w:ascii="Georgia" w:hAnsi="Georgia"/>
          <w:lang w:val="en-GB"/>
        </w:rPr>
        <w:t>economic and social development and historical/</w:t>
      </w:r>
      <w:r w:rsidR="00216AD0" w:rsidRPr="0002056A">
        <w:rPr>
          <w:rFonts w:ascii="Georgia" w:hAnsi="Georgia"/>
          <w:lang w:val="en-GB"/>
        </w:rPr>
        <w:t>political</w:t>
      </w:r>
      <w:r w:rsidR="0000232C" w:rsidRPr="0002056A">
        <w:rPr>
          <w:rFonts w:ascii="Georgia" w:hAnsi="Georgia"/>
          <w:lang w:val="en-GB"/>
        </w:rPr>
        <w:t xml:space="preserve"> </w:t>
      </w:r>
      <w:r w:rsidR="00190B49" w:rsidRPr="0002056A">
        <w:rPr>
          <w:rFonts w:ascii="Georgia" w:hAnsi="Georgia"/>
          <w:lang w:val="en-GB"/>
        </w:rPr>
        <w:t>development pathways</w:t>
      </w:r>
      <w:r w:rsidR="007F4B6A" w:rsidRPr="0002056A">
        <w:rPr>
          <w:rFonts w:ascii="Georgia" w:hAnsi="Georgia"/>
          <w:lang w:val="en-GB"/>
        </w:rPr>
        <w:t>;</w:t>
      </w:r>
      <w:r w:rsidR="00066D21" w:rsidRPr="0002056A">
        <w:rPr>
          <w:rFonts w:ascii="Georgia" w:hAnsi="Georgia"/>
          <w:lang w:val="en-GB"/>
        </w:rPr>
        <w:t xml:space="preserve"> no unexpected research results </w:t>
      </w:r>
      <w:r w:rsidR="00E14380" w:rsidRPr="0002056A">
        <w:rPr>
          <w:rFonts w:ascii="Georgia" w:hAnsi="Georgia"/>
          <w:lang w:val="en-GB"/>
        </w:rPr>
        <w:t xml:space="preserve">have </w:t>
      </w:r>
      <w:r w:rsidR="00066D21" w:rsidRPr="0002056A">
        <w:rPr>
          <w:rFonts w:ascii="Georgia" w:hAnsi="Georgia"/>
          <w:lang w:val="en-GB"/>
        </w:rPr>
        <w:t>come up in this case.</w:t>
      </w:r>
      <w:r w:rsidR="00D71594" w:rsidRPr="0002056A">
        <w:rPr>
          <w:rFonts w:ascii="Georgia" w:hAnsi="Georgia"/>
          <w:lang w:val="en-GB"/>
        </w:rPr>
        <w:t xml:space="preserve"> </w:t>
      </w:r>
    </w:p>
    <w:p w14:paraId="7072DE5E" w14:textId="77777777" w:rsidR="003B478A" w:rsidRPr="0002056A" w:rsidRDefault="003B478A">
      <w:pPr>
        <w:spacing w:after="160" w:line="259" w:lineRule="auto"/>
        <w:rPr>
          <w:rFonts w:ascii="Georgia" w:hAnsi="Georgia"/>
          <w:lang w:val="en-GB"/>
        </w:rPr>
      </w:pPr>
      <w:r w:rsidRPr="0002056A">
        <w:rPr>
          <w:rFonts w:ascii="Georgia" w:hAnsi="Georgia"/>
          <w:lang w:val="en-GB"/>
        </w:rPr>
        <w:br w:type="page"/>
      </w:r>
    </w:p>
    <w:p w14:paraId="4F5C366C" w14:textId="77777777" w:rsidR="00066D21" w:rsidRPr="0002056A" w:rsidRDefault="00066D21" w:rsidP="00F00409">
      <w:pPr>
        <w:spacing w:before="120" w:after="120"/>
        <w:jc w:val="both"/>
        <w:rPr>
          <w:rFonts w:ascii="Georgia" w:hAnsi="Georgia"/>
          <w:lang w:val="en-GB"/>
        </w:rPr>
      </w:pPr>
    </w:p>
    <w:p w14:paraId="4052E261" w14:textId="2DB486F4" w:rsidR="00190B49" w:rsidRPr="0002056A" w:rsidRDefault="00D71594"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lang w:val="en-GB"/>
        </w:rPr>
      </w:pPr>
      <w:r w:rsidRPr="0002056A">
        <w:rPr>
          <w:rFonts w:ascii="Georgia" w:hAnsi="Georgia"/>
          <w:lang w:val="en-GB"/>
        </w:rPr>
        <w:t>It means that, as</w:t>
      </w:r>
      <w:r w:rsidR="00190B49" w:rsidRPr="0002056A">
        <w:rPr>
          <w:rFonts w:ascii="Georgia" w:hAnsi="Georgia"/>
          <w:lang w:val="en-GB"/>
        </w:rPr>
        <w:t xml:space="preserve"> for the</w:t>
      </w:r>
      <w:r w:rsidR="00B5240A" w:rsidRPr="0002056A">
        <w:rPr>
          <w:rFonts w:ascii="Georgia" w:hAnsi="Georgia"/>
          <w:lang w:val="en-GB"/>
        </w:rPr>
        <w:t xml:space="preserve"> feedback</w:t>
      </w:r>
      <w:r w:rsidR="00190B49" w:rsidRPr="0002056A">
        <w:rPr>
          <w:rFonts w:ascii="Georgia" w:hAnsi="Georgia"/>
          <w:lang w:val="en-GB"/>
        </w:rPr>
        <w:t xml:space="preserve"> to hypothesis #H5</w:t>
      </w:r>
      <w:r w:rsidR="00190B49" w:rsidRPr="0002056A">
        <w:rPr>
          <w:rFonts w:ascii="Georgia" w:hAnsi="Georgia"/>
          <w:bCs/>
          <w:i/>
          <w:iCs/>
          <w:color w:val="4472C4" w:themeColor="accent1"/>
          <w:lang w:val="en-GB"/>
        </w:rPr>
        <w:t xml:space="preserve"> “</w:t>
      </w:r>
      <w:r w:rsidR="0062148B" w:rsidRPr="0062148B">
        <w:rPr>
          <w:rFonts w:ascii="Georgia" w:hAnsi="Georgia"/>
          <w:bCs/>
          <w:i/>
          <w:iCs/>
          <w:color w:val="4472C4" w:themeColor="accent1"/>
          <w:lang w:val="en-GB"/>
        </w:rPr>
        <w:t>Some macro-regional differences can be identified in the presence of spatial sensitivity in national policy activities due to their differences in policy culture with better performances of Western/Northern European countries</w:t>
      </w:r>
      <w:r w:rsidR="00190B49" w:rsidRPr="0002056A">
        <w:rPr>
          <w:rFonts w:ascii="Georgia" w:hAnsi="Georgia"/>
          <w:bCs/>
          <w:i/>
          <w:iCs/>
          <w:color w:val="4472C4" w:themeColor="accent1"/>
          <w:lang w:val="en-GB"/>
        </w:rPr>
        <w:t>”</w:t>
      </w:r>
      <w:r w:rsidRPr="0002056A">
        <w:rPr>
          <w:rFonts w:ascii="Georgia" w:hAnsi="Georgia"/>
          <w:lang w:val="en-GB"/>
        </w:rPr>
        <w:t>, the dissertation’s results verified this assumption.</w:t>
      </w:r>
    </w:p>
    <w:p w14:paraId="4C952DC6" w14:textId="0687FF77" w:rsidR="00171CF7" w:rsidRPr="0002056A" w:rsidRDefault="00171CF7" w:rsidP="00171CF7">
      <w:pPr>
        <w:rPr>
          <w:lang w:val="en-GB"/>
        </w:rPr>
      </w:pPr>
    </w:p>
    <w:p w14:paraId="1209F4BA" w14:textId="20CCBC83" w:rsidR="00171CF7" w:rsidRPr="0002056A" w:rsidRDefault="00171CF7" w:rsidP="00F46ED0">
      <w:pPr>
        <w:pStyle w:val="Cmsor3"/>
        <w:rPr>
          <w:bCs/>
          <w:lang w:val="en-GB"/>
        </w:rPr>
      </w:pPr>
      <w:bookmarkStart w:id="56" w:name="_Toc225578873"/>
      <w:r w:rsidRPr="0002056A">
        <w:rPr>
          <w:bCs/>
          <w:lang w:val="en-GB"/>
        </w:rPr>
        <w:t xml:space="preserve">Main RQ: </w:t>
      </w:r>
      <w:r w:rsidR="002E6F4C">
        <w:rPr>
          <w:bCs/>
          <w:lang w:val="en-GB"/>
        </w:rPr>
        <w:t xml:space="preserve">The extent </w:t>
      </w:r>
      <w:r w:rsidR="003A4F78" w:rsidRPr="0002056A">
        <w:rPr>
          <w:bCs/>
          <w:lang w:val="en-GB"/>
        </w:rPr>
        <w:t xml:space="preserve">of </w:t>
      </w:r>
      <w:r w:rsidR="002E6F4C">
        <w:rPr>
          <w:bCs/>
          <w:lang w:val="en-GB"/>
        </w:rPr>
        <w:t xml:space="preserve">spatial </w:t>
      </w:r>
      <w:r w:rsidR="003A4F78" w:rsidRPr="0002056A">
        <w:rPr>
          <w:bCs/>
          <w:lang w:val="en-GB"/>
        </w:rPr>
        <w:t>s</w:t>
      </w:r>
      <w:r w:rsidR="00507F78" w:rsidRPr="0002056A">
        <w:rPr>
          <w:bCs/>
          <w:lang w:val="en-GB"/>
        </w:rPr>
        <w:t xml:space="preserve">ensitivity </w:t>
      </w:r>
      <w:r w:rsidR="002E6F4C">
        <w:rPr>
          <w:bCs/>
          <w:lang w:val="en-GB"/>
        </w:rPr>
        <w:t>in</w:t>
      </w:r>
      <w:r w:rsidR="00507F78" w:rsidRPr="0002056A">
        <w:rPr>
          <w:bCs/>
          <w:lang w:val="en-GB"/>
        </w:rPr>
        <w:t xml:space="preserve"> national climate adaptation policies of European countries</w:t>
      </w:r>
      <w:bookmarkEnd w:id="56"/>
      <w:r w:rsidRPr="0002056A">
        <w:rPr>
          <w:bCs/>
          <w:lang w:val="en-GB"/>
        </w:rPr>
        <w:t xml:space="preserve"> </w:t>
      </w:r>
    </w:p>
    <w:p w14:paraId="22FE3759" w14:textId="288AD83F" w:rsidR="00171CF7" w:rsidRPr="0002056A" w:rsidRDefault="00314E2A" w:rsidP="00F00409">
      <w:pPr>
        <w:spacing w:before="120" w:after="120"/>
        <w:jc w:val="both"/>
        <w:rPr>
          <w:rFonts w:ascii="Georgia" w:hAnsi="Georgia"/>
          <w:lang w:val="en-GB"/>
        </w:rPr>
      </w:pPr>
      <w:r>
        <w:rPr>
          <w:rFonts w:ascii="Georgia" w:hAnsi="Georgia"/>
          <w:lang w:val="en-GB"/>
        </w:rPr>
        <w:t>According to my results, the main research question of the dissertation is basically answered positively</w:t>
      </w:r>
      <w:r w:rsidR="00025D2E" w:rsidRPr="0002056A">
        <w:rPr>
          <w:rFonts w:ascii="Georgia" w:hAnsi="Georgia"/>
          <w:lang w:val="en-GB"/>
        </w:rPr>
        <w:t>:</w:t>
      </w:r>
      <w:r w:rsidR="00A227F5" w:rsidRPr="0002056A">
        <w:rPr>
          <w:rFonts w:ascii="Georgia" w:hAnsi="Georgia"/>
          <w:lang w:val="en-GB"/>
        </w:rPr>
        <w:t xml:space="preserve"> based on the elaborated analytical aspect system for the comparative assessment of European national climate </w:t>
      </w:r>
      <w:r w:rsidR="00216AD0" w:rsidRPr="0002056A">
        <w:rPr>
          <w:rFonts w:ascii="Georgia" w:hAnsi="Georgia"/>
          <w:lang w:val="en-GB"/>
        </w:rPr>
        <w:t>adaptation</w:t>
      </w:r>
      <w:r w:rsidR="00A227F5" w:rsidRPr="0002056A">
        <w:rPr>
          <w:rFonts w:ascii="Georgia" w:hAnsi="Georgia"/>
          <w:lang w:val="en-GB"/>
        </w:rPr>
        <w:t xml:space="preserve"> policy planning instruments, </w:t>
      </w:r>
      <w:r w:rsidR="0018787A" w:rsidRPr="0002056A">
        <w:rPr>
          <w:rFonts w:ascii="Georgia" w:hAnsi="Georgia"/>
          <w:lang w:val="en-GB"/>
        </w:rPr>
        <w:t xml:space="preserve">there </w:t>
      </w:r>
      <w:r w:rsidR="00B5240A" w:rsidRPr="0002056A">
        <w:rPr>
          <w:rFonts w:ascii="Georgia" w:hAnsi="Georgia"/>
          <w:lang w:val="en-GB"/>
        </w:rPr>
        <w:t xml:space="preserve">are </w:t>
      </w:r>
      <w:r w:rsidR="0018787A" w:rsidRPr="0002056A">
        <w:rPr>
          <w:rFonts w:ascii="Georgia" w:hAnsi="Georgia"/>
          <w:lang w:val="en-GB"/>
        </w:rPr>
        <w:t>some signs of sensitivity to spatial issues/dimensions</w:t>
      </w:r>
      <w:r w:rsidR="009602F1" w:rsidRPr="0002056A">
        <w:rPr>
          <w:rFonts w:ascii="Georgia" w:hAnsi="Georgia"/>
          <w:lang w:val="en-GB"/>
        </w:rPr>
        <w:t xml:space="preserve"> in the analysed documents/activities</w:t>
      </w:r>
      <w:r w:rsidR="0018787A" w:rsidRPr="0002056A">
        <w:rPr>
          <w:rFonts w:ascii="Georgia" w:hAnsi="Georgia"/>
          <w:lang w:val="en-GB"/>
        </w:rPr>
        <w:t>. According to the literature review, studies and articles ha</w:t>
      </w:r>
      <w:r w:rsidR="009917D0" w:rsidRPr="0002056A">
        <w:rPr>
          <w:rFonts w:ascii="Georgia" w:hAnsi="Georgia"/>
          <w:lang w:val="en-GB"/>
        </w:rPr>
        <w:t>ve</w:t>
      </w:r>
      <w:r w:rsidR="0018787A" w:rsidRPr="0002056A">
        <w:rPr>
          <w:rFonts w:ascii="Georgia" w:hAnsi="Georgia"/>
          <w:lang w:val="en-GB"/>
        </w:rPr>
        <w:t xml:space="preserve"> started to deal with </w:t>
      </w:r>
      <w:r w:rsidR="004950E6" w:rsidRPr="0002056A">
        <w:rPr>
          <w:rFonts w:ascii="Georgia" w:hAnsi="Georgia"/>
          <w:lang w:val="en-GB"/>
        </w:rPr>
        <w:t>t</w:t>
      </w:r>
      <w:r w:rsidR="0018787A" w:rsidRPr="0002056A">
        <w:rPr>
          <w:rFonts w:ascii="Georgia" w:hAnsi="Georgia"/>
          <w:lang w:val="en-GB"/>
        </w:rPr>
        <w:t xml:space="preserve">he topic, but </w:t>
      </w:r>
      <w:r w:rsidR="00216AD0" w:rsidRPr="0002056A">
        <w:rPr>
          <w:rFonts w:ascii="Georgia" w:hAnsi="Georgia"/>
          <w:lang w:val="en-GB"/>
        </w:rPr>
        <w:t>mostly</w:t>
      </w:r>
      <w:r w:rsidR="0018787A" w:rsidRPr="0002056A">
        <w:rPr>
          <w:rFonts w:ascii="Georgia" w:hAnsi="Georgia"/>
          <w:lang w:val="en-GB"/>
        </w:rPr>
        <w:t xml:space="preserve"> implicit</w:t>
      </w:r>
      <w:r w:rsidR="005039EF" w:rsidRPr="0002056A">
        <w:rPr>
          <w:rFonts w:ascii="Georgia" w:hAnsi="Georgia"/>
          <w:lang w:val="en-GB"/>
        </w:rPr>
        <w:t>l</w:t>
      </w:r>
      <w:r w:rsidR="0018787A" w:rsidRPr="0002056A">
        <w:rPr>
          <w:rFonts w:ascii="Georgia" w:hAnsi="Georgia"/>
          <w:lang w:val="en-GB"/>
        </w:rPr>
        <w:t xml:space="preserve">y (basically through the analysis of regional geography’s role in understanding adaptation’s spatiality or </w:t>
      </w:r>
      <w:r w:rsidR="009917D0" w:rsidRPr="0002056A">
        <w:rPr>
          <w:rFonts w:ascii="Georgia" w:hAnsi="Georgia"/>
          <w:lang w:val="en-GB"/>
        </w:rPr>
        <w:t xml:space="preserve">via </w:t>
      </w:r>
      <w:r w:rsidR="0018787A" w:rsidRPr="0002056A">
        <w:rPr>
          <w:rFonts w:ascii="Georgia" w:hAnsi="Georgia"/>
          <w:lang w:val="en-GB"/>
        </w:rPr>
        <w:t>the examination of the relationship between adaptation AND spatial/urban/regional development/</w:t>
      </w:r>
      <w:r w:rsidR="009917D0" w:rsidRPr="0002056A">
        <w:rPr>
          <w:rFonts w:ascii="Georgia" w:hAnsi="Georgia"/>
          <w:lang w:val="en-GB"/>
        </w:rPr>
        <w:t>land use/</w:t>
      </w:r>
      <w:r w:rsidR="0018787A" w:rsidRPr="0002056A">
        <w:rPr>
          <w:rFonts w:ascii="Georgia" w:hAnsi="Georgia"/>
          <w:lang w:val="en-GB"/>
        </w:rPr>
        <w:t>physical planning</w:t>
      </w:r>
      <w:r w:rsidR="007A003E" w:rsidRPr="0002056A">
        <w:rPr>
          <w:rFonts w:ascii="Georgia" w:hAnsi="Georgia"/>
          <w:lang w:val="en-GB"/>
        </w:rPr>
        <w:t>)</w:t>
      </w:r>
      <w:r w:rsidR="005039EF" w:rsidRPr="0002056A">
        <w:rPr>
          <w:rFonts w:ascii="Georgia" w:hAnsi="Georgia"/>
          <w:lang w:val="en-GB"/>
        </w:rPr>
        <w:t xml:space="preserve">. </w:t>
      </w:r>
      <w:r w:rsidR="006F2DF7" w:rsidRPr="0002056A">
        <w:rPr>
          <w:rFonts w:ascii="Georgia" w:hAnsi="Georgia"/>
          <w:lang w:val="en-GB"/>
        </w:rPr>
        <w:t xml:space="preserve">However, </w:t>
      </w:r>
      <w:r w:rsidR="004950E6" w:rsidRPr="0002056A">
        <w:rPr>
          <w:rFonts w:ascii="Georgia" w:hAnsi="Georgia"/>
          <w:lang w:val="en-GB"/>
        </w:rPr>
        <w:t>t</w:t>
      </w:r>
      <w:r w:rsidR="005039EF" w:rsidRPr="0002056A">
        <w:rPr>
          <w:rFonts w:ascii="Georgia" w:hAnsi="Georgia"/>
          <w:lang w:val="en-GB"/>
        </w:rPr>
        <w:t xml:space="preserve">he actual </w:t>
      </w:r>
      <w:r w:rsidR="00D46FF5">
        <w:rPr>
          <w:rFonts w:ascii="Georgia" w:hAnsi="Georgia"/>
          <w:lang w:val="en-GB"/>
        </w:rPr>
        <w:t>emergence</w:t>
      </w:r>
      <w:r w:rsidR="005039EF" w:rsidRPr="0002056A">
        <w:rPr>
          <w:rFonts w:ascii="Georgia" w:hAnsi="Georgia"/>
          <w:lang w:val="en-GB"/>
        </w:rPr>
        <w:t xml:space="preserve"> of spatial </w:t>
      </w:r>
      <w:r w:rsidR="009917D0" w:rsidRPr="0002056A">
        <w:rPr>
          <w:rFonts w:ascii="Georgia" w:hAnsi="Georgia"/>
          <w:lang w:val="en-GB"/>
        </w:rPr>
        <w:t>emphases</w:t>
      </w:r>
      <w:r w:rsidR="005039EF" w:rsidRPr="0002056A">
        <w:rPr>
          <w:rFonts w:ascii="Georgia" w:hAnsi="Georgia"/>
          <w:lang w:val="en-GB"/>
        </w:rPr>
        <w:t xml:space="preserve"> in climate adaptation policy planning</w:t>
      </w:r>
      <w:r w:rsidR="007A003E" w:rsidRPr="0002056A">
        <w:rPr>
          <w:rFonts w:ascii="Georgia" w:hAnsi="Georgia"/>
          <w:lang w:val="en-GB"/>
        </w:rPr>
        <w:t xml:space="preserve"> and MRE</w:t>
      </w:r>
      <w:r w:rsidR="005039EF" w:rsidRPr="0002056A">
        <w:rPr>
          <w:rFonts w:ascii="Georgia" w:hAnsi="Georgia"/>
          <w:lang w:val="en-GB"/>
        </w:rPr>
        <w:t xml:space="preserve"> activities h</w:t>
      </w:r>
      <w:r w:rsidR="007A003E" w:rsidRPr="0002056A">
        <w:rPr>
          <w:rFonts w:ascii="Georgia" w:hAnsi="Georgia"/>
          <w:lang w:val="en-GB"/>
        </w:rPr>
        <w:t>as</w:t>
      </w:r>
      <w:r w:rsidR="005039EF" w:rsidRPr="0002056A">
        <w:rPr>
          <w:rFonts w:ascii="Georgia" w:hAnsi="Georgia"/>
          <w:lang w:val="en-GB"/>
        </w:rPr>
        <w:t xml:space="preserve"> not </w:t>
      </w:r>
      <w:r w:rsidR="007A003E" w:rsidRPr="0002056A">
        <w:rPr>
          <w:rFonts w:ascii="Georgia" w:hAnsi="Georgia"/>
          <w:lang w:val="en-GB"/>
        </w:rPr>
        <w:t xml:space="preserve">or only barely </w:t>
      </w:r>
      <w:r w:rsidR="005039EF" w:rsidRPr="0002056A">
        <w:rPr>
          <w:rFonts w:ascii="Georgia" w:hAnsi="Georgia"/>
          <w:lang w:val="en-GB"/>
        </w:rPr>
        <w:t xml:space="preserve">been </w:t>
      </w:r>
      <w:r w:rsidR="00216AD0" w:rsidRPr="0002056A">
        <w:rPr>
          <w:rFonts w:ascii="Georgia" w:hAnsi="Georgia"/>
          <w:lang w:val="en-GB"/>
        </w:rPr>
        <w:t>analysed</w:t>
      </w:r>
      <w:r w:rsidR="005039EF" w:rsidRPr="0002056A">
        <w:rPr>
          <w:rFonts w:ascii="Georgia" w:hAnsi="Georgia"/>
          <w:lang w:val="en-GB"/>
        </w:rPr>
        <w:t xml:space="preserve"> so far</w:t>
      </w:r>
      <w:r w:rsidR="006F2DF7" w:rsidRPr="0002056A">
        <w:rPr>
          <w:rFonts w:ascii="Georgia" w:hAnsi="Georgia"/>
          <w:lang w:val="en-GB"/>
        </w:rPr>
        <w:t>. The dissertation takes the first steps in this direction, showing</w:t>
      </w:r>
      <w:r>
        <w:rPr>
          <w:rFonts w:ascii="Georgia" w:hAnsi="Georgia"/>
          <w:lang w:val="en-GB"/>
        </w:rPr>
        <w:t xml:space="preserve"> that, according to its analysis,</w:t>
      </w:r>
      <w:r w:rsidR="006F2DF7" w:rsidRPr="0002056A">
        <w:rPr>
          <w:rFonts w:ascii="Georgia" w:hAnsi="Georgia"/>
          <w:lang w:val="en-GB"/>
        </w:rPr>
        <w:t xml:space="preserve"> there are definite traces of spatial considerations in the national level adaptation planning </w:t>
      </w:r>
      <w:r w:rsidR="00B5240A" w:rsidRPr="0002056A">
        <w:rPr>
          <w:rFonts w:ascii="Georgia" w:hAnsi="Georgia"/>
          <w:lang w:val="en-GB"/>
        </w:rPr>
        <w:t>and</w:t>
      </w:r>
      <w:r w:rsidR="006F2DF7" w:rsidRPr="0002056A">
        <w:rPr>
          <w:rFonts w:ascii="Georgia" w:hAnsi="Georgia"/>
          <w:lang w:val="en-GB"/>
        </w:rPr>
        <w:t xml:space="preserve"> </w:t>
      </w:r>
      <w:r w:rsidR="004950E6" w:rsidRPr="0002056A">
        <w:rPr>
          <w:rFonts w:ascii="Georgia" w:hAnsi="Georgia"/>
          <w:lang w:val="en-GB"/>
        </w:rPr>
        <w:t>MRE documents</w:t>
      </w:r>
      <w:r w:rsidR="006F2DF7" w:rsidRPr="0002056A">
        <w:rPr>
          <w:rFonts w:ascii="Georgia" w:hAnsi="Georgia"/>
          <w:lang w:val="en-GB"/>
        </w:rPr>
        <w:t>.</w:t>
      </w:r>
    </w:p>
    <w:p w14:paraId="498755AF" w14:textId="5036A421" w:rsidR="00D778AA" w:rsidRPr="0002056A" w:rsidRDefault="00781CA1" w:rsidP="00F00409">
      <w:pPr>
        <w:spacing w:before="120" w:after="120"/>
        <w:jc w:val="both"/>
        <w:rPr>
          <w:rFonts w:ascii="Georgia" w:hAnsi="Georgia"/>
          <w:lang w:val="en-GB"/>
        </w:rPr>
      </w:pPr>
      <w:r w:rsidRPr="0002056A">
        <w:rPr>
          <w:rFonts w:ascii="Georgia" w:hAnsi="Georgia"/>
          <w:lang w:val="en-GB"/>
        </w:rPr>
        <w:t>However</w:t>
      </w:r>
      <w:r w:rsidR="006F2DF7" w:rsidRPr="0002056A">
        <w:rPr>
          <w:rFonts w:ascii="Georgia" w:hAnsi="Georgia"/>
          <w:lang w:val="en-GB"/>
        </w:rPr>
        <w:t>, these traces</w:t>
      </w:r>
      <w:r w:rsidR="00B5240A" w:rsidRPr="0002056A">
        <w:rPr>
          <w:rFonts w:ascii="Georgia" w:hAnsi="Georgia"/>
          <w:lang w:val="en-GB"/>
        </w:rPr>
        <w:t xml:space="preserve"> </w:t>
      </w:r>
      <w:r w:rsidR="004F4EF1" w:rsidRPr="0002056A">
        <w:rPr>
          <w:rFonts w:ascii="Georgia" w:hAnsi="Georgia"/>
          <w:lang w:val="en-GB"/>
        </w:rPr>
        <w:t xml:space="preserve">of </w:t>
      </w:r>
      <w:r w:rsidR="006F2DF7" w:rsidRPr="0002056A">
        <w:rPr>
          <w:rFonts w:ascii="Georgia" w:hAnsi="Georgia"/>
          <w:lang w:val="en-GB"/>
        </w:rPr>
        <w:t>spatial content are mostly weak</w:t>
      </w:r>
      <w:r w:rsidR="00D46FF5">
        <w:rPr>
          <w:rFonts w:ascii="Georgia" w:hAnsi="Georgia"/>
          <w:lang w:val="en-GB"/>
        </w:rPr>
        <w:t xml:space="preserve"> and implicit</w:t>
      </w:r>
      <w:r w:rsidR="006F2DF7" w:rsidRPr="0002056A">
        <w:rPr>
          <w:rFonts w:ascii="Georgia" w:hAnsi="Georgia"/>
          <w:lang w:val="en-GB"/>
        </w:rPr>
        <w:t xml:space="preserve">. </w:t>
      </w:r>
      <w:r w:rsidR="00314E2A">
        <w:rPr>
          <w:rFonts w:ascii="Georgia" w:hAnsi="Georgia"/>
          <w:lang w:val="en-GB"/>
        </w:rPr>
        <w:t>The vast</w:t>
      </w:r>
      <w:r w:rsidR="00314E2A" w:rsidRPr="0002056A">
        <w:rPr>
          <w:rFonts w:ascii="Georgia" w:hAnsi="Georgia"/>
          <w:lang w:val="en-GB"/>
        </w:rPr>
        <w:t xml:space="preserve"> </w:t>
      </w:r>
      <w:r w:rsidR="006F2DF7" w:rsidRPr="0002056A">
        <w:rPr>
          <w:rFonts w:ascii="Georgia" w:hAnsi="Georgia"/>
          <w:lang w:val="en-GB"/>
        </w:rPr>
        <w:t>majority of the analysed countries showed weaker-than</w:t>
      </w:r>
      <w:r w:rsidR="00B5240A" w:rsidRPr="0002056A">
        <w:rPr>
          <w:rFonts w:ascii="Georgia" w:hAnsi="Georgia"/>
          <w:lang w:val="en-GB"/>
        </w:rPr>
        <w:t>-</w:t>
      </w:r>
      <w:r w:rsidR="006F2DF7" w:rsidRPr="0002056A">
        <w:rPr>
          <w:rFonts w:ascii="Georgia" w:hAnsi="Georgia"/>
          <w:lang w:val="en-GB"/>
        </w:rPr>
        <w:t>medi</w:t>
      </w:r>
      <w:r w:rsidR="00B5240A" w:rsidRPr="0002056A">
        <w:rPr>
          <w:rFonts w:ascii="Georgia" w:hAnsi="Georgia"/>
          <w:lang w:val="en-GB"/>
        </w:rPr>
        <w:t>u</w:t>
      </w:r>
      <w:r w:rsidR="006F2DF7" w:rsidRPr="0002056A">
        <w:rPr>
          <w:rFonts w:ascii="Georgia" w:hAnsi="Georgia"/>
          <w:lang w:val="en-GB"/>
        </w:rPr>
        <w:t>m level or simply weak results in the</w:t>
      </w:r>
      <w:r w:rsidR="004F4EF1" w:rsidRPr="0002056A">
        <w:rPr>
          <w:rFonts w:ascii="Georgia" w:hAnsi="Georgia"/>
          <w:lang w:val="en-GB"/>
        </w:rPr>
        <w:t>ir</w:t>
      </w:r>
      <w:r w:rsidR="006F2DF7" w:rsidRPr="0002056A">
        <w:rPr>
          <w:rFonts w:ascii="Georgia" w:hAnsi="Georgia"/>
          <w:lang w:val="en-GB"/>
        </w:rPr>
        <w:t xml:space="preserve"> </w:t>
      </w:r>
      <w:r w:rsidR="00216AD0" w:rsidRPr="0002056A">
        <w:rPr>
          <w:rFonts w:ascii="Georgia" w:hAnsi="Georgia"/>
          <w:lang w:val="en-GB"/>
        </w:rPr>
        <w:t>composite</w:t>
      </w:r>
      <w:r w:rsidR="006F2DF7" w:rsidRPr="0002056A">
        <w:rPr>
          <w:rFonts w:ascii="Georgia" w:hAnsi="Georgia"/>
          <w:lang w:val="en-GB"/>
        </w:rPr>
        <w:t xml:space="preserve"> indicator value</w:t>
      </w:r>
      <w:r w:rsidR="00B9651D" w:rsidRPr="0002056A">
        <w:rPr>
          <w:rFonts w:ascii="Georgia" w:hAnsi="Georgia"/>
          <w:lang w:val="en-GB"/>
        </w:rPr>
        <w:t xml:space="preserve">. </w:t>
      </w:r>
      <w:r w:rsidR="00097D64">
        <w:rPr>
          <w:rFonts w:ascii="Georgia" w:hAnsi="Georgia"/>
          <w:lang w:val="en-GB"/>
        </w:rPr>
        <w:t>Nonetheless,</w:t>
      </w:r>
      <w:r w:rsidR="008209C6" w:rsidRPr="0002056A">
        <w:rPr>
          <w:rFonts w:ascii="Georgia" w:hAnsi="Georgia"/>
          <w:lang w:val="en-GB"/>
        </w:rPr>
        <w:t xml:space="preserve"> </w:t>
      </w:r>
      <w:r w:rsidR="00B9651D" w:rsidRPr="0002056A">
        <w:rPr>
          <w:rFonts w:ascii="Georgia" w:hAnsi="Georgia"/>
          <w:lang w:val="en-GB"/>
        </w:rPr>
        <w:t xml:space="preserve">there </w:t>
      </w:r>
      <w:r w:rsidR="00314E2A">
        <w:rPr>
          <w:rFonts w:ascii="Georgia" w:hAnsi="Georgia"/>
          <w:lang w:val="en-GB"/>
        </w:rPr>
        <w:t xml:space="preserve">is at least one or a few states that perform well (in cases even outstandingly) in each analytical sub-aspect, </w:t>
      </w:r>
      <w:r w:rsidR="00887CD0">
        <w:rPr>
          <w:rFonts w:ascii="Georgia" w:hAnsi="Georgia"/>
          <w:lang w:val="en-GB"/>
        </w:rPr>
        <w:t>which</w:t>
      </w:r>
      <w:r w:rsidR="00314E2A">
        <w:rPr>
          <w:rFonts w:ascii="Georgia" w:hAnsi="Georgia"/>
          <w:lang w:val="en-GB"/>
        </w:rPr>
        <w:t xml:space="preserve"> fact indicates that,</w:t>
      </w:r>
      <w:r w:rsidR="00B9651D" w:rsidRPr="0002056A">
        <w:rPr>
          <w:rFonts w:ascii="Georgia" w:hAnsi="Georgia"/>
          <w:lang w:val="en-GB"/>
        </w:rPr>
        <w:t xml:space="preserve"> </w:t>
      </w:r>
      <w:r w:rsidR="006A3235" w:rsidRPr="0002056A">
        <w:rPr>
          <w:rFonts w:ascii="Georgia" w:hAnsi="Georgia"/>
          <w:lang w:val="en-GB"/>
        </w:rPr>
        <w:t xml:space="preserve">according to </w:t>
      </w:r>
      <w:r w:rsidR="00D46FF5">
        <w:rPr>
          <w:rFonts w:ascii="Georgia" w:hAnsi="Georgia"/>
          <w:lang w:val="en-GB"/>
        </w:rPr>
        <w:t xml:space="preserve">some </w:t>
      </w:r>
      <w:r w:rsidR="006A3235" w:rsidRPr="0002056A">
        <w:rPr>
          <w:rFonts w:ascii="Georgia" w:hAnsi="Georgia"/>
          <w:lang w:val="en-GB"/>
        </w:rPr>
        <w:t xml:space="preserve">national planners, </w:t>
      </w:r>
      <w:r w:rsidR="00B9651D" w:rsidRPr="0002056A">
        <w:rPr>
          <w:rFonts w:ascii="Georgia" w:hAnsi="Georgia"/>
          <w:lang w:val="en-GB"/>
        </w:rPr>
        <w:t xml:space="preserve">spatial considerations are </w:t>
      </w:r>
      <w:r w:rsidR="00FC0461" w:rsidRPr="0002056A">
        <w:rPr>
          <w:rFonts w:ascii="Georgia" w:hAnsi="Georgia"/>
          <w:lang w:val="en-GB"/>
        </w:rPr>
        <w:t xml:space="preserve">by no means </w:t>
      </w:r>
      <w:r w:rsidR="00B9651D" w:rsidRPr="0002056A">
        <w:rPr>
          <w:rFonts w:ascii="Georgia" w:hAnsi="Georgia"/>
          <w:lang w:val="en-GB"/>
        </w:rPr>
        <w:t>useless</w:t>
      </w:r>
      <w:r w:rsidR="00BF6905" w:rsidRPr="0002056A">
        <w:rPr>
          <w:rFonts w:ascii="Georgia" w:hAnsi="Georgia"/>
          <w:lang w:val="en-GB"/>
        </w:rPr>
        <w:t xml:space="preserve"> or pointless, futile ingredients of the strategic planning, monitoring or </w:t>
      </w:r>
      <w:r w:rsidR="00216AD0" w:rsidRPr="0002056A">
        <w:rPr>
          <w:rFonts w:ascii="Georgia" w:hAnsi="Georgia"/>
          <w:lang w:val="en-GB"/>
        </w:rPr>
        <w:t>evaluation</w:t>
      </w:r>
      <w:r w:rsidR="00BF6905" w:rsidRPr="0002056A">
        <w:rPr>
          <w:rFonts w:ascii="Georgia" w:hAnsi="Georgia"/>
          <w:lang w:val="en-GB"/>
        </w:rPr>
        <w:t xml:space="preserve"> activities in climate adaptation. </w:t>
      </w:r>
      <w:r w:rsidR="001F0006" w:rsidRPr="0002056A">
        <w:rPr>
          <w:rFonts w:ascii="Georgia" w:hAnsi="Georgia"/>
          <w:lang w:val="en-GB"/>
        </w:rPr>
        <w:t>On the contrary</w:t>
      </w:r>
      <w:r w:rsidR="00314E2A">
        <w:rPr>
          <w:rFonts w:ascii="Georgia" w:hAnsi="Georgia"/>
          <w:lang w:val="en-GB"/>
        </w:rPr>
        <w:t>,</w:t>
      </w:r>
      <w:r w:rsidR="00314E2A" w:rsidRPr="0002056A">
        <w:rPr>
          <w:rFonts w:ascii="Georgia" w:hAnsi="Georgia"/>
          <w:lang w:val="en-GB"/>
        </w:rPr>
        <w:t xml:space="preserve"> </w:t>
      </w:r>
      <w:r w:rsidR="001F0006" w:rsidRPr="0002056A">
        <w:rPr>
          <w:rFonts w:ascii="Georgia" w:hAnsi="Georgia"/>
          <w:lang w:val="en-GB"/>
        </w:rPr>
        <w:t>in such a geographical space-oriented horizontal field</w:t>
      </w:r>
      <w:r w:rsidR="00E706A0" w:rsidRPr="0002056A">
        <w:rPr>
          <w:rFonts w:ascii="Georgia" w:hAnsi="Georgia"/>
          <w:lang w:val="en-GB"/>
        </w:rPr>
        <w:t xml:space="preserve"> as</w:t>
      </w:r>
      <w:r w:rsidR="001F0006" w:rsidRPr="0002056A">
        <w:rPr>
          <w:rFonts w:ascii="Georgia" w:hAnsi="Georgia"/>
          <w:lang w:val="en-GB"/>
        </w:rPr>
        <w:t xml:space="preserve"> climate adaptation,</w:t>
      </w:r>
      <w:r w:rsidR="00CE2995" w:rsidRPr="0002056A">
        <w:rPr>
          <w:rFonts w:ascii="Georgia" w:hAnsi="Georgia"/>
          <w:lang w:val="en-GB"/>
        </w:rPr>
        <w:t xml:space="preserve"> </w:t>
      </w:r>
      <w:r w:rsidR="006A3235" w:rsidRPr="0002056A">
        <w:rPr>
          <w:rFonts w:ascii="Georgia" w:hAnsi="Georgia"/>
          <w:lang w:val="en-GB"/>
        </w:rPr>
        <w:t xml:space="preserve">the </w:t>
      </w:r>
      <w:r w:rsidR="00CE2995" w:rsidRPr="0002056A">
        <w:rPr>
          <w:rFonts w:ascii="Georgia" w:hAnsi="Georgia"/>
          <w:lang w:val="en-GB"/>
        </w:rPr>
        <w:t>adequate</w:t>
      </w:r>
      <w:r w:rsidR="001F0006" w:rsidRPr="0002056A">
        <w:rPr>
          <w:rFonts w:ascii="Georgia" w:hAnsi="Georgia"/>
          <w:lang w:val="en-GB"/>
        </w:rPr>
        <w:t xml:space="preserve"> taking into account </w:t>
      </w:r>
      <w:r w:rsidR="00CE2995" w:rsidRPr="0002056A">
        <w:rPr>
          <w:rFonts w:ascii="Georgia" w:hAnsi="Georgia"/>
          <w:lang w:val="en-GB"/>
        </w:rPr>
        <w:t>of spatial</w:t>
      </w:r>
      <w:r w:rsidR="00E706A0" w:rsidRPr="0002056A">
        <w:rPr>
          <w:rFonts w:ascii="Georgia" w:hAnsi="Georgia"/>
          <w:lang w:val="en-GB"/>
        </w:rPr>
        <w:t>/</w:t>
      </w:r>
      <w:r w:rsidR="00CE2995" w:rsidRPr="0002056A">
        <w:rPr>
          <w:rFonts w:ascii="Georgia" w:hAnsi="Georgia"/>
          <w:lang w:val="en-GB"/>
        </w:rPr>
        <w:t>geographical dimensions provides the proper basis of effective policy decisions.</w:t>
      </w:r>
    </w:p>
    <w:p w14:paraId="0E6BADC4" w14:textId="02BD01A4" w:rsidR="00CB7AB1" w:rsidRPr="0002056A" w:rsidRDefault="00781CA1" w:rsidP="00F00409">
      <w:pPr>
        <w:spacing w:before="120" w:after="120"/>
        <w:jc w:val="both"/>
        <w:rPr>
          <w:rFonts w:ascii="Georgia" w:hAnsi="Georgia"/>
          <w:lang w:val="en-GB"/>
        </w:rPr>
      </w:pPr>
      <w:r w:rsidRPr="0002056A">
        <w:rPr>
          <w:rFonts w:ascii="Georgia" w:hAnsi="Georgia"/>
          <w:lang w:val="en-GB"/>
        </w:rPr>
        <w:t>Nonetheless, the general outcome of the research is that these spatial considerations</w:t>
      </w:r>
      <w:r w:rsidR="00E706A0" w:rsidRPr="0002056A">
        <w:rPr>
          <w:rFonts w:ascii="Georgia" w:hAnsi="Georgia"/>
          <w:lang w:val="en-GB"/>
        </w:rPr>
        <w:t xml:space="preserve"> and</w:t>
      </w:r>
      <w:r w:rsidRPr="0002056A">
        <w:rPr>
          <w:rFonts w:ascii="Georgia" w:hAnsi="Georgia"/>
          <w:lang w:val="en-GB"/>
        </w:rPr>
        <w:t xml:space="preserve"> </w:t>
      </w:r>
      <w:r w:rsidR="004A75B1" w:rsidRPr="0002056A">
        <w:rPr>
          <w:rFonts w:ascii="Georgia" w:hAnsi="Georgia"/>
          <w:lang w:val="en-GB"/>
        </w:rPr>
        <w:t xml:space="preserve">sensitivity </w:t>
      </w:r>
      <w:r w:rsidRPr="0002056A">
        <w:rPr>
          <w:rFonts w:ascii="Georgia" w:hAnsi="Georgia"/>
          <w:lang w:val="en-GB"/>
        </w:rPr>
        <w:t xml:space="preserve">to </w:t>
      </w:r>
      <w:r w:rsidR="00DA365A" w:rsidRPr="0002056A">
        <w:rPr>
          <w:rFonts w:ascii="Georgia" w:hAnsi="Georgia"/>
          <w:lang w:val="en-GB"/>
        </w:rPr>
        <w:t>t</w:t>
      </w:r>
      <w:r w:rsidRPr="0002056A">
        <w:rPr>
          <w:rFonts w:ascii="Georgia" w:hAnsi="Georgia"/>
          <w:lang w:val="en-GB"/>
        </w:rPr>
        <w:t>he</w:t>
      </w:r>
      <w:r w:rsidR="004A75B1" w:rsidRPr="0002056A">
        <w:rPr>
          <w:rFonts w:ascii="Georgia" w:hAnsi="Georgia"/>
          <w:lang w:val="en-GB"/>
        </w:rPr>
        <w:t xml:space="preserve"> u</w:t>
      </w:r>
      <w:r w:rsidRPr="0002056A">
        <w:rPr>
          <w:rFonts w:ascii="Georgia" w:hAnsi="Georgia"/>
          <w:lang w:val="en-GB"/>
        </w:rPr>
        <w:t xml:space="preserve">se </w:t>
      </w:r>
      <w:r w:rsidR="004A75B1" w:rsidRPr="0002056A">
        <w:rPr>
          <w:rFonts w:ascii="Georgia" w:hAnsi="Georgia"/>
          <w:lang w:val="en-GB"/>
        </w:rPr>
        <w:t>of them</w:t>
      </w:r>
      <w:r w:rsidR="00C368C4" w:rsidRPr="0002056A">
        <w:rPr>
          <w:rFonts w:ascii="Georgia" w:hAnsi="Georgia"/>
          <w:lang w:val="en-GB"/>
        </w:rPr>
        <w:t xml:space="preserve"> are basically </w:t>
      </w:r>
      <w:r w:rsidR="00216AD0">
        <w:rPr>
          <w:rFonts w:ascii="Georgia" w:hAnsi="Georgia"/>
          <w:lang w:val="en-GB"/>
        </w:rPr>
        <w:t>w</w:t>
      </w:r>
      <w:r w:rsidR="00C368C4" w:rsidRPr="0002056A">
        <w:rPr>
          <w:rFonts w:ascii="Georgia" w:hAnsi="Georgia"/>
          <w:lang w:val="en-GB"/>
        </w:rPr>
        <w:t>eak.</w:t>
      </w:r>
      <w:r w:rsidR="00B93B3E" w:rsidRPr="0002056A">
        <w:rPr>
          <w:rFonts w:ascii="Georgia" w:hAnsi="Georgia"/>
          <w:lang w:val="en-GB"/>
        </w:rPr>
        <w:t xml:space="preserve"> The experience of the personal interviews/online questionnaire</w:t>
      </w:r>
      <w:r w:rsidR="00FD463C" w:rsidRPr="0002056A">
        <w:rPr>
          <w:rFonts w:ascii="Georgia" w:hAnsi="Georgia"/>
          <w:lang w:val="en-GB"/>
        </w:rPr>
        <w:t>s</w:t>
      </w:r>
      <w:r w:rsidR="00B93B3E" w:rsidRPr="0002056A">
        <w:rPr>
          <w:rFonts w:ascii="Georgia" w:hAnsi="Georgia"/>
          <w:lang w:val="en-GB"/>
        </w:rPr>
        <w:t xml:space="preserve"> just underlined these lessons learned: the interview</w:t>
      </w:r>
      <w:r w:rsidR="008731CD" w:rsidRPr="0002056A">
        <w:rPr>
          <w:rFonts w:ascii="Georgia" w:hAnsi="Georgia"/>
          <w:lang w:val="en-GB"/>
        </w:rPr>
        <w:t>ees</w:t>
      </w:r>
      <w:r w:rsidR="00FD463C" w:rsidRPr="0002056A">
        <w:rPr>
          <w:rFonts w:ascii="Georgia" w:hAnsi="Georgia"/>
          <w:lang w:val="en-GB"/>
        </w:rPr>
        <w:t xml:space="preserve"> </w:t>
      </w:r>
      <w:r w:rsidR="008731CD" w:rsidRPr="0002056A">
        <w:rPr>
          <w:rFonts w:ascii="Georgia" w:hAnsi="Georgia"/>
          <w:lang w:val="en-GB"/>
        </w:rPr>
        <w:t>/those professionals who filled the questionnaire</w:t>
      </w:r>
      <w:r w:rsidR="00FD463C" w:rsidRPr="0002056A">
        <w:rPr>
          <w:rFonts w:ascii="Georgia" w:hAnsi="Georgia"/>
          <w:lang w:val="en-GB"/>
        </w:rPr>
        <w:t>/</w:t>
      </w:r>
      <w:r w:rsidR="008731CD" w:rsidRPr="0002056A">
        <w:rPr>
          <w:rFonts w:ascii="Georgia" w:hAnsi="Georgia"/>
          <w:lang w:val="en-GB"/>
        </w:rPr>
        <w:t xml:space="preserve"> although</w:t>
      </w:r>
      <w:r w:rsidR="00B3550C" w:rsidRPr="0002056A">
        <w:rPr>
          <w:rFonts w:ascii="Georgia" w:hAnsi="Georgia"/>
          <w:lang w:val="en-GB"/>
        </w:rPr>
        <w:t xml:space="preserve"> theoretically</w:t>
      </w:r>
      <w:r w:rsidR="008731CD" w:rsidRPr="0002056A">
        <w:rPr>
          <w:rFonts w:ascii="Georgia" w:hAnsi="Georgia"/>
          <w:lang w:val="en-GB"/>
        </w:rPr>
        <w:t xml:space="preserve"> </w:t>
      </w:r>
      <w:r w:rsidR="00314E2A">
        <w:rPr>
          <w:rFonts w:ascii="Georgia" w:hAnsi="Georgia"/>
          <w:lang w:val="en-GB"/>
        </w:rPr>
        <w:t>recognising</w:t>
      </w:r>
      <w:r w:rsidR="00314E2A" w:rsidRPr="0002056A">
        <w:rPr>
          <w:rFonts w:ascii="Georgia" w:hAnsi="Georgia"/>
          <w:lang w:val="en-GB"/>
        </w:rPr>
        <w:t xml:space="preserve"> </w:t>
      </w:r>
      <w:r w:rsidR="008731CD" w:rsidRPr="0002056A">
        <w:rPr>
          <w:rFonts w:ascii="Georgia" w:hAnsi="Georgia"/>
          <w:lang w:val="en-GB"/>
        </w:rPr>
        <w:t xml:space="preserve">the importance of spatial issues, </w:t>
      </w:r>
      <w:r w:rsidR="00B3550C" w:rsidRPr="0002056A">
        <w:rPr>
          <w:rFonts w:ascii="Georgia" w:hAnsi="Georgia"/>
          <w:lang w:val="en-GB"/>
        </w:rPr>
        <w:t xml:space="preserve">believe </w:t>
      </w:r>
      <w:r w:rsidR="009A7311" w:rsidRPr="0002056A">
        <w:rPr>
          <w:rFonts w:ascii="Georgia" w:hAnsi="Georgia"/>
          <w:lang w:val="en-GB"/>
        </w:rPr>
        <w:t xml:space="preserve">rather </w:t>
      </w:r>
      <w:r w:rsidR="00B3550C" w:rsidRPr="0002056A">
        <w:rPr>
          <w:rFonts w:ascii="Georgia" w:hAnsi="Georgia"/>
          <w:lang w:val="en-GB"/>
        </w:rPr>
        <w:t>in the omnipotence of sectoral planning.</w:t>
      </w:r>
    </w:p>
    <w:p w14:paraId="07E034F9" w14:textId="1123A691" w:rsidR="00CB7AB1" w:rsidRPr="0002056A" w:rsidRDefault="00CB7AB1" w:rsidP="00F00409">
      <w:pPr>
        <w:pBdr>
          <w:top w:val="single" w:sz="4" w:space="1" w:color="auto"/>
          <w:left w:val="single" w:sz="4" w:space="4" w:color="auto"/>
          <w:bottom w:val="single" w:sz="4" w:space="1" w:color="auto"/>
          <w:right w:val="single" w:sz="4" w:space="4" w:color="auto"/>
        </w:pBdr>
        <w:shd w:val="clear" w:color="auto" w:fill="E2EFD9" w:themeFill="accent6" w:themeFillTint="33"/>
        <w:spacing w:before="120" w:after="120"/>
        <w:jc w:val="both"/>
        <w:rPr>
          <w:rFonts w:ascii="Georgia" w:hAnsi="Georgia"/>
          <w:lang w:val="en-GB"/>
        </w:rPr>
      </w:pPr>
      <w:r w:rsidRPr="0002056A">
        <w:rPr>
          <w:rFonts w:ascii="Georgia" w:hAnsi="Georgia"/>
          <w:lang w:val="en-GB"/>
        </w:rPr>
        <w:t>Consequently, the r</w:t>
      </w:r>
      <w:r w:rsidR="009A7311" w:rsidRPr="0002056A">
        <w:rPr>
          <w:rFonts w:ascii="Georgia" w:hAnsi="Georgia"/>
          <w:lang w:val="en-GB"/>
        </w:rPr>
        <w:t>esults regarding</w:t>
      </w:r>
      <w:r w:rsidRPr="0002056A">
        <w:rPr>
          <w:rFonts w:ascii="Georgia" w:hAnsi="Georgia"/>
          <w:lang w:val="en-GB"/>
        </w:rPr>
        <w:t xml:space="preserve"> to the main hypothesis </w:t>
      </w:r>
      <w:r w:rsidR="00CC73EE" w:rsidRPr="0002056A">
        <w:rPr>
          <w:rFonts w:ascii="Georgia" w:hAnsi="Georgia"/>
          <w:lang w:val="en-GB"/>
        </w:rPr>
        <w:t>“</w:t>
      </w:r>
      <w:r w:rsidR="008866CE" w:rsidRPr="008866CE">
        <w:rPr>
          <w:rFonts w:ascii="Georgia" w:hAnsi="Georgia"/>
          <w:bCs/>
          <w:i/>
          <w:iCs/>
          <w:color w:val="4472C4" w:themeColor="accent1"/>
          <w:lang w:val="en-GB"/>
        </w:rPr>
        <w:t>Due to the importance of geographical space and spatial differences/structures in climate adaptation, sensitivity to spatial considerations in national adaptation practice var</w:t>
      </w:r>
      <w:r w:rsidR="00702C0E">
        <w:rPr>
          <w:rFonts w:ascii="Georgia" w:hAnsi="Georgia"/>
          <w:bCs/>
          <w:i/>
          <w:iCs/>
          <w:color w:val="4472C4" w:themeColor="accent1"/>
          <w:lang w:val="en-GB"/>
        </w:rPr>
        <w:t xml:space="preserve">ies </w:t>
      </w:r>
      <w:r w:rsidR="008866CE" w:rsidRPr="008866CE">
        <w:rPr>
          <w:rFonts w:ascii="Georgia" w:hAnsi="Georgia"/>
          <w:bCs/>
          <w:i/>
          <w:iCs/>
          <w:color w:val="4472C4" w:themeColor="accent1"/>
          <w:lang w:val="en-GB"/>
        </w:rPr>
        <w:t>significantly across Europe</w:t>
      </w:r>
      <w:r w:rsidR="00CC73EE" w:rsidRPr="0002056A">
        <w:rPr>
          <w:rFonts w:ascii="Georgia" w:hAnsi="Georgia"/>
          <w:lang w:val="en-GB"/>
        </w:rPr>
        <w:t xml:space="preserve">” </w:t>
      </w:r>
      <w:r w:rsidRPr="0002056A">
        <w:rPr>
          <w:rFonts w:ascii="Georgia" w:hAnsi="Georgia"/>
          <w:lang w:val="en-GB"/>
        </w:rPr>
        <w:t xml:space="preserve">is positive, </w:t>
      </w:r>
      <w:r w:rsidR="000362C5" w:rsidRPr="0002056A">
        <w:rPr>
          <w:rFonts w:ascii="Georgia" w:hAnsi="Georgia"/>
          <w:lang w:val="en-GB"/>
        </w:rPr>
        <w:t>with the sl</w:t>
      </w:r>
      <w:r w:rsidR="00432A1E">
        <w:rPr>
          <w:rFonts w:ascii="Georgia" w:hAnsi="Georgia"/>
          <w:lang w:val="en-GB"/>
        </w:rPr>
        <w:t xml:space="preserve">ight </w:t>
      </w:r>
      <w:r w:rsidR="000362C5" w:rsidRPr="0002056A">
        <w:rPr>
          <w:rFonts w:ascii="Georgia" w:hAnsi="Georgia"/>
          <w:lang w:val="en-GB"/>
        </w:rPr>
        <w:t xml:space="preserve">emergence of spatial </w:t>
      </w:r>
      <w:r w:rsidR="00216AD0" w:rsidRPr="0002056A">
        <w:rPr>
          <w:rFonts w:ascii="Georgia" w:hAnsi="Georgia"/>
          <w:lang w:val="en-GB"/>
        </w:rPr>
        <w:t>considerations</w:t>
      </w:r>
      <w:r w:rsidR="000362C5" w:rsidRPr="0002056A">
        <w:rPr>
          <w:rFonts w:ascii="Georgia" w:hAnsi="Georgia"/>
          <w:lang w:val="en-GB"/>
        </w:rPr>
        <w:t xml:space="preserve"> in national adaptation </w:t>
      </w:r>
      <w:r w:rsidR="009A7311" w:rsidRPr="0002056A">
        <w:rPr>
          <w:rFonts w:ascii="Georgia" w:hAnsi="Georgia"/>
          <w:lang w:val="en-GB"/>
        </w:rPr>
        <w:t>planning and MRE</w:t>
      </w:r>
      <w:r w:rsidR="000362C5" w:rsidRPr="0002056A">
        <w:rPr>
          <w:rFonts w:ascii="Georgia" w:hAnsi="Georgia"/>
          <w:lang w:val="en-GB"/>
        </w:rPr>
        <w:t xml:space="preserve"> in Europ</w:t>
      </w:r>
      <w:r w:rsidR="003C5148" w:rsidRPr="0002056A">
        <w:rPr>
          <w:rFonts w:ascii="Georgia" w:hAnsi="Georgia"/>
          <w:lang w:val="en-GB"/>
        </w:rPr>
        <w:t xml:space="preserve">e and actually in a varied degree, as the empirical </w:t>
      </w:r>
      <w:r w:rsidR="00216AD0" w:rsidRPr="0002056A">
        <w:rPr>
          <w:rFonts w:ascii="Georgia" w:hAnsi="Georgia"/>
          <w:lang w:val="en-GB"/>
        </w:rPr>
        <w:t>work phase’s</w:t>
      </w:r>
      <w:r w:rsidR="003C5148" w:rsidRPr="0002056A">
        <w:rPr>
          <w:rFonts w:ascii="Georgia" w:hAnsi="Georgia"/>
          <w:lang w:val="en-GB"/>
        </w:rPr>
        <w:t xml:space="preserve"> outcomes proved that</w:t>
      </w:r>
      <w:r w:rsidR="000362C5" w:rsidRPr="0002056A">
        <w:rPr>
          <w:rFonts w:ascii="Georgia" w:hAnsi="Georgia"/>
          <w:lang w:val="en-GB"/>
        </w:rPr>
        <w:t xml:space="preserve">. However, </w:t>
      </w:r>
      <w:r w:rsidRPr="0002056A">
        <w:rPr>
          <w:rFonts w:ascii="Georgia" w:hAnsi="Georgia"/>
          <w:lang w:val="en-GB"/>
        </w:rPr>
        <w:t xml:space="preserve">the mostly </w:t>
      </w:r>
      <w:r w:rsidR="00DA0573" w:rsidRPr="0002056A">
        <w:rPr>
          <w:rFonts w:ascii="Georgia" w:hAnsi="Georgia"/>
          <w:lang w:val="en-GB"/>
        </w:rPr>
        <w:t xml:space="preserve">weaker-than-average or simply </w:t>
      </w:r>
      <w:r w:rsidRPr="0002056A">
        <w:rPr>
          <w:rFonts w:ascii="Georgia" w:hAnsi="Georgia"/>
          <w:lang w:val="en-GB"/>
        </w:rPr>
        <w:t xml:space="preserve">weak national results of the comparative analysis </w:t>
      </w:r>
      <w:r w:rsidR="00CC73EE" w:rsidRPr="0002056A">
        <w:rPr>
          <w:rFonts w:ascii="Georgia" w:hAnsi="Georgia"/>
          <w:lang w:val="en-GB"/>
        </w:rPr>
        <w:t xml:space="preserve">indicate that several </w:t>
      </w:r>
      <w:r w:rsidR="009A7311" w:rsidRPr="0002056A">
        <w:rPr>
          <w:rFonts w:ascii="Georgia" w:hAnsi="Georgia"/>
          <w:lang w:val="en-GB"/>
        </w:rPr>
        <w:t xml:space="preserve">further </w:t>
      </w:r>
      <w:r w:rsidR="00CC73EE" w:rsidRPr="0002056A">
        <w:rPr>
          <w:rFonts w:ascii="Georgia" w:hAnsi="Georgia"/>
          <w:lang w:val="en-GB"/>
        </w:rPr>
        <w:t xml:space="preserve">steps are needed in </w:t>
      </w:r>
      <w:r w:rsidR="00DB7395" w:rsidRPr="0002056A">
        <w:rPr>
          <w:rFonts w:ascii="Georgia" w:hAnsi="Georgia"/>
          <w:lang w:val="en-GB"/>
        </w:rPr>
        <w:t xml:space="preserve">this field in </w:t>
      </w:r>
      <w:r w:rsidR="00CC73EE" w:rsidRPr="0002056A">
        <w:rPr>
          <w:rFonts w:ascii="Georgia" w:hAnsi="Georgia"/>
          <w:lang w:val="en-GB"/>
        </w:rPr>
        <w:t>the future.</w:t>
      </w:r>
    </w:p>
    <w:p w14:paraId="01E06E13" w14:textId="3495C7DE" w:rsidR="00326982" w:rsidRDefault="00326982" w:rsidP="00FA2C76">
      <w:pPr>
        <w:pStyle w:val="Cmsor2"/>
        <w:numPr>
          <w:ilvl w:val="1"/>
          <w:numId w:val="30"/>
        </w:numPr>
        <w:rPr>
          <w:rFonts w:asciiTheme="minorHAnsi" w:hAnsiTheme="minorHAnsi" w:cstheme="minorHAnsi"/>
          <w:b w:val="0"/>
          <w:bCs w:val="0"/>
          <w:i/>
          <w:iCs/>
          <w:lang w:val="en-GB"/>
        </w:rPr>
      </w:pPr>
      <w:bookmarkStart w:id="57" w:name="_Toc225578874"/>
      <w:r>
        <w:rPr>
          <w:rFonts w:asciiTheme="minorHAnsi" w:hAnsiTheme="minorHAnsi" w:cstheme="minorHAnsi"/>
          <w:b w:val="0"/>
          <w:bCs w:val="0"/>
          <w:i/>
          <w:iCs/>
          <w:lang w:val="en-GB"/>
        </w:rPr>
        <w:lastRenderedPageBreak/>
        <w:t xml:space="preserve">Recommendations for the </w:t>
      </w:r>
      <w:r w:rsidR="00923D56">
        <w:rPr>
          <w:rFonts w:asciiTheme="minorHAnsi" w:hAnsiTheme="minorHAnsi" w:cstheme="minorHAnsi"/>
          <w:b w:val="0"/>
          <w:bCs w:val="0"/>
          <w:i/>
          <w:iCs/>
          <w:lang w:val="en-GB"/>
        </w:rPr>
        <w:t xml:space="preserve">climate adaptation </w:t>
      </w:r>
      <w:r>
        <w:rPr>
          <w:rFonts w:asciiTheme="minorHAnsi" w:hAnsiTheme="minorHAnsi" w:cstheme="minorHAnsi"/>
          <w:b w:val="0"/>
          <w:bCs w:val="0"/>
          <w:i/>
          <w:iCs/>
          <w:lang w:val="en-GB"/>
        </w:rPr>
        <w:t>policy practice</w:t>
      </w:r>
      <w:bookmarkEnd w:id="57"/>
    </w:p>
    <w:p w14:paraId="26864A63" w14:textId="08673302" w:rsidR="00326982" w:rsidRDefault="007D34AC" w:rsidP="00D40A53">
      <w:pPr>
        <w:spacing w:before="120" w:after="120"/>
        <w:jc w:val="both"/>
        <w:rPr>
          <w:rFonts w:ascii="Georgia" w:hAnsi="Georgia"/>
          <w:lang w:val="en-GB"/>
        </w:rPr>
      </w:pPr>
      <w:r w:rsidRPr="00D40A53">
        <w:rPr>
          <w:rFonts w:ascii="Georgia" w:hAnsi="Georgia"/>
          <w:lang w:val="en-GB"/>
        </w:rPr>
        <w:t xml:space="preserve">Based on the best practices </w:t>
      </w:r>
      <w:r w:rsidR="000D0D99">
        <w:rPr>
          <w:rFonts w:ascii="Georgia" w:hAnsi="Georgia"/>
          <w:lang w:val="en-GB"/>
        </w:rPr>
        <w:t xml:space="preserve">we became familiar with among </w:t>
      </w:r>
      <w:r w:rsidRPr="00D40A53">
        <w:rPr>
          <w:rFonts w:ascii="Georgia" w:hAnsi="Georgia"/>
          <w:lang w:val="en-GB"/>
        </w:rPr>
        <w:t xml:space="preserve">the empirical </w:t>
      </w:r>
      <w:r w:rsidR="00314E2A">
        <w:rPr>
          <w:rFonts w:ascii="Georgia" w:hAnsi="Georgia"/>
          <w:lang w:val="en-GB"/>
        </w:rPr>
        <w:t>analysis results (see Chapter 5),</w:t>
      </w:r>
      <w:r w:rsidR="00A35625">
        <w:rPr>
          <w:rFonts w:ascii="Georgia" w:hAnsi="Georgia"/>
          <w:lang w:val="en-GB"/>
        </w:rPr>
        <w:t xml:space="preserve"> </w:t>
      </w:r>
      <w:r w:rsidR="00C64237" w:rsidRPr="00D40A53">
        <w:rPr>
          <w:rFonts w:ascii="Georgia" w:hAnsi="Georgia"/>
          <w:lang w:val="en-GB"/>
        </w:rPr>
        <w:t>as well as my own professional experience and ideas</w:t>
      </w:r>
      <w:r w:rsidR="006866B8">
        <w:rPr>
          <w:rFonts w:ascii="Georgia" w:hAnsi="Georgia"/>
          <w:lang w:val="en-GB"/>
        </w:rPr>
        <w:t>,</w:t>
      </w:r>
      <w:r w:rsidR="00C64237" w:rsidRPr="00D40A53">
        <w:rPr>
          <w:rFonts w:ascii="Georgia" w:hAnsi="Georgia"/>
          <w:lang w:val="en-GB"/>
        </w:rPr>
        <w:t xml:space="preserve"> some basic recommendations can be drawn to strengthen </w:t>
      </w:r>
      <w:r w:rsidR="00A35625">
        <w:rPr>
          <w:rFonts w:ascii="Georgia" w:hAnsi="Georgia"/>
          <w:lang w:val="en-GB"/>
        </w:rPr>
        <w:t xml:space="preserve">the </w:t>
      </w:r>
      <w:r w:rsidR="00C64237" w:rsidRPr="00D40A53">
        <w:rPr>
          <w:rFonts w:ascii="Georgia" w:hAnsi="Georgia"/>
          <w:lang w:val="en-GB"/>
        </w:rPr>
        <w:t>spatial sensitivity of the examined adaptation policy instruments</w:t>
      </w:r>
      <w:r w:rsidR="00D40A53" w:rsidRPr="00D40A53">
        <w:rPr>
          <w:rFonts w:ascii="Georgia" w:hAnsi="Georgia"/>
          <w:lang w:val="en-GB"/>
        </w:rPr>
        <w:t xml:space="preserve">. </w:t>
      </w:r>
      <w:r w:rsidR="00D40A53">
        <w:rPr>
          <w:rFonts w:ascii="Georgia" w:hAnsi="Georgia"/>
          <w:lang w:val="en-GB"/>
        </w:rPr>
        <w:t xml:space="preserve">Applying </w:t>
      </w:r>
      <w:r w:rsidR="00314E2A">
        <w:rPr>
          <w:rFonts w:ascii="Georgia" w:hAnsi="Georgia"/>
          <w:lang w:val="en-GB"/>
        </w:rPr>
        <w:t>some or the majority of the enlisted solutions cons</w:t>
      </w:r>
      <w:r w:rsidR="00821904">
        <w:rPr>
          <w:rFonts w:ascii="Georgia" w:hAnsi="Georgia"/>
          <w:lang w:val="en-GB"/>
        </w:rPr>
        <w:t>istently</w:t>
      </w:r>
      <w:r w:rsidR="00314E2A">
        <w:rPr>
          <w:rFonts w:ascii="Georgia" w:hAnsi="Georgia"/>
          <w:lang w:val="en-GB"/>
        </w:rPr>
        <w:t>, and through these,</w:t>
      </w:r>
      <w:r w:rsidR="001F42FC">
        <w:rPr>
          <w:rFonts w:ascii="Georgia" w:hAnsi="Georgia"/>
          <w:lang w:val="en-GB"/>
        </w:rPr>
        <w:t xml:space="preserve"> strengthen the cons</w:t>
      </w:r>
      <w:r w:rsidR="00A35625">
        <w:rPr>
          <w:rFonts w:ascii="Georgia" w:hAnsi="Georgia"/>
          <w:lang w:val="en-GB"/>
        </w:rPr>
        <w:t>cious</w:t>
      </w:r>
      <w:r w:rsidR="001F42FC">
        <w:rPr>
          <w:rFonts w:ascii="Georgia" w:hAnsi="Georgia"/>
          <w:lang w:val="en-GB"/>
        </w:rPr>
        <w:t xml:space="preserve"> spatial content/emphases </w:t>
      </w:r>
      <w:r w:rsidR="000D0D99">
        <w:rPr>
          <w:rFonts w:ascii="Georgia" w:hAnsi="Georgia"/>
          <w:lang w:val="en-GB"/>
        </w:rPr>
        <w:t xml:space="preserve">of adaptation policy tools, </w:t>
      </w:r>
      <w:r w:rsidR="000F6D7F">
        <w:rPr>
          <w:rFonts w:ascii="Georgia" w:hAnsi="Georgia"/>
          <w:lang w:val="en-GB"/>
        </w:rPr>
        <w:t xml:space="preserve">climate adaptation policy in several countries could even </w:t>
      </w:r>
      <w:r w:rsidR="007135F0">
        <w:rPr>
          <w:rFonts w:ascii="Georgia" w:hAnsi="Georgia"/>
          <w:lang w:val="en-GB"/>
        </w:rPr>
        <w:t xml:space="preserve">partly </w:t>
      </w:r>
      <w:r w:rsidR="000F6D7F">
        <w:rPr>
          <w:rFonts w:ascii="Georgia" w:hAnsi="Georgia"/>
          <w:lang w:val="en-GB"/>
        </w:rPr>
        <w:t xml:space="preserve">fill the gap created by the diminishing role </w:t>
      </w:r>
      <w:r w:rsidR="001F42FC">
        <w:rPr>
          <w:rFonts w:ascii="Georgia" w:hAnsi="Georgia"/>
          <w:lang w:val="en-GB"/>
        </w:rPr>
        <w:t>of regional development policy and the related spatial planning</w:t>
      </w:r>
      <w:r w:rsidR="007135F0">
        <w:rPr>
          <w:rFonts w:ascii="Georgia" w:hAnsi="Georgia"/>
          <w:lang w:val="en-GB"/>
        </w:rPr>
        <w:t xml:space="preserve"> activities</w:t>
      </w:r>
      <w:r w:rsidR="001F42FC">
        <w:rPr>
          <w:rFonts w:ascii="Georgia" w:hAnsi="Georgia"/>
          <w:lang w:val="en-GB"/>
        </w:rPr>
        <w:t xml:space="preserve"> in the recent decade.</w:t>
      </w:r>
      <w:r w:rsidR="007135F0">
        <w:rPr>
          <w:rFonts w:ascii="Georgia" w:hAnsi="Georgia"/>
          <w:lang w:val="en-GB"/>
        </w:rPr>
        <w:t xml:space="preserve"> The recommendations are grouped by </w:t>
      </w:r>
      <w:r w:rsidR="00D80175">
        <w:rPr>
          <w:rFonts w:ascii="Georgia" w:hAnsi="Georgia"/>
          <w:lang w:val="en-GB"/>
        </w:rPr>
        <w:t>work phases of strategic planning, partly reacting to the structure of the analytical aspect system applied by the empirical part of the dissertation.</w:t>
      </w:r>
    </w:p>
    <w:p w14:paraId="0CA1FAF0" w14:textId="6A2E1A81" w:rsidR="00CE2622" w:rsidRDefault="00314E2A" w:rsidP="002603F8">
      <w:pPr>
        <w:pStyle w:val="Cmsor3"/>
        <w:numPr>
          <w:ilvl w:val="2"/>
          <w:numId w:val="30"/>
        </w:numPr>
        <w:rPr>
          <w:lang w:val="en-GB"/>
        </w:rPr>
      </w:pPr>
      <w:bookmarkStart w:id="58" w:name="_Toc225578875"/>
      <w:r>
        <w:rPr>
          <w:lang w:val="en-GB"/>
        </w:rPr>
        <w:t>Evidence-based</w:t>
      </w:r>
      <w:r w:rsidR="00CE2622">
        <w:rPr>
          <w:lang w:val="en-GB"/>
        </w:rPr>
        <w:t xml:space="preserve"> work phases of planning</w:t>
      </w:r>
      <w:bookmarkEnd w:id="58"/>
    </w:p>
    <w:p w14:paraId="13808495" w14:textId="4E4849F0" w:rsidR="006E1930" w:rsidRPr="006E1930" w:rsidRDefault="007377F9" w:rsidP="00622BB0">
      <w:pPr>
        <w:pStyle w:val="Listaszerbekezds"/>
        <w:numPr>
          <w:ilvl w:val="0"/>
          <w:numId w:val="34"/>
        </w:numPr>
        <w:spacing w:before="120" w:after="120"/>
        <w:jc w:val="both"/>
        <w:rPr>
          <w:rFonts w:ascii="Georgia" w:hAnsi="Georgia"/>
          <w:lang w:val="en-GB"/>
        </w:rPr>
      </w:pPr>
      <w:r w:rsidRPr="006E1930">
        <w:rPr>
          <w:rFonts w:ascii="Georgia" w:hAnsi="Georgia"/>
          <w:lang w:val="en-GB"/>
        </w:rPr>
        <w:t xml:space="preserve">Structure of </w:t>
      </w:r>
      <w:r w:rsidR="00A658E9" w:rsidRPr="006E1930">
        <w:rPr>
          <w:rFonts w:ascii="Georgia" w:hAnsi="Georgia"/>
          <w:lang w:val="en-GB"/>
        </w:rPr>
        <w:t>an ideal</w:t>
      </w:r>
      <w:r w:rsidRPr="006E1930">
        <w:rPr>
          <w:rFonts w:ascii="Georgia" w:hAnsi="Georgia"/>
          <w:lang w:val="en-GB"/>
        </w:rPr>
        <w:t xml:space="preserve"> </w:t>
      </w:r>
      <w:r w:rsidR="00CE2622" w:rsidRPr="006E1930">
        <w:rPr>
          <w:rFonts w:ascii="Georgia" w:hAnsi="Georgia"/>
          <w:lang w:val="en-GB"/>
        </w:rPr>
        <w:t>NAS situation analys</w:t>
      </w:r>
      <w:r w:rsidR="00A658E9" w:rsidRPr="006E1930">
        <w:rPr>
          <w:rFonts w:ascii="Georgia" w:hAnsi="Georgia"/>
          <w:lang w:val="en-GB"/>
        </w:rPr>
        <w:t>i</w:t>
      </w:r>
      <w:r w:rsidR="00CE2622" w:rsidRPr="006E1930">
        <w:rPr>
          <w:rFonts w:ascii="Georgia" w:hAnsi="Georgia"/>
          <w:lang w:val="en-GB"/>
        </w:rPr>
        <w:t>s</w:t>
      </w:r>
      <w:r w:rsidRPr="006E1930">
        <w:rPr>
          <w:rFonts w:ascii="Georgia" w:hAnsi="Georgia"/>
          <w:lang w:val="en-GB"/>
        </w:rPr>
        <w:t xml:space="preserve"> </w:t>
      </w:r>
      <w:r w:rsidR="00A658E9" w:rsidRPr="006E1930">
        <w:rPr>
          <w:rFonts w:ascii="Georgia" w:hAnsi="Georgia"/>
          <w:lang w:val="en-GB"/>
        </w:rPr>
        <w:t>is</w:t>
      </w:r>
      <w:r w:rsidRPr="006E1930">
        <w:rPr>
          <w:rFonts w:ascii="Georgia" w:hAnsi="Georgia"/>
          <w:lang w:val="en-GB"/>
        </w:rPr>
        <w:t xml:space="preserve"> suggested to be </w:t>
      </w:r>
      <w:r w:rsidR="00314E2A">
        <w:rPr>
          <w:rFonts w:ascii="Georgia" w:hAnsi="Georgia"/>
          <w:lang w:val="en-GB"/>
        </w:rPr>
        <w:t xml:space="preserve">organised according to spatial aspects: by region types, settlement types, and </w:t>
      </w:r>
      <w:r w:rsidR="003142ED" w:rsidRPr="006E1930">
        <w:rPr>
          <w:rFonts w:ascii="Georgia" w:hAnsi="Georgia"/>
          <w:lang w:val="en-GB"/>
        </w:rPr>
        <w:t>actual vulnerable places</w:t>
      </w:r>
      <w:r w:rsidR="00FF539C" w:rsidRPr="006E1930">
        <w:rPr>
          <w:rFonts w:ascii="Georgia" w:hAnsi="Georgia"/>
          <w:lang w:val="en-GB"/>
        </w:rPr>
        <w:t>, dedicating given subchapters to each</w:t>
      </w:r>
      <w:r w:rsidR="006E1930" w:rsidRPr="006E1930">
        <w:rPr>
          <w:rFonts w:ascii="Georgia" w:hAnsi="Georgia"/>
          <w:lang w:val="en-GB"/>
        </w:rPr>
        <w:t>. The same finding is true for national climate change risk assessments</w:t>
      </w:r>
      <w:r w:rsidR="006E1930">
        <w:rPr>
          <w:rFonts w:ascii="Georgia" w:hAnsi="Georgia"/>
          <w:lang w:val="en-GB"/>
        </w:rPr>
        <w:t>;</w:t>
      </w:r>
    </w:p>
    <w:p w14:paraId="24A7A238" w14:textId="7887B2F8" w:rsidR="00973673" w:rsidRPr="004A3E2A" w:rsidRDefault="00973673"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If the structure of the situation analysis</w:t>
      </w:r>
      <w:r w:rsidR="006E1930">
        <w:rPr>
          <w:rFonts w:ascii="Georgia" w:hAnsi="Georgia"/>
          <w:lang w:val="en-GB"/>
        </w:rPr>
        <w:t>/</w:t>
      </w:r>
      <w:r w:rsidR="006E1930" w:rsidRPr="006E1930">
        <w:rPr>
          <w:rFonts w:ascii="Georgia" w:hAnsi="Georgia"/>
          <w:lang w:val="en-GB"/>
        </w:rPr>
        <w:t>national climate change risk assessment</w:t>
      </w:r>
      <w:r w:rsidRPr="004A3E2A">
        <w:rPr>
          <w:rFonts w:ascii="Georgia" w:hAnsi="Georgia"/>
          <w:lang w:val="en-GB"/>
        </w:rPr>
        <w:t xml:space="preserve"> is organised by sectors, then each sectoral subchapter should contain a brief summary of rele</w:t>
      </w:r>
      <w:r w:rsidR="00C27BD7">
        <w:rPr>
          <w:rFonts w:ascii="Georgia" w:hAnsi="Georgia"/>
          <w:lang w:val="en-GB"/>
        </w:rPr>
        <w:t>vant</w:t>
      </w:r>
      <w:r w:rsidRPr="004A3E2A">
        <w:rPr>
          <w:rFonts w:ascii="Georgia" w:hAnsi="Georgia"/>
          <w:lang w:val="en-GB"/>
        </w:rPr>
        <w:t xml:space="preserve"> spatial aspects</w:t>
      </w:r>
      <w:r w:rsidR="004A3E2A" w:rsidRPr="004A3E2A">
        <w:rPr>
          <w:rFonts w:ascii="Georgia" w:hAnsi="Georgia"/>
          <w:lang w:val="en-GB"/>
        </w:rPr>
        <w:t>;</w:t>
      </w:r>
      <w:r w:rsidRPr="004A3E2A">
        <w:rPr>
          <w:rFonts w:ascii="Georgia" w:hAnsi="Georgia"/>
          <w:lang w:val="en-GB"/>
        </w:rPr>
        <w:t xml:space="preserve"> </w:t>
      </w:r>
    </w:p>
    <w:p w14:paraId="1C023EED" w14:textId="09D72486" w:rsidR="00A95639" w:rsidRPr="004A3E2A" w:rsidRDefault="00FF539C"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 xml:space="preserve">Within </w:t>
      </w:r>
      <w:r w:rsidR="009A3671">
        <w:rPr>
          <w:rFonts w:ascii="Georgia" w:hAnsi="Georgia"/>
          <w:lang w:val="en-GB"/>
        </w:rPr>
        <w:t>a</w:t>
      </w:r>
      <w:r w:rsidRPr="004A3E2A">
        <w:rPr>
          <w:rFonts w:ascii="Georgia" w:hAnsi="Georgia"/>
          <w:lang w:val="en-GB"/>
        </w:rPr>
        <w:t xml:space="preserve"> NAS situation analysis</w:t>
      </w:r>
      <w:r w:rsidR="009B7597" w:rsidRPr="004A3E2A">
        <w:rPr>
          <w:rFonts w:ascii="Georgia" w:hAnsi="Georgia"/>
          <w:lang w:val="en-GB"/>
        </w:rPr>
        <w:t>,</w:t>
      </w:r>
      <w:r w:rsidRPr="004A3E2A">
        <w:rPr>
          <w:rFonts w:ascii="Georgia" w:hAnsi="Georgia"/>
          <w:lang w:val="en-GB"/>
        </w:rPr>
        <w:t xml:space="preserve"> a special</w:t>
      </w:r>
      <w:r w:rsidR="007377F9" w:rsidRPr="004A3E2A">
        <w:rPr>
          <w:rFonts w:ascii="Georgia" w:hAnsi="Georgia"/>
          <w:lang w:val="en-GB"/>
        </w:rPr>
        <w:t xml:space="preserve"> </w:t>
      </w:r>
      <w:r w:rsidRPr="004A3E2A">
        <w:rPr>
          <w:rFonts w:ascii="Georgia" w:hAnsi="Georgia"/>
          <w:lang w:val="en-GB"/>
        </w:rPr>
        <w:t>chapter could be dedicated to spatial vulnerability assessments’ results, introducing different vulnerability topics’ spatial structures and differences within a country by thematic maps</w:t>
      </w:r>
      <w:r w:rsidR="004A3E2A" w:rsidRPr="004A3E2A">
        <w:rPr>
          <w:rFonts w:ascii="Georgia" w:hAnsi="Georgia"/>
          <w:lang w:val="en-GB"/>
        </w:rPr>
        <w:t>;</w:t>
      </w:r>
    </w:p>
    <w:p w14:paraId="003AA022" w14:textId="39B3143A" w:rsidR="00973673" w:rsidRPr="004A3E2A" w:rsidRDefault="00973673"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 xml:space="preserve">Use of thematic maps and regional diagrams </w:t>
      </w:r>
      <w:r w:rsidR="00314E2A">
        <w:rPr>
          <w:rFonts w:ascii="Georgia" w:hAnsi="Georgia"/>
          <w:lang w:val="en-GB"/>
        </w:rPr>
        <w:t>is</w:t>
      </w:r>
      <w:r w:rsidR="00314E2A" w:rsidRPr="004A3E2A">
        <w:rPr>
          <w:rFonts w:ascii="Georgia" w:hAnsi="Georgia"/>
          <w:lang w:val="en-GB"/>
        </w:rPr>
        <w:t xml:space="preserve"> </w:t>
      </w:r>
      <w:r w:rsidRPr="004A3E2A">
        <w:rPr>
          <w:rFonts w:ascii="Georgia" w:hAnsi="Georgia"/>
          <w:lang w:val="en-GB"/>
        </w:rPr>
        <w:t xml:space="preserve">suggested as frequently </w:t>
      </w:r>
      <w:r w:rsidR="009A3671">
        <w:rPr>
          <w:rFonts w:ascii="Georgia" w:hAnsi="Georgia"/>
          <w:lang w:val="en-GB"/>
        </w:rPr>
        <w:t xml:space="preserve">and intensively </w:t>
      </w:r>
      <w:r w:rsidRPr="004A3E2A">
        <w:rPr>
          <w:rFonts w:ascii="Georgia" w:hAnsi="Georgia"/>
          <w:lang w:val="en-GB"/>
        </w:rPr>
        <w:t xml:space="preserve">as possible to support </w:t>
      </w:r>
      <w:r w:rsidR="00314E2A">
        <w:rPr>
          <w:rFonts w:ascii="Georgia" w:hAnsi="Georgia"/>
          <w:lang w:val="en-GB"/>
        </w:rPr>
        <w:t>visualisation</w:t>
      </w:r>
      <w:r w:rsidR="00314E2A" w:rsidRPr="004A3E2A">
        <w:rPr>
          <w:rFonts w:ascii="Georgia" w:hAnsi="Georgia"/>
          <w:lang w:val="en-GB"/>
        </w:rPr>
        <w:t xml:space="preserve"> </w:t>
      </w:r>
      <w:r w:rsidRPr="004A3E2A">
        <w:rPr>
          <w:rFonts w:ascii="Georgia" w:hAnsi="Georgia"/>
          <w:lang w:val="en-GB"/>
        </w:rPr>
        <w:t xml:space="preserve">of the described content and help to display </w:t>
      </w:r>
      <w:r w:rsidR="009A3671">
        <w:rPr>
          <w:rFonts w:ascii="Georgia" w:hAnsi="Georgia"/>
          <w:lang w:val="en-GB"/>
        </w:rPr>
        <w:t xml:space="preserve">the </w:t>
      </w:r>
      <w:r w:rsidRPr="004A3E2A">
        <w:rPr>
          <w:rFonts w:ascii="Georgia" w:hAnsi="Georgia"/>
          <w:lang w:val="en-GB"/>
        </w:rPr>
        <w:t>spatial situation</w:t>
      </w:r>
      <w:r w:rsidR="004A3E2A" w:rsidRPr="004A3E2A">
        <w:rPr>
          <w:rFonts w:ascii="Georgia" w:hAnsi="Georgia"/>
          <w:lang w:val="en-GB"/>
        </w:rPr>
        <w:t>;</w:t>
      </w:r>
    </w:p>
    <w:p w14:paraId="25EFF3D3" w14:textId="54A0219B" w:rsidR="00006401" w:rsidRPr="004A3E2A" w:rsidRDefault="00006401"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 xml:space="preserve">Spatial results of vulnerability or climate risk assessments are especially appropriate tools to improve the explanatory force of situation analysis and make decision makers </w:t>
      </w:r>
      <w:r w:rsidR="00DF0437" w:rsidRPr="004A3E2A">
        <w:rPr>
          <w:rFonts w:ascii="Georgia" w:hAnsi="Georgia"/>
          <w:lang w:val="en-GB"/>
        </w:rPr>
        <w:t>understand the most important challenges</w:t>
      </w:r>
      <w:r w:rsidR="004A3E2A" w:rsidRPr="004A3E2A">
        <w:rPr>
          <w:rFonts w:ascii="Georgia" w:hAnsi="Georgia"/>
          <w:lang w:val="en-GB"/>
        </w:rPr>
        <w:t>;</w:t>
      </w:r>
    </w:p>
    <w:p w14:paraId="2E3CE3F4" w14:textId="714845E8" w:rsidR="0094276F" w:rsidRPr="004A3E2A" w:rsidRDefault="0094276F"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SWOT analyses and narrative situation assessments can comprise dedicated sections about particularly vulnerable places or region types, spatial differences or structure</w:t>
      </w:r>
      <w:r w:rsidR="00542349">
        <w:rPr>
          <w:rFonts w:ascii="Georgia" w:hAnsi="Georgia"/>
          <w:lang w:val="en-GB"/>
        </w:rPr>
        <w:t>s</w:t>
      </w:r>
      <w:r w:rsidRPr="004A3E2A">
        <w:rPr>
          <w:rFonts w:ascii="Georgia" w:hAnsi="Georgia"/>
          <w:lang w:val="en-GB"/>
        </w:rPr>
        <w:t xml:space="preserve"> related to climatic challenges</w:t>
      </w:r>
      <w:r w:rsidR="00477D36" w:rsidRPr="004A3E2A">
        <w:rPr>
          <w:rFonts w:ascii="Georgia" w:hAnsi="Georgia"/>
          <w:lang w:val="en-GB"/>
        </w:rPr>
        <w:t>, as a basis of future objectiv</w:t>
      </w:r>
      <w:r w:rsidR="00C27BD7">
        <w:rPr>
          <w:rFonts w:ascii="Georgia" w:hAnsi="Georgia"/>
          <w:lang w:val="en-GB"/>
        </w:rPr>
        <w:t>es and</w:t>
      </w:r>
      <w:r w:rsidR="00477D36" w:rsidRPr="004A3E2A">
        <w:rPr>
          <w:rFonts w:ascii="Georgia" w:hAnsi="Georgia"/>
          <w:lang w:val="en-GB"/>
        </w:rPr>
        <w:t xml:space="preserve"> measures</w:t>
      </w:r>
      <w:r w:rsidR="004A3E2A" w:rsidRPr="004A3E2A">
        <w:rPr>
          <w:rFonts w:ascii="Georgia" w:hAnsi="Georgia"/>
          <w:lang w:val="en-GB"/>
        </w:rPr>
        <w:t>;</w:t>
      </w:r>
    </w:p>
    <w:p w14:paraId="1380FC7E" w14:textId="7DDF85DA" w:rsidR="00477D36" w:rsidRPr="004A3E2A" w:rsidRDefault="00542349" w:rsidP="004A3E2A">
      <w:pPr>
        <w:pStyle w:val="Listaszerbekezds"/>
        <w:numPr>
          <w:ilvl w:val="0"/>
          <w:numId w:val="34"/>
        </w:numPr>
        <w:spacing w:before="120" w:after="120"/>
        <w:jc w:val="both"/>
        <w:rPr>
          <w:rFonts w:ascii="Georgia" w:hAnsi="Georgia"/>
          <w:lang w:val="en-GB"/>
        </w:rPr>
      </w:pPr>
      <w:r>
        <w:rPr>
          <w:rFonts w:ascii="Georgia" w:hAnsi="Georgia"/>
          <w:lang w:val="en-GB"/>
        </w:rPr>
        <w:t xml:space="preserve">It is </w:t>
      </w:r>
      <w:r w:rsidRPr="004A3E2A">
        <w:rPr>
          <w:rFonts w:ascii="Georgia" w:hAnsi="Georgia"/>
          <w:lang w:val="en-GB"/>
        </w:rPr>
        <w:t xml:space="preserve">worth mentioning </w:t>
      </w:r>
      <w:r>
        <w:rPr>
          <w:rFonts w:ascii="Georgia" w:hAnsi="Georgia"/>
          <w:lang w:val="en-GB"/>
        </w:rPr>
        <w:t xml:space="preserve">in </w:t>
      </w:r>
      <w:r w:rsidR="00477D36" w:rsidRPr="004A3E2A">
        <w:rPr>
          <w:rFonts w:ascii="Georgia" w:hAnsi="Georgia"/>
          <w:lang w:val="en-GB"/>
        </w:rPr>
        <w:t xml:space="preserve">NAS situation analyses the role of spatial planning in adaptation and introducing the different levels of spatial administration </w:t>
      </w:r>
      <w:r w:rsidR="00A02104">
        <w:rPr>
          <w:rFonts w:ascii="Georgia" w:hAnsi="Georgia"/>
          <w:lang w:val="en-GB"/>
        </w:rPr>
        <w:t>where</w:t>
      </w:r>
      <w:r w:rsidR="00477D36" w:rsidRPr="004A3E2A">
        <w:rPr>
          <w:rFonts w:ascii="Georgia" w:hAnsi="Georgia"/>
          <w:lang w:val="en-GB"/>
        </w:rPr>
        <w:t xml:space="preserve"> adaptation </w:t>
      </w:r>
      <w:r>
        <w:rPr>
          <w:rFonts w:ascii="Georgia" w:hAnsi="Georgia"/>
          <w:lang w:val="en-GB"/>
        </w:rPr>
        <w:t xml:space="preserve">activities </w:t>
      </w:r>
      <w:r w:rsidR="00A02104">
        <w:rPr>
          <w:rFonts w:ascii="Georgia" w:hAnsi="Georgia"/>
          <w:lang w:val="en-GB"/>
        </w:rPr>
        <w:t xml:space="preserve">occur </w:t>
      </w:r>
      <w:r w:rsidR="00477D36" w:rsidRPr="004A3E2A">
        <w:rPr>
          <w:rFonts w:ascii="Georgia" w:hAnsi="Georgia"/>
          <w:lang w:val="en-GB"/>
        </w:rPr>
        <w:t>in a given country</w:t>
      </w:r>
      <w:r w:rsidR="00FA6692" w:rsidRPr="004A3E2A">
        <w:rPr>
          <w:rFonts w:ascii="Georgia" w:hAnsi="Georgia"/>
          <w:lang w:val="en-GB"/>
        </w:rPr>
        <w:t xml:space="preserve"> as a basis of related objectives, measures in later parts of the document</w:t>
      </w:r>
      <w:r w:rsidR="004A3E2A" w:rsidRPr="004A3E2A">
        <w:rPr>
          <w:rFonts w:ascii="Georgia" w:hAnsi="Georgia"/>
          <w:lang w:val="en-GB"/>
        </w:rPr>
        <w:t>;</w:t>
      </w:r>
    </w:p>
    <w:p w14:paraId="61AC9FA4" w14:textId="17780935" w:rsidR="00842A62" w:rsidRPr="004A3E2A" w:rsidRDefault="00842A62" w:rsidP="004A3E2A">
      <w:pPr>
        <w:pStyle w:val="Listaszerbekezds"/>
        <w:numPr>
          <w:ilvl w:val="0"/>
          <w:numId w:val="34"/>
        </w:numPr>
        <w:spacing w:before="120" w:after="120"/>
        <w:jc w:val="both"/>
        <w:rPr>
          <w:rFonts w:ascii="Georgia" w:hAnsi="Georgia"/>
          <w:lang w:val="en-GB"/>
        </w:rPr>
      </w:pPr>
      <w:r w:rsidRPr="004A3E2A">
        <w:rPr>
          <w:rFonts w:ascii="Georgia" w:hAnsi="Georgia"/>
          <w:lang w:val="en-GB"/>
        </w:rPr>
        <w:t>The position of a given country within Europe or within its wider</w:t>
      </w:r>
      <w:r w:rsidR="00A02104">
        <w:rPr>
          <w:rFonts w:ascii="Georgia" w:hAnsi="Georgia"/>
          <w:lang w:val="en-GB"/>
        </w:rPr>
        <w:t xml:space="preserve"> European</w:t>
      </w:r>
      <w:r w:rsidRPr="004A3E2A">
        <w:rPr>
          <w:rFonts w:ascii="Georgia" w:hAnsi="Georgia"/>
          <w:lang w:val="en-GB"/>
        </w:rPr>
        <w:t xml:space="preserve"> macro region should be taken into consideration and referred to consequently in the situation analysis, in the form of a dedicated subchapter</w:t>
      </w:r>
      <w:r w:rsidR="001E0DD6" w:rsidRPr="004A3E2A">
        <w:rPr>
          <w:rFonts w:ascii="Georgia" w:hAnsi="Georgia"/>
          <w:lang w:val="en-GB"/>
        </w:rPr>
        <w:t>. Beyond the mentioning of European-level climatic trends,</w:t>
      </w:r>
      <w:r w:rsidR="003A5F98">
        <w:rPr>
          <w:rFonts w:ascii="Georgia" w:hAnsi="Georgia"/>
          <w:lang w:val="en-GB"/>
        </w:rPr>
        <w:t xml:space="preserve"> as the majority of the examined documents did, detailed</w:t>
      </w:r>
      <w:r w:rsidR="001E0DD6" w:rsidRPr="004A3E2A">
        <w:rPr>
          <w:rFonts w:ascii="Georgia" w:hAnsi="Georgia"/>
          <w:lang w:val="en-GB"/>
        </w:rPr>
        <w:t xml:space="preserve"> introduction of macro</w:t>
      </w:r>
      <w:r w:rsidR="00821904">
        <w:rPr>
          <w:rFonts w:ascii="Georgia" w:hAnsi="Georgia"/>
          <w:lang w:val="en-GB"/>
        </w:rPr>
        <w:t xml:space="preserve"> </w:t>
      </w:r>
      <w:r w:rsidR="001E0DD6" w:rsidRPr="004A3E2A">
        <w:rPr>
          <w:rFonts w:ascii="Georgia" w:hAnsi="Georgia"/>
          <w:lang w:val="en-GB"/>
        </w:rPr>
        <w:t xml:space="preserve">regional climatic challenges could enhance the understanding of </w:t>
      </w:r>
      <w:r w:rsidR="005A6643" w:rsidRPr="004A3E2A">
        <w:rPr>
          <w:rFonts w:ascii="Georgia" w:hAnsi="Georgia"/>
          <w:lang w:val="en-GB"/>
        </w:rPr>
        <w:t>the spatially determined climate impacts, making proper foundations of country</w:t>
      </w:r>
      <w:r w:rsidR="003A5F98">
        <w:rPr>
          <w:rFonts w:ascii="Georgia" w:hAnsi="Georgia"/>
          <w:lang w:val="en-GB"/>
        </w:rPr>
        <w:t>-</w:t>
      </w:r>
      <w:r w:rsidR="005A6643" w:rsidRPr="004A3E2A">
        <w:rPr>
          <w:rFonts w:ascii="Georgia" w:hAnsi="Georgia"/>
          <w:lang w:val="en-GB"/>
        </w:rPr>
        <w:t>specific responses and making it possible to learn from other countries with similar problems.</w:t>
      </w:r>
      <w:r w:rsidR="001E0DD6" w:rsidRPr="004A3E2A">
        <w:rPr>
          <w:rFonts w:ascii="Georgia" w:hAnsi="Georgia"/>
          <w:lang w:val="en-GB"/>
        </w:rPr>
        <w:t xml:space="preserve">  </w:t>
      </w:r>
    </w:p>
    <w:p w14:paraId="0EA48526" w14:textId="77777777" w:rsidR="00622DA2" w:rsidRDefault="00622DA2" w:rsidP="00D40A53">
      <w:pPr>
        <w:spacing w:before="120" w:after="120"/>
        <w:jc w:val="both"/>
        <w:rPr>
          <w:rFonts w:ascii="Georgia" w:hAnsi="Georgia"/>
          <w:lang w:val="en-GB"/>
        </w:rPr>
      </w:pPr>
    </w:p>
    <w:p w14:paraId="59DB3F29" w14:textId="6994DB0E" w:rsidR="00FA6692" w:rsidRPr="00644AB5" w:rsidRDefault="00112578" w:rsidP="002603F8">
      <w:pPr>
        <w:pStyle w:val="Cmsor3"/>
        <w:numPr>
          <w:ilvl w:val="2"/>
          <w:numId w:val="30"/>
        </w:numPr>
        <w:rPr>
          <w:lang w:val="en-GB"/>
        </w:rPr>
      </w:pPr>
      <w:bookmarkStart w:id="59" w:name="_Toc225578876"/>
      <w:r w:rsidRPr="00644AB5">
        <w:rPr>
          <w:lang w:val="en-GB"/>
        </w:rPr>
        <w:lastRenderedPageBreak/>
        <w:t>Vision and objective system planning</w:t>
      </w:r>
      <w:bookmarkEnd w:id="59"/>
    </w:p>
    <w:p w14:paraId="38EF2462" w14:textId="7822247C" w:rsidR="00A30B2F" w:rsidRPr="004A3E2A" w:rsidRDefault="00011BEC" w:rsidP="004A3E2A">
      <w:pPr>
        <w:pStyle w:val="Listaszerbekezds"/>
        <w:numPr>
          <w:ilvl w:val="0"/>
          <w:numId w:val="35"/>
        </w:numPr>
        <w:spacing w:before="120" w:after="120"/>
        <w:jc w:val="both"/>
        <w:rPr>
          <w:rFonts w:ascii="Georgia" w:hAnsi="Georgia"/>
          <w:lang w:val="en-GB"/>
        </w:rPr>
      </w:pPr>
      <w:r w:rsidRPr="004A3E2A">
        <w:rPr>
          <w:rFonts w:ascii="Georgia" w:hAnsi="Georgia"/>
          <w:lang w:val="en-GB"/>
        </w:rPr>
        <w:t xml:space="preserve">It is recommended that the </w:t>
      </w:r>
      <w:r w:rsidR="003A5F98">
        <w:rPr>
          <w:rFonts w:ascii="Georgia" w:hAnsi="Georgia"/>
          <w:lang w:val="en-GB"/>
        </w:rPr>
        <w:t>v</w:t>
      </w:r>
      <w:r w:rsidRPr="004A3E2A">
        <w:rPr>
          <w:rFonts w:ascii="Georgia" w:hAnsi="Georgia"/>
          <w:lang w:val="en-GB"/>
        </w:rPr>
        <w:t>ision/objective system dedicate</w:t>
      </w:r>
      <w:r w:rsidR="00A02104">
        <w:rPr>
          <w:rFonts w:ascii="Georgia" w:hAnsi="Georgia"/>
          <w:lang w:val="en-GB"/>
        </w:rPr>
        <w:t>s a</w:t>
      </w:r>
      <w:r w:rsidRPr="004A3E2A">
        <w:rPr>
          <w:rFonts w:ascii="Georgia" w:hAnsi="Georgia"/>
          <w:lang w:val="en-GB"/>
        </w:rPr>
        <w:t xml:space="preserve"> special vision paragraph / specific objective to spatial </w:t>
      </w:r>
      <w:r w:rsidR="00A30B2F" w:rsidRPr="004A3E2A">
        <w:rPr>
          <w:rFonts w:ascii="Georgia" w:hAnsi="Georgia"/>
          <w:lang w:val="en-GB"/>
        </w:rPr>
        <w:t xml:space="preserve">challenges of climate change, pointing the attention to the topic already at the beginning of the </w:t>
      </w:r>
      <w:r w:rsidR="003A5F98">
        <w:rPr>
          <w:rFonts w:ascii="Georgia" w:hAnsi="Georgia"/>
          <w:lang w:val="en-GB"/>
        </w:rPr>
        <w:t xml:space="preserve">objective </w:t>
      </w:r>
      <w:r w:rsidR="00A30B2F" w:rsidRPr="004A3E2A">
        <w:rPr>
          <w:rFonts w:ascii="Georgia" w:hAnsi="Georgia"/>
          <w:lang w:val="en-GB"/>
        </w:rPr>
        <w:t>planning process</w:t>
      </w:r>
      <w:r w:rsidR="004A3E2A" w:rsidRPr="004A3E2A">
        <w:rPr>
          <w:rFonts w:ascii="Georgia" w:hAnsi="Georgia"/>
          <w:lang w:val="en-GB"/>
        </w:rPr>
        <w:t>;</w:t>
      </w:r>
    </w:p>
    <w:p w14:paraId="21852F11" w14:textId="7DA974A9" w:rsidR="00A30B2F" w:rsidRDefault="009440E3" w:rsidP="004A3E2A">
      <w:pPr>
        <w:pStyle w:val="Listaszerbekezds"/>
        <w:numPr>
          <w:ilvl w:val="0"/>
          <w:numId w:val="35"/>
        </w:numPr>
        <w:spacing w:before="120" w:after="120"/>
        <w:jc w:val="both"/>
        <w:rPr>
          <w:rFonts w:ascii="Georgia" w:hAnsi="Georgia"/>
          <w:lang w:val="en-GB"/>
        </w:rPr>
      </w:pPr>
      <w:r>
        <w:rPr>
          <w:rFonts w:ascii="Georgia" w:hAnsi="Georgia"/>
          <w:lang w:val="en-GB"/>
        </w:rPr>
        <w:t>Dedicated</w:t>
      </w:r>
      <w:r w:rsidR="00A30B2F" w:rsidRPr="004A3E2A">
        <w:rPr>
          <w:rFonts w:ascii="Georgia" w:hAnsi="Georgia"/>
          <w:lang w:val="en-GB"/>
        </w:rPr>
        <w:t xml:space="preserve"> specific/</w:t>
      </w:r>
      <w:r w:rsidR="00905308" w:rsidRPr="004A3E2A">
        <w:rPr>
          <w:rFonts w:ascii="Georgia" w:hAnsi="Georgia"/>
          <w:lang w:val="en-GB"/>
        </w:rPr>
        <w:t>lower-level</w:t>
      </w:r>
      <w:r w:rsidR="00A30B2F" w:rsidRPr="004A3E2A">
        <w:rPr>
          <w:rFonts w:ascii="Georgia" w:hAnsi="Georgia"/>
          <w:lang w:val="en-GB"/>
        </w:rPr>
        <w:t xml:space="preserve"> obj</w:t>
      </w:r>
      <w:r w:rsidR="009B7597" w:rsidRPr="004A3E2A">
        <w:rPr>
          <w:rFonts w:ascii="Georgia" w:hAnsi="Georgia"/>
          <w:lang w:val="en-GB"/>
        </w:rPr>
        <w:t>e</w:t>
      </w:r>
      <w:r w:rsidR="00A30B2F" w:rsidRPr="004A3E2A">
        <w:rPr>
          <w:rFonts w:ascii="Georgia" w:hAnsi="Georgia"/>
          <w:lang w:val="en-GB"/>
        </w:rPr>
        <w:t xml:space="preserve">ctives could be </w:t>
      </w:r>
      <w:r>
        <w:rPr>
          <w:rFonts w:ascii="Georgia" w:hAnsi="Georgia"/>
          <w:lang w:val="en-GB"/>
        </w:rPr>
        <w:t>assigne</w:t>
      </w:r>
      <w:r w:rsidR="00A30B2F" w:rsidRPr="004A3E2A">
        <w:rPr>
          <w:rFonts w:ascii="Georgia" w:hAnsi="Georgia"/>
          <w:lang w:val="en-GB"/>
        </w:rPr>
        <w:t>d to transnation</w:t>
      </w:r>
      <w:r w:rsidR="009B7597" w:rsidRPr="004A3E2A">
        <w:rPr>
          <w:rFonts w:ascii="Georgia" w:hAnsi="Georgia"/>
          <w:lang w:val="en-GB"/>
        </w:rPr>
        <w:t>a</w:t>
      </w:r>
      <w:r w:rsidR="00A30B2F" w:rsidRPr="004A3E2A">
        <w:rPr>
          <w:rFonts w:ascii="Georgia" w:hAnsi="Georgia"/>
          <w:lang w:val="en-GB"/>
        </w:rPr>
        <w:t xml:space="preserve">l/cross-border </w:t>
      </w:r>
      <w:r w:rsidR="00482079" w:rsidRPr="004A3E2A">
        <w:rPr>
          <w:rFonts w:ascii="Georgia" w:hAnsi="Georgia"/>
          <w:lang w:val="en-GB"/>
        </w:rPr>
        <w:t xml:space="preserve">dimensions, </w:t>
      </w:r>
      <w:r>
        <w:rPr>
          <w:rFonts w:ascii="Georgia" w:hAnsi="Georgia"/>
          <w:lang w:val="en-GB"/>
        </w:rPr>
        <w:t xml:space="preserve">or to </w:t>
      </w:r>
      <w:r w:rsidR="00482079" w:rsidRPr="004A3E2A">
        <w:rPr>
          <w:rFonts w:ascii="Georgia" w:hAnsi="Georgia"/>
          <w:lang w:val="en-GB"/>
        </w:rPr>
        <w:t>strengthening of a given country’s influence on other ones through adaptation-related knowledge export or best practice-dissemination</w:t>
      </w:r>
      <w:r w:rsidR="004A3E2A" w:rsidRPr="004A3E2A">
        <w:rPr>
          <w:rFonts w:ascii="Georgia" w:hAnsi="Georgia"/>
          <w:lang w:val="en-GB"/>
        </w:rPr>
        <w:t>;</w:t>
      </w:r>
    </w:p>
    <w:p w14:paraId="16358C41" w14:textId="52BBD6CF" w:rsidR="00245903" w:rsidRPr="004A3E2A" w:rsidRDefault="00245903" w:rsidP="004A3E2A">
      <w:pPr>
        <w:pStyle w:val="Listaszerbekezds"/>
        <w:numPr>
          <w:ilvl w:val="0"/>
          <w:numId w:val="35"/>
        </w:numPr>
        <w:spacing w:before="120" w:after="120"/>
        <w:jc w:val="both"/>
        <w:rPr>
          <w:rFonts w:ascii="Georgia" w:hAnsi="Georgia"/>
          <w:lang w:val="en-GB"/>
        </w:rPr>
      </w:pPr>
      <w:r>
        <w:rPr>
          <w:rFonts w:ascii="Georgia" w:hAnsi="Georgia"/>
          <w:lang w:val="en-GB"/>
        </w:rPr>
        <w:t xml:space="preserve">Strengthening international cooperation in climate adaptation in the vision/objective system is also recommended, </w:t>
      </w:r>
      <w:r w:rsidR="00314E2A">
        <w:rPr>
          <w:rFonts w:ascii="Georgia" w:hAnsi="Georgia"/>
          <w:lang w:val="en-GB"/>
        </w:rPr>
        <w:t xml:space="preserve">recognising </w:t>
      </w:r>
      <w:r>
        <w:rPr>
          <w:rFonts w:ascii="Georgia" w:hAnsi="Georgia"/>
          <w:lang w:val="en-GB"/>
        </w:rPr>
        <w:t>the national border-crossing nature of climate change and its challenges.</w:t>
      </w:r>
    </w:p>
    <w:p w14:paraId="0E667B17" w14:textId="18CCFD81" w:rsidR="00163A0E" w:rsidRPr="004A3E2A" w:rsidRDefault="0005498A" w:rsidP="004A3E2A">
      <w:pPr>
        <w:pStyle w:val="Listaszerbekezds"/>
        <w:numPr>
          <w:ilvl w:val="0"/>
          <w:numId w:val="35"/>
        </w:numPr>
        <w:spacing w:before="120" w:after="120"/>
        <w:jc w:val="both"/>
        <w:rPr>
          <w:rFonts w:ascii="Georgia" w:hAnsi="Georgia"/>
          <w:lang w:val="en-GB"/>
        </w:rPr>
      </w:pPr>
      <w:r>
        <w:rPr>
          <w:rFonts w:ascii="Georgia" w:hAnsi="Georgia"/>
          <w:lang w:val="en-GB"/>
        </w:rPr>
        <w:t xml:space="preserve">Subnational </w:t>
      </w:r>
      <w:r w:rsidR="00163A0E" w:rsidRPr="004A3E2A">
        <w:rPr>
          <w:rFonts w:ascii="Georgia" w:hAnsi="Georgia"/>
          <w:lang w:val="en-GB"/>
        </w:rPr>
        <w:t xml:space="preserve">adaptation planning and spatial MRE-related points </w:t>
      </w:r>
      <w:r>
        <w:rPr>
          <w:rFonts w:ascii="Georgia" w:hAnsi="Georgia"/>
          <w:lang w:val="en-GB"/>
        </w:rPr>
        <w:t xml:space="preserve">should </w:t>
      </w:r>
      <w:r w:rsidR="00163A0E" w:rsidRPr="004A3E2A">
        <w:rPr>
          <w:rFonts w:ascii="Georgia" w:hAnsi="Georgia"/>
          <w:lang w:val="en-GB"/>
        </w:rPr>
        <w:t xml:space="preserve">get special </w:t>
      </w:r>
      <w:r w:rsidR="00314E2A">
        <w:rPr>
          <w:rFonts w:ascii="Georgia" w:hAnsi="Georgia"/>
          <w:lang w:val="en-GB"/>
        </w:rPr>
        <w:t>emphasis</w:t>
      </w:r>
      <w:r w:rsidR="00314E2A" w:rsidRPr="004A3E2A">
        <w:rPr>
          <w:rFonts w:ascii="Georgia" w:hAnsi="Georgia"/>
          <w:lang w:val="en-GB"/>
        </w:rPr>
        <w:t xml:space="preserve"> </w:t>
      </w:r>
      <w:r w:rsidR="00163A0E" w:rsidRPr="004A3E2A">
        <w:rPr>
          <w:rFonts w:ascii="Georgia" w:hAnsi="Georgia"/>
          <w:lang w:val="en-GB"/>
        </w:rPr>
        <w:t>within the objective system</w:t>
      </w:r>
      <w:r w:rsidR="00006401" w:rsidRPr="004A3E2A">
        <w:rPr>
          <w:rFonts w:ascii="Georgia" w:hAnsi="Georgia"/>
          <w:lang w:val="en-GB"/>
        </w:rPr>
        <w:t>, mak</w:t>
      </w:r>
      <w:r>
        <w:rPr>
          <w:rFonts w:ascii="Georgia" w:hAnsi="Georgia"/>
          <w:lang w:val="en-GB"/>
        </w:rPr>
        <w:t>ing</w:t>
      </w:r>
      <w:r w:rsidR="00006401" w:rsidRPr="004A3E2A">
        <w:rPr>
          <w:rFonts w:ascii="Georgia" w:hAnsi="Georgia"/>
          <w:lang w:val="en-GB"/>
        </w:rPr>
        <w:t xml:space="preserve"> </w:t>
      </w:r>
      <w:r w:rsidR="00314E2A">
        <w:rPr>
          <w:rFonts w:ascii="Georgia" w:hAnsi="Georgia"/>
          <w:lang w:val="en-GB"/>
        </w:rPr>
        <w:t xml:space="preserve">a </w:t>
      </w:r>
      <w:r w:rsidR="00006401" w:rsidRPr="004A3E2A">
        <w:rPr>
          <w:rFonts w:ascii="Georgia" w:hAnsi="Georgia"/>
          <w:lang w:val="en-GB"/>
        </w:rPr>
        <w:t>proper basis for the improvement of these activities among the measures</w:t>
      </w:r>
      <w:r w:rsidR="004A3E2A" w:rsidRPr="004A3E2A">
        <w:rPr>
          <w:rFonts w:ascii="Georgia" w:hAnsi="Georgia"/>
          <w:lang w:val="en-GB"/>
        </w:rPr>
        <w:t>;</w:t>
      </w:r>
    </w:p>
    <w:p w14:paraId="3158F937" w14:textId="370C6A71" w:rsidR="00FA6692" w:rsidRPr="004A3E2A" w:rsidRDefault="00FA6692" w:rsidP="004A3E2A">
      <w:pPr>
        <w:pStyle w:val="Listaszerbekezds"/>
        <w:numPr>
          <w:ilvl w:val="0"/>
          <w:numId w:val="35"/>
        </w:numPr>
        <w:spacing w:before="120" w:after="120"/>
        <w:jc w:val="both"/>
        <w:rPr>
          <w:rFonts w:ascii="Georgia" w:hAnsi="Georgia"/>
          <w:lang w:val="en-GB"/>
        </w:rPr>
      </w:pPr>
      <w:r w:rsidRPr="004A3E2A">
        <w:rPr>
          <w:rFonts w:ascii="Georgia" w:hAnsi="Georgia"/>
          <w:lang w:val="en-GB"/>
        </w:rPr>
        <w:t xml:space="preserve">It is worth introducing </w:t>
      </w:r>
      <w:r w:rsidR="001B0B39">
        <w:rPr>
          <w:rFonts w:ascii="Georgia" w:hAnsi="Georgia"/>
          <w:lang w:val="en-GB"/>
        </w:rPr>
        <w:t xml:space="preserve">among </w:t>
      </w:r>
      <w:r w:rsidRPr="004A3E2A">
        <w:rPr>
          <w:rFonts w:ascii="Georgia" w:hAnsi="Georgia"/>
          <w:lang w:val="en-GB"/>
        </w:rPr>
        <w:t>the main horizontal princ</w:t>
      </w:r>
      <w:r w:rsidR="00112578" w:rsidRPr="004A3E2A">
        <w:rPr>
          <w:rFonts w:ascii="Georgia" w:hAnsi="Georgia"/>
          <w:lang w:val="en-GB"/>
        </w:rPr>
        <w:t>i</w:t>
      </w:r>
      <w:r w:rsidRPr="004A3E2A">
        <w:rPr>
          <w:rFonts w:ascii="Georgia" w:hAnsi="Georgia"/>
          <w:lang w:val="en-GB"/>
        </w:rPr>
        <w:t xml:space="preserve">ples/objectives of the </w:t>
      </w:r>
      <w:r w:rsidR="00112578" w:rsidRPr="004A3E2A">
        <w:rPr>
          <w:rFonts w:ascii="Georgia" w:hAnsi="Georgia"/>
          <w:lang w:val="en-GB"/>
        </w:rPr>
        <w:t>given document the principles of sustainable land use and the special attention on spatial aspects</w:t>
      </w:r>
      <w:r w:rsidR="001B0B39">
        <w:rPr>
          <w:rFonts w:ascii="Georgia" w:hAnsi="Georgia"/>
          <w:lang w:val="en-GB"/>
        </w:rPr>
        <w:t>, emphasising that these direction</w:t>
      </w:r>
      <w:r w:rsidR="002A5E81">
        <w:rPr>
          <w:rFonts w:ascii="Georgia" w:hAnsi="Georgia"/>
          <w:lang w:val="en-GB"/>
        </w:rPr>
        <w:t>s</w:t>
      </w:r>
      <w:r w:rsidR="001B0B39">
        <w:rPr>
          <w:rFonts w:ascii="Georgia" w:hAnsi="Georgia"/>
          <w:lang w:val="en-GB"/>
        </w:rPr>
        <w:t xml:space="preserve"> should be considered throughout the whole document and in the whole adaptation policy itself</w:t>
      </w:r>
      <w:r w:rsidR="004A3E2A" w:rsidRPr="004A3E2A">
        <w:rPr>
          <w:rFonts w:ascii="Georgia" w:hAnsi="Georgia"/>
          <w:lang w:val="en-GB"/>
        </w:rPr>
        <w:t>;</w:t>
      </w:r>
    </w:p>
    <w:p w14:paraId="5069885C" w14:textId="45B6306D" w:rsidR="00622DA2" w:rsidRPr="004A3E2A" w:rsidRDefault="00622DA2" w:rsidP="004A3E2A">
      <w:pPr>
        <w:pStyle w:val="Listaszerbekezds"/>
        <w:numPr>
          <w:ilvl w:val="0"/>
          <w:numId w:val="35"/>
        </w:numPr>
        <w:spacing w:before="120" w:after="120"/>
        <w:jc w:val="both"/>
        <w:rPr>
          <w:rFonts w:ascii="Georgia" w:hAnsi="Georgia"/>
          <w:lang w:val="en-GB"/>
        </w:rPr>
      </w:pPr>
      <w:r w:rsidRPr="004A3E2A">
        <w:rPr>
          <w:rFonts w:ascii="Georgia" w:hAnsi="Georgia"/>
          <w:lang w:val="en-GB"/>
        </w:rPr>
        <w:t xml:space="preserve">It is suggested to take into consideration European-level spatial/regional development policy objectives </w:t>
      </w:r>
      <w:r w:rsidR="00172415" w:rsidRPr="004A3E2A">
        <w:rPr>
          <w:rFonts w:ascii="Georgia" w:hAnsi="Georgia"/>
          <w:lang w:val="en-GB"/>
        </w:rPr>
        <w:t>during the objective system planning</w:t>
      </w:r>
      <w:r w:rsidR="00FA3CCA">
        <w:rPr>
          <w:rFonts w:ascii="Georgia" w:hAnsi="Georgia"/>
          <w:lang w:val="en-GB"/>
        </w:rPr>
        <w:t xml:space="preserve"> as important reference points</w:t>
      </w:r>
      <w:r w:rsidR="002A5E81">
        <w:rPr>
          <w:rFonts w:ascii="Georgia" w:hAnsi="Georgia"/>
          <w:lang w:val="en-GB"/>
        </w:rPr>
        <w:t>,</w:t>
      </w:r>
      <w:r w:rsidR="00172415" w:rsidRPr="004A3E2A">
        <w:rPr>
          <w:rFonts w:ascii="Georgia" w:hAnsi="Georgia"/>
          <w:lang w:val="en-GB"/>
        </w:rPr>
        <w:t xml:space="preserve"> to secure coherence with the higher-level (European) spatial priorities</w:t>
      </w:r>
      <w:r w:rsidR="004A3E2A" w:rsidRPr="004A3E2A">
        <w:rPr>
          <w:rFonts w:ascii="Georgia" w:hAnsi="Georgia"/>
          <w:lang w:val="en-GB"/>
        </w:rPr>
        <w:t>;</w:t>
      </w:r>
      <w:r w:rsidR="00172415" w:rsidRPr="004A3E2A">
        <w:rPr>
          <w:rFonts w:ascii="Georgia" w:hAnsi="Georgia"/>
          <w:lang w:val="en-GB"/>
        </w:rPr>
        <w:t xml:space="preserve"> </w:t>
      </w:r>
    </w:p>
    <w:p w14:paraId="6C1497E4" w14:textId="147ECAB4" w:rsidR="008E3D14" w:rsidRPr="004A3E2A" w:rsidRDefault="00A409E1" w:rsidP="004A3E2A">
      <w:pPr>
        <w:pStyle w:val="Listaszerbekezds"/>
        <w:numPr>
          <w:ilvl w:val="0"/>
          <w:numId w:val="35"/>
        </w:numPr>
        <w:spacing w:before="120" w:after="120"/>
        <w:jc w:val="both"/>
        <w:rPr>
          <w:rFonts w:ascii="Georgia" w:hAnsi="Georgia"/>
          <w:lang w:val="en-GB"/>
        </w:rPr>
      </w:pPr>
      <w:r w:rsidRPr="004A3E2A">
        <w:rPr>
          <w:rFonts w:ascii="Georgia" w:hAnsi="Georgia"/>
          <w:lang w:val="en-GB"/>
        </w:rPr>
        <w:t>In the given countries</w:t>
      </w:r>
      <w:r w:rsidR="00314E2A">
        <w:rPr>
          <w:rFonts w:ascii="Georgia" w:hAnsi="Georgia"/>
          <w:lang w:val="en-GB"/>
        </w:rPr>
        <w:t>,</w:t>
      </w:r>
      <w:r w:rsidRPr="004A3E2A">
        <w:rPr>
          <w:rFonts w:ascii="Georgia" w:hAnsi="Georgia"/>
          <w:lang w:val="en-GB"/>
        </w:rPr>
        <w:t xml:space="preserve"> i</w:t>
      </w:r>
      <w:r w:rsidR="008E3D14" w:rsidRPr="004A3E2A">
        <w:rPr>
          <w:rFonts w:ascii="Georgia" w:hAnsi="Georgia"/>
          <w:lang w:val="en-GB"/>
        </w:rPr>
        <w:t>t is recommended to take into consideration their own national spatial/regional development policy objectives</w:t>
      </w:r>
      <w:r w:rsidR="00FA3CCA">
        <w:rPr>
          <w:rFonts w:ascii="Georgia" w:hAnsi="Georgia"/>
          <w:lang w:val="en-GB"/>
        </w:rPr>
        <w:t>, too,</w:t>
      </w:r>
      <w:r w:rsidR="008E3D14" w:rsidRPr="004A3E2A">
        <w:rPr>
          <w:rFonts w:ascii="Georgia" w:hAnsi="Georgia"/>
          <w:lang w:val="en-GB"/>
        </w:rPr>
        <w:t xml:space="preserve"> during the objective system planning to secure coherence with the </w:t>
      </w:r>
      <w:r w:rsidRPr="004A3E2A">
        <w:rPr>
          <w:rFonts w:ascii="Georgia" w:hAnsi="Georgia"/>
          <w:lang w:val="en-GB"/>
        </w:rPr>
        <w:t>national</w:t>
      </w:r>
      <w:r w:rsidR="008E3D14" w:rsidRPr="004A3E2A">
        <w:rPr>
          <w:rFonts w:ascii="Georgia" w:hAnsi="Georgia"/>
          <w:lang w:val="en-GB"/>
        </w:rPr>
        <w:t xml:space="preserve"> spatial priorities</w:t>
      </w:r>
      <w:r w:rsidR="002A5E81">
        <w:rPr>
          <w:rFonts w:ascii="Georgia" w:hAnsi="Georgia"/>
          <w:lang w:val="en-GB"/>
        </w:rPr>
        <w:t xml:space="preserve"> and consequently </w:t>
      </w:r>
      <w:r w:rsidR="00314E2A">
        <w:rPr>
          <w:rFonts w:ascii="Georgia" w:hAnsi="Georgia"/>
          <w:lang w:val="en-GB"/>
        </w:rPr>
        <w:t xml:space="preserve">harmonise </w:t>
      </w:r>
      <w:r w:rsidR="002A5E81">
        <w:rPr>
          <w:rFonts w:ascii="Georgia" w:hAnsi="Georgia"/>
          <w:lang w:val="en-GB"/>
        </w:rPr>
        <w:t>the adaptation directions with the spatial frameworks</w:t>
      </w:r>
      <w:r w:rsidR="004A3E2A" w:rsidRPr="004A3E2A">
        <w:rPr>
          <w:rFonts w:ascii="Georgia" w:hAnsi="Georgia"/>
          <w:lang w:val="en-GB"/>
        </w:rPr>
        <w:t>;</w:t>
      </w:r>
      <w:r w:rsidR="008E3D14" w:rsidRPr="004A3E2A">
        <w:rPr>
          <w:rFonts w:ascii="Georgia" w:hAnsi="Georgia"/>
          <w:lang w:val="en-GB"/>
        </w:rPr>
        <w:t xml:space="preserve"> </w:t>
      </w:r>
    </w:p>
    <w:p w14:paraId="49DB889E" w14:textId="505EE719" w:rsidR="00DF0437" w:rsidRPr="004A3E2A" w:rsidRDefault="00DF0437" w:rsidP="004A3E2A">
      <w:pPr>
        <w:pStyle w:val="Listaszerbekezds"/>
        <w:numPr>
          <w:ilvl w:val="0"/>
          <w:numId w:val="35"/>
        </w:numPr>
        <w:spacing w:before="120" w:after="120"/>
        <w:jc w:val="both"/>
        <w:rPr>
          <w:rFonts w:ascii="Georgia" w:hAnsi="Georgia"/>
          <w:lang w:val="en-GB"/>
        </w:rPr>
      </w:pPr>
      <w:r w:rsidRPr="004A3E2A">
        <w:rPr>
          <w:rFonts w:ascii="Georgia" w:hAnsi="Georgia"/>
          <w:lang w:val="en-GB"/>
        </w:rPr>
        <w:t xml:space="preserve">Vision- or objective system-related </w:t>
      </w:r>
      <w:r w:rsidR="00314E2A">
        <w:rPr>
          <w:rFonts w:ascii="Georgia" w:hAnsi="Georgia"/>
          <w:lang w:val="en-GB"/>
        </w:rPr>
        <w:t>visualisation</w:t>
      </w:r>
      <w:r w:rsidRPr="004A3E2A">
        <w:rPr>
          <w:rFonts w:ascii="Georgia" w:hAnsi="Georgia"/>
          <w:lang w:val="en-GB"/>
        </w:rPr>
        <w:t xml:space="preserve">, in the form of spatially oriented </w:t>
      </w:r>
      <w:r w:rsidR="00905308" w:rsidRPr="004A3E2A">
        <w:rPr>
          <w:rFonts w:ascii="Georgia" w:hAnsi="Georgia"/>
          <w:lang w:val="en-GB"/>
        </w:rPr>
        <w:t>infographics</w:t>
      </w:r>
      <w:r w:rsidRPr="004A3E2A">
        <w:rPr>
          <w:rFonts w:ascii="Georgia" w:hAnsi="Georgia"/>
          <w:lang w:val="en-GB"/>
        </w:rPr>
        <w:t xml:space="preserve"> or </w:t>
      </w:r>
      <w:r w:rsidR="002B042F" w:rsidRPr="004A3E2A">
        <w:rPr>
          <w:rFonts w:ascii="Georgia" w:hAnsi="Georgia"/>
          <w:lang w:val="en-GB"/>
        </w:rPr>
        <w:t>planning maps</w:t>
      </w:r>
      <w:r w:rsidR="00FA3CCA">
        <w:rPr>
          <w:rFonts w:ascii="Georgia" w:hAnsi="Georgia"/>
          <w:lang w:val="en-GB"/>
        </w:rPr>
        <w:t xml:space="preserve"> (see, for example, the works of Roggema)</w:t>
      </w:r>
      <w:r w:rsidR="002B042F" w:rsidRPr="004A3E2A">
        <w:rPr>
          <w:rFonts w:ascii="Georgia" w:hAnsi="Georgia"/>
          <w:lang w:val="en-GB"/>
        </w:rPr>
        <w:t xml:space="preserve"> could further enhance the explanatory force and visual soundness of the mission/objective system of the examined document.</w:t>
      </w:r>
    </w:p>
    <w:p w14:paraId="5F915241" w14:textId="45878320" w:rsidR="00622DA2" w:rsidRPr="00644AB5" w:rsidRDefault="00622DA2" w:rsidP="002603F8">
      <w:pPr>
        <w:pStyle w:val="Cmsor3"/>
        <w:numPr>
          <w:ilvl w:val="2"/>
          <w:numId w:val="30"/>
        </w:numPr>
        <w:rPr>
          <w:lang w:val="en-GB"/>
        </w:rPr>
      </w:pPr>
      <w:bookmarkStart w:id="60" w:name="_Toc225578877"/>
      <w:r w:rsidRPr="00644AB5">
        <w:rPr>
          <w:lang w:val="en-GB"/>
        </w:rPr>
        <w:t>Action planning</w:t>
      </w:r>
      <w:bookmarkEnd w:id="60"/>
    </w:p>
    <w:p w14:paraId="71EB52D4" w14:textId="727F22A6" w:rsidR="00622DA2" w:rsidRPr="004A3E2A" w:rsidRDefault="00B75292" w:rsidP="004A3E2A">
      <w:pPr>
        <w:pStyle w:val="Listaszerbekezds"/>
        <w:numPr>
          <w:ilvl w:val="0"/>
          <w:numId w:val="36"/>
        </w:numPr>
        <w:spacing w:before="120" w:after="120"/>
        <w:jc w:val="both"/>
        <w:rPr>
          <w:rFonts w:ascii="Georgia" w:hAnsi="Georgia"/>
          <w:lang w:val="en-GB"/>
        </w:rPr>
      </w:pPr>
      <w:r>
        <w:rPr>
          <w:rFonts w:ascii="Georgia" w:hAnsi="Georgia"/>
          <w:lang w:val="en-GB"/>
        </w:rPr>
        <w:t>The creation of measure g</w:t>
      </w:r>
      <w:r w:rsidR="00530EEA" w:rsidRPr="004A3E2A">
        <w:rPr>
          <w:rFonts w:ascii="Georgia" w:hAnsi="Georgia"/>
          <w:lang w:val="en-GB"/>
        </w:rPr>
        <w:t xml:space="preserve">roups could be structured according to vulnerable territories or according to vulnerable territories </w:t>
      </w:r>
      <w:r w:rsidR="00530EEA" w:rsidRPr="00880B1B">
        <w:rPr>
          <w:rFonts w:ascii="Georgia" w:hAnsi="Georgia" w:cstheme="minorHAnsi"/>
          <w:caps/>
          <w:lang w:val="en-GB"/>
        </w:rPr>
        <w:t>and</w:t>
      </w:r>
      <w:r w:rsidR="00530EEA" w:rsidRPr="004A3E2A">
        <w:rPr>
          <w:rFonts w:ascii="Georgia" w:hAnsi="Georgia"/>
          <w:lang w:val="en-GB"/>
        </w:rPr>
        <w:t xml:space="preserve"> sectors</w:t>
      </w:r>
      <w:r w:rsidRPr="00B75292">
        <w:rPr>
          <w:rFonts w:ascii="Georgia" w:hAnsi="Georgia"/>
          <w:lang w:val="en-GB"/>
        </w:rPr>
        <w:t xml:space="preserve"> </w:t>
      </w:r>
      <w:r>
        <w:rPr>
          <w:rFonts w:ascii="Georgia" w:hAnsi="Georgia"/>
          <w:lang w:val="en-GB"/>
        </w:rPr>
        <w:t>at the same time</w:t>
      </w:r>
      <w:r w:rsidR="00254DB2">
        <w:rPr>
          <w:rFonts w:ascii="Georgia" w:hAnsi="Georgia"/>
          <w:lang w:val="en-GB"/>
        </w:rPr>
        <w:t>;</w:t>
      </w:r>
    </w:p>
    <w:p w14:paraId="52AB2BEF" w14:textId="12CE0190" w:rsidR="0011477B" w:rsidRPr="004A3E2A" w:rsidRDefault="0011477B" w:rsidP="004A3E2A">
      <w:pPr>
        <w:pStyle w:val="Listaszerbekezds"/>
        <w:numPr>
          <w:ilvl w:val="0"/>
          <w:numId w:val="36"/>
        </w:numPr>
        <w:spacing w:before="120" w:after="120"/>
        <w:jc w:val="both"/>
        <w:rPr>
          <w:rFonts w:ascii="Georgia" w:hAnsi="Georgia"/>
          <w:lang w:val="en-GB"/>
        </w:rPr>
      </w:pPr>
      <w:r w:rsidRPr="004A3E2A">
        <w:rPr>
          <w:rFonts w:ascii="Georgia" w:hAnsi="Georgia"/>
          <w:lang w:val="en-GB"/>
        </w:rPr>
        <w:t>At least one measure group could be dedicated to spatial issues (vulnerable region types</w:t>
      </w:r>
      <w:r w:rsidR="00880B1B">
        <w:rPr>
          <w:rFonts w:ascii="Georgia" w:hAnsi="Georgia"/>
          <w:lang w:val="en-GB"/>
        </w:rPr>
        <w:t>,</w:t>
      </w:r>
      <w:r w:rsidRPr="004A3E2A">
        <w:rPr>
          <w:rFonts w:ascii="Georgia" w:hAnsi="Georgia"/>
          <w:lang w:val="en-GB"/>
        </w:rPr>
        <w:t xml:space="preserve"> actual places, settlements or general </w:t>
      </w:r>
      <w:r w:rsidR="00905308" w:rsidRPr="004A3E2A">
        <w:rPr>
          <w:rFonts w:ascii="Georgia" w:hAnsi="Georgia"/>
          <w:lang w:val="en-GB"/>
        </w:rPr>
        <w:t>spatial</w:t>
      </w:r>
      <w:r w:rsidRPr="004A3E2A">
        <w:rPr>
          <w:rFonts w:ascii="Georgia" w:hAnsi="Georgia"/>
          <w:lang w:val="en-GB"/>
        </w:rPr>
        <w:t xml:space="preserve"> differences/structures)</w:t>
      </w:r>
      <w:r w:rsidR="004A3E2A" w:rsidRPr="004A3E2A">
        <w:rPr>
          <w:rFonts w:ascii="Georgia" w:hAnsi="Georgia"/>
          <w:lang w:val="en-GB"/>
        </w:rPr>
        <w:t>;</w:t>
      </w:r>
    </w:p>
    <w:p w14:paraId="497634DD" w14:textId="7E6C4E32" w:rsidR="007F6734" w:rsidRPr="004A3E2A" w:rsidRDefault="007F6734" w:rsidP="004A3E2A">
      <w:pPr>
        <w:pStyle w:val="Listaszerbekezds"/>
        <w:numPr>
          <w:ilvl w:val="0"/>
          <w:numId w:val="36"/>
        </w:numPr>
        <w:spacing w:before="120" w:after="120"/>
        <w:jc w:val="both"/>
        <w:rPr>
          <w:rFonts w:ascii="Georgia" w:hAnsi="Georgia"/>
          <w:lang w:val="en-GB"/>
        </w:rPr>
      </w:pPr>
      <w:r w:rsidRPr="004A3E2A">
        <w:rPr>
          <w:rFonts w:ascii="Georgia" w:hAnsi="Georgia"/>
          <w:lang w:val="en-GB"/>
        </w:rPr>
        <w:t xml:space="preserve">In the absence of </w:t>
      </w:r>
      <w:r w:rsidR="00314E2A">
        <w:rPr>
          <w:rFonts w:ascii="Georgia" w:hAnsi="Georgia"/>
          <w:lang w:val="en-GB"/>
        </w:rPr>
        <w:t xml:space="preserve">a </w:t>
      </w:r>
      <w:r w:rsidRPr="004A3E2A">
        <w:rPr>
          <w:rFonts w:ascii="Georgia" w:hAnsi="Georgia"/>
          <w:lang w:val="en-GB"/>
        </w:rPr>
        <w:t xml:space="preserve">nominated </w:t>
      </w:r>
      <w:r w:rsidR="00905308" w:rsidRPr="004A3E2A">
        <w:rPr>
          <w:rFonts w:ascii="Georgia" w:hAnsi="Georgia"/>
          <w:lang w:val="en-GB"/>
        </w:rPr>
        <w:t>group</w:t>
      </w:r>
      <w:r w:rsidR="00B254CC" w:rsidRPr="004A3E2A">
        <w:rPr>
          <w:rFonts w:ascii="Georgia" w:hAnsi="Georgia"/>
          <w:lang w:val="en-GB"/>
        </w:rPr>
        <w:t xml:space="preserve"> of measures </w:t>
      </w:r>
      <w:r w:rsidR="008D5D24">
        <w:rPr>
          <w:rFonts w:ascii="Georgia" w:hAnsi="Georgia"/>
          <w:lang w:val="en-GB"/>
        </w:rPr>
        <w:t xml:space="preserve">for spatial issues </w:t>
      </w:r>
      <w:r w:rsidR="00B254CC" w:rsidRPr="004A3E2A">
        <w:rPr>
          <w:rFonts w:ascii="Georgia" w:hAnsi="Georgia"/>
          <w:lang w:val="en-GB"/>
        </w:rPr>
        <w:t xml:space="preserve">or at least some individual </w:t>
      </w:r>
      <w:r w:rsidR="00880B1B">
        <w:rPr>
          <w:rFonts w:ascii="Georgia" w:hAnsi="Georgia"/>
          <w:lang w:val="en-GB"/>
        </w:rPr>
        <w:t xml:space="preserve">spatial </w:t>
      </w:r>
      <w:r w:rsidR="00B254CC" w:rsidRPr="004A3E2A">
        <w:rPr>
          <w:rFonts w:ascii="Georgia" w:hAnsi="Georgia"/>
          <w:lang w:val="en-GB"/>
        </w:rPr>
        <w:t xml:space="preserve">measures, the </w:t>
      </w:r>
      <w:r w:rsidR="00905308" w:rsidRPr="004A3E2A">
        <w:rPr>
          <w:rFonts w:ascii="Georgia" w:hAnsi="Georgia"/>
          <w:lang w:val="en-GB"/>
        </w:rPr>
        <w:t>description</w:t>
      </w:r>
      <w:r w:rsidR="00B254CC" w:rsidRPr="004A3E2A">
        <w:rPr>
          <w:rFonts w:ascii="Georgia" w:hAnsi="Georgia"/>
          <w:lang w:val="en-GB"/>
        </w:rPr>
        <w:t xml:space="preserve"> of the measures must have a standard point about spatial coverage to force the </w:t>
      </w:r>
      <w:r w:rsidR="00905308" w:rsidRPr="004A3E2A">
        <w:rPr>
          <w:rFonts w:ascii="Georgia" w:hAnsi="Georgia"/>
          <w:lang w:val="en-GB"/>
        </w:rPr>
        <w:t>planners</w:t>
      </w:r>
      <w:r w:rsidR="00B254CC" w:rsidRPr="004A3E2A">
        <w:rPr>
          <w:rFonts w:ascii="Georgia" w:hAnsi="Georgia"/>
          <w:lang w:val="en-GB"/>
        </w:rPr>
        <w:t xml:space="preserve"> to consider spatial </w:t>
      </w:r>
      <w:r w:rsidR="00905308" w:rsidRPr="004A3E2A">
        <w:rPr>
          <w:rFonts w:ascii="Georgia" w:hAnsi="Georgia"/>
          <w:lang w:val="en-GB"/>
        </w:rPr>
        <w:t>aspects of the relevant actions</w:t>
      </w:r>
      <w:r w:rsidR="00754554">
        <w:rPr>
          <w:rFonts w:ascii="Georgia" w:hAnsi="Georgia"/>
          <w:lang w:val="en-GB"/>
        </w:rPr>
        <w:t xml:space="preserve">. This could be facilitated by </w:t>
      </w:r>
      <w:r w:rsidR="00B67E25">
        <w:rPr>
          <w:rFonts w:ascii="Georgia" w:hAnsi="Georgia"/>
          <w:lang w:val="en-GB"/>
        </w:rPr>
        <w:t>elaborating spatially sensitive measure templates at the beginning of the measure planning phase</w:t>
      </w:r>
      <w:r w:rsidR="004A3E2A" w:rsidRPr="004A3E2A">
        <w:rPr>
          <w:rFonts w:ascii="Georgia" w:hAnsi="Georgia"/>
          <w:lang w:val="en-GB"/>
        </w:rPr>
        <w:t>;</w:t>
      </w:r>
    </w:p>
    <w:p w14:paraId="6A80CA06" w14:textId="25BDA6F6" w:rsidR="003B005C" w:rsidRPr="004A3E2A" w:rsidRDefault="008E048D" w:rsidP="004A3E2A">
      <w:pPr>
        <w:pStyle w:val="Listaszerbekezds"/>
        <w:numPr>
          <w:ilvl w:val="0"/>
          <w:numId w:val="36"/>
        </w:numPr>
        <w:spacing w:before="120" w:after="120"/>
        <w:jc w:val="both"/>
        <w:rPr>
          <w:rFonts w:ascii="Georgia" w:hAnsi="Georgia"/>
          <w:lang w:val="en-GB"/>
        </w:rPr>
      </w:pPr>
      <w:r w:rsidRPr="004A3E2A">
        <w:rPr>
          <w:rFonts w:ascii="Georgia" w:hAnsi="Georgia"/>
          <w:lang w:val="en-GB"/>
        </w:rPr>
        <w:t>S</w:t>
      </w:r>
      <w:r w:rsidR="003B005C" w:rsidRPr="004A3E2A">
        <w:rPr>
          <w:rFonts w:ascii="Georgia" w:hAnsi="Georgia"/>
          <w:lang w:val="en-GB"/>
        </w:rPr>
        <w:t>patial</w:t>
      </w:r>
      <w:r w:rsidR="008D5D24">
        <w:rPr>
          <w:rFonts w:ascii="Georgia" w:hAnsi="Georgia"/>
          <w:lang w:val="en-GB"/>
        </w:rPr>
        <w:t xml:space="preserve">ly oriented </w:t>
      </w:r>
      <w:r w:rsidRPr="004A3E2A">
        <w:rPr>
          <w:rFonts w:ascii="Georgia" w:hAnsi="Georgia"/>
          <w:lang w:val="en-GB"/>
        </w:rPr>
        <w:t xml:space="preserve">adaptation </w:t>
      </w:r>
      <w:r w:rsidR="003B005C" w:rsidRPr="004A3E2A">
        <w:rPr>
          <w:rFonts w:ascii="Georgia" w:hAnsi="Georgia"/>
          <w:lang w:val="en-GB"/>
        </w:rPr>
        <w:t xml:space="preserve">MRE-related actions can be declared within the measure set, </w:t>
      </w:r>
      <w:r w:rsidR="00314E2A">
        <w:rPr>
          <w:rFonts w:ascii="Georgia" w:hAnsi="Georgia"/>
          <w:lang w:val="en-GB"/>
        </w:rPr>
        <w:t>making</w:t>
      </w:r>
      <w:r w:rsidR="00314E2A" w:rsidRPr="004A3E2A">
        <w:rPr>
          <w:rFonts w:ascii="Georgia" w:hAnsi="Georgia"/>
          <w:lang w:val="en-GB"/>
        </w:rPr>
        <w:t xml:space="preserve"> </w:t>
      </w:r>
      <w:r w:rsidR="003B005C" w:rsidRPr="004A3E2A">
        <w:rPr>
          <w:rFonts w:ascii="Georgia" w:hAnsi="Georgia"/>
          <w:lang w:val="en-GB"/>
        </w:rPr>
        <w:t>the improvement of these activities possible in practice</w:t>
      </w:r>
      <w:r w:rsidR="004A3E2A" w:rsidRPr="004A3E2A">
        <w:rPr>
          <w:rFonts w:ascii="Georgia" w:hAnsi="Georgia"/>
          <w:lang w:val="en-GB"/>
        </w:rPr>
        <w:t>;</w:t>
      </w:r>
    </w:p>
    <w:p w14:paraId="2FA510C3" w14:textId="29EFEFD6" w:rsidR="003B005C" w:rsidRPr="004A3E2A" w:rsidRDefault="008E048D" w:rsidP="004A3E2A">
      <w:pPr>
        <w:pStyle w:val="Listaszerbekezds"/>
        <w:numPr>
          <w:ilvl w:val="0"/>
          <w:numId w:val="36"/>
        </w:numPr>
        <w:spacing w:before="120" w:after="120"/>
        <w:jc w:val="both"/>
        <w:rPr>
          <w:rFonts w:ascii="Georgia" w:hAnsi="Georgia"/>
          <w:lang w:val="en-GB"/>
        </w:rPr>
      </w:pPr>
      <w:r w:rsidRPr="004A3E2A">
        <w:rPr>
          <w:rFonts w:ascii="Georgia" w:hAnsi="Georgia"/>
          <w:lang w:val="en-GB"/>
        </w:rPr>
        <w:t>Lower spatial levels’ (municipality, district, county, etc.) adaptation planning activities must be urged in the form of a dedicated action or actions, securing financial resources</w:t>
      </w:r>
      <w:r w:rsidR="007F6734" w:rsidRPr="004A3E2A">
        <w:rPr>
          <w:rFonts w:ascii="Georgia" w:hAnsi="Georgia"/>
          <w:lang w:val="en-GB"/>
        </w:rPr>
        <w:t xml:space="preserve"> for both the elaboration </w:t>
      </w:r>
      <w:r w:rsidR="00880B1B" w:rsidRPr="004A3E2A">
        <w:rPr>
          <w:rFonts w:ascii="Georgia" w:hAnsi="Georgia"/>
          <w:lang w:val="en-GB"/>
        </w:rPr>
        <w:t>of the document</w:t>
      </w:r>
      <w:r w:rsidR="00D75B85">
        <w:rPr>
          <w:rFonts w:ascii="Georgia" w:hAnsi="Georgia"/>
          <w:lang w:val="en-GB"/>
        </w:rPr>
        <w:t>s and</w:t>
      </w:r>
      <w:r w:rsidR="007F6734" w:rsidRPr="004A3E2A">
        <w:rPr>
          <w:rFonts w:ascii="Georgia" w:hAnsi="Georgia"/>
          <w:lang w:val="en-GB"/>
        </w:rPr>
        <w:t xml:space="preserve"> later implementation </w:t>
      </w:r>
      <w:r w:rsidR="00880B1B">
        <w:rPr>
          <w:rFonts w:ascii="Georgia" w:hAnsi="Georgia"/>
          <w:lang w:val="en-GB"/>
        </w:rPr>
        <w:t>of their actions</w:t>
      </w:r>
      <w:r w:rsidR="00D75B85">
        <w:rPr>
          <w:rFonts w:ascii="Georgia" w:hAnsi="Georgia"/>
          <w:lang w:val="en-GB"/>
        </w:rPr>
        <w:t>; furthermore</w:t>
      </w:r>
      <w:r w:rsidR="00314E2A">
        <w:rPr>
          <w:rFonts w:ascii="Georgia" w:hAnsi="Georgia"/>
          <w:lang w:val="en-GB"/>
        </w:rPr>
        <w:t>, providing methodological guidance</w:t>
      </w:r>
      <w:r w:rsidRPr="004A3E2A">
        <w:rPr>
          <w:rFonts w:ascii="Georgia" w:hAnsi="Georgia"/>
          <w:lang w:val="en-GB"/>
        </w:rPr>
        <w:t xml:space="preserve"> </w:t>
      </w:r>
      <w:r w:rsidR="007F6734" w:rsidRPr="004A3E2A">
        <w:rPr>
          <w:rFonts w:ascii="Georgia" w:hAnsi="Georgia"/>
          <w:lang w:val="en-GB"/>
        </w:rPr>
        <w:t>for the activities</w:t>
      </w:r>
      <w:r w:rsidR="004A3E2A" w:rsidRPr="004A3E2A">
        <w:rPr>
          <w:rFonts w:ascii="Georgia" w:hAnsi="Georgia"/>
          <w:lang w:val="en-GB"/>
        </w:rPr>
        <w:t>.</w:t>
      </w:r>
    </w:p>
    <w:p w14:paraId="7729D406" w14:textId="725BD455" w:rsidR="00622DA2" w:rsidRPr="00644AB5" w:rsidRDefault="00622DA2" w:rsidP="002603F8">
      <w:pPr>
        <w:pStyle w:val="Cmsor3"/>
        <w:numPr>
          <w:ilvl w:val="2"/>
          <w:numId w:val="30"/>
        </w:numPr>
        <w:rPr>
          <w:lang w:val="en-GB"/>
        </w:rPr>
      </w:pPr>
      <w:bookmarkStart w:id="61" w:name="_Toc225578878"/>
      <w:r w:rsidRPr="00644AB5">
        <w:rPr>
          <w:lang w:val="en-GB"/>
        </w:rPr>
        <w:lastRenderedPageBreak/>
        <w:t>Monitoring</w:t>
      </w:r>
      <w:bookmarkEnd w:id="61"/>
    </w:p>
    <w:p w14:paraId="0FA6124A" w14:textId="4723FEF3" w:rsidR="00020676" w:rsidRPr="000A1940" w:rsidRDefault="000D7311" w:rsidP="000A1940">
      <w:pPr>
        <w:pStyle w:val="Listaszerbekezds"/>
        <w:numPr>
          <w:ilvl w:val="0"/>
          <w:numId w:val="37"/>
        </w:numPr>
        <w:spacing w:before="120" w:after="120"/>
        <w:jc w:val="both"/>
        <w:rPr>
          <w:rFonts w:ascii="Georgia" w:hAnsi="Georgia"/>
          <w:lang w:val="en-GB"/>
        </w:rPr>
      </w:pPr>
      <w:r w:rsidRPr="000A1940">
        <w:rPr>
          <w:rFonts w:ascii="Georgia" w:hAnsi="Georgia"/>
          <w:lang w:val="en-GB"/>
        </w:rPr>
        <w:t xml:space="preserve">It is strongly recommended to set up comprehensive monitoring systems in climate adaptation at </w:t>
      </w:r>
      <w:r w:rsidR="00314E2A">
        <w:rPr>
          <w:rFonts w:ascii="Georgia" w:hAnsi="Georgia"/>
          <w:lang w:val="en-GB"/>
        </w:rPr>
        <w:t xml:space="preserve">the </w:t>
      </w:r>
      <w:r w:rsidRPr="000A1940">
        <w:rPr>
          <w:rFonts w:ascii="Georgia" w:hAnsi="Georgia"/>
          <w:lang w:val="en-GB"/>
        </w:rPr>
        <w:t xml:space="preserve">national level in every </w:t>
      </w:r>
      <w:r w:rsidR="00115145" w:rsidRPr="000A1940">
        <w:rPr>
          <w:rFonts w:ascii="Georgia" w:hAnsi="Georgia"/>
          <w:lang w:val="en-GB"/>
        </w:rPr>
        <w:t>country</w:t>
      </w:r>
      <w:r w:rsidRPr="000A1940">
        <w:rPr>
          <w:rFonts w:ascii="Georgia" w:hAnsi="Georgia"/>
          <w:lang w:val="en-GB"/>
        </w:rPr>
        <w:t>. These systems in climate adaptation should be ab-ovo spatial</w:t>
      </w:r>
      <w:r w:rsidR="00BD40C7" w:rsidRPr="000A1940">
        <w:rPr>
          <w:rFonts w:ascii="Georgia" w:hAnsi="Georgia"/>
          <w:lang w:val="en-GB"/>
        </w:rPr>
        <w:t xml:space="preserve">, as they should cover optimally </w:t>
      </w:r>
      <w:r w:rsidR="007D15BB">
        <w:rPr>
          <w:rFonts w:ascii="Georgia" w:hAnsi="Georgia"/>
          <w:lang w:val="en-GB"/>
        </w:rPr>
        <w:t xml:space="preserve">spatial differences in </w:t>
      </w:r>
      <w:r w:rsidR="00BD40C7" w:rsidRPr="000A1940">
        <w:rPr>
          <w:rFonts w:ascii="Georgia" w:hAnsi="Georgia"/>
          <w:lang w:val="en-GB"/>
        </w:rPr>
        <w:t>both climatic trends and vulnerabilities; GHG emissions</w:t>
      </w:r>
      <w:r w:rsidR="00314E2A">
        <w:rPr>
          <w:rFonts w:ascii="Georgia" w:hAnsi="Georgia"/>
          <w:lang w:val="en-GB"/>
        </w:rPr>
        <w:t>,</w:t>
      </w:r>
      <w:r w:rsidR="00BD40C7" w:rsidRPr="000A1940">
        <w:rPr>
          <w:rFonts w:ascii="Georgia" w:hAnsi="Georgia"/>
          <w:lang w:val="en-GB"/>
        </w:rPr>
        <w:t xml:space="preserve"> as well as </w:t>
      </w:r>
      <w:r w:rsidR="007D15BB">
        <w:rPr>
          <w:rFonts w:ascii="Georgia" w:hAnsi="Georgia"/>
          <w:lang w:val="en-GB"/>
        </w:rPr>
        <w:t xml:space="preserve">the effectiveness in </w:t>
      </w:r>
      <w:r w:rsidR="00020676" w:rsidRPr="000A1940">
        <w:rPr>
          <w:rFonts w:ascii="Georgia" w:hAnsi="Georgia"/>
          <w:lang w:val="en-GB"/>
        </w:rPr>
        <w:t xml:space="preserve">policy objectives’ and actions’ </w:t>
      </w:r>
      <w:r w:rsidR="00115145" w:rsidRPr="000A1940">
        <w:rPr>
          <w:rFonts w:ascii="Georgia" w:hAnsi="Georgia"/>
          <w:lang w:val="en-GB"/>
        </w:rPr>
        <w:t>implementation</w:t>
      </w:r>
      <w:r w:rsidR="00115145">
        <w:rPr>
          <w:rFonts w:ascii="Georgia" w:hAnsi="Georgia"/>
          <w:lang w:val="en-GB"/>
        </w:rPr>
        <w:t>;</w:t>
      </w:r>
    </w:p>
    <w:p w14:paraId="4A130FA4" w14:textId="261417EB" w:rsidR="00D75B85" w:rsidRPr="000A1940" w:rsidRDefault="00D75B85" w:rsidP="00D75B85">
      <w:pPr>
        <w:pStyle w:val="Listaszerbekezds"/>
        <w:numPr>
          <w:ilvl w:val="0"/>
          <w:numId w:val="37"/>
        </w:numPr>
        <w:spacing w:before="120" w:after="120"/>
        <w:jc w:val="both"/>
        <w:rPr>
          <w:rFonts w:ascii="Georgia" w:hAnsi="Georgia"/>
          <w:lang w:val="en-GB"/>
        </w:rPr>
      </w:pPr>
      <w:r w:rsidRPr="000A1940">
        <w:rPr>
          <w:rFonts w:ascii="Georgia" w:hAnsi="Georgia"/>
          <w:lang w:val="en-GB"/>
        </w:rPr>
        <w:t xml:space="preserve">Monitoring </w:t>
      </w:r>
      <w:r w:rsidR="00314E2A">
        <w:rPr>
          <w:rFonts w:ascii="Georgia" w:hAnsi="Georgia"/>
          <w:lang w:val="en-GB"/>
        </w:rPr>
        <w:t>reports</w:t>
      </w:r>
      <w:r w:rsidR="00314E2A" w:rsidRPr="000A1940">
        <w:rPr>
          <w:rFonts w:ascii="Georgia" w:hAnsi="Georgia"/>
          <w:lang w:val="en-GB"/>
        </w:rPr>
        <w:t xml:space="preserve"> </w:t>
      </w:r>
      <w:r w:rsidRPr="000A1940">
        <w:rPr>
          <w:rFonts w:ascii="Georgia" w:hAnsi="Georgia"/>
          <w:lang w:val="en-GB"/>
        </w:rPr>
        <w:t xml:space="preserve">could be prepared </w:t>
      </w:r>
      <w:r>
        <w:rPr>
          <w:rFonts w:ascii="Georgia" w:hAnsi="Georgia"/>
          <w:lang w:val="en-GB"/>
        </w:rPr>
        <w:t xml:space="preserve">regularly </w:t>
      </w:r>
      <w:r w:rsidRPr="000A1940">
        <w:rPr>
          <w:rFonts w:ascii="Georgia" w:hAnsi="Georgia"/>
          <w:lang w:val="en-GB"/>
        </w:rPr>
        <w:t xml:space="preserve">about spatial tendencies of vulnerability topics </w:t>
      </w:r>
      <w:r>
        <w:rPr>
          <w:rFonts w:ascii="Georgia" w:hAnsi="Georgia"/>
          <w:lang w:val="en-GB"/>
        </w:rPr>
        <w:t xml:space="preserve">(e.g. </w:t>
      </w:r>
      <w:r w:rsidRPr="000A1940">
        <w:rPr>
          <w:rFonts w:ascii="Georgia" w:hAnsi="Georgia"/>
          <w:lang w:val="en-GB"/>
        </w:rPr>
        <w:t>in every 5 years</w:t>
      </w:r>
      <w:r>
        <w:rPr>
          <w:rFonts w:ascii="Georgia" w:hAnsi="Georgia"/>
          <w:lang w:val="en-GB"/>
        </w:rPr>
        <w:t>), adopted by the national Parliaments or the governments</w:t>
      </w:r>
      <w:r w:rsidRPr="000A1940">
        <w:rPr>
          <w:rFonts w:ascii="Georgia" w:hAnsi="Georgia"/>
          <w:lang w:val="en-GB"/>
        </w:rPr>
        <w:t>; these reports, among other things</w:t>
      </w:r>
      <w:r w:rsidR="00314E2A">
        <w:rPr>
          <w:rFonts w:ascii="Georgia" w:hAnsi="Georgia"/>
          <w:lang w:val="en-GB"/>
        </w:rPr>
        <w:t>,</w:t>
      </w:r>
      <w:r w:rsidRPr="000A1940">
        <w:rPr>
          <w:rFonts w:ascii="Georgia" w:hAnsi="Georgia"/>
          <w:lang w:val="en-GB"/>
        </w:rPr>
        <w:t xml:space="preserve"> </w:t>
      </w:r>
      <w:r w:rsidR="00EB1E14">
        <w:rPr>
          <w:rFonts w:ascii="Georgia" w:hAnsi="Georgia"/>
          <w:lang w:val="en-GB"/>
        </w:rPr>
        <w:t>m</w:t>
      </w:r>
      <w:r w:rsidRPr="000A1940">
        <w:rPr>
          <w:rFonts w:ascii="Georgia" w:hAnsi="Georgia"/>
          <w:lang w:val="en-GB"/>
        </w:rPr>
        <w:t>u</w:t>
      </w:r>
      <w:r w:rsidR="00EB1E14">
        <w:rPr>
          <w:rFonts w:ascii="Georgia" w:hAnsi="Georgia"/>
          <w:lang w:val="en-GB"/>
        </w:rPr>
        <w:t>st</w:t>
      </w:r>
      <w:r w:rsidRPr="000A1940">
        <w:rPr>
          <w:rFonts w:ascii="Georgia" w:hAnsi="Georgia"/>
          <w:lang w:val="en-GB"/>
        </w:rPr>
        <w:t xml:space="preserve"> concentrate </w:t>
      </w:r>
      <w:r>
        <w:rPr>
          <w:rFonts w:ascii="Georgia" w:hAnsi="Georgia"/>
          <w:lang w:val="en-GB"/>
        </w:rPr>
        <w:t xml:space="preserve">beyond sectors </w:t>
      </w:r>
      <w:r w:rsidRPr="000A1940">
        <w:rPr>
          <w:rFonts w:ascii="Georgia" w:hAnsi="Georgia"/>
          <w:lang w:val="en-GB"/>
        </w:rPr>
        <w:t>on particularly vulnerable</w:t>
      </w:r>
      <w:r>
        <w:rPr>
          <w:rFonts w:ascii="Georgia" w:hAnsi="Georgia"/>
          <w:lang w:val="en-GB"/>
        </w:rPr>
        <w:t xml:space="preserve"> </w:t>
      </w:r>
      <w:r w:rsidRPr="000A1940">
        <w:rPr>
          <w:rFonts w:ascii="Georgia" w:hAnsi="Georgia"/>
          <w:lang w:val="en-GB"/>
        </w:rPr>
        <w:t>regions;</w:t>
      </w:r>
    </w:p>
    <w:p w14:paraId="05772701" w14:textId="5C694B14" w:rsidR="00622DA2" w:rsidRPr="000A1940" w:rsidRDefault="00020676" w:rsidP="000A1940">
      <w:pPr>
        <w:pStyle w:val="Listaszerbekezds"/>
        <w:numPr>
          <w:ilvl w:val="0"/>
          <w:numId w:val="37"/>
        </w:numPr>
        <w:spacing w:before="120" w:after="120"/>
        <w:jc w:val="both"/>
        <w:rPr>
          <w:rFonts w:ascii="Georgia" w:hAnsi="Georgia"/>
          <w:lang w:val="en-GB"/>
        </w:rPr>
      </w:pPr>
      <w:r w:rsidRPr="000A1940">
        <w:rPr>
          <w:rFonts w:ascii="Georgia" w:hAnsi="Georgia"/>
          <w:lang w:val="en-GB"/>
        </w:rPr>
        <w:t>Particularly regarding the impact (vulnerability) indicators</w:t>
      </w:r>
      <w:r w:rsidR="0064659B">
        <w:rPr>
          <w:rFonts w:ascii="Georgia" w:hAnsi="Georgia"/>
          <w:lang w:val="en-GB"/>
        </w:rPr>
        <w:t>,</w:t>
      </w:r>
      <w:r w:rsidRPr="000A1940">
        <w:rPr>
          <w:rFonts w:ascii="Georgia" w:hAnsi="Georgia"/>
          <w:lang w:val="en-GB"/>
        </w:rPr>
        <w:t xml:space="preserve"> spatial data collection, processing and dissemination is </w:t>
      </w:r>
      <w:r w:rsidR="0064659B">
        <w:rPr>
          <w:rFonts w:ascii="Georgia" w:hAnsi="Georgia"/>
          <w:lang w:val="en-GB"/>
        </w:rPr>
        <w:t>strongly suggested</w:t>
      </w:r>
      <w:r w:rsidR="000A1940" w:rsidRPr="000A1940">
        <w:rPr>
          <w:rFonts w:ascii="Georgia" w:hAnsi="Georgia"/>
          <w:lang w:val="en-GB"/>
        </w:rPr>
        <w:t>;</w:t>
      </w:r>
    </w:p>
    <w:p w14:paraId="64662F37" w14:textId="6C45FD2E" w:rsidR="00CC618F" w:rsidRPr="000A1940" w:rsidRDefault="0028227E" w:rsidP="000A1940">
      <w:pPr>
        <w:pStyle w:val="Listaszerbekezds"/>
        <w:numPr>
          <w:ilvl w:val="0"/>
          <w:numId w:val="37"/>
        </w:numPr>
        <w:spacing w:before="120" w:after="120"/>
        <w:jc w:val="both"/>
        <w:rPr>
          <w:rFonts w:ascii="Georgia" w:hAnsi="Georgia"/>
          <w:lang w:val="en-GB"/>
        </w:rPr>
      </w:pPr>
      <w:r w:rsidRPr="000A1940">
        <w:rPr>
          <w:rFonts w:ascii="Georgia" w:hAnsi="Georgia"/>
          <w:lang w:val="en-GB"/>
        </w:rPr>
        <w:t xml:space="preserve">In cases </w:t>
      </w:r>
      <w:r w:rsidR="003F5C9A">
        <w:rPr>
          <w:rFonts w:ascii="Georgia" w:hAnsi="Georgia"/>
          <w:lang w:val="en-GB"/>
        </w:rPr>
        <w:t xml:space="preserve">of </w:t>
      </w:r>
      <w:r w:rsidRPr="000A1940">
        <w:rPr>
          <w:rFonts w:ascii="Georgia" w:hAnsi="Georgia"/>
          <w:lang w:val="en-GB"/>
        </w:rPr>
        <w:t>output and result indicators</w:t>
      </w:r>
      <w:r w:rsidR="00314E2A">
        <w:rPr>
          <w:rFonts w:ascii="Georgia" w:hAnsi="Georgia"/>
          <w:lang w:val="en-GB"/>
        </w:rPr>
        <w:t>,</w:t>
      </w:r>
      <w:r w:rsidRPr="000A1940">
        <w:rPr>
          <w:rFonts w:ascii="Georgia" w:hAnsi="Georgia"/>
          <w:lang w:val="en-GB"/>
        </w:rPr>
        <w:t xml:space="preserve"> </w:t>
      </w:r>
      <w:r w:rsidR="003F5C9A">
        <w:rPr>
          <w:rFonts w:ascii="Georgia" w:hAnsi="Georgia"/>
          <w:lang w:val="en-GB"/>
        </w:rPr>
        <w:t xml:space="preserve">they </w:t>
      </w:r>
      <w:r w:rsidRPr="000A1940">
        <w:rPr>
          <w:rFonts w:ascii="Georgia" w:hAnsi="Georgia"/>
          <w:lang w:val="en-GB"/>
        </w:rPr>
        <w:t xml:space="preserve">should also </w:t>
      </w:r>
      <w:r w:rsidR="003F5C9A">
        <w:rPr>
          <w:rFonts w:ascii="Georgia" w:hAnsi="Georgia"/>
          <w:lang w:val="en-GB"/>
        </w:rPr>
        <w:t xml:space="preserve">be produced using </w:t>
      </w:r>
      <w:r w:rsidRPr="000A1940">
        <w:rPr>
          <w:rFonts w:ascii="Georgia" w:hAnsi="Georgia"/>
          <w:lang w:val="en-GB"/>
        </w:rPr>
        <w:t>spatial breakdowns</w:t>
      </w:r>
      <w:r w:rsidR="003F5C9A">
        <w:rPr>
          <w:rFonts w:ascii="Georgia" w:hAnsi="Georgia"/>
          <w:lang w:val="en-GB"/>
        </w:rPr>
        <w:t xml:space="preserve"> </w:t>
      </w:r>
      <w:r w:rsidR="00391CE1">
        <w:rPr>
          <w:rFonts w:ascii="Georgia" w:hAnsi="Georgia"/>
          <w:lang w:val="en-GB"/>
        </w:rPr>
        <w:t>where it is applicable</w:t>
      </w:r>
      <w:r w:rsidR="000A1940" w:rsidRPr="000A1940">
        <w:rPr>
          <w:rFonts w:ascii="Georgia" w:hAnsi="Georgia"/>
          <w:lang w:val="en-GB"/>
        </w:rPr>
        <w:t>;</w:t>
      </w:r>
    </w:p>
    <w:p w14:paraId="2F11F925" w14:textId="773701E9" w:rsidR="0028227E" w:rsidRPr="000A1940" w:rsidRDefault="0028227E" w:rsidP="000A1940">
      <w:pPr>
        <w:pStyle w:val="Listaszerbekezds"/>
        <w:numPr>
          <w:ilvl w:val="0"/>
          <w:numId w:val="37"/>
        </w:numPr>
        <w:spacing w:before="120" w:after="120"/>
        <w:jc w:val="both"/>
        <w:rPr>
          <w:rFonts w:ascii="Georgia" w:hAnsi="Georgia"/>
          <w:lang w:val="en-GB"/>
        </w:rPr>
      </w:pPr>
      <w:r w:rsidRPr="000A1940">
        <w:rPr>
          <w:rFonts w:ascii="Georgia" w:hAnsi="Georgia"/>
          <w:lang w:val="en-GB"/>
        </w:rPr>
        <w:t xml:space="preserve">GIS-based </w:t>
      </w:r>
      <w:r w:rsidR="00314E2A">
        <w:rPr>
          <w:rFonts w:ascii="Georgia" w:hAnsi="Georgia"/>
          <w:lang w:val="en-GB"/>
        </w:rPr>
        <w:t>national-level adaptation decision support systems are suggested to be established, covering numerous thematic topics, based partly on the monitoring system’s information, providing a map displaying system and map-based information for national and subnational decision makers, planners,</w:t>
      </w:r>
      <w:r w:rsidR="00795832" w:rsidRPr="000A1940">
        <w:rPr>
          <w:rFonts w:ascii="Georgia" w:hAnsi="Georgia"/>
          <w:lang w:val="en-GB"/>
        </w:rPr>
        <w:t xml:space="preserve"> as well as for higher education and the academic sphere.</w:t>
      </w:r>
    </w:p>
    <w:p w14:paraId="3052B5B4" w14:textId="27AD581F" w:rsidR="00622DA2" w:rsidRPr="00644AB5" w:rsidRDefault="00622DA2" w:rsidP="002603F8">
      <w:pPr>
        <w:pStyle w:val="Cmsor3"/>
        <w:numPr>
          <w:ilvl w:val="2"/>
          <w:numId w:val="30"/>
        </w:numPr>
        <w:rPr>
          <w:lang w:val="en-GB"/>
        </w:rPr>
      </w:pPr>
      <w:bookmarkStart w:id="62" w:name="_Toc225578879"/>
      <w:r w:rsidRPr="00644AB5">
        <w:rPr>
          <w:lang w:val="en-GB"/>
        </w:rPr>
        <w:t>Evaluation</w:t>
      </w:r>
      <w:bookmarkEnd w:id="62"/>
    </w:p>
    <w:p w14:paraId="126AD1A4" w14:textId="3DE4391B" w:rsidR="00644AB5" w:rsidRDefault="00924D5B" w:rsidP="00D95325">
      <w:pPr>
        <w:pStyle w:val="Listaszerbekezds"/>
        <w:numPr>
          <w:ilvl w:val="0"/>
          <w:numId w:val="38"/>
        </w:numPr>
        <w:spacing w:before="120" w:after="120"/>
        <w:jc w:val="both"/>
        <w:rPr>
          <w:rFonts w:ascii="Georgia" w:hAnsi="Georgia"/>
          <w:lang w:val="en-GB"/>
        </w:rPr>
      </w:pPr>
      <w:r w:rsidRPr="00D95325">
        <w:rPr>
          <w:rFonts w:ascii="Georgia" w:hAnsi="Georgia"/>
          <w:lang w:val="en-GB"/>
        </w:rPr>
        <w:t>Volume of evaluation activities and actual n</w:t>
      </w:r>
      <w:r w:rsidR="000A1940" w:rsidRPr="00D95325">
        <w:rPr>
          <w:rFonts w:ascii="Georgia" w:hAnsi="Georgia"/>
          <w:lang w:val="en-GB"/>
        </w:rPr>
        <w:t>umber of evaluation</w:t>
      </w:r>
      <w:r w:rsidRPr="00D95325">
        <w:rPr>
          <w:rFonts w:ascii="Georgia" w:hAnsi="Georgia"/>
          <w:lang w:val="en-GB"/>
        </w:rPr>
        <w:t xml:space="preserve"> </w:t>
      </w:r>
      <w:r w:rsidR="000A1940" w:rsidRPr="00D95325">
        <w:rPr>
          <w:rFonts w:ascii="Georgia" w:hAnsi="Georgia"/>
          <w:lang w:val="en-GB"/>
        </w:rPr>
        <w:t>products</w:t>
      </w:r>
      <w:r w:rsidRPr="00D95325">
        <w:rPr>
          <w:rFonts w:ascii="Georgia" w:hAnsi="Georgia"/>
          <w:lang w:val="en-GB"/>
        </w:rPr>
        <w:t xml:space="preserve"> are recommended to be increased; among them</w:t>
      </w:r>
      <w:r w:rsidR="00314E2A">
        <w:rPr>
          <w:rFonts w:ascii="Georgia" w:hAnsi="Georgia"/>
          <w:lang w:val="en-GB"/>
        </w:rPr>
        <w:t>,</w:t>
      </w:r>
      <w:r w:rsidRPr="00D95325">
        <w:rPr>
          <w:rFonts w:ascii="Georgia" w:hAnsi="Georgia"/>
          <w:lang w:val="en-GB"/>
        </w:rPr>
        <w:t xml:space="preserve"> the proportion of spatially oriented items should also be on the rise</w:t>
      </w:r>
      <w:r w:rsidR="00880BF0" w:rsidRPr="00D95325">
        <w:rPr>
          <w:rFonts w:ascii="Georgia" w:hAnsi="Georgia"/>
          <w:lang w:val="en-GB"/>
        </w:rPr>
        <w:t>;</w:t>
      </w:r>
    </w:p>
    <w:p w14:paraId="1166BF92" w14:textId="3D15E5E1" w:rsidR="00391CE1" w:rsidRDefault="00391CE1" w:rsidP="00D95325">
      <w:pPr>
        <w:pStyle w:val="Listaszerbekezds"/>
        <w:numPr>
          <w:ilvl w:val="0"/>
          <w:numId w:val="38"/>
        </w:numPr>
        <w:spacing w:before="120" w:after="120"/>
        <w:jc w:val="both"/>
        <w:rPr>
          <w:rFonts w:ascii="Georgia" w:hAnsi="Georgia"/>
          <w:lang w:val="en-GB"/>
        </w:rPr>
      </w:pPr>
      <w:r>
        <w:rPr>
          <w:rFonts w:ascii="Georgia" w:hAnsi="Georgia"/>
          <w:lang w:val="en-GB"/>
        </w:rPr>
        <w:t xml:space="preserve">It is worth declaring already in the NAS/NAP the setting-up of an entire system of evaluation activities and products with special emphasis </w:t>
      </w:r>
      <w:r w:rsidR="00314E2A">
        <w:rPr>
          <w:rFonts w:ascii="Georgia" w:hAnsi="Georgia"/>
          <w:lang w:val="en-GB"/>
        </w:rPr>
        <w:t xml:space="preserve">on </w:t>
      </w:r>
      <w:r>
        <w:rPr>
          <w:rFonts w:ascii="Georgia" w:hAnsi="Georgia"/>
          <w:lang w:val="en-GB"/>
        </w:rPr>
        <w:t>spatial content within them or the proportion or spatially oriented products within the system;</w:t>
      </w:r>
    </w:p>
    <w:p w14:paraId="5341D2A0" w14:textId="2B741D81" w:rsidR="00D95325" w:rsidRPr="00D95325" w:rsidRDefault="00D95325" w:rsidP="00D95325">
      <w:pPr>
        <w:pStyle w:val="Listaszerbekezds"/>
        <w:numPr>
          <w:ilvl w:val="0"/>
          <w:numId w:val="38"/>
        </w:numPr>
        <w:spacing w:before="120" w:after="120"/>
        <w:jc w:val="both"/>
        <w:rPr>
          <w:rFonts w:ascii="Georgia" w:hAnsi="Georgia"/>
          <w:lang w:val="en-GB"/>
        </w:rPr>
      </w:pPr>
      <w:r>
        <w:rPr>
          <w:rFonts w:ascii="Georgia" w:hAnsi="Georgia"/>
          <w:lang w:val="en-GB"/>
        </w:rPr>
        <w:t xml:space="preserve">Regular evaluation of national adaptation planning documents (NASs </w:t>
      </w:r>
      <w:r w:rsidR="00391CE1">
        <w:rPr>
          <w:rFonts w:ascii="Georgia" w:hAnsi="Georgia"/>
          <w:lang w:val="en-GB"/>
        </w:rPr>
        <w:t xml:space="preserve">or </w:t>
      </w:r>
      <w:r>
        <w:rPr>
          <w:rFonts w:ascii="Georgia" w:hAnsi="Georgia"/>
          <w:lang w:val="en-GB"/>
        </w:rPr>
        <w:t xml:space="preserve">NAPs) should </w:t>
      </w:r>
      <w:r w:rsidR="003C2C2E">
        <w:rPr>
          <w:rFonts w:ascii="Georgia" w:hAnsi="Georgia"/>
          <w:lang w:val="en-GB"/>
        </w:rPr>
        <w:t>contain spatial aspects as well (spatial implementation of the NAS objectives/NAP measures, spatial picture of the country regarding policy activities’ effectiveness, etc.)</w:t>
      </w:r>
      <w:r w:rsidR="00391CE1">
        <w:rPr>
          <w:rFonts w:ascii="Georgia" w:hAnsi="Georgia"/>
          <w:lang w:val="en-GB"/>
        </w:rPr>
        <w:t>. These aspects should be declared already at the beginning of the evaluation to integrate them into the evaluation tools (document analyses, interviews, indic</w:t>
      </w:r>
      <w:r w:rsidR="00EB1E14">
        <w:rPr>
          <w:rFonts w:ascii="Georgia" w:hAnsi="Georgia"/>
          <w:lang w:val="en-GB"/>
        </w:rPr>
        <w:t>a</w:t>
      </w:r>
      <w:r w:rsidR="00391CE1">
        <w:rPr>
          <w:rFonts w:ascii="Georgia" w:hAnsi="Georgia"/>
          <w:lang w:val="en-GB"/>
        </w:rPr>
        <w:t>tor analyses)</w:t>
      </w:r>
      <w:r w:rsidR="003C2C2E">
        <w:rPr>
          <w:rFonts w:ascii="Georgia" w:hAnsi="Georgia"/>
          <w:lang w:val="en-GB"/>
        </w:rPr>
        <w:t>;</w:t>
      </w:r>
    </w:p>
    <w:p w14:paraId="40E5E21B" w14:textId="0C97F9BB" w:rsidR="00880BF0" w:rsidRPr="00D95325" w:rsidRDefault="00892955" w:rsidP="00D95325">
      <w:pPr>
        <w:pStyle w:val="Listaszerbekezds"/>
        <w:numPr>
          <w:ilvl w:val="0"/>
          <w:numId w:val="38"/>
        </w:numPr>
        <w:spacing w:before="120" w:after="120"/>
        <w:jc w:val="both"/>
        <w:rPr>
          <w:rFonts w:ascii="Georgia" w:hAnsi="Georgia"/>
          <w:lang w:val="en-GB"/>
        </w:rPr>
      </w:pPr>
      <w:r w:rsidRPr="00D95325">
        <w:rPr>
          <w:rFonts w:ascii="Georgia" w:hAnsi="Georgia"/>
          <w:lang w:val="en-GB"/>
        </w:rPr>
        <w:t>Beyond national spatial evaluations of adaptation activities, policy implementation and vulnerability situations/climate r</w:t>
      </w:r>
      <w:r w:rsidR="00880BF0" w:rsidRPr="00D95325">
        <w:rPr>
          <w:rFonts w:ascii="Georgia" w:hAnsi="Georgia"/>
          <w:lang w:val="en-GB"/>
        </w:rPr>
        <w:t>i</w:t>
      </w:r>
      <w:r w:rsidRPr="00D95325">
        <w:rPr>
          <w:rFonts w:ascii="Georgia" w:hAnsi="Georgia"/>
          <w:lang w:val="en-GB"/>
        </w:rPr>
        <w:t>sks, subnational level (municipal, district- or county-level) evaluations</w:t>
      </w:r>
      <w:r w:rsidR="00880BF0" w:rsidRPr="00D95325">
        <w:rPr>
          <w:rFonts w:ascii="Georgia" w:hAnsi="Georgia"/>
          <w:lang w:val="en-GB"/>
        </w:rPr>
        <w:t>’ elaboration</w:t>
      </w:r>
      <w:r w:rsidRPr="00D95325">
        <w:rPr>
          <w:rFonts w:ascii="Georgia" w:hAnsi="Georgia"/>
          <w:lang w:val="en-GB"/>
        </w:rPr>
        <w:t xml:space="preserve"> should also be urged and facilitated</w:t>
      </w:r>
      <w:r w:rsidR="00A25EB9">
        <w:rPr>
          <w:rFonts w:ascii="Georgia" w:hAnsi="Georgia"/>
          <w:lang w:val="en-GB"/>
        </w:rPr>
        <w:t xml:space="preserve"> from the national level with methodological </w:t>
      </w:r>
      <w:r w:rsidR="00314E2A">
        <w:rPr>
          <w:rFonts w:ascii="Georgia" w:hAnsi="Georgia"/>
          <w:lang w:val="en-GB"/>
        </w:rPr>
        <w:t>guidance</w:t>
      </w:r>
      <w:r w:rsidR="00A25EB9">
        <w:rPr>
          <w:rFonts w:ascii="Georgia" w:hAnsi="Georgia"/>
          <w:lang w:val="en-GB"/>
        </w:rPr>
        <w:t xml:space="preserve">, financial supports, </w:t>
      </w:r>
      <w:r w:rsidR="00FA16E8">
        <w:rPr>
          <w:rFonts w:ascii="Georgia" w:hAnsi="Georgia"/>
          <w:lang w:val="en-GB"/>
        </w:rPr>
        <w:t>knowledge transfers</w:t>
      </w:r>
      <w:r w:rsidR="00880BF0" w:rsidRPr="00D95325">
        <w:rPr>
          <w:rFonts w:ascii="Georgia" w:hAnsi="Georgia"/>
          <w:lang w:val="en-GB"/>
        </w:rPr>
        <w:t>;</w:t>
      </w:r>
    </w:p>
    <w:p w14:paraId="11B1B3B4" w14:textId="3E712601" w:rsidR="005575CC" w:rsidRPr="00FA16E8" w:rsidRDefault="00880BF0" w:rsidP="00194210">
      <w:pPr>
        <w:pStyle w:val="Listaszerbekezds"/>
        <w:numPr>
          <w:ilvl w:val="0"/>
          <w:numId w:val="38"/>
        </w:numPr>
        <w:spacing w:before="120" w:after="120"/>
        <w:jc w:val="both"/>
        <w:rPr>
          <w:rFonts w:ascii="Georgia" w:hAnsi="Georgia"/>
          <w:lang w:val="en-GB"/>
        </w:rPr>
      </w:pPr>
      <w:r w:rsidRPr="00FA16E8">
        <w:rPr>
          <w:rFonts w:ascii="Georgia" w:hAnsi="Georgia"/>
          <w:lang w:val="en-GB"/>
        </w:rPr>
        <w:t>These newly created evaluation products should use as much visual items (especially thematic maps, regional diagrams, figures)</w:t>
      </w:r>
      <w:r w:rsidR="00D95325" w:rsidRPr="00FA16E8">
        <w:rPr>
          <w:rFonts w:ascii="Georgia" w:hAnsi="Georgia"/>
          <w:lang w:val="en-GB"/>
        </w:rPr>
        <w:t xml:space="preserve"> as possible to enhance the explanatory force of spatial contents</w:t>
      </w:r>
      <w:r w:rsidR="005575CC" w:rsidRPr="00FA16E8">
        <w:rPr>
          <w:rFonts w:ascii="Georgia" w:hAnsi="Georgia"/>
          <w:lang w:val="en-GB"/>
        </w:rPr>
        <w:t>.</w:t>
      </w:r>
    </w:p>
    <w:p w14:paraId="3EF81655" w14:textId="15236AEE" w:rsidR="002603F8" w:rsidRDefault="002603F8" w:rsidP="002603F8">
      <w:pPr>
        <w:spacing w:before="120" w:after="120"/>
        <w:jc w:val="center"/>
        <w:rPr>
          <w:rFonts w:ascii="Georgia" w:hAnsi="Georgia"/>
          <w:lang w:val="en-GB"/>
        </w:rPr>
      </w:pPr>
      <w:r>
        <w:rPr>
          <w:rFonts w:ascii="Georgia" w:hAnsi="Georgia"/>
          <w:lang w:val="en-GB"/>
        </w:rPr>
        <w:t>***</w:t>
      </w:r>
    </w:p>
    <w:p w14:paraId="39F72344" w14:textId="5D6D2382" w:rsidR="009B7597" w:rsidRDefault="009B7597" w:rsidP="00D40A53">
      <w:pPr>
        <w:spacing w:before="120" w:after="120"/>
        <w:jc w:val="both"/>
        <w:rPr>
          <w:rFonts w:ascii="Georgia" w:hAnsi="Georgia"/>
          <w:lang w:val="en-GB"/>
        </w:rPr>
      </w:pPr>
      <w:r>
        <w:rPr>
          <w:rFonts w:ascii="Georgia" w:hAnsi="Georgia"/>
          <w:lang w:val="en-GB"/>
        </w:rPr>
        <w:t>The enlisted recommendations could be interpreted only as general directions; in special national circumstances and planning environments</w:t>
      </w:r>
      <w:r w:rsidR="00FA16E8">
        <w:rPr>
          <w:rFonts w:ascii="Georgia" w:hAnsi="Georgia"/>
          <w:lang w:val="en-GB"/>
        </w:rPr>
        <w:t>/</w:t>
      </w:r>
      <w:r>
        <w:rPr>
          <w:rFonts w:ascii="Georgia" w:hAnsi="Georgia"/>
          <w:lang w:val="en-GB"/>
        </w:rPr>
        <w:t>cultures</w:t>
      </w:r>
      <w:r w:rsidR="00314E2A">
        <w:rPr>
          <w:rFonts w:ascii="Georgia" w:hAnsi="Georgia"/>
          <w:lang w:val="en-GB"/>
        </w:rPr>
        <w:t>, different emphases exist,</w:t>
      </w:r>
      <w:r w:rsidR="006341B7">
        <w:rPr>
          <w:rFonts w:ascii="Georgia" w:hAnsi="Georgia"/>
          <w:lang w:val="en-GB"/>
        </w:rPr>
        <w:t xml:space="preserve"> and different s</w:t>
      </w:r>
      <w:r w:rsidR="00EB1E14">
        <w:rPr>
          <w:rFonts w:ascii="Georgia" w:hAnsi="Georgia"/>
          <w:lang w:val="en-GB"/>
        </w:rPr>
        <w:t>olution</w:t>
      </w:r>
      <w:r w:rsidR="006341B7">
        <w:rPr>
          <w:rFonts w:ascii="Georgia" w:hAnsi="Georgia"/>
          <w:lang w:val="en-GB"/>
        </w:rPr>
        <w:t>s are available for the planners. Nevertheless</w:t>
      </w:r>
      <w:r w:rsidR="00506495">
        <w:rPr>
          <w:rFonts w:ascii="Georgia" w:hAnsi="Georgia"/>
          <w:lang w:val="en-GB"/>
        </w:rPr>
        <w:t>,</w:t>
      </w:r>
      <w:r w:rsidR="006341B7">
        <w:rPr>
          <w:rFonts w:ascii="Georgia" w:hAnsi="Georgia"/>
          <w:lang w:val="en-GB"/>
        </w:rPr>
        <w:t xml:space="preserve"> the basic </w:t>
      </w:r>
      <w:r w:rsidR="003754AF">
        <w:rPr>
          <w:rFonts w:ascii="Georgia" w:hAnsi="Georgia"/>
          <w:lang w:val="en-GB"/>
        </w:rPr>
        <w:t>lines of recommendations identified above can be assessed as good starting points; adjusting the</w:t>
      </w:r>
      <w:r w:rsidR="00530EEA">
        <w:rPr>
          <w:rFonts w:ascii="Georgia" w:hAnsi="Georgia"/>
          <w:lang w:val="en-GB"/>
        </w:rPr>
        <w:t>m</w:t>
      </w:r>
      <w:r w:rsidR="003754AF">
        <w:rPr>
          <w:rFonts w:ascii="Georgia" w:hAnsi="Georgia"/>
          <w:lang w:val="en-GB"/>
        </w:rPr>
        <w:t xml:space="preserve"> to national circumstances</w:t>
      </w:r>
      <w:r w:rsidR="00FA16E8">
        <w:rPr>
          <w:rFonts w:ascii="Georgia" w:hAnsi="Georgia"/>
          <w:lang w:val="en-GB"/>
        </w:rPr>
        <w:t xml:space="preserve"> (</w:t>
      </w:r>
      <w:r w:rsidR="003754AF">
        <w:rPr>
          <w:rFonts w:ascii="Georgia" w:hAnsi="Georgia"/>
          <w:lang w:val="en-GB"/>
        </w:rPr>
        <w:t xml:space="preserve">barriers and </w:t>
      </w:r>
      <w:r w:rsidR="00530EEA">
        <w:rPr>
          <w:rFonts w:ascii="Georgia" w:hAnsi="Georgia"/>
          <w:lang w:val="en-GB"/>
        </w:rPr>
        <w:t>potentials</w:t>
      </w:r>
      <w:r w:rsidR="00FA16E8">
        <w:rPr>
          <w:rFonts w:ascii="Georgia" w:hAnsi="Georgia"/>
          <w:lang w:val="en-GB"/>
        </w:rPr>
        <w:t>)</w:t>
      </w:r>
      <w:r w:rsidR="00530EEA">
        <w:rPr>
          <w:rFonts w:ascii="Georgia" w:hAnsi="Georgia"/>
          <w:lang w:val="en-GB"/>
        </w:rPr>
        <w:t xml:space="preserve"> is the key to their usability.</w:t>
      </w:r>
    </w:p>
    <w:p w14:paraId="421525D6" w14:textId="77777777" w:rsidR="00644AB5" w:rsidRDefault="00644AB5" w:rsidP="00D40A53">
      <w:pPr>
        <w:spacing w:before="120" w:after="120"/>
        <w:jc w:val="both"/>
        <w:rPr>
          <w:rFonts w:ascii="Georgia" w:hAnsi="Georgia"/>
          <w:lang w:val="en-GB"/>
        </w:rPr>
      </w:pPr>
    </w:p>
    <w:p w14:paraId="37CEB1FF" w14:textId="3623437A" w:rsidR="00893027" w:rsidRPr="0002056A" w:rsidRDefault="00893027" w:rsidP="00FA2C76">
      <w:pPr>
        <w:pStyle w:val="Cmsor2"/>
        <w:numPr>
          <w:ilvl w:val="1"/>
          <w:numId w:val="30"/>
        </w:numPr>
        <w:rPr>
          <w:rFonts w:asciiTheme="minorHAnsi" w:hAnsiTheme="minorHAnsi" w:cstheme="minorHAnsi"/>
          <w:b w:val="0"/>
          <w:bCs w:val="0"/>
          <w:i/>
          <w:iCs/>
          <w:lang w:val="en-GB"/>
        </w:rPr>
      </w:pPr>
      <w:bookmarkStart w:id="63" w:name="_Toc225578880"/>
      <w:r w:rsidRPr="0002056A">
        <w:rPr>
          <w:rFonts w:asciiTheme="minorHAnsi" w:hAnsiTheme="minorHAnsi" w:cstheme="minorHAnsi"/>
          <w:b w:val="0"/>
          <w:bCs w:val="0"/>
          <w:i/>
          <w:iCs/>
          <w:lang w:val="en-GB"/>
        </w:rPr>
        <w:lastRenderedPageBreak/>
        <w:t>Conclusions</w:t>
      </w:r>
      <w:r w:rsidR="002A43C2" w:rsidRPr="0002056A">
        <w:rPr>
          <w:rFonts w:asciiTheme="minorHAnsi" w:hAnsiTheme="minorHAnsi" w:cstheme="minorHAnsi"/>
          <w:b w:val="0"/>
          <w:bCs w:val="0"/>
          <w:i/>
          <w:iCs/>
          <w:lang w:val="en-GB"/>
        </w:rPr>
        <w:t xml:space="preserve"> of the dissertation</w:t>
      </w:r>
      <w:bookmarkEnd w:id="63"/>
    </w:p>
    <w:p w14:paraId="67CFB621" w14:textId="6D8771C1" w:rsidR="00027F25" w:rsidRPr="0002056A" w:rsidRDefault="00776D29" w:rsidP="00F00409">
      <w:pPr>
        <w:spacing w:before="120" w:after="120"/>
        <w:jc w:val="both"/>
        <w:rPr>
          <w:rFonts w:ascii="Georgia" w:hAnsi="Georgia"/>
          <w:lang w:val="en-GB"/>
        </w:rPr>
      </w:pPr>
      <w:r w:rsidRPr="0002056A">
        <w:rPr>
          <w:rFonts w:ascii="Georgia" w:hAnsi="Georgia"/>
          <w:lang w:val="en-GB"/>
        </w:rPr>
        <w:t>Regarding</w:t>
      </w:r>
      <w:r w:rsidR="00C47AA8" w:rsidRPr="0002056A">
        <w:rPr>
          <w:rFonts w:ascii="Georgia" w:hAnsi="Georgia"/>
          <w:lang w:val="en-GB"/>
        </w:rPr>
        <w:t xml:space="preserve"> the whole dissertation, the first and basic message of the material is unambiguous, and coherent with </w:t>
      </w:r>
      <w:r w:rsidR="0084570D" w:rsidRPr="0002056A">
        <w:rPr>
          <w:rFonts w:ascii="Georgia" w:hAnsi="Georgia"/>
          <w:lang w:val="en-GB"/>
        </w:rPr>
        <w:t>the works of other related authors (</w:t>
      </w:r>
      <w:r w:rsidR="0084570D" w:rsidRPr="0002056A">
        <w:rPr>
          <w:rFonts w:ascii="Georgia" w:hAnsi="Georgia" w:cstheme="minorHAnsi"/>
          <w:smallCaps/>
          <w:lang w:val="en-GB"/>
        </w:rPr>
        <w:t>Qureshi, 2019</w:t>
      </w:r>
      <w:r w:rsidR="00823197" w:rsidRPr="0002056A">
        <w:rPr>
          <w:rFonts w:ascii="Georgia" w:hAnsi="Georgia" w:cstheme="minorHAnsi"/>
          <w:smallCaps/>
          <w:lang w:val="en-GB"/>
        </w:rPr>
        <w:t>;</w:t>
      </w:r>
      <w:r w:rsidRPr="0002056A">
        <w:rPr>
          <w:rFonts w:ascii="Georgia" w:hAnsi="Georgia" w:cstheme="minorHAnsi"/>
          <w:smallCaps/>
          <w:lang w:val="en-GB"/>
        </w:rPr>
        <w:t xml:space="preserve"> </w:t>
      </w:r>
      <w:r w:rsidR="0084570D" w:rsidRPr="0002056A">
        <w:rPr>
          <w:rFonts w:ascii="Georgia" w:hAnsi="Georgia" w:cstheme="minorHAnsi"/>
          <w:smallCaps/>
          <w:lang w:val="en-GB"/>
        </w:rPr>
        <w:t>Birchall &amp; Bonnet</w:t>
      </w:r>
      <w:r w:rsidR="0084570D" w:rsidRPr="0002056A">
        <w:rPr>
          <w:rFonts w:ascii="Georgia" w:hAnsi="Georgia"/>
          <w:lang w:val="en-GB"/>
        </w:rPr>
        <w:t>, 202</w:t>
      </w:r>
      <w:r w:rsidR="00A84768" w:rsidRPr="0002056A">
        <w:rPr>
          <w:rFonts w:ascii="Georgia" w:hAnsi="Georgia"/>
          <w:lang w:val="en-GB"/>
        </w:rPr>
        <w:t>1</w:t>
      </w:r>
      <w:r w:rsidR="00823197" w:rsidRPr="0002056A">
        <w:rPr>
          <w:rFonts w:ascii="Georgia" w:hAnsi="Georgia"/>
          <w:lang w:val="en-GB"/>
        </w:rPr>
        <w:t>;</w:t>
      </w:r>
      <w:r w:rsidR="0084570D" w:rsidRPr="0002056A">
        <w:rPr>
          <w:rFonts w:ascii="Georgia" w:hAnsi="Georgia"/>
          <w:lang w:val="en-GB"/>
        </w:rPr>
        <w:t xml:space="preserve"> EEA</w:t>
      </w:r>
      <w:r w:rsidR="00314E2A">
        <w:rPr>
          <w:rFonts w:ascii="Georgia" w:hAnsi="Georgia"/>
          <w:lang w:val="en-GB"/>
        </w:rPr>
        <w:t>,</w:t>
      </w:r>
      <w:r w:rsidR="0084570D" w:rsidRPr="0002056A">
        <w:rPr>
          <w:rFonts w:ascii="Georgia" w:hAnsi="Georgia"/>
          <w:lang w:val="en-GB"/>
        </w:rPr>
        <w:t xml:space="preserve"> 2020</w:t>
      </w:r>
      <w:r w:rsidR="00823197" w:rsidRPr="0002056A">
        <w:rPr>
          <w:rFonts w:ascii="Georgia" w:hAnsi="Georgia"/>
          <w:lang w:val="en-GB"/>
        </w:rPr>
        <w:t>;</w:t>
      </w:r>
      <w:r w:rsidR="0084570D" w:rsidRPr="0002056A">
        <w:rPr>
          <w:rFonts w:ascii="Georgia" w:hAnsi="Georgia"/>
          <w:lang w:val="en-GB"/>
        </w:rPr>
        <w:t xml:space="preserve"> OECD</w:t>
      </w:r>
      <w:r w:rsidR="00314E2A">
        <w:rPr>
          <w:rFonts w:ascii="Georgia" w:hAnsi="Georgia"/>
          <w:lang w:val="en-GB"/>
        </w:rPr>
        <w:t>,</w:t>
      </w:r>
      <w:r w:rsidR="0084570D" w:rsidRPr="0002056A">
        <w:rPr>
          <w:rFonts w:ascii="Georgia" w:hAnsi="Georgia"/>
          <w:lang w:val="en-GB"/>
        </w:rPr>
        <w:t xml:space="preserve"> 2023)</w:t>
      </w:r>
      <w:r w:rsidR="004E6B6D" w:rsidRPr="0002056A">
        <w:rPr>
          <w:rFonts w:ascii="Georgia" w:hAnsi="Georgia"/>
          <w:lang w:val="en-GB"/>
        </w:rPr>
        <w:t>: c</w:t>
      </w:r>
      <w:r w:rsidR="00027F25" w:rsidRPr="0002056A">
        <w:rPr>
          <w:rFonts w:ascii="Georgia" w:hAnsi="Georgia"/>
          <w:lang w:val="en-GB"/>
        </w:rPr>
        <w:t xml:space="preserve">limate change </w:t>
      </w:r>
      <w:r w:rsidR="004E6B6D" w:rsidRPr="0002056A">
        <w:rPr>
          <w:rFonts w:ascii="Georgia" w:hAnsi="Georgia"/>
          <w:lang w:val="en-GB"/>
        </w:rPr>
        <w:t>is one of the</w:t>
      </w:r>
      <w:r w:rsidR="00027F25" w:rsidRPr="0002056A">
        <w:rPr>
          <w:rFonts w:ascii="Georgia" w:hAnsi="Georgia"/>
          <w:lang w:val="en-GB"/>
        </w:rPr>
        <w:t xml:space="preserve"> key global challenge</w:t>
      </w:r>
      <w:r w:rsidR="004E6B6D" w:rsidRPr="0002056A">
        <w:rPr>
          <w:rFonts w:ascii="Georgia" w:hAnsi="Georgia"/>
          <w:lang w:val="en-GB"/>
        </w:rPr>
        <w:t>s of our era (if not the greatest; but at least we can say it is part of that system of challenges that compose the multilayered structure of global cri</w:t>
      </w:r>
      <w:r w:rsidR="00372D27" w:rsidRPr="0002056A">
        <w:rPr>
          <w:rFonts w:ascii="Georgia" w:hAnsi="Georgia"/>
          <w:lang w:val="en-GB"/>
        </w:rPr>
        <w:t>se</w:t>
      </w:r>
      <w:r w:rsidR="004E6B6D" w:rsidRPr="0002056A">
        <w:rPr>
          <w:rFonts w:ascii="Georgia" w:hAnsi="Georgia"/>
          <w:lang w:val="en-GB"/>
        </w:rPr>
        <w:t>s</w:t>
      </w:r>
      <w:r w:rsidR="00372D27" w:rsidRPr="0002056A">
        <w:rPr>
          <w:rFonts w:ascii="Georgia" w:hAnsi="Georgia"/>
          <w:lang w:val="en-GB"/>
        </w:rPr>
        <w:t xml:space="preserve"> of the present time). The topic of climate change </w:t>
      </w:r>
      <w:r w:rsidR="004249F6" w:rsidRPr="0002056A">
        <w:rPr>
          <w:rFonts w:ascii="Georgia" w:hAnsi="Georgia"/>
          <w:lang w:val="en-GB"/>
        </w:rPr>
        <w:t>has been</w:t>
      </w:r>
      <w:r w:rsidR="00372D27" w:rsidRPr="0002056A">
        <w:rPr>
          <w:rFonts w:ascii="Georgia" w:hAnsi="Georgia"/>
          <w:lang w:val="en-GB"/>
        </w:rPr>
        <w:t xml:space="preserve"> gathering more and more attention </w:t>
      </w:r>
      <w:r w:rsidR="005C57CB" w:rsidRPr="0002056A">
        <w:rPr>
          <w:rFonts w:ascii="Georgia" w:hAnsi="Georgia"/>
          <w:lang w:val="en-GB"/>
        </w:rPr>
        <w:t xml:space="preserve">and </w:t>
      </w:r>
      <w:r w:rsidRPr="0002056A">
        <w:rPr>
          <w:rFonts w:ascii="Georgia" w:hAnsi="Georgia"/>
          <w:lang w:val="en-GB"/>
        </w:rPr>
        <w:t xml:space="preserve">is getting into the centre of attention </w:t>
      </w:r>
      <w:r w:rsidR="00372D27" w:rsidRPr="0002056A">
        <w:rPr>
          <w:rFonts w:ascii="Georgia" w:hAnsi="Georgia"/>
          <w:lang w:val="en-GB"/>
        </w:rPr>
        <w:t>within general development policy, and parallel with th</w:t>
      </w:r>
      <w:r w:rsidR="004249F6" w:rsidRPr="0002056A">
        <w:rPr>
          <w:rFonts w:ascii="Georgia" w:hAnsi="Georgia"/>
          <w:lang w:val="en-GB"/>
        </w:rPr>
        <w:t>is</w:t>
      </w:r>
      <w:r w:rsidR="00372D27" w:rsidRPr="0002056A">
        <w:rPr>
          <w:rFonts w:ascii="Georgia" w:hAnsi="Georgia"/>
          <w:lang w:val="en-GB"/>
        </w:rPr>
        <w:t xml:space="preserve"> </w:t>
      </w:r>
      <w:r w:rsidR="004249F6" w:rsidRPr="0002056A">
        <w:rPr>
          <w:rFonts w:ascii="Georgia" w:hAnsi="Georgia"/>
          <w:lang w:val="en-GB"/>
        </w:rPr>
        <w:t>process</w:t>
      </w:r>
      <w:r w:rsidR="00314E2A">
        <w:rPr>
          <w:rFonts w:ascii="Georgia" w:hAnsi="Georgia"/>
          <w:lang w:val="en-GB"/>
        </w:rPr>
        <w:t>,</w:t>
      </w:r>
      <w:r w:rsidR="004249F6" w:rsidRPr="0002056A">
        <w:rPr>
          <w:rFonts w:ascii="Georgia" w:hAnsi="Georgia"/>
          <w:lang w:val="en-GB"/>
        </w:rPr>
        <w:t xml:space="preserve"> </w:t>
      </w:r>
      <w:r w:rsidR="00372D27" w:rsidRPr="0002056A">
        <w:rPr>
          <w:rFonts w:ascii="Georgia" w:hAnsi="Georgia"/>
          <w:lang w:val="en-GB"/>
        </w:rPr>
        <w:t xml:space="preserve">climate adaptation </w:t>
      </w:r>
      <w:r w:rsidR="005C57CB" w:rsidRPr="0002056A">
        <w:rPr>
          <w:rFonts w:ascii="Georgia" w:hAnsi="Georgia"/>
          <w:lang w:val="en-GB"/>
        </w:rPr>
        <w:t xml:space="preserve">has come to the fore </w:t>
      </w:r>
      <w:r w:rsidR="00372D27" w:rsidRPr="0002056A">
        <w:rPr>
          <w:rFonts w:ascii="Georgia" w:hAnsi="Georgia"/>
          <w:lang w:val="en-GB"/>
        </w:rPr>
        <w:t>within climate policy during recent decad</w:t>
      </w:r>
      <w:r w:rsidR="005C57CB" w:rsidRPr="0002056A">
        <w:rPr>
          <w:rFonts w:ascii="Georgia" w:hAnsi="Georgia"/>
          <w:lang w:val="en-GB"/>
        </w:rPr>
        <w:t>e</w:t>
      </w:r>
      <w:r w:rsidR="00372D27" w:rsidRPr="0002056A">
        <w:rPr>
          <w:rFonts w:ascii="Georgia" w:hAnsi="Georgia"/>
          <w:lang w:val="en-GB"/>
        </w:rPr>
        <w:t>s.</w:t>
      </w:r>
      <w:r w:rsidR="004249F6" w:rsidRPr="0002056A">
        <w:rPr>
          <w:rFonts w:ascii="Georgia" w:hAnsi="Georgia"/>
          <w:lang w:val="en-GB"/>
        </w:rPr>
        <w:t xml:space="preserve"> Meanwhile, the two main pillars of </w:t>
      </w:r>
      <w:r w:rsidR="00314E2A">
        <w:rPr>
          <w:rFonts w:ascii="Georgia" w:hAnsi="Georgia"/>
          <w:lang w:val="en-GB"/>
        </w:rPr>
        <w:t>the climate policy approach (geographical) space in significantly different ways</w:t>
      </w:r>
      <w:r w:rsidR="005642FD" w:rsidRPr="0002056A">
        <w:rPr>
          <w:rFonts w:ascii="Georgia" w:hAnsi="Georgia"/>
          <w:lang w:val="en-GB"/>
        </w:rPr>
        <w:t>. Meanwhile</w:t>
      </w:r>
      <w:r w:rsidR="00314E2A">
        <w:rPr>
          <w:rFonts w:ascii="Georgia" w:hAnsi="Georgia"/>
          <w:lang w:val="en-GB"/>
        </w:rPr>
        <w:t>,</w:t>
      </w:r>
      <w:r w:rsidR="005642FD" w:rsidRPr="0002056A">
        <w:rPr>
          <w:rFonts w:ascii="Georgia" w:hAnsi="Georgia"/>
          <w:lang w:val="en-GB"/>
        </w:rPr>
        <w:t xml:space="preserve"> m</w:t>
      </w:r>
      <w:r w:rsidR="00027F25" w:rsidRPr="0002056A">
        <w:rPr>
          <w:rFonts w:ascii="Georgia" w:hAnsi="Georgia"/>
          <w:lang w:val="en-GB"/>
        </w:rPr>
        <w:t xml:space="preserve">itigation </w:t>
      </w:r>
      <w:r w:rsidR="005642FD" w:rsidRPr="0002056A">
        <w:rPr>
          <w:rFonts w:ascii="Georgia" w:hAnsi="Georgia"/>
          <w:lang w:val="en-GB"/>
        </w:rPr>
        <w:t xml:space="preserve">seeks international, supranational cooperation-based answers to a global problem, then </w:t>
      </w:r>
      <w:r w:rsidR="00027F25" w:rsidRPr="0002056A">
        <w:rPr>
          <w:rFonts w:ascii="Georgia" w:hAnsi="Georgia"/>
          <w:lang w:val="en-GB"/>
        </w:rPr>
        <w:t>adaptation requir</w:t>
      </w:r>
      <w:r w:rsidR="005642FD" w:rsidRPr="0002056A">
        <w:rPr>
          <w:rFonts w:ascii="Georgia" w:hAnsi="Georgia"/>
          <w:lang w:val="en-GB"/>
        </w:rPr>
        <w:t>es</w:t>
      </w:r>
      <w:r w:rsidR="00027F25" w:rsidRPr="0002056A">
        <w:rPr>
          <w:rFonts w:ascii="Georgia" w:hAnsi="Georgia"/>
          <w:lang w:val="en-GB"/>
        </w:rPr>
        <w:t xml:space="preserve"> explicitly</w:t>
      </w:r>
      <w:r w:rsidR="00404447" w:rsidRPr="0002056A">
        <w:rPr>
          <w:rFonts w:ascii="Georgia" w:hAnsi="Georgia"/>
          <w:lang w:val="en-GB"/>
        </w:rPr>
        <w:t xml:space="preserve"> spatially tailored</w:t>
      </w:r>
      <w:r w:rsidR="00027F25" w:rsidRPr="0002056A">
        <w:rPr>
          <w:rFonts w:ascii="Georgia" w:hAnsi="Georgia"/>
          <w:lang w:val="en-GB"/>
        </w:rPr>
        <w:t xml:space="preserve"> responses</w:t>
      </w:r>
      <w:r w:rsidR="00404447" w:rsidRPr="0002056A">
        <w:rPr>
          <w:rFonts w:ascii="Georgia" w:hAnsi="Georgia"/>
          <w:lang w:val="en-GB"/>
        </w:rPr>
        <w:t xml:space="preserve"> to special local/regional challenges (climate impacts and their economic</w:t>
      </w:r>
      <w:r w:rsidR="0052121D" w:rsidRPr="0002056A">
        <w:rPr>
          <w:rFonts w:ascii="Georgia" w:hAnsi="Georgia"/>
          <w:lang w:val="en-GB"/>
        </w:rPr>
        <w:t xml:space="preserve">, </w:t>
      </w:r>
      <w:r w:rsidR="00404447" w:rsidRPr="0002056A">
        <w:rPr>
          <w:rFonts w:ascii="Georgia" w:hAnsi="Georgia"/>
          <w:lang w:val="en-GB"/>
        </w:rPr>
        <w:t>social</w:t>
      </w:r>
      <w:r w:rsidR="0052121D" w:rsidRPr="0002056A">
        <w:rPr>
          <w:rFonts w:ascii="Georgia" w:hAnsi="Georgia"/>
          <w:lang w:val="en-GB"/>
        </w:rPr>
        <w:t xml:space="preserve"> or </w:t>
      </w:r>
      <w:r w:rsidR="00404447" w:rsidRPr="0002056A">
        <w:rPr>
          <w:rFonts w:ascii="Georgia" w:hAnsi="Georgia"/>
          <w:lang w:val="en-GB"/>
        </w:rPr>
        <w:t>physical environment-related consequences)</w:t>
      </w:r>
      <w:r w:rsidR="0084526E" w:rsidRPr="0002056A">
        <w:rPr>
          <w:rFonts w:ascii="Georgia" w:hAnsi="Georgia"/>
          <w:lang w:val="en-GB"/>
        </w:rPr>
        <w:t xml:space="preserve">. </w:t>
      </w:r>
      <w:r w:rsidR="005D6DC5" w:rsidRPr="0002056A">
        <w:rPr>
          <w:rFonts w:ascii="Georgia" w:hAnsi="Georgia"/>
          <w:lang w:val="en-GB"/>
        </w:rPr>
        <w:t>Therefore</w:t>
      </w:r>
      <w:r w:rsidR="0042461D" w:rsidRPr="0002056A">
        <w:rPr>
          <w:rFonts w:ascii="Georgia" w:hAnsi="Georgia"/>
          <w:lang w:val="en-GB"/>
        </w:rPr>
        <w:t xml:space="preserve">, we presume that effective </w:t>
      </w:r>
      <w:r w:rsidR="0066226D" w:rsidRPr="0002056A">
        <w:rPr>
          <w:rFonts w:ascii="Georgia" w:hAnsi="Georgia"/>
          <w:lang w:val="en-GB"/>
        </w:rPr>
        <w:t>climate adaptation cannot exist without the consequent and constant taking of geographical and spatial aspects into consideration.</w:t>
      </w:r>
    </w:p>
    <w:p w14:paraId="17E50796" w14:textId="16497ED2" w:rsidR="005564A7" w:rsidRPr="0002056A" w:rsidRDefault="0084526E" w:rsidP="00F00409">
      <w:pPr>
        <w:spacing w:before="120" w:after="120"/>
        <w:jc w:val="both"/>
        <w:rPr>
          <w:rFonts w:ascii="Georgia" w:hAnsi="Georgia"/>
          <w:lang w:val="en-GB"/>
        </w:rPr>
      </w:pPr>
      <w:r w:rsidRPr="0002056A">
        <w:rPr>
          <w:rFonts w:ascii="Georgia" w:hAnsi="Georgia"/>
          <w:lang w:val="en-GB"/>
        </w:rPr>
        <w:t xml:space="preserve">The </w:t>
      </w:r>
      <w:r w:rsidR="0052121D" w:rsidRPr="0002056A">
        <w:rPr>
          <w:rFonts w:ascii="Georgia" w:hAnsi="Georgia"/>
          <w:lang w:val="en-GB"/>
        </w:rPr>
        <w:t xml:space="preserve">strategic </w:t>
      </w:r>
      <w:r w:rsidRPr="0002056A">
        <w:rPr>
          <w:rFonts w:ascii="Georgia" w:hAnsi="Georgia"/>
          <w:lang w:val="en-GB"/>
        </w:rPr>
        <w:t xml:space="preserve">planning-related instruments of </w:t>
      </w:r>
      <w:r w:rsidR="0052121D" w:rsidRPr="0002056A">
        <w:rPr>
          <w:rFonts w:ascii="Georgia" w:hAnsi="Georgia"/>
          <w:lang w:val="en-GB"/>
        </w:rPr>
        <w:t xml:space="preserve">climate </w:t>
      </w:r>
      <w:r w:rsidRPr="0002056A">
        <w:rPr>
          <w:rFonts w:ascii="Georgia" w:hAnsi="Georgia"/>
          <w:lang w:val="en-GB"/>
        </w:rPr>
        <w:t>a</w:t>
      </w:r>
      <w:r w:rsidR="00027F25" w:rsidRPr="0002056A">
        <w:rPr>
          <w:rFonts w:ascii="Georgia" w:hAnsi="Georgia"/>
          <w:lang w:val="en-GB"/>
        </w:rPr>
        <w:t>daptation polic</w:t>
      </w:r>
      <w:r w:rsidR="0052121D" w:rsidRPr="0002056A">
        <w:rPr>
          <w:rFonts w:ascii="Georgia" w:hAnsi="Georgia"/>
          <w:lang w:val="en-GB"/>
        </w:rPr>
        <w:t>y</w:t>
      </w:r>
      <w:r w:rsidR="00027F25" w:rsidRPr="0002056A">
        <w:rPr>
          <w:rFonts w:ascii="Georgia" w:hAnsi="Georgia"/>
          <w:lang w:val="en-GB"/>
        </w:rPr>
        <w:t xml:space="preserve"> (</w:t>
      </w:r>
      <w:r w:rsidRPr="0002056A">
        <w:rPr>
          <w:rFonts w:ascii="Georgia" w:hAnsi="Georgia"/>
          <w:lang w:val="en-GB"/>
        </w:rPr>
        <w:t xml:space="preserve">actual </w:t>
      </w:r>
      <w:r w:rsidR="00776D29" w:rsidRPr="0002056A">
        <w:rPr>
          <w:rFonts w:ascii="Georgia" w:hAnsi="Georgia"/>
          <w:lang w:val="en-GB"/>
        </w:rPr>
        <w:t xml:space="preserve">strategic </w:t>
      </w:r>
      <w:r w:rsidRPr="0002056A">
        <w:rPr>
          <w:rFonts w:ascii="Georgia" w:hAnsi="Georgia"/>
          <w:lang w:val="en-GB"/>
        </w:rPr>
        <w:t>planning, monitoring, reporting, evaluation and decision support system-</w:t>
      </w:r>
      <w:r w:rsidR="00216AD0" w:rsidRPr="0002056A">
        <w:rPr>
          <w:rFonts w:ascii="Georgia" w:hAnsi="Georgia"/>
          <w:lang w:val="en-GB"/>
        </w:rPr>
        <w:t>development</w:t>
      </w:r>
      <w:r w:rsidRPr="0002056A">
        <w:rPr>
          <w:rFonts w:ascii="Georgia" w:hAnsi="Georgia"/>
          <w:lang w:val="en-GB"/>
        </w:rPr>
        <w:t>)</w:t>
      </w:r>
      <w:r w:rsidR="00776D29" w:rsidRPr="0002056A">
        <w:rPr>
          <w:rFonts w:ascii="Georgia" w:hAnsi="Georgia"/>
          <w:lang w:val="en-GB"/>
        </w:rPr>
        <w:t xml:space="preserve"> could</w:t>
      </w:r>
      <w:r w:rsidRPr="0002056A">
        <w:rPr>
          <w:rFonts w:ascii="Georgia" w:hAnsi="Georgia"/>
          <w:lang w:val="en-GB"/>
        </w:rPr>
        <w:t xml:space="preserve"> </w:t>
      </w:r>
      <w:r w:rsidR="000D0284" w:rsidRPr="0002056A">
        <w:rPr>
          <w:rFonts w:ascii="Georgia" w:hAnsi="Georgia"/>
          <w:lang w:val="en-GB"/>
        </w:rPr>
        <w:t xml:space="preserve">help to find these spatially defined </w:t>
      </w:r>
      <w:r w:rsidR="00027F25" w:rsidRPr="0002056A">
        <w:rPr>
          <w:rFonts w:ascii="Georgia" w:hAnsi="Georgia"/>
          <w:lang w:val="en-GB"/>
        </w:rPr>
        <w:t>solutions</w:t>
      </w:r>
      <w:r w:rsidR="000D0284" w:rsidRPr="0002056A">
        <w:rPr>
          <w:rFonts w:ascii="Georgia" w:hAnsi="Georgia"/>
          <w:lang w:val="en-GB"/>
        </w:rPr>
        <w:t xml:space="preserve">, facilitating the </w:t>
      </w:r>
      <w:r w:rsidR="00BF34C6" w:rsidRPr="0002056A">
        <w:rPr>
          <w:rFonts w:ascii="Georgia" w:hAnsi="Georgia"/>
          <w:lang w:val="en-GB"/>
        </w:rPr>
        <w:t xml:space="preserve">implementation of </w:t>
      </w:r>
      <w:r w:rsidR="000D0284" w:rsidRPr="0002056A">
        <w:rPr>
          <w:rFonts w:ascii="Georgia" w:hAnsi="Georgia"/>
          <w:lang w:val="en-GB"/>
        </w:rPr>
        <w:t xml:space="preserve">actual practical adaptation interventions </w:t>
      </w:r>
      <w:r w:rsidR="00027F25" w:rsidRPr="0002056A">
        <w:rPr>
          <w:rFonts w:ascii="Georgia" w:hAnsi="Georgia"/>
          <w:lang w:val="en-GB"/>
        </w:rPr>
        <w:t>at different spatial levels</w:t>
      </w:r>
      <w:r w:rsidR="000D0284" w:rsidRPr="0002056A">
        <w:rPr>
          <w:rFonts w:ascii="Georgia" w:hAnsi="Georgia"/>
          <w:lang w:val="en-GB"/>
        </w:rPr>
        <w:t xml:space="preserve">. </w:t>
      </w:r>
      <w:r w:rsidR="00823197" w:rsidRPr="0002056A">
        <w:rPr>
          <w:rFonts w:ascii="Georgia" w:hAnsi="Georgia"/>
          <w:lang w:val="en-GB"/>
        </w:rPr>
        <w:t>These b</w:t>
      </w:r>
      <w:r w:rsidR="00027F25" w:rsidRPr="0002056A">
        <w:rPr>
          <w:rFonts w:ascii="Georgia" w:hAnsi="Georgia"/>
          <w:lang w:val="en-GB"/>
        </w:rPr>
        <w:t>asic spatial levels of adaptation planning</w:t>
      </w:r>
      <w:r w:rsidR="00823197" w:rsidRPr="0002056A">
        <w:rPr>
          <w:rFonts w:ascii="Georgia" w:hAnsi="Georgia"/>
          <w:lang w:val="en-GB"/>
        </w:rPr>
        <w:t xml:space="preserve"> and </w:t>
      </w:r>
      <w:r w:rsidR="00027F25" w:rsidRPr="0002056A">
        <w:rPr>
          <w:rFonts w:ascii="Georgia" w:hAnsi="Georgia"/>
          <w:lang w:val="en-GB"/>
        </w:rPr>
        <w:t>MRE</w:t>
      </w:r>
      <w:r w:rsidR="00823197" w:rsidRPr="0002056A">
        <w:rPr>
          <w:rFonts w:ascii="Georgia" w:hAnsi="Georgia"/>
          <w:lang w:val="en-GB"/>
        </w:rPr>
        <w:t xml:space="preserve"> </w:t>
      </w:r>
      <w:r w:rsidR="00FD3E98" w:rsidRPr="0002056A">
        <w:rPr>
          <w:rFonts w:ascii="Georgia" w:hAnsi="Georgia"/>
          <w:lang w:val="en-GB"/>
        </w:rPr>
        <w:t>stand out clearly if we examine adaptation activities</w:t>
      </w:r>
      <w:r w:rsidR="00703026" w:rsidRPr="0002056A">
        <w:rPr>
          <w:rFonts w:ascii="Georgia" w:hAnsi="Georgia"/>
          <w:lang w:val="en-GB"/>
        </w:rPr>
        <w:t xml:space="preserve"> more closely</w:t>
      </w:r>
      <w:r w:rsidR="00FD3E98" w:rsidRPr="0002056A">
        <w:rPr>
          <w:rFonts w:ascii="Georgia" w:hAnsi="Georgia"/>
          <w:lang w:val="en-GB"/>
        </w:rPr>
        <w:t>: municipal</w:t>
      </w:r>
      <w:r w:rsidR="005564A7" w:rsidRPr="0002056A">
        <w:rPr>
          <w:rFonts w:ascii="Georgia" w:hAnsi="Georgia"/>
          <w:lang w:val="en-GB"/>
        </w:rPr>
        <w:t>ities</w:t>
      </w:r>
      <w:r w:rsidR="00FD3E98" w:rsidRPr="0002056A">
        <w:rPr>
          <w:rFonts w:ascii="Georgia" w:hAnsi="Georgia"/>
          <w:lang w:val="en-GB"/>
        </w:rPr>
        <w:t xml:space="preserve"> and micro</w:t>
      </w:r>
      <w:r w:rsidR="005564A7" w:rsidRPr="0002056A">
        <w:rPr>
          <w:rFonts w:ascii="Georgia" w:hAnsi="Georgia"/>
          <w:lang w:val="en-GB"/>
        </w:rPr>
        <w:t xml:space="preserve"> </w:t>
      </w:r>
      <w:r w:rsidR="00FD3E98" w:rsidRPr="0002056A">
        <w:rPr>
          <w:rFonts w:ascii="Georgia" w:hAnsi="Georgia"/>
          <w:lang w:val="en-GB"/>
        </w:rPr>
        <w:t>region</w:t>
      </w:r>
      <w:r w:rsidR="005564A7" w:rsidRPr="0002056A">
        <w:rPr>
          <w:rFonts w:ascii="Georgia" w:hAnsi="Georgia"/>
          <w:lang w:val="en-GB"/>
        </w:rPr>
        <w:t>s / regions</w:t>
      </w:r>
      <w:r w:rsidR="00FD3E98" w:rsidRPr="0002056A">
        <w:rPr>
          <w:rFonts w:ascii="Georgia" w:hAnsi="Georgia"/>
          <w:lang w:val="en-GB"/>
        </w:rPr>
        <w:t xml:space="preserve"> represent the subnational</w:t>
      </w:r>
      <w:r w:rsidR="005564A7" w:rsidRPr="0002056A">
        <w:rPr>
          <w:rFonts w:ascii="Georgia" w:hAnsi="Georgia"/>
          <w:lang w:val="en-GB"/>
        </w:rPr>
        <w:t xml:space="preserve"> level; </w:t>
      </w:r>
      <w:r w:rsidR="00DC6ECC" w:rsidRPr="0002056A">
        <w:rPr>
          <w:rFonts w:ascii="Georgia" w:hAnsi="Georgia"/>
          <w:lang w:val="en-GB"/>
        </w:rPr>
        <w:t>meanwhile</w:t>
      </w:r>
      <w:r w:rsidR="00314E2A">
        <w:rPr>
          <w:rFonts w:ascii="Georgia" w:hAnsi="Georgia"/>
          <w:lang w:val="en-GB"/>
        </w:rPr>
        <w:t>,</w:t>
      </w:r>
      <w:r w:rsidR="00DC6ECC" w:rsidRPr="0002056A">
        <w:rPr>
          <w:rFonts w:ascii="Georgia" w:hAnsi="Georgia"/>
          <w:lang w:val="en-GB"/>
        </w:rPr>
        <w:t xml:space="preserve"> </w:t>
      </w:r>
      <w:r w:rsidR="005564A7" w:rsidRPr="0002056A">
        <w:rPr>
          <w:rFonts w:ascii="Georgia" w:hAnsi="Georgia"/>
          <w:lang w:val="en-GB"/>
        </w:rPr>
        <w:t xml:space="preserve">the national level </w:t>
      </w:r>
      <w:r w:rsidR="008F6A58" w:rsidRPr="0002056A">
        <w:rPr>
          <w:rFonts w:ascii="Georgia" w:hAnsi="Georgia"/>
          <w:lang w:val="en-GB"/>
        </w:rPr>
        <w:t xml:space="preserve">mainly </w:t>
      </w:r>
      <w:r w:rsidR="005564A7" w:rsidRPr="0002056A">
        <w:rPr>
          <w:rFonts w:ascii="Georgia" w:hAnsi="Georgia"/>
          <w:lang w:val="en-GB"/>
        </w:rPr>
        <w:t>coordinates these lower ones</w:t>
      </w:r>
      <w:r w:rsidR="00703026" w:rsidRPr="0002056A">
        <w:rPr>
          <w:rFonts w:ascii="Georgia" w:hAnsi="Georgia"/>
          <w:lang w:val="en-GB"/>
        </w:rPr>
        <w:t>.</w:t>
      </w:r>
      <w:r w:rsidR="005564A7" w:rsidRPr="0002056A">
        <w:rPr>
          <w:rFonts w:ascii="Georgia" w:hAnsi="Georgia"/>
          <w:lang w:val="en-GB"/>
        </w:rPr>
        <w:t xml:space="preserve"> </w:t>
      </w:r>
      <w:r w:rsidR="00703026" w:rsidRPr="0002056A">
        <w:rPr>
          <w:rFonts w:ascii="Georgia" w:hAnsi="Georgia"/>
          <w:lang w:val="en-GB"/>
        </w:rPr>
        <w:t>T</w:t>
      </w:r>
      <w:r w:rsidR="005564A7" w:rsidRPr="0002056A">
        <w:rPr>
          <w:rFonts w:ascii="Georgia" w:hAnsi="Georgia"/>
          <w:lang w:val="en-GB"/>
        </w:rPr>
        <w:t xml:space="preserve">here are </w:t>
      </w:r>
      <w:r w:rsidR="00DC6ECC" w:rsidRPr="0002056A">
        <w:rPr>
          <w:rFonts w:ascii="Georgia" w:hAnsi="Georgia"/>
          <w:lang w:val="en-GB"/>
        </w:rPr>
        <w:t xml:space="preserve">also </w:t>
      </w:r>
      <w:r w:rsidR="005564A7" w:rsidRPr="0002056A">
        <w:rPr>
          <w:rFonts w:ascii="Georgia" w:hAnsi="Georgia"/>
          <w:lang w:val="en-GB"/>
        </w:rPr>
        <w:t xml:space="preserve">signs </w:t>
      </w:r>
      <w:r w:rsidR="008F6A58" w:rsidRPr="0002056A">
        <w:rPr>
          <w:rFonts w:ascii="Georgia" w:hAnsi="Georgia"/>
          <w:lang w:val="en-GB"/>
        </w:rPr>
        <w:t>of</w:t>
      </w:r>
      <w:r w:rsidR="005564A7" w:rsidRPr="0002056A">
        <w:rPr>
          <w:rFonts w:ascii="Georgia" w:hAnsi="Georgia"/>
          <w:lang w:val="en-GB"/>
        </w:rPr>
        <w:t xml:space="preserve"> adaptation-oriented cooperations at </w:t>
      </w:r>
      <w:r w:rsidR="00314E2A">
        <w:rPr>
          <w:rFonts w:ascii="Georgia" w:hAnsi="Georgia"/>
          <w:lang w:val="en-GB"/>
        </w:rPr>
        <w:t>the macro</w:t>
      </w:r>
      <w:r w:rsidR="00470E41">
        <w:rPr>
          <w:rFonts w:ascii="Georgia" w:hAnsi="Georgia"/>
          <w:lang w:val="en-GB"/>
        </w:rPr>
        <w:t xml:space="preserve"> </w:t>
      </w:r>
      <w:r w:rsidR="00314E2A">
        <w:rPr>
          <w:rFonts w:ascii="Georgia" w:hAnsi="Georgia"/>
          <w:lang w:val="en-GB"/>
        </w:rPr>
        <w:t>regional level, but the main emphasis lies</w:t>
      </w:r>
      <w:r w:rsidR="005564A7" w:rsidRPr="0002056A">
        <w:rPr>
          <w:rFonts w:ascii="Georgia" w:hAnsi="Georgia"/>
          <w:lang w:val="en-GB"/>
        </w:rPr>
        <w:t xml:space="preserve"> on the national and subnational ones. </w:t>
      </w:r>
    </w:p>
    <w:p w14:paraId="335B46AE" w14:textId="21484CB6" w:rsidR="0044764E" w:rsidRPr="0002056A" w:rsidRDefault="005564A7" w:rsidP="00F00409">
      <w:pPr>
        <w:spacing w:before="120" w:after="120"/>
        <w:jc w:val="both"/>
        <w:rPr>
          <w:rFonts w:ascii="Georgia" w:hAnsi="Georgia"/>
          <w:lang w:val="en-GB"/>
        </w:rPr>
      </w:pPr>
      <w:r w:rsidRPr="0002056A">
        <w:rPr>
          <w:rFonts w:ascii="Georgia" w:hAnsi="Georgia"/>
          <w:lang w:val="en-GB"/>
        </w:rPr>
        <w:t>In the</w:t>
      </w:r>
      <w:r w:rsidR="007E5EA4" w:rsidRPr="0002056A">
        <w:rPr>
          <w:rFonts w:ascii="Georgia" w:hAnsi="Georgia"/>
          <w:lang w:val="en-GB"/>
        </w:rPr>
        <w:t xml:space="preserve"> last one and a half </w:t>
      </w:r>
      <w:r w:rsidR="00314E2A">
        <w:rPr>
          <w:rFonts w:ascii="Georgia" w:hAnsi="Georgia"/>
          <w:lang w:val="en-GB"/>
        </w:rPr>
        <w:t>decades, an increasing number of literature items have</w:t>
      </w:r>
      <w:r w:rsidR="007E5EA4" w:rsidRPr="0002056A">
        <w:rPr>
          <w:rFonts w:ascii="Georgia" w:hAnsi="Georgia"/>
          <w:lang w:val="en-GB"/>
        </w:rPr>
        <w:t xml:space="preserve"> dealt with adaptation activities of these</w:t>
      </w:r>
      <w:r w:rsidR="00DC6ECC" w:rsidRPr="0002056A">
        <w:rPr>
          <w:rFonts w:ascii="Georgia" w:hAnsi="Georgia"/>
          <w:lang w:val="en-GB"/>
        </w:rPr>
        <w:t xml:space="preserve"> spatial </w:t>
      </w:r>
      <w:r w:rsidR="007E5EA4" w:rsidRPr="0002056A">
        <w:rPr>
          <w:rFonts w:ascii="Georgia" w:hAnsi="Georgia"/>
          <w:lang w:val="en-GB"/>
        </w:rPr>
        <w:t>levels in Europe, one of the leading continents of adaptation policy. However, a definite r</w:t>
      </w:r>
      <w:r w:rsidR="00027F25" w:rsidRPr="0002056A">
        <w:rPr>
          <w:rFonts w:ascii="Georgia" w:hAnsi="Georgia"/>
          <w:lang w:val="en-GB"/>
        </w:rPr>
        <w:t>esearch gap</w:t>
      </w:r>
      <w:r w:rsidR="007E5EA4" w:rsidRPr="0002056A">
        <w:rPr>
          <w:rFonts w:ascii="Georgia" w:hAnsi="Georgia"/>
          <w:lang w:val="en-GB"/>
        </w:rPr>
        <w:t xml:space="preserve"> takes form</w:t>
      </w:r>
      <w:r w:rsidR="009057D3" w:rsidRPr="0002056A">
        <w:rPr>
          <w:rFonts w:ascii="Georgia" w:hAnsi="Georgia"/>
          <w:lang w:val="en-GB"/>
        </w:rPr>
        <w:t xml:space="preserve"> here</w:t>
      </w:r>
      <w:r w:rsidR="00027F25" w:rsidRPr="0002056A">
        <w:rPr>
          <w:rFonts w:ascii="Georgia" w:hAnsi="Georgia"/>
          <w:lang w:val="en-GB"/>
        </w:rPr>
        <w:t xml:space="preserve">: </w:t>
      </w:r>
      <w:r w:rsidR="000C709F" w:rsidRPr="0002056A">
        <w:rPr>
          <w:rFonts w:ascii="Georgia" w:hAnsi="Georgia"/>
          <w:lang w:val="en-GB"/>
        </w:rPr>
        <w:t xml:space="preserve">though several literature items concentrate on the challenges, methodologies or results of adaptation activities at these </w:t>
      </w:r>
      <w:r w:rsidR="009057D3" w:rsidRPr="0002056A">
        <w:rPr>
          <w:rFonts w:ascii="Georgia" w:hAnsi="Georgia"/>
          <w:lang w:val="en-GB"/>
        </w:rPr>
        <w:t xml:space="preserve">spatial </w:t>
      </w:r>
      <w:r w:rsidR="000C709F" w:rsidRPr="0002056A">
        <w:rPr>
          <w:rFonts w:ascii="Georgia" w:hAnsi="Georgia"/>
          <w:lang w:val="en-GB"/>
        </w:rPr>
        <w:t xml:space="preserve">levels, particularly </w:t>
      </w:r>
      <w:r w:rsidR="00DC6ECC" w:rsidRPr="0002056A">
        <w:rPr>
          <w:rFonts w:ascii="Georgia" w:hAnsi="Georgia"/>
          <w:lang w:val="en-GB"/>
        </w:rPr>
        <w:t>at</w:t>
      </w:r>
      <w:r w:rsidR="000C709F" w:rsidRPr="0002056A">
        <w:rPr>
          <w:rFonts w:ascii="Georgia" w:hAnsi="Georgia"/>
          <w:lang w:val="en-GB"/>
        </w:rPr>
        <w:t xml:space="preserve"> the local one, </w:t>
      </w:r>
      <w:r w:rsidR="0042461D" w:rsidRPr="0002056A">
        <w:rPr>
          <w:rFonts w:ascii="Georgia" w:hAnsi="Georgia"/>
          <w:lang w:val="en-GB"/>
        </w:rPr>
        <w:t xml:space="preserve">the actual </w:t>
      </w:r>
      <w:r w:rsidR="00027F25" w:rsidRPr="0002056A">
        <w:rPr>
          <w:rFonts w:ascii="Georgia" w:hAnsi="Georgia"/>
          <w:lang w:val="en-GB"/>
        </w:rPr>
        <w:t>examin</w:t>
      </w:r>
      <w:r w:rsidR="0042461D" w:rsidRPr="0002056A">
        <w:rPr>
          <w:rFonts w:ascii="Georgia" w:hAnsi="Georgia"/>
          <w:lang w:val="en-GB"/>
        </w:rPr>
        <w:t>ation of t</w:t>
      </w:r>
      <w:r w:rsidR="00027F25" w:rsidRPr="0002056A">
        <w:rPr>
          <w:rFonts w:ascii="Georgia" w:hAnsi="Georgia"/>
          <w:lang w:val="en-GB"/>
        </w:rPr>
        <w:t>he presence/weight of spatial dimensions in these activities</w:t>
      </w:r>
      <w:r w:rsidR="00EA15C2" w:rsidRPr="0002056A">
        <w:rPr>
          <w:rFonts w:ascii="Georgia" w:hAnsi="Georgia"/>
          <w:lang w:val="en-GB"/>
        </w:rPr>
        <w:t xml:space="preserve"> is lacking or barely appears in the scientific research</w:t>
      </w:r>
      <w:r w:rsidR="00F110BE" w:rsidRPr="0002056A">
        <w:rPr>
          <w:rFonts w:ascii="Georgia" w:hAnsi="Georgia"/>
          <w:lang w:val="en-GB"/>
        </w:rPr>
        <w:t xml:space="preserve"> activiti</w:t>
      </w:r>
      <w:r w:rsidR="00EA15C2" w:rsidRPr="0002056A">
        <w:rPr>
          <w:rFonts w:ascii="Georgia" w:hAnsi="Georgia"/>
          <w:lang w:val="en-GB"/>
        </w:rPr>
        <w:t xml:space="preserve">es. </w:t>
      </w:r>
    </w:p>
    <w:p w14:paraId="5A214517" w14:textId="20B30C0F" w:rsidR="00027F25" w:rsidRPr="0002056A" w:rsidRDefault="00EA15C2" w:rsidP="00F00409">
      <w:pPr>
        <w:spacing w:before="120" w:after="120"/>
        <w:jc w:val="both"/>
        <w:rPr>
          <w:rFonts w:ascii="Georgia" w:hAnsi="Georgia"/>
          <w:lang w:val="en-GB"/>
        </w:rPr>
      </w:pPr>
      <w:r w:rsidRPr="0002056A">
        <w:rPr>
          <w:rFonts w:ascii="Georgia" w:hAnsi="Georgia"/>
          <w:lang w:val="en-GB"/>
        </w:rPr>
        <w:t>My dissertation tries to be among th</w:t>
      </w:r>
      <w:r w:rsidR="0044764E" w:rsidRPr="0002056A">
        <w:rPr>
          <w:rFonts w:ascii="Georgia" w:hAnsi="Georgia"/>
          <w:lang w:val="en-GB"/>
        </w:rPr>
        <w:t>ose studies/analyses that take</w:t>
      </w:r>
      <w:r w:rsidRPr="0002056A">
        <w:rPr>
          <w:rFonts w:ascii="Georgia" w:hAnsi="Georgia"/>
          <w:lang w:val="en-GB"/>
        </w:rPr>
        <w:t xml:space="preserve"> </w:t>
      </w:r>
      <w:r w:rsidR="0044764E" w:rsidRPr="0002056A">
        <w:rPr>
          <w:rFonts w:ascii="Georgia" w:hAnsi="Georgia"/>
          <w:lang w:val="en-GB"/>
        </w:rPr>
        <w:t xml:space="preserve">the </w:t>
      </w:r>
      <w:r w:rsidRPr="0002056A">
        <w:rPr>
          <w:rFonts w:ascii="Georgia" w:hAnsi="Georgia"/>
          <w:lang w:val="en-GB"/>
        </w:rPr>
        <w:t>first</w:t>
      </w:r>
      <w:r w:rsidR="0044764E" w:rsidRPr="0002056A">
        <w:rPr>
          <w:rFonts w:ascii="Georgia" w:hAnsi="Georgia"/>
          <w:lang w:val="en-GB"/>
        </w:rPr>
        <w:t xml:space="preserve"> steps in this relatively new field. The f</w:t>
      </w:r>
      <w:r w:rsidR="00027F25" w:rsidRPr="0002056A">
        <w:rPr>
          <w:rFonts w:ascii="Georgia" w:hAnsi="Georgia"/>
          <w:lang w:val="en-GB"/>
        </w:rPr>
        <w:t>oundations</w:t>
      </w:r>
      <w:r w:rsidR="0044764E" w:rsidRPr="0002056A">
        <w:rPr>
          <w:rFonts w:ascii="Georgia" w:hAnsi="Georgia"/>
          <w:lang w:val="en-GB"/>
        </w:rPr>
        <w:t xml:space="preserve"> of my research logic </w:t>
      </w:r>
      <w:r w:rsidR="00D21D48" w:rsidRPr="0002056A">
        <w:rPr>
          <w:rFonts w:ascii="Georgia" w:hAnsi="Georgia"/>
          <w:lang w:val="en-GB"/>
        </w:rPr>
        <w:t xml:space="preserve">come from </w:t>
      </w:r>
      <w:r w:rsidR="00027F25" w:rsidRPr="0002056A">
        <w:rPr>
          <w:rFonts w:ascii="Georgia" w:hAnsi="Georgia"/>
          <w:lang w:val="en-GB"/>
        </w:rPr>
        <w:t>approaches o</w:t>
      </w:r>
      <w:r w:rsidR="00D21D48" w:rsidRPr="0002056A">
        <w:rPr>
          <w:rFonts w:ascii="Georgia" w:hAnsi="Georgia"/>
          <w:lang w:val="en-GB"/>
        </w:rPr>
        <w:t xml:space="preserve">f </w:t>
      </w:r>
      <w:r w:rsidR="00027F25" w:rsidRPr="0002056A">
        <w:rPr>
          <w:rFonts w:ascii="Georgia" w:hAnsi="Georgia"/>
          <w:lang w:val="en-GB"/>
        </w:rPr>
        <w:t>spatially oriented disciplines</w:t>
      </w:r>
      <w:r w:rsidR="00F110BE" w:rsidRPr="0002056A">
        <w:rPr>
          <w:rFonts w:ascii="Georgia" w:hAnsi="Georgia"/>
          <w:lang w:val="en-GB"/>
        </w:rPr>
        <w:t>:</w:t>
      </w:r>
      <w:r w:rsidR="00D21D48" w:rsidRPr="0002056A">
        <w:rPr>
          <w:rFonts w:ascii="Georgia" w:hAnsi="Georgia"/>
          <w:lang w:val="en-GB"/>
        </w:rPr>
        <w:t xml:space="preserve"> the space concepts and interpretations of th</w:t>
      </w:r>
      <w:r w:rsidR="00320628" w:rsidRPr="0002056A">
        <w:rPr>
          <w:rFonts w:ascii="Georgia" w:hAnsi="Georgia"/>
          <w:lang w:val="en-GB"/>
        </w:rPr>
        <w:t>ese</w:t>
      </w:r>
      <w:r w:rsidR="00D21D48" w:rsidRPr="0002056A">
        <w:rPr>
          <w:rFonts w:ascii="Georgia" w:hAnsi="Georgia"/>
          <w:lang w:val="en-GB"/>
        </w:rPr>
        <w:t xml:space="preserve"> </w:t>
      </w:r>
      <w:r w:rsidR="00027F25" w:rsidRPr="0002056A">
        <w:rPr>
          <w:rFonts w:ascii="Georgia" w:hAnsi="Georgia"/>
          <w:lang w:val="en-GB"/>
        </w:rPr>
        <w:t>have been examined/synthesized</w:t>
      </w:r>
      <w:r w:rsidR="00D21D48" w:rsidRPr="0002056A">
        <w:rPr>
          <w:rFonts w:ascii="Georgia" w:hAnsi="Georgia"/>
          <w:lang w:val="en-GB"/>
        </w:rPr>
        <w:t xml:space="preserve"> to compose a n</w:t>
      </w:r>
      <w:r w:rsidR="00027F25" w:rsidRPr="0002056A">
        <w:rPr>
          <w:rFonts w:ascii="Georgia" w:hAnsi="Georgia"/>
          <w:lang w:val="en-GB"/>
        </w:rPr>
        <w:t xml:space="preserve">ew </w:t>
      </w:r>
      <w:r w:rsidR="00D21D48" w:rsidRPr="0002056A">
        <w:rPr>
          <w:rFonts w:ascii="Georgia" w:hAnsi="Georgia"/>
          <w:lang w:val="en-GB"/>
        </w:rPr>
        <w:t xml:space="preserve">analytical </w:t>
      </w:r>
      <w:r w:rsidR="00027F25" w:rsidRPr="0002056A">
        <w:rPr>
          <w:rFonts w:ascii="Georgia" w:hAnsi="Georgia"/>
          <w:lang w:val="en-GB"/>
        </w:rPr>
        <w:t>concept of spatial sensitivity</w:t>
      </w:r>
      <w:r w:rsidR="00D21D48" w:rsidRPr="0002056A">
        <w:rPr>
          <w:rFonts w:ascii="Georgia" w:hAnsi="Georgia"/>
          <w:lang w:val="en-GB"/>
        </w:rPr>
        <w:t xml:space="preserve"> of </w:t>
      </w:r>
      <w:r w:rsidR="004660F0" w:rsidRPr="0002056A">
        <w:rPr>
          <w:rFonts w:ascii="Georgia" w:hAnsi="Georgia"/>
          <w:lang w:val="en-GB"/>
        </w:rPr>
        <w:t xml:space="preserve">climate adaptation policy </w:t>
      </w:r>
      <w:r w:rsidR="00320628" w:rsidRPr="0002056A">
        <w:rPr>
          <w:rFonts w:ascii="Georgia" w:hAnsi="Georgia"/>
          <w:lang w:val="en-GB"/>
        </w:rPr>
        <w:t xml:space="preserve">planning </w:t>
      </w:r>
      <w:r w:rsidR="004660F0" w:rsidRPr="0002056A">
        <w:rPr>
          <w:rFonts w:ascii="Georgia" w:hAnsi="Georgia"/>
          <w:lang w:val="en-GB"/>
        </w:rPr>
        <w:t xml:space="preserve">and </w:t>
      </w:r>
      <w:r w:rsidR="00314E2A">
        <w:rPr>
          <w:rFonts w:ascii="Georgia" w:hAnsi="Georgia"/>
          <w:lang w:val="en-GB"/>
        </w:rPr>
        <w:t>analysed</w:t>
      </w:r>
      <w:r w:rsidR="00314E2A" w:rsidRPr="0002056A">
        <w:rPr>
          <w:rFonts w:ascii="Georgia" w:hAnsi="Georgia"/>
          <w:lang w:val="en-GB"/>
        </w:rPr>
        <w:t xml:space="preserve"> </w:t>
      </w:r>
      <w:r w:rsidR="004660F0" w:rsidRPr="0002056A">
        <w:rPr>
          <w:rFonts w:ascii="Georgia" w:hAnsi="Georgia"/>
          <w:lang w:val="en-GB"/>
        </w:rPr>
        <w:t>according to this framework</w:t>
      </w:r>
      <w:r w:rsidR="00314E2A">
        <w:rPr>
          <w:rFonts w:ascii="Georgia" w:hAnsi="Georgia"/>
          <w:lang w:val="en-GB"/>
        </w:rPr>
        <w:t>,</w:t>
      </w:r>
      <w:r w:rsidR="004660F0" w:rsidRPr="0002056A">
        <w:rPr>
          <w:rFonts w:ascii="Georgia" w:hAnsi="Georgia"/>
          <w:lang w:val="en-GB"/>
        </w:rPr>
        <w:t xml:space="preserve"> the spatial performance of </w:t>
      </w:r>
      <w:r w:rsidR="00314E2A">
        <w:rPr>
          <w:rFonts w:ascii="Georgia" w:hAnsi="Georgia"/>
          <w:lang w:val="en-GB"/>
        </w:rPr>
        <w:t>national-level</w:t>
      </w:r>
      <w:r w:rsidR="004660F0" w:rsidRPr="0002056A">
        <w:rPr>
          <w:rFonts w:ascii="Georgia" w:hAnsi="Georgia"/>
          <w:lang w:val="en-GB"/>
        </w:rPr>
        <w:t xml:space="preserve"> adaptation policy planning instruments in </w:t>
      </w:r>
      <w:r w:rsidR="006D6C0F" w:rsidRPr="0002056A">
        <w:rPr>
          <w:rFonts w:ascii="Georgia" w:hAnsi="Georgia"/>
          <w:lang w:val="en-GB"/>
        </w:rPr>
        <w:t xml:space="preserve">38 </w:t>
      </w:r>
      <w:r w:rsidR="004660F0" w:rsidRPr="0002056A">
        <w:rPr>
          <w:rFonts w:ascii="Georgia" w:hAnsi="Georgia"/>
          <w:lang w:val="en-GB"/>
        </w:rPr>
        <w:t xml:space="preserve">European countries. To implement this, a </w:t>
      </w:r>
      <w:r w:rsidR="00027F25" w:rsidRPr="0002056A">
        <w:rPr>
          <w:rFonts w:ascii="Georgia" w:hAnsi="Georgia"/>
          <w:lang w:val="en-GB"/>
        </w:rPr>
        <w:t xml:space="preserve">set of analytical criteria </w:t>
      </w:r>
      <w:r w:rsidR="004660F0" w:rsidRPr="0002056A">
        <w:rPr>
          <w:rFonts w:ascii="Georgia" w:hAnsi="Georgia"/>
          <w:lang w:val="en-GB"/>
        </w:rPr>
        <w:t>was set up</w:t>
      </w:r>
      <w:r w:rsidR="00BD3584" w:rsidRPr="0002056A">
        <w:rPr>
          <w:rFonts w:ascii="Georgia" w:hAnsi="Georgia"/>
          <w:lang w:val="en-GB"/>
        </w:rPr>
        <w:t>, analysing the national adaptation polic</w:t>
      </w:r>
      <w:r w:rsidR="007B017A" w:rsidRPr="0002056A">
        <w:rPr>
          <w:rFonts w:ascii="Georgia" w:hAnsi="Georgia"/>
          <w:lang w:val="en-GB"/>
        </w:rPr>
        <w:t>y planning activities</w:t>
      </w:r>
      <w:r w:rsidR="00F110BE" w:rsidRPr="0002056A">
        <w:rPr>
          <w:rFonts w:ascii="Georgia" w:hAnsi="Georgia"/>
          <w:lang w:val="en-GB"/>
        </w:rPr>
        <w:t>’</w:t>
      </w:r>
      <w:r w:rsidR="00BD3584" w:rsidRPr="0002056A">
        <w:rPr>
          <w:rFonts w:ascii="Georgia" w:hAnsi="Georgia"/>
          <w:lang w:val="en-GB"/>
        </w:rPr>
        <w:t xml:space="preserve"> general spatial approach, </w:t>
      </w:r>
      <w:r w:rsidR="00192745" w:rsidRPr="0002056A">
        <w:rPr>
          <w:rFonts w:ascii="Georgia" w:hAnsi="Georgia"/>
          <w:lang w:val="en-GB"/>
        </w:rPr>
        <w:t xml:space="preserve">the </w:t>
      </w:r>
      <w:r w:rsidR="00BD3584" w:rsidRPr="0002056A">
        <w:rPr>
          <w:rFonts w:ascii="Georgia" w:hAnsi="Georgia"/>
          <w:lang w:val="en-GB"/>
        </w:rPr>
        <w:t>national adaptation strategies’ spatial performance throughout their situation analyses, visions and objective systems</w:t>
      </w:r>
      <w:r w:rsidR="00240109" w:rsidRPr="0002056A">
        <w:rPr>
          <w:rFonts w:ascii="Georgia" w:hAnsi="Georgia"/>
          <w:lang w:val="en-GB"/>
        </w:rPr>
        <w:t xml:space="preserve">, </w:t>
      </w:r>
      <w:r w:rsidR="00F110BE" w:rsidRPr="0002056A">
        <w:rPr>
          <w:rFonts w:ascii="Georgia" w:hAnsi="Georgia"/>
          <w:lang w:val="en-GB"/>
        </w:rPr>
        <w:t>the</w:t>
      </w:r>
      <w:r w:rsidR="002F1806" w:rsidRPr="0002056A">
        <w:rPr>
          <w:rFonts w:ascii="Georgia" w:hAnsi="Georgia"/>
          <w:lang w:val="en-GB"/>
        </w:rPr>
        <w:t xml:space="preserve"> emergence of inter- and transnational spatial </w:t>
      </w:r>
      <w:r w:rsidR="00216AD0" w:rsidRPr="0002056A">
        <w:rPr>
          <w:rFonts w:ascii="Georgia" w:hAnsi="Georgia"/>
          <w:lang w:val="en-GB"/>
        </w:rPr>
        <w:t>dimensions</w:t>
      </w:r>
      <w:r w:rsidR="002F1806" w:rsidRPr="0002056A">
        <w:rPr>
          <w:rFonts w:ascii="Georgia" w:hAnsi="Georgia"/>
          <w:lang w:val="en-GB"/>
        </w:rPr>
        <w:t xml:space="preserve"> in them</w:t>
      </w:r>
      <w:r w:rsidR="00240109" w:rsidRPr="0002056A">
        <w:rPr>
          <w:rFonts w:ascii="Georgia" w:hAnsi="Georgia"/>
          <w:lang w:val="en-GB"/>
        </w:rPr>
        <w:t xml:space="preserve"> </w:t>
      </w:r>
      <w:r w:rsidR="00BD3584" w:rsidRPr="0002056A">
        <w:rPr>
          <w:rFonts w:ascii="Georgia" w:hAnsi="Georgia"/>
          <w:lang w:val="en-GB"/>
        </w:rPr>
        <w:t xml:space="preserve">and </w:t>
      </w:r>
      <w:r w:rsidR="002F1806" w:rsidRPr="0002056A">
        <w:rPr>
          <w:rFonts w:ascii="Georgia" w:hAnsi="Georgia"/>
          <w:lang w:val="en-GB"/>
        </w:rPr>
        <w:t xml:space="preserve">their </w:t>
      </w:r>
      <w:r w:rsidR="00240109" w:rsidRPr="0002056A">
        <w:rPr>
          <w:rFonts w:ascii="Georgia" w:hAnsi="Georgia"/>
          <w:lang w:val="en-GB"/>
        </w:rPr>
        <w:t xml:space="preserve">coherence with European and national level spatial policy </w:t>
      </w:r>
      <w:r w:rsidR="00192745" w:rsidRPr="0002056A">
        <w:rPr>
          <w:rFonts w:ascii="Georgia" w:hAnsi="Georgia"/>
          <w:lang w:val="en-GB"/>
        </w:rPr>
        <w:t>priorities</w:t>
      </w:r>
      <w:r w:rsidR="002F1806" w:rsidRPr="0002056A">
        <w:rPr>
          <w:rFonts w:ascii="Georgia" w:hAnsi="Georgia"/>
          <w:lang w:val="en-GB"/>
        </w:rPr>
        <w:t xml:space="preserve">. The analytical aspect system covers also </w:t>
      </w:r>
      <w:r w:rsidR="00BD594F" w:rsidRPr="0002056A">
        <w:rPr>
          <w:rFonts w:ascii="Georgia" w:hAnsi="Georgia"/>
          <w:lang w:val="en-GB"/>
        </w:rPr>
        <w:t xml:space="preserve">the appearance of spatiality in </w:t>
      </w:r>
      <w:r w:rsidR="00240109" w:rsidRPr="0002056A">
        <w:rPr>
          <w:rFonts w:ascii="Georgia" w:hAnsi="Georgia"/>
          <w:lang w:val="en-GB"/>
        </w:rPr>
        <w:t xml:space="preserve">national adaptation action plans’ measure systems, </w:t>
      </w:r>
      <w:r w:rsidR="002A145C" w:rsidRPr="0002056A">
        <w:rPr>
          <w:rFonts w:ascii="Georgia" w:hAnsi="Georgia"/>
          <w:lang w:val="en-GB"/>
        </w:rPr>
        <w:t>and spatial emphas</w:t>
      </w:r>
      <w:r w:rsidR="00192745" w:rsidRPr="0002056A">
        <w:rPr>
          <w:rFonts w:ascii="Georgia" w:hAnsi="Georgia"/>
          <w:lang w:val="en-GB"/>
        </w:rPr>
        <w:t>es</w:t>
      </w:r>
      <w:r w:rsidR="002A145C" w:rsidRPr="0002056A">
        <w:rPr>
          <w:rFonts w:ascii="Georgia" w:hAnsi="Georgia"/>
          <w:lang w:val="en-GB"/>
        </w:rPr>
        <w:t xml:space="preserve"> in the monitoring and evaluation methodological background documents and </w:t>
      </w:r>
      <w:r w:rsidR="00BD594F" w:rsidRPr="0002056A">
        <w:rPr>
          <w:rFonts w:ascii="Georgia" w:hAnsi="Georgia"/>
          <w:lang w:val="en-GB"/>
        </w:rPr>
        <w:t>a</w:t>
      </w:r>
      <w:r w:rsidR="002A145C" w:rsidRPr="0002056A">
        <w:rPr>
          <w:rFonts w:ascii="Georgia" w:hAnsi="Georgia"/>
          <w:lang w:val="en-GB"/>
        </w:rPr>
        <w:t>c</w:t>
      </w:r>
      <w:r w:rsidR="00BD594F" w:rsidRPr="0002056A">
        <w:rPr>
          <w:rFonts w:ascii="Georgia" w:hAnsi="Georgia"/>
          <w:lang w:val="en-GB"/>
        </w:rPr>
        <w:t>tual</w:t>
      </w:r>
      <w:r w:rsidR="002A145C" w:rsidRPr="0002056A">
        <w:rPr>
          <w:rFonts w:ascii="Georgia" w:hAnsi="Georgia"/>
          <w:lang w:val="en-GB"/>
        </w:rPr>
        <w:t xml:space="preserve"> monitoring and evaluation reports of the</w:t>
      </w:r>
      <w:r w:rsidR="00192745" w:rsidRPr="0002056A">
        <w:rPr>
          <w:rFonts w:ascii="Georgia" w:hAnsi="Georgia"/>
          <w:lang w:val="en-GB"/>
        </w:rPr>
        <w:t xml:space="preserve"> analysed</w:t>
      </w:r>
      <w:r w:rsidR="002A145C" w:rsidRPr="0002056A">
        <w:rPr>
          <w:rFonts w:ascii="Georgia" w:hAnsi="Georgia"/>
          <w:lang w:val="en-GB"/>
        </w:rPr>
        <w:t xml:space="preserve"> countries.</w:t>
      </w:r>
    </w:p>
    <w:p w14:paraId="7E68235B" w14:textId="6DE5F881" w:rsidR="00DF46BD" w:rsidRPr="0002056A" w:rsidRDefault="002A145C" w:rsidP="00F00409">
      <w:pPr>
        <w:spacing w:before="120" w:after="120"/>
        <w:jc w:val="both"/>
        <w:rPr>
          <w:rFonts w:ascii="Georgia" w:hAnsi="Georgia"/>
          <w:lang w:val="en-GB"/>
        </w:rPr>
      </w:pPr>
      <w:r w:rsidRPr="0002056A">
        <w:rPr>
          <w:rFonts w:ascii="Georgia" w:hAnsi="Georgia"/>
          <w:lang w:val="en-GB"/>
        </w:rPr>
        <w:lastRenderedPageBreak/>
        <w:t>Regardin</w:t>
      </w:r>
      <w:r w:rsidR="001F7B8B" w:rsidRPr="0002056A">
        <w:rPr>
          <w:rFonts w:ascii="Georgia" w:hAnsi="Georgia"/>
          <w:lang w:val="en-GB"/>
        </w:rPr>
        <w:t>g</w:t>
      </w:r>
      <w:r w:rsidRPr="0002056A">
        <w:rPr>
          <w:rFonts w:ascii="Georgia" w:hAnsi="Georgia"/>
          <w:lang w:val="en-GB"/>
        </w:rPr>
        <w:t xml:space="preserve"> the main outcomes, as the </w:t>
      </w:r>
      <w:r w:rsidR="00FE1064" w:rsidRPr="0002056A">
        <w:rPr>
          <w:rFonts w:ascii="Georgia" w:hAnsi="Georgia"/>
          <w:lang w:val="en-GB"/>
        </w:rPr>
        <w:t>6.1.</w:t>
      </w:r>
      <w:r w:rsidRPr="0002056A">
        <w:rPr>
          <w:rFonts w:ascii="Georgia" w:hAnsi="Georgia"/>
          <w:lang w:val="en-GB"/>
        </w:rPr>
        <w:t xml:space="preserve"> </w:t>
      </w:r>
      <w:r w:rsidR="00BC3527" w:rsidRPr="0002056A">
        <w:rPr>
          <w:rFonts w:ascii="Georgia" w:hAnsi="Georgia"/>
          <w:lang w:val="en-GB"/>
        </w:rPr>
        <w:t>subchapter</w:t>
      </w:r>
      <w:r w:rsidRPr="0002056A">
        <w:rPr>
          <w:rFonts w:ascii="Georgia" w:hAnsi="Georgia"/>
          <w:lang w:val="en-GB"/>
        </w:rPr>
        <w:t xml:space="preserve"> </w:t>
      </w:r>
      <w:r w:rsidR="00FE1064" w:rsidRPr="0002056A">
        <w:rPr>
          <w:rFonts w:ascii="Georgia" w:hAnsi="Georgia"/>
          <w:lang w:val="en-GB"/>
        </w:rPr>
        <w:t xml:space="preserve">has already </w:t>
      </w:r>
      <w:r w:rsidRPr="0002056A">
        <w:rPr>
          <w:rFonts w:ascii="Georgia" w:hAnsi="Georgia"/>
          <w:lang w:val="en-GB"/>
        </w:rPr>
        <w:t xml:space="preserve">introduced, </w:t>
      </w:r>
      <w:r w:rsidR="00F379F5" w:rsidRPr="0002056A">
        <w:rPr>
          <w:rFonts w:ascii="Georgia" w:hAnsi="Georgia"/>
          <w:lang w:val="en-GB"/>
        </w:rPr>
        <w:t>the strongest spatial performances could be observed in the Western</w:t>
      </w:r>
      <w:r w:rsidR="00314E2A">
        <w:rPr>
          <w:rFonts w:ascii="Georgia" w:hAnsi="Georgia"/>
          <w:lang w:val="en-GB"/>
        </w:rPr>
        <w:t xml:space="preserve"> </w:t>
      </w:r>
      <w:r w:rsidR="000C490D" w:rsidRPr="0002056A">
        <w:rPr>
          <w:rFonts w:ascii="Georgia" w:hAnsi="Georgia"/>
          <w:lang w:val="en-GB"/>
        </w:rPr>
        <w:t xml:space="preserve">European </w:t>
      </w:r>
      <w:r w:rsidR="00F379F5" w:rsidRPr="0002056A">
        <w:rPr>
          <w:rFonts w:ascii="Georgia" w:hAnsi="Georgia"/>
          <w:lang w:val="en-GB"/>
        </w:rPr>
        <w:t>(</w:t>
      </w:r>
      <w:r w:rsidR="00FE1064" w:rsidRPr="0002056A">
        <w:rPr>
          <w:rFonts w:ascii="Georgia" w:hAnsi="Georgia"/>
          <w:i/>
          <w:iCs/>
          <w:lang w:val="en-GB"/>
        </w:rPr>
        <w:t xml:space="preserve">Austria, The Netherlands, Scotland, France, </w:t>
      </w:r>
      <w:r w:rsidR="0010335F" w:rsidRPr="0002056A">
        <w:rPr>
          <w:rFonts w:ascii="Georgia" w:hAnsi="Georgia"/>
          <w:i/>
          <w:iCs/>
          <w:lang w:val="en-GB"/>
        </w:rPr>
        <w:t xml:space="preserve">Germany, </w:t>
      </w:r>
      <w:r w:rsidR="00FE1064" w:rsidRPr="0002056A">
        <w:rPr>
          <w:rFonts w:ascii="Georgia" w:hAnsi="Georgia"/>
          <w:i/>
          <w:iCs/>
          <w:lang w:val="en-GB"/>
        </w:rPr>
        <w:t>Switzerland, England</w:t>
      </w:r>
      <w:r w:rsidR="00614FF5" w:rsidRPr="0002056A">
        <w:rPr>
          <w:rFonts w:ascii="Georgia" w:hAnsi="Georgia"/>
          <w:lang w:val="en-GB"/>
        </w:rPr>
        <w:t xml:space="preserve">) </w:t>
      </w:r>
      <w:r w:rsidR="00F379F5" w:rsidRPr="0002056A">
        <w:rPr>
          <w:rFonts w:ascii="Georgia" w:hAnsi="Georgia"/>
          <w:lang w:val="en-GB"/>
        </w:rPr>
        <w:t>countries</w:t>
      </w:r>
      <w:r w:rsidR="00614FF5" w:rsidRPr="0002056A">
        <w:rPr>
          <w:rFonts w:ascii="Georgia" w:hAnsi="Georgia"/>
          <w:lang w:val="en-GB"/>
        </w:rPr>
        <w:t xml:space="preserve">. These </w:t>
      </w:r>
      <w:r w:rsidR="0045028E" w:rsidRPr="0002056A">
        <w:rPr>
          <w:rFonts w:ascii="Georgia" w:hAnsi="Georgia"/>
          <w:lang w:val="en-GB"/>
        </w:rPr>
        <w:t>state</w:t>
      </w:r>
      <w:r w:rsidR="00614FF5" w:rsidRPr="0002056A">
        <w:rPr>
          <w:rFonts w:ascii="Georgia" w:hAnsi="Georgia"/>
          <w:lang w:val="en-GB"/>
        </w:rPr>
        <w:t xml:space="preserve">s </w:t>
      </w:r>
      <w:r w:rsidR="00DE291C" w:rsidRPr="0002056A">
        <w:rPr>
          <w:rFonts w:ascii="Georgia" w:hAnsi="Georgia"/>
          <w:lang w:val="en-GB"/>
        </w:rPr>
        <w:t xml:space="preserve">have great </w:t>
      </w:r>
      <w:r w:rsidR="001D7312" w:rsidRPr="0002056A">
        <w:rPr>
          <w:rFonts w:ascii="Georgia" w:hAnsi="Georgia"/>
          <w:lang w:val="en-GB"/>
        </w:rPr>
        <w:t>tradition</w:t>
      </w:r>
      <w:r w:rsidR="00DE291C" w:rsidRPr="0002056A">
        <w:rPr>
          <w:rFonts w:ascii="Georgia" w:hAnsi="Georgia"/>
          <w:lang w:val="en-GB"/>
        </w:rPr>
        <w:t>s</w:t>
      </w:r>
      <w:r w:rsidR="001D7312" w:rsidRPr="0002056A">
        <w:rPr>
          <w:rFonts w:ascii="Georgia" w:hAnsi="Georgia"/>
          <w:lang w:val="en-GB"/>
        </w:rPr>
        <w:t xml:space="preserve"> </w:t>
      </w:r>
      <w:r w:rsidR="00DE291C" w:rsidRPr="0002056A">
        <w:rPr>
          <w:rFonts w:ascii="Georgia" w:hAnsi="Georgia"/>
          <w:lang w:val="en-GB"/>
        </w:rPr>
        <w:t xml:space="preserve">in physical </w:t>
      </w:r>
      <w:r w:rsidR="000803C1" w:rsidRPr="0002056A">
        <w:rPr>
          <w:rFonts w:ascii="Georgia" w:hAnsi="Georgia"/>
          <w:lang w:val="en-GB"/>
        </w:rPr>
        <w:t>and/</w:t>
      </w:r>
      <w:r w:rsidR="00DE291C" w:rsidRPr="0002056A">
        <w:rPr>
          <w:rFonts w:ascii="Georgia" w:hAnsi="Georgia"/>
          <w:lang w:val="en-GB"/>
        </w:rPr>
        <w:t>or development</w:t>
      </w:r>
      <w:r w:rsidR="0045028E" w:rsidRPr="0002056A">
        <w:rPr>
          <w:rFonts w:ascii="Georgia" w:hAnsi="Georgia"/>
          <w:lang w:val="en-GB"/>
        </w:rPr>
        <w:t xml:space="preserve"> </w:t>
      </w:r>
      <w:r w:rsidR="00DE291C" w:rsidRPr="0002056A">
        <w:rPr>
          <w:rFonts w:ascii="Georgia" w:hAnsi="Georgia"/>
          <w:lang w:val="en-GB"/>
        </w:rPr>
        <w:t xml:space="preserve">policy-oriented </w:t>
      </w:r>
      <w:r w:rsidR="001D7312" w:rsidRPr="0002056A">
        <w:rPr>
          <w:rFonts w:ascii="Georgia" w:hAnsi="Georgia"/>
          <w:lang w:val="en-GB"/>
        </w:rPr>
        <w:t>spati</w:t>
      </w:r>
      <w:r w:rsidR="00614FF5" w:rsidRPr="0002056A">
        <w:rPr>
          <w:rFonts w:ascii="Georgia" w:hAnsi="Georgia"/>
          <w:lang w:val="en-GB"/>
        </w:rPr>
        <w:t>a</w:t>
      </w:r>
      <w:r w:rsidR="001D7312" w:rsidRPr="0002056A">
        <w:rPr>
          <w:rFonts w:ascii="Georgia" w:hAnsi="Georgia"/>
          <w:lang w:val="en-GB"/>
        </w:rPr>
        <w:t xml:space="preserve">l </w:t>
      </w:r>
      <w:r w:rsidR="00DE291C" w:rsidRPr="0002056A">
        <w:rPr>
          <w:rFonts w:ascii="Georgia" w:hAnsi="Georgia"/>
          <w:lang w:val="en-GB"/>
        </w:rPr>
        <w:t xml:space="preserve">planning and </w:t>
      </w:r>
      <w:r w:rsidR="00314E2A">
        <w:rPr>
          <w:rFonts w:ascii="Georgia" w:hAnsi="Georgia"/>
          <w:lang w:val="en-GB"/>
        </w:rPr>
        <w:t xml:space="preserve">relatively great experience in adaptation planning, having already implemented 2-3 complete adaptation planning cycles, even with evaluations, and started to develop MRE systems or have </w:t>
      </w:r>
      <w:r w:rsidR="001D7312" w:rsidRPr="0002056A">
        <w:rPr>
          <w:rFonts w:ascii="Georgia" w:hAnsi="Georgia"/>
          <w:lang w:val="en-GB"/>
        </w:rPr>
        <w:t>already made their system operational</w:t>
      </w:r>
      <w:r w:rsidR="006D09B5" w:rsidRPr="0002056A">
        <w:rPr>
          <w:rFonts w:ascii="Georgia" w:hAnsi="Georgia"/>
          <w:lang w:val="en-GB"/>
        </w:rPr>
        <w:t xml:space="preserve">. </w:t>
      </w:r>
      <w:r w:rsidR="001F7B8B" w:rsidRPr="0002056A">
        <w:rPr>
          <w:rFonts w:ascii="Georgia" w:hAnsi="Georgia"/>
          <w:lang w:val="en-GB"/>
        </w:rPr>
        <w:t xml:space="preserve">As for the group of </w:t>
      </w:r>
      <w:r w:rsidR="00027F25" w:rsidRPr="0002056A">
        <w:rPr>
          <w:rFonts w:ascii="Georgia" w:hAnsi="Georgia"/>
          <w:lang w:val="en-GB"/>
        </w:rPr>
        <w:t>followers</w:t>
      </w:r>
      <w:r w:rsidR="00314E2A">
        <w:rPr>
          <w:rFonts w:ascii="Georgia" w:hAnsi="Georgia"/>
          <w:lang w:val="en-GB"/>
        </w:rPr>
        <w:t>,</w:t>
      </w:r>
      <w:r w:rsidR="001F7B8B" w:rsidRPr="0002056A">
        <w:rPr>
          <w:rFonts w:ascii="Georgia" w:hAnsi="Georgia"/>
          <w:lang w:val="en-GB"/>
        </w:rPr>
        <w:t xml:space="preserve"> we can find here Eastern-Central (</w:t>
      </w:r>
      <w:r w:rsidR="00F254B8" w:rsidRPr="0002056A">
        <w:rPr>
          <w:rFonts w:ascii="Georgia" w:hAnsi="Georgia"/>
          <w:i/>
          <w:iCs/>
          <w:lang w:val="en-GB"/>
        </w:rPr>
        <w:t xml:space="preserve">Poland, </w:t>
      </w:r>
      <w:r w:rsidR="001F7B8B" w:rsidRPr="0002056A">
        <w:rPr>
          <w:rFonts w:ascii="Georgia" w:hAnsi="Georgia"/>
          <w:i/>
          <w:iCs/>
          <w:lang w:val="en-GB"/>
        </w:rPr>
        <w:t>Hungary, Lithuania</w:t>
      </w:r>
      <w:r w:rsidR="00F7492C" w:rsidRPr="0002056A">
        <w:rPr>
          <w:rFonts w:ascii="Georgia" w:hAnsi="Georgia"/>
          <w:lang w:val="en-GB"/>
        </w:rPr>
        <w:t xml:space="preserve">) </w:t>
      </w:r>
      <w:r w:rsidR="001F7B8B" w:rsidRPr="0002056A">
        <w:rPr>
          <w:rFonts w:ascii="Georgia" w:hAnsi="Georgia"/>
          <w:lang w:val="en-GB"/>
        </w:rPr>
        <w:t xml:space="preserve">and Southern-European </w:t>
      </w:r>
      <w:r w:rsidR="00F7492C" w:rsidRPr="0002056A">
        <w:rPr>
          <w:rFonts w:ascii="Georgia" w:hAnsi="Georgia"/>
          <w:lang w:val="en-GB"/>
        </w:rPr>
        <w:t>(</w:t>
      </w:r>
      <w:r w:rsidR="00E37EB5" w:rsidRPr="0002056A">
        <w:rPr>
          <w:rFonts w:ascii="Georgia" w:hAnsi="Georgia"/>
          <w:i/>
          <w:iCs/>
          <w:lang w:val="en-GB"/>
        </w:rPr>
        <w:t xml:space="preserve">Türkiye, </w:t>
      </w:r>
      <w:r w:rsidR="00F7492C" w:rsidRPr="0002056A">
        <w:rPr>
          <w:rFonts w:ascii="Georgia" w:hAnsi="Georgia"/>
          <w:i/>
          <w:iCs/>
          <w:lang w:val="en-GB"/>
        </w:rPr>
        <w:t>Spain, Portugal, Greece, Italy</w:t>
      </w:r>
      <w:r w:rsidR="008274D7" w:rsidRPr="0002056A">
        <w:rPr>
          <w:rFonts w:ascii="Georgia" w:hAnsi="Georgia"/>
          <w:i/>
          <w:iCs/>
          <w:lang w:val="en-GB"/>
        </w:rPr>
        <w:t>, Bosnia</w:t>
      </w:r>
      <w:r w:rsidR="00F7492C" w:rsidRPr="0002056A">
        <w:rPr>
          <w:rFonts w:ascii="Georgia" w:hAnsi="Georgia"/>
          <w:lang w:val="en-GB"/>
        </w:rPr>
        <w:t xml:space="preserve">) </w:t>
      </w:r>
      <w:r w:rsidR="001F7B8B" w:rsidRPr="0002056A">
        <w:rPr>
          <w:rFonts w:ascii="Georgia" w:hAnsi="Georgia"/>
          <w:lang w:val="en-GB"/>
        </w:rPr>
        <w:t>countries, too</w:t>
      </w:r>
      <w:r w:rsidR="00DD5750" w:rsidRPr="0002056A">
        <w:rPr>
          <w:rFonts w:ascii="Georgia" w:hAnsi="Georgia"/>
          <w:lang w:val="en-GB"/>
        </w:rPr>
        <w:t xml:space="preserve">, thanks </w:t>
      </w:r>
      <w:r w:rsidR="00314E2A">
        <w:rPr>
          <w:rFonts w:ascii="Georgia" w:hAnsi="Georgia"/>
          <w:lang w:val="en-GB"/>
        </w:rPr>
        <w:t>to</w:t>
      </w:r>
      <w:r w:rsidR="00314E2A" w:rsidRPr="0002056A">
        <w:rPr>
          <w:rFonts w:ascii="Georgia" w:hAnsi="Georgia"/>
          <w:lang w:val="en-GB"/>
        </w:rPr>
        <w:t xml:space="preserve"> </w:t>
      </w:r>
      <w:r w:rsidR="00DD5750" w:rsidRPr="0002056A">
        <w:rPr>
          <w:rFonts w:ascii="Georgia" w:hAnsi="Georgia"/>
          <w:lang w:val="en-GB"/>
        </w:rPr>
        <w:t xml:space="preserve">their relatively well-performing NAS </w:t>
      </w:r>
      <w:r w:rsidR="00027F25" w:rsidRPr="0002056A">
        <w:rPr>
          <w:rFonts w:ascii="Georgia" w:hAnsi="Georgia"/>
          <w:lang w:val="en-GB"/>
        </w:rPr>
        <w:t>situ</w:t>
      </w:r>
      <w:r w:rsidR="00DD5750" w:rsidRPr="0002056A">
        <w:rPr>
          <w:rFonts w:ascii="Georgia" w:hAnsi="Georgia"/>
          <w:lang w:val="en-GB"/>
        </w:rPr>
        <w:t>ation</w:t>
      </w:r>
      <w:r w:rsidR="00027F25" w:rsidRPr="0002056A">
        <w:rPr>
          <w:rFonts w:ascii="Georgia" w:hAnsi="Georgia"/>
          <w:lang w:val="en-GB"/>
        </w:rPr>
        <w:t xml:space="preserve"> ana</w:t>
      </w:r>
      <w:r w:rsidR="00DD5750" w:rsidRPr="0002056A">
        <w:rPr>
          <w:rFonts w:ascii="Georgia" w:hAnsi="Georgia"/>
          <w:lang w:val="en-GB"/>
        </w:rPr>
        <w:t>lyses</w:t>
      </w:r>
      <w:r w:rsidR="00990EED" w:rsidRPr="0002056A">
        <w:rPr>
          <w:rFonts w:ascii="Georgia" w:hAnsi="Georgia"/>
          <w:lang w:val="en-GB"/>
        </w:rPr>
        <w:t xml:space="preserve"> (Easterners)</w:t>
      </w:r>
      <w:r w:rsidR="00027F25" w:rsidRPr="0002056A">
        <w:rPr>
          <w:rFonts w:ascii="Georgia" w:hAnsi="Georgia"/>
          <w:lang w:val="en-GB"/>
        </w:rPr>
        <w:t xml:space="preserve">, </w:t>
      </w:r>
      <w:r w:rsidR="0057401C" w:rsidRPr="0002056A">
        <w:rPr>
          <w:rFonts w:ascii="Georgia" w:hAnsi="Georgia"/>
          <w:lang w:val="en-GB"/>
        </w:rPr>
        <w:t xml:space="preserve">or </w:t>
      </w:r>
      <w:r w:rsidR="00DD5750" w:rsidRPr="0002056A">
        <w:rPr>
          <w:rFonts w:ascii="Georgia" w:hAnsi="Georgia"/>
          <w:lang w:val="en-GB"/>
        </w:rPr>
        <w:t>international spatial outlook</w:t>
      </w:r>
      <w:r w:rsidR="00990EED" w:rsidRPr="0002056A">
        <w:rPr>
          <w:rFonts w:ascii="Georgia" w:hAnsi="Georgia"/>
          <w:lang w:val="en-GB"/>
        </w:rPr>
        <w:t xml:space="preserve"> </w:t>
      </w:r>
      <w:r w:rsidR="0057401C" w:rsidRPr="0002056A">
        <w:rPr>
          <w:rFonts w:ascii="Georgia" w:hAnsi="Georgia"/>
          <w:lang w:val="en-GB"/>
        </w:rPr>
        <w:t xml:space="preserve">content </w:t>
      </w:r>
      <w:r w:rsidR="00990EED" w:rsidRPr="0002056A">
        <w:rPr>
          <w:rFonts w:ascii="Georgia" w:hAnsi="Georgia"/>
          <w:lang w:val="en-GB"/>
        </w:rPr>
        <w:t xml:space="preserve">and coherence with European/national </w:t>
      </w:r>
      <w:r w:rsidR="00027F25" w:rsidRPr="0002056A">
        <w:rPr>
          <w:rFonts w:ascii="Georgia" w:hAnsi="Georgia"/>
          <w:lang w:val="en-GB"/>
        </w:rPr>
        <w:t>reg</w:t>
      </w:r>
      <w:r w:rsidR="00990EED" w:rsidRPr="0002056A">
        <w:rPr>
          <w:rFonts w:ascii="Georgia" w:hAnsi="Georgia"/>
          <w:lang w:val="en-GB"/>
        </w:rPr>
        <w:t xml:space="preserve">ional </w:t>
      </w:r>
      <w:r w:rsidR="00027F25" w:rsidRPr="0002056A">
        <w:rPr>
          <w:rFonts w:ascii="Georgia" w:hAnsi="Georgia"/>
          <w:lang w:val="en-GB"/>
        </w:rPr>
        <w:t>dev</w:t>
      </w:r>
      <w:r w:rsidR="00990EED" w:rsidRPr="0002056A">
        <w:rPr>
          <w:rFonts w:ascii="Georgia" w:hAnsi="Georgia"/>
          <w:lang w:val="en-GB"/>
        </w:rPr>
        <w:t xml:space="preserve">elopment policy </w:t>
      </w:r>
      <w:r w:rsidR="0057401C" w:rsidRPr="0002056A">
        <w:rPr>
          <w:rFonts w:ascii="Georgia" w:hAnsi="Georgia"/>
          <w:lang w:val="en-GB"/>
        </w:rPr>
        <w:t>priorities (Southerners</w:t>
      </w:r>
      <w:r w:rsidR="00027F25" w:rsidRPr="0002056A">
        <w:rPr>
          <w:rFonts w:ascii="Georgia" w:hAnsi="Georgia"/>
          <w:lang w:val="en-GB"/>
        </w:rPr>
        <w:t>)</w:t>
      </w:r>
      <w:r w:rsidR="00990EED" w:rsidRPr="0002056A">
        <w:rPr>
          <w:rFonts w:ascii="Georgia" w:hAnsi="Georgia"/>
          <w:lang w:val="en-GB"/>
        </w:rPr>
        <w:t xml:space="preserve">. </w:t>
      </w:r>
      <w:r w:rsidR="00842FF6" w:rsidRPr="0002056A">
        <w:rPr>
          <w:rFonts w:ascii="Georgia" w:hAnsi="Georgia"/>
          <w:i/>
          <w:iCs/>
          <w:lang w:val="en-GB"/>
        </w:rPr>
        <w:t>Poland</w:t>
      </w:r>
      <w:r w:rsidR="00842FF6" w:rsidRPr="0002056A">
        <w:rPr>
          <w:rFonts w:ascii="Georgia" w:hAnsi="Georgia"/>
          <w:lang w:val="en-GB"/>
        </w:rPr>
        <w:t xml:space="preserve">’s and </w:t>
      </w:r>
      <w:r w:rsidR="00842FF6" w:rsidRPr="0002056A">
        <w:rPr>
          <w:rFonts w:ascii="Georgia" w:hAnsi="Georgia"/>
          <w:i/>
          <w:iCs/>
          <w:lang w:val="en-GB"/>
        </w:rPr>
        <w:t>Bosnia</w:t>
      </w:r>
      <w:r w:rsidR="00842FF6" w:rsidRPr="0002056A">
        <w:rPr>
          <w:rFonts w:ascii="Georgia" w:hAnsi="Georgia"/>
          <w:lang w:val="en-GB"/>
        </w:rPr>
        <w:t>’s great performance</w:t>
      </w:r>
      <w:r w:rsidR="00A32E66" w:rsidRPr="0002056A">
        <w:rPr>
          <w:rFonts w:ascii="Georgia" w:hAnsi="Georgia"/>
          <w:lang w:val="en-GB"/>
        </w:rPr>
        <w:t xml:space="preserve">, in addition, </w:t>
      </w:r>
      <w:r w:rsidR="00842FF6" w:rsidRPr="0002056A">
        <w:rPr>
          <w:rFonts w:ascii="Georgia" w:hAnsi="Georgia"/>
          <w:lang w:val="en-GB"/>
        </w:rPr>
        <w:t xml:space="preserve">can be explained </w:t>
      </w:r>
      <w:r w:rsidR="00314E2A">
        <w:rPr>
          <w:rFonts w:ascii="Georgia" w:hAnsi="Georgia"/>
          <w:lang w:val="en-GB"/>
        </w:rPr>
        <w:t xml:space="preserve">by their territorial administrative levels’ strong role in adaptation (in </w:t>
      </w:r>
      <w:r w:rsidR="00314E2A" w:rsidRPr="00ED11E2">
        <w:rPr>
          <w:rFonts w:ascii="Georgia" w:hAnsi="Georgia"/>
          <w:i/>
          <w:iCs/>
          <w:lang w:val="en-GB"/>
        </w:rPr>
        <w:t>Poland</w:t>
      </w:r>
      <w:r w:rsidR="00314E2A">
        <w:rPr>
          <w:rFonts w:ascii="Georgia" w:hAnsi="Georgia"/>
          <w:lang w:val="en-GB"/>
        </w:rPr>
        <w:t xml:space="preserve">, the voivodships, in </w:t>
      </w:r>
      <w:r w:rsidR="00314E2A" w:rsidRPr="00ED11E2">
        <w:rPr>
          <w:rFonts w:ascii="Georgia" w:hAnsi="Georgia"/>
          <w:i/>
          <w:iCs/>
          <w:lang w:val="en-GB"/>
        </w:rPr>
        <w:t>Bosnia</w:t>
      </w:r>
      <w:r w:rsidR="00314E2A">
        <w:rPr>
          <w:rFonts w:ascii="Georgia" w:hAnsi="Georgia"/>
          <w:lang w:val="en-GB"/>
        </w:rPr>
        <w:t>,</w:t>
      </w:r>
      <w:r w:rsidR="00E37EB5" w:rsidRPr="0002056A">
        <w:rPr>
          <w:rFonts w:ascii="Georgia" w:hAnsi="Georgia"/>
          <w:lang w:val="en-GB"/>
        </w:rPr>
        <w:t xml:space="preserve"> the </w:t>
      </w:r>
      <w:r w:rsidR="00A32E66" w:rsidRPr="0002056A">
        <w:rPr>
          <w:rFonts w:ascii="Georgia" w:hAnsi="Georgia"/>
          <w:lang w:val="en-GB"/>
        </w:rPr>
        <w:t>three</w:t>
      </w:r>
      <w:r w:rsidR="00E37EB5" w:rsidRPr="0002056A">
        <w:rPr>
          <w:rFonts w:ascii="Georgia" w:hAnsi="Georgia"/>
          <w:lang w:val="en-GB"/>
        </w:rPr>
        <w:t xml:space="preserve"> basic parts of the federation</w:t>
      </w:r>
      <w:r w:rsidR="00842FF6" w:rsidRPr="0002056A">
        <w:rPr>
          <w:rFonts w:ascii="Georgia" w:hAnsi="Georgia"/>
          <w:lang w:val="en-GB"/>
        </w:rPr>
        <w:t>), and the</w:t>
      </w:r>
      <w:r w:rsidR="00A32E66" w:rsidRPr="0002056A">
        <w:rPr>
          <w:rFonts w:ascii="Georgia" w:hAnsi="Georgia"/>
          <w:lang w:val="en-GB"/>
        </w:rPr>
        <w:t>ir</w:t>
      </w:r>
      <w:r w:rsidR="00842FF6" w:rsidRPr="0002056A">
        <w:rPr>
          <w:rFonts w:ascii="Georgia" w:hAnsi="Georgia"/>
          <w:lang w:val="en-GB"/>
        </w:rPr>
        <w:t xml:space="preserve"> generally balanced values in all analytical aspects, without any really outstanding results. </w:t>
      </w:r>
      <w:r w:rsidR="00842FF6" w:rsidRPr="0002056A">
        <w:rPr>
          <w:rFonts w:ascii="Georgia" w:hAnsi="Georgia"/>
          <w:i/>
          <w:iCs/>
          <w:lang w:val="en-GB"/>
        </w:rPr>
        <w:t>Lithuania</w:t>
      </w:r>
      <w:r w:rsidR="00842FF6" w:rsidRPr="0002056A">
        <w:rPr>
          <w:rFonts w:ascii="Georgia" w:hAnsi="Georgia"/>
          <w:lang w:val="en-GB"/>
        </w:rPr>
        <w:t xml:space="preserve"> performs </w:t>
      </w:r>
      <w:r w:rsidR="00A32E66" w:rsidRPr="0002056A">
        <w:rPr>
          <w:rFonts w:ascii="Georgia" w:hAnsi="Georgia"/>
          <w:lang w:val="en-GB"/>
        </w:rPr>
        <w:t xml:space="preserve">exceptionally </w:t>
      </w:r>
      <w:r w:rsidR="00842FF6" w:rsidRPr="0002056A">
        <w:rPr>
          <w:rFonts w:ascii="Georgia" w:hAnsi="Georgia"/>
          <w:lang w:val="en-GB"/>
        </w:rPr>
        <w:t xml:space="preserve">well in international aspects, </w:t>
      </w:r>
      <w:r w:rsidR="00314E2A">
        <w:rPr>
          <w:rFonts w:ascii="Georgia" w:hAnsi="Georgia"/>
          <w:i/>
          <w:iCs/>
          <w:lang w:val="en-GB"/>
        </w:rPr>
        <w:t xml:space="preserve">and Hungary </w:t>
      </w:r>
      <w:r w:rsidR="00314E2A" w:rsidRPr="00ED11E2">
        <w:rPr>
          <w:rFonts w:ascii="Georgia" w:hAnsi="Georgia"/>
          <w:lang w:val="en-GB"/>
        </w:rPr>
        <w:t>in its situation analysis’s</w:t>
      </w:r>
      <w:r w:rsidR="00842FF6" w:rsidRPr="0002056A">
        <w:rPr>
          <w:rFonts w:ascii="Georgia" w:hAnsi="Georgia"/>
          <w:lang w:val="en-GB"/>
        </w:rPr>
        <w:t xml:space="preserve"> spatiality</w:t>
      </w:r>
      <w:r w:rsidR="003E2667" w:rsidRPr="0002056A">
        <w:rPr>
          <w:rFonts w:ascii="Georgia" w:hAnsi="Georgia"/>
          <w:lang w:val="en-GB"/>
        </w:rPr>
        <w:t>.</w:t>
      </w:r>
      <w:r w:rsidR="00842FF6" w:rsidRPr="0002056A">
        <w:rPr>
          <w:rFonts w:ascii="Georgia" w:hAnsi="Georgia"/>
          <w:lang w:val="en-GB"/>
        </w:rPr>
        <w:t xml:space="preserve"> </w:t>
      </w:r>
      <w:r w:rsidR="00990EED" w:rsidRPr="0002056A">
        <w:rPr>
          <w:rFonts w:ascii="Georgia" w:hAnsi="Georgia"/>
          <w:lang w:val="en-GB"/>
        </w:rPr>
        <w:t xml:space="preserve">From </w:t>
      </w:r>
      <w:r w:rsidR="00694F47" w:rsidRPr="0002056A">
        <w:rPr>
          <w:rFonts w:ascii="Georgia" w:hAnsi="Georgia"/>
          <w:lang w:val="en-GB"/>
        </w:rPr>
        <w:t xml:space="preserve">the </w:t>
      </w:r>
      <w:r w:rsidR="00694F47" w:rsidRPr="0002056A">
        <w:rPr>
          <w:rFonts w:ascii="Georgia" w:hAnsi="Georgia"/>
          <w:i/>
          <w:iCs/>
          <w:lang w:val="en-GB"/>
        </w:rPr>
        <w:t>North</w:t>
      </w:r>
      <w:r w:rsidR="003F5431" w:rsidRPr="0002056A">
        <w:rPr>
          <w:rFonts w:ascii="Georgia" w:hAnsi="Georgia"/>
          <w:i/>
          <w:iCs/>
          <w:lang w:val="en-GB"/>
        </w:rPr>
        <w:t>-W</w:t>
      </w:r>
      <w:r w:rsidR="00694F47" w:rsidRPr="0002056A">
        <w:rPr>
          <w:rFonts w:ascii="Georgia" w:hAnsi="Georgia"/>
          <w:i/>
          <w:iCs/>
          <w:lang w:val="en-GB"/>
        </w:rPr>
        <w:t>estern</w:t>
      </w:r>
      <w:r w:rsidR="00694F47" w:rsidRPr="0002056A">
        <w:rPr>
          <w:rFonts w:ascii="Georgia" w:hAnsi="Georgia"/>
          <w:lang w:val="en-GB"/>
        </w:rPr>
        <w:t xml:space="preserve"> part of the continent, </w:t>
      </w:r>
      <w:r w:rsidR="00F254B8" w:rsidRPr="0002056A">
        <w:rPr>
          <w:rFonts w:ascii="Georgia" w:hAnsi="Georgia"/>
          <w:i/>
          <w:iCs/>
          <w:lang w:val="en-GB"/>
        </w:rPr>
        <w:t xml:space="preserve">Finland, Norway, </w:t>
      </w:r>
      <w:r w:rsidR="00276FDE" w:rsidRPr="0002056A">
        <w:rPr>
          <w:rFonts w:ascii="Georgia" w:hAnsi="Georgia"/>
          <w:i/>
          <w:iCs/>
          <w:lang w:val="en-GB"/>
        </w:rPr>
        <w:t xml:space="preserve">Sweden, </w:t>
      </w:r>
      <w:r w:rsidR="00694F47" w:rsidRPr="0002056A">
        <w:rPr>
          <w:rFonts w:ascii="Georgia" w:hAnsi="Georgia"/>
          <w:i/>
          <w:iCs/>
          <w:lang w:val="en-GB"/>
        </w:rPr>
        <w:t>Denmark</w:t>
      </w:r>
      <w:r w:rsidR="00694F47" w:rsidRPr="0002056A">
        <w:rPr>
          <w:rFonts w:ascii="Georgia" w:hAnsi="Georgia"/>
          <w:lang w:val="en-GB"/>
        </w:rPr>
        <w:t xml:space="preserve"> and </w:t>
      </w:r>
      <w:r w:rsidR="00314E2A">
        <w:rPr>
          <w:rFonts w:ascii="Georgia" w:hAnsi="Georgia"/>
          <w:i/>
          <w:iCs/>
          <w:lang w:val="en-GB"/>
        </w:rPr>
        <w:t xml:space="preserve">Northern Ireland </w:t>
      </w:r>
      <w:r w:rsidR="00314E2A" w:rsidRPr="00ED11E2">
        <w:rPr>
          <w:rFonts w:ascii="Georgia" w:hAnsi="Georgia"/>
          <w:lang w:val="en-GB"/>
        </w:rPr>
        <w:t>appear</w:t>
      </w:r>
      <w:r w:rsidR="00694F47" w:rsidRPr="00ED11E2">
        <w:rPr>
          <w:rFonts w:ascii="Georgia" w:hAnsi="Georgia"/>
          <w:lang w:val="en-GB"/>
        </w:rPr>
        <w:t xml:space="preserve"> in</w:t>
      </w:r>
      <w:r w:rsidR="00694F47" w:rsidRPr="0002056A">
        <w:rPr>
          <w:rFonts w:ascii="Georgia" w:hAnsi="Georgia"/>
          <w:lang w:val="en-GB"/>
        </w:rPr>
        <w:t xml:space="preserve"> this category</w:t>
      </w:r>
      <w:r w:rsidR="00577DE2" w:rsidRPr="0002056A">
        <w:rPr>
          <w:rFonts w:ascii="Georgia" w:hAnsi="Georgia"/>
          <w:lang w:val="en-GB"/>
        </w:rPr>
        <w:t>, too</w:t>
      </w:r>
      <w:r w:rsidR="00694F47" w:rsidRPr="0002056A">
        <w:rPr>
          <w:rFonts w:ascii="Georgia" w:hAnsi="Georgia"/>
          <w:lang w:val="en-GB"/>
        </w:rPr>
        <w:t>.</w:t>
      </w:r>
      <w:r w:rsidR="00C602C2" w:rsidRPr="0002056A">
        <w:rPr>
          <w:rFonts w:ascii="Georgia" w:hAnsi="Georgia"/>
          <w:lang w:val="en-GB"/>
        </w:rPr>
        <w:t xml:space="preserve"> </w:t>
      </w:r>
      <w:r w:rsidR="00694F47" w:rsidRPr="0002056A">
        <w:rPr>
          <w:rFonts w:ascii="Georgia" w:hAnsi="Georgia"/>
          <w:lang w:val="en-GB"/>
        </w:rPr>
        <w:t xml:space="preserve">The weakest performances </w:t>
      </w:r>
      <w:r w:rsidR="002F6FB7" w:rsidRPr="0002056A">
        <w:rPr>
          <w:rFonts w:ascii="Georgia" w:hAnsi="Georgia"/>
          <w:lang w:val="en-GB"/>
        </w:rPr>
        <w:t xml:space="preserve">were </w:t>
      </w:r>
      <w:r w:rsidR="00694F47" w:rsidRPr="0002056A">
        <w:rPr>
          <w:rFonts w:ascii="Georgia" w:hAnsi="Georgia"/>
          <w:lang w:val="en-GB"/>
        </w:rPr>
        <w:t xml:space="preserve">experienced in the </w:t>
      </w:r>
      <w:r w:rsidR="00694F47" w:rsidRPr="0002056A">
        <w:rPr>
          <w:rFonts w:ascii="Georgia" w:hAnsi="Georgia"/>
          <w:i/>
          <w:iCs/>
          <w:lang w:val="en-GB"/>
        </w:rPr>
        <w:t>South-Eastern</w:t>
      </w:r>
      <w:r w:rsidR="00556205" w:rsidRPr="0002056A">
        <w:rPr>
          <w:rFonts w:ascii="Georgia" w:hAnsi="Georgia"/>
          <w:i/>
          <w:iCs/>
          <w:lang w:val="en-GB"/>
        </w:rPr>
        <w:t xml:space="preserve"> European</w:t>
      </w:r>
      <w:r w:rsidR="00556205" w:rsidRPr="0002056A">
        <w:rPr>
          <w:rFonts w:ascii="Georgia" w:hAnsi="Georgia"/>
          <w:lang w:val="en-GB"/>
        </w:rPr>
        <w:t xml:space="preserve"> (</w:t>
      </w:r>
      <w:r w:rsidR="0047328A" w:rsidRPr="0002056A">
        <w:rPr>
          <w:rFonts w:ascii="Georgia" w:hAnsi="Georgia"/>
          <w:i/>
          <w:iCs/>
          <w:lang w:val="en-GB"/>
        </w:rPr>
        <w:t>North</w:t>
      </w:r>
      <w:r w:rsidR="00314E2A">
        <w:rPr>
          <w:rFonts w:ascii="Georgia" w:hAnsi="Georgia"/>
          <w:i/>
          <w:iCs/>
          <w:lang w:val="en-GB"/>
        </w:rPr>
        <w:t xml:space="preserve"> </w:t>
      </w:r>
      <w:r w:rsidR="0047328A" w:rsidRPr="0002056A">
        <w:rPr>
          <w:rFonts w:ascii="Georgia" w:hAnsi="Georgia"/>
          <w:i/>
          <w:iCs/>
          <w:lang w:val="en-GB"/>
        </w:rPr>
        <w:t>Macedonia, Montenegro, Albania, Kosovo, Slovakia</w:t>
      </w:r>
      <w:r w:rsidR="002F6FB7" w:rsidRPr="0002056A">
        <w:rPr>
          <w:rFonts w:ascii="Georgia" w:hAnsi="Georgia"/>
          <w:i/>
          <w:iCs/>
          <w:lang w:val="en-GB"/>
        </w:rPr>
        <w:t>, Bulgaria, Romania</w:t>
      </w:r>
      <w:r w:rsidR="00556205" w:rsidRPr="0002056A">
        <w:rPr>
          <w:rFonts w:ascii="Georgia" w:hAnsi="Georgia"/>
          <w:lang w:val="en-GB"/>
        </w:rPr>
        <w:t xml:space="preserve">) and smaller </w:t>
      </w:r>
      <w:r w:rsidR="00556205" w:rsidRPr="0002056A">
        <w:rPr>
          <w:rFonts w:ascii="Georgia" w:hAnsi="Georgia"/>
          <w:i/>
          <w:iCs/>
          <w:lang w:val="en-GB"/>
        </w:rPr>
        <w:t>South-European</w:t>
      </w:r>
      <w:r w:rsidR="00556205" w:rsidRPr="0002056A">
        <w:rPr>
          <w:rFonts w:ascii="Georgia" w:hAnsi="Georgia"/>
          <w:lang w:val="en-GB"/>
        </w:rPr>
        <w:t xml:space="preserve"> countries</w:t>
      </w:r>
      <w:r w:rsidR="0047328A" w:rsidRPr="0002056A">
        <w:rPr>
          <w:rFonts w:ascii="Georgia" w:hAnsi="Georgia"/>
          <w:lang w:val="en-GB"/>
        </w:rPr>
        <w:t xml:space="preserve"> (</w:t>
      </w:r>
      <w:r w:rsidR="0047328A" w:rsidRPr="0002056A">
        <w:rPr>
          <w:rFonts w:ascii="Georgia" w:hAnsi="Georgia"/>
          <w:i/>
          <w:iCs/>
          <w:lang w:val="en-GB"/>
        </w:rPr>
        <w:t>Malta, Cyprus</w:t>
      </w:r>
      <w:r w:rsidR="0047328A" w:rsidRPr="0002056A">
        <w:rPr>
          <w:rFonts w:ascii="Georgia" w:hAnsi="Georgia"/>
          <w:lang w:val="en-GB"/>
        </w:rPr>
        <w:t>)</w:t>
      </w:r>
      <w:r w:rsidR="00556205" w:rsidRPr="0002056A">
        <w:rPr>
          <w:rFonts w:ascii="Georgia" w:hAnsi="Georgia"/>
          <w:lang w:val="en-GB"/>
        </w:rPr>
        <w:t xml:space="preserve">, with some surprisingly weak results from other </w:t>
      </w:r>
      <w:r w:rsidR="00430F02" w:rsidRPr="0002056A">
        <w:rPr>
          <w:rFonts w:ascii="Georgia" w:hAnsi="Georgia"/>
          <w:lang w:val="en-GB"/>
        </w:rPr>
        <w:t xml:space="preserve">well-performing </w:t>
      </w:r>
      <w:r w:rsidR="00556205" w:rsidRPr="0002056A">
        <w:rPr>
          <w:rFonts w:ascii="Georgia" w:hAnsi="Georgia"/>
          <w:lang w:val="en-GB"/>
        </w:rPr>
        <w:t>macro-regions</w:t>
      </w:r>
      <w:r w:rsidR="0047328A" w:rsidRPr="0002056A">
        <w:rPr>
          <w:rFonts w:ascii="Georgia" w:hAnsi="Georgia"/>
          <w:lang w:val="en-GB"/>
        </w:rPr>
        <w:t xml:space="preserve"> (</w:t>
      </w:r>
      <w:r w:rsidR="00C602C2" w:rsidRPr="0002056A">
        <w:rPr>
          <w:rFonts w:ascii="Georgia" w:hAnsi="Georgia"/>
          <w:lang w:val="en-GB"/>
        </w:rPr>
        <w:t xml:space="preserve">e.g. </w:t>
      </w:r>
      <w:r w:rsidR="0047328A" w:rsidRPr="0002056A">
        <w:rPr>
          <w:rFonts w:ascii="Georgia" w:hAnsi="Georgia"/>
          <w:i/>
          <w:iCs/>
          <w:lang w:val="en-GB"/>
        </w:rPr>
        <w:t>Iceland</w:t>
      </w:r>
      <w:r w:rsidR="00430F02" w:rsidRPr="0002056A">
        <w:rPr>
          <w:rFonts w:ascii="Georgia" w:hAnsi="Georgia"/>
          <w:lang w:val="en-GB"/>
        </w:rPr>
        <w:t xml:space="preserve"> with</w:t>
      </w:r>
      <w:r w:rsidR="0047328A" w:rsidRPr="0002056A">
        <w:rPr>
          <w:rFonts w:ascii="Georgia" w:hAnsi="Georgia"/>
          <w:lang w:val="en-GB"/>
        </w:rPr>
        <w:t xml:space="preserve"> </w:t>
      </w:r>
      <w:r w:rsidR="00430F02" w:rsidRPr="0002056A">
        <w:rPr>
          <w:rFonts w:ascii="Georgia" w:hAnsi="Georgia"/>
          <w:lang w:val="en-GB"/>
        </w:rPr>
        <w:t>i</w:t>
      </w:r>
      <w:r w:rsidR="0047328A" w:rsidRPr="0002056A">
        <w:rPr>
          <w:rFonts w:ascii="Georgia" w:hAnsi="Georgia"/>
          <w:lang w:val="en-GB"/>
        </w:rPr>
        <w:t>ts quite basic NAS</w:t>
      </w:r>
      <w:r w:rsidR="00430F02" w:rsidRPr="0002056A">
        <w:rPr>
          <w:rFonts w:ascii="Georgia" w:hAnsi="Georgia"/>
          <w:lang w:val="en-GB"/>
        </w:rPr>
        <w:t xml:space="preserve"> and the particularly </w:t>
      </w:r>
      <w:r w:rsidR="00657EED" w:rsidRPr="0002056A">
        <w:rPr>
          <w:rFonts w:ascii="Georgia" w:hAnsi="Georgia"/>
          <w:lang w:val="en-GB"/>
        </w:rPr>
        <w:t>sectoral-</w:t>
      </w:r>
      <w:r w:rsidR="00430F02" w:rsidRPr="0002056A">
        <w:rPr>
          <w:rFonts w:ascii="Georgia" w:hAnsi="Georgia"/>
          <w:lang w:val="en-GB"/>
        </w:rPr>
        <w:t>focussed</w:t>
      </w:r>
      <w:r w:rsidR="00657EED" w:rsidRPr="0002056A">
        <w:rPr>
          <w:rFonts w:ascii="Georgia" w:hAnsi="Georgia"/>
          <w:lang w:val="en-GB"/>
        </w:rPr>
        <w:t xml:space="preserve"> </w:t>
      </w:r>
      <w:r w:rsidR="00657EED" w:rsidRPr="0002056A">
        <w:rPr>
          <w:rFonts w:ascii="Georgia" w:hAnsi="Georgia"/>
          <w:i/>
          <w:iCs/>
          <w:lang w:val="en-GB"/>
        </w:rPr>
        <w:t>Luxemb</w:t>
      </w:r>
      <w:r w:rsidR="00314E2A">
        <w:rPr>
          <w:rFonts w:ascii="Georgia" w:hAnsi="Georgia"/>
          <w:i/>
          <w:iCs/>
          <w:lang w:val="en-GB"/>
        </w:rPr>
        <w:t>o</w:t>
      </w:r>
      <w:r w:rsidR="00657EED" w:rsidRPr="0002056A">
        <w:rPr>
          <w:rFonts w:ascii="Georgia" w:hAnsi="Georgia"/>
          <w:i/>
          <w:iCs/>
          <w:lang w:val="en-GB"/>
        </w:rPr>
        <w:t>urg</w:t>
      </w:r>
      <w:r w:rsidR="00657EED" w:rsidRPr="0002056A">
        <w:rPr>
          <w:rFonts w:ascii="Georgia" w:hAnsi="Georgia"/>
          <w:lang w:val="en-GB"/>
        </w:rPr>
        <w:t>)</w:t>
      </w:r>
      <w:r w:rsidR="00FD6384" w:rsidRPr="0002056A">
        <w:rPr>
          <w:rFonts w:ascii="Georgia" w:hAnsi="Georgia"/>
          <w:lang w:val="en-GB"/>
        </w:rPr>
        <w:t>.</w:t>
      </w:r>
    </w:p>
    <w:p w14:paraId="200FBCA6" w14:textId="49E608D6" w:rsidR="00837625" w:rsidRPr="0002056A" w:rsidRDefault="00FD6384" w:rsidP="00F00409">
      <w:pPr>
        <w:spacing w:before="120" w:after="120"/>
        <w:jc w:val="both"/>
        <w:rPr>
          <w:rFonts w:ascii="Georgia" w:hAnsi="Georgia"/>
          <w:lang w:val="en-GB"/>
        </w:rPr>
        <w:sectPr w:rsidR="00837625" w:rsidRPr="0002056A" w:rsidSect="0068518D">
          <w:pgSz w:w="11906" w:h="16838"/>
          <w:pgMar w:top="1417" w:right="1417" w:bottom="1417" w:left="1417" w:header="708" w:footer="708" w:gutter="0"/>
          <w:cols w:space="708"/>
          <w:docGrid w:linePitch="360"/>
        </w:sectPr>
      </w:pPr>
      <w:r w:rsidRPr="0002056A">
        <w:rPr>
          <w:rFonts w:ascii="Georgia" w:hAnsi="Georgia"/>
          <w:lang w:val="en-GB"/>
        </w:rPr>
        <w:t xml:space="preserve">If we take a look </w:t>
      </w:r>
      <w:r w:rsidR="006E70CA" w:rsidRPr="0002056A">
        <w:rPr>
          <w:rFonts w:ascii="Georgia" w:hAnsi="Georgia"/>
          <w:lang w:val="en-GB"/>
        </w:rPr>
        <w:t>at</w:t>
      </w:r>
      <w:r w:rsidRPr="0002056A">
        <w:rPr>
          <w:rFonts w:ascii="Georgia" w:hAnsi="Georgia"/>
          <w:lang w:val="en-GB"/>
        </w:rPr>
        <w:t xml:space="preserve"> the whole analysis</w:t>
      </w:r>
      <w:r w:rsidR="005D6A09" w:rsidRPr="0002056A">
        <w:rPr>
          <w:rFonts w:ascii="Georgia" w:hAnsi="Georgia"/>
          <w:lang w:val="en-GB"/>
        </w:rPr>
        <w:t xml:space="preserve"> “from above” we see that b</w:t>
      </w:r>
      <w:r w:rsidR="00027F25" w:rsidRPr="0002056A">
        <w:rPr>
          <w:rFonts w:ascii="Georgia" w:hAnsi="Georgia"/>
          <w:lang w:val="en-GB"/>
        </w:rPr>
        <w:t xml:space="preserve">asically weak results </w:t>
      </w:r>
      <w:r w:rsidR="005D6A09" w:rsidRPr="0002056A">
        <w:rPr>
          <w:rFonts w:ascii="Georgia" w:hAnsi="Georgia"/>
          <w:lang w:val="en-GB"/>
        </w:rPr>
        <w:t xml:space="preserve">can be detected in the countries’ spatial performance in adaptation - </w:t>
      </w:r>
      <w:r w:rsidR="00027F25" w:rsidRPr="0002056A">
        <w:rPr>
          <w:rFonts w:ascii="Georgia" w:hAnsi="Georgia"/>
          <w:lang w:val="en-GB"/>
        </w:rPr>
        <w:t>medium level performance</w:t>
      </w:r>
      <w:r w:rsidR="005D6A09" w:rsidRPr="0002056A">
        <w:rPr>
          <w:rFonts w:ascii="Georgia" w:hAnsi="Georgia"/>
          <w:lang w:val="en-GB"/>
        </w:rPr>
        <w:t>s</w:t>
      </w:r>
      <w:r w:rsidR="00027F25" w:rsidRPr="0002056A">
        <w:rPr>
          <w:rFonts w:ascii="Georgia" w:hAnsi="Georgia"/>
          <w:lang w:val="en-GB"/>
        </w:rPr>
        <w:t xml:space="preserve"> </w:t>
      </w:r>
      <w:r w:rsidR="005D6A09" w:rsidRPr="0002056A">
        <w:rPr>
          <w:rFonts w:ascii="Georgia" w:hAnsi="Georgia"/>
          <w:lang w:val="en-GB"/>
        </w:rPr>
        <w:t xml:space="preserve">are registered </w:t>
      </w:r>
      <w:r w:rsidR="00027F25" w:rsidRPr="0002056A">
        <w:rPr>
          <w:rFonts w:ascii="Georgia" w:hAnsi="Georgia"/>
          <w:lang w:val="en-GB"/>
        </w:rPr>
        <w:t>at best</w:t>
      </w:r>
      <w:r w:rsidR="005D6A09" w:rsidRPr="0002056A">
        <w:rPr>
          <w:rFonts w:ascii="Georgia" w:hAnsi="Georgia"/>
          <w:lang w:val="en-GB"/>
        </w:rPr>
        <w:t xml:space="preserve"> (</w:t>
      </w:r>
      <w:r w:rsidR="005B43DD" w:rsidRPr="0002056A">
        <w:rPr>
          <w:rFonts w:ascii="Georgia" w:hAnsi="Georgia"/>
          <w:lang w:val="en-GB"/>
        </w:rPr>
        <w:t>from</w:t>
      </w:r>
      <w:r w:rsidR="003506AF" w:rsidRPr="0002056A">
        <w:rPr>
          <w:rFonts w:ascii="Georgia" w:hAnsi="Georgia"/>
          <w:lang w:val="en-GB"/>
        </w:rPr>
        <w:t xml:space="preserve"> the maximum available 17</w:t>
      </w:r>
      <w:r w:rsidR="00B826E3" w:rsidRPr="0002056A">
        <w:rPr>
          <w:rFonts w:ascii="Georgia" w:hAnsi="Georgia"/>
          <w:lang w:val="en-GB"/>
        </w:rPr>
        <w:t>0</w:t>
      </w:r>
      <w:r w:rsidR="003506AF" w:rsidRPr="0002056A">
        <w:rPr>
          <w:rFonts w:ascii="Georgia" w:hAnsi="Georgia"/>
          <w:lang w:val="en-GB"/>
        </w:rPr>
        <w:t xml:space="preserve"> po</w:t>
      </w:r>
      <w:r w:rsidR="00216AD0">
        <w:rPr>
          <w:rFonts w:ascii="Georgia" w:hAnsi="Georgia"/>
          <w:lang w:val="en-GB"/>
        </w:rPr>
        <w:t>i</w:t>
      </w:r>
      <w:r w:rsidR="003506AF" w:rsidRPr="0002056A">
        <w:rPr>
          <w:rFonts w:ascii="Georgia" w:hAnsi="Georgia"/>
          <w:lang w:val="en-GB"/>
        </w:rPr>
        <w:t>nt</w:t>
      </w:r>
      <w:r w:rsidR="00216AD0">
        <w:rPr>
          <w:rFonts w:ascii="Georgia" w:hAnsi="Georgia"/>
          <w:lang w:val="en-GB"/>
        </w:rPr>
        <w:t>s</w:t>
      </w:r>
      <w:r w:rsidR="003506AF" w:rsidRPr="0002056A">
        <w:rPr>
          <w:rFonts w:ascii="Georgia" w:hAnsi="Georgia"/>
          <w:lang w:val="en-GB"/>
        </w:rPr>
        <w:t xml:space="preserve"> the best</w:t>
      </w:r>
      <w:r w:rsidR="006E70CA" w:rsidRPr="0002056A">
        <w:rPr>
          <w:rFonts w:ascii="Georgia" w:hAnsi="Georgia"/>
          <w:lang w:val="en-GB"/>
        </w:rPr>
        <w:t>-</w:t>
      </w:r>
      <w:r w:rsidR="003506AF" w:rsidRPr="0002056A">
        <w:rPr>
          <w:rFonts w:ascii="Georgia" w:hAnsi="Georgia"/>
          <w:lang w:val="en-GB"/>
        </w:rPr>
        <w:t xml:space="preserve">performing Austria reached </w:t>
      </w:r>
      <w:r w:rsidR="00BC10AF" w:rsidRPr="0002056A">
        <w:rPr>
          <w:rFonts w:ascii="Georgia" w:hAnsi="Georgia"/>
          <w:lang w:val="en-GB"/>
        </w:rPr>
        <w:t>9</w:t>
      </w:r>
      <w:r w:rsidR="003551EE" w:rsidRPr="0002056A">
        <w:rPr>
          <w:rFonts w:ascii="Georgia" w:hAnsi="Georgia"/>
          <w:lang w:val="en-GB"/>
        </w:rPr>
        <w:t>7</w:t>
      </w:r>
      <w:r w:rsidR="003506AF" w:rsidRPr="0002056A">
        <w:rPr>
          <w:rFonts w:ascii="Georgia" w:hAnsi="Georgia"/>
          <w:lang w:val="en-GB"/>
        </w:rPr>
        <w:t xml:space="preserve"> point</w:t>
      </w:r>
      <w:r w:rsidR="0042015C" w:rsidRPr="0002056A">
        <w:rPr>
          <w:rFonts w:ascii="Georgia" w:hAnsi="Georgia"/>
          <w:lang w:val="en-GB"/>
        </w:rPr>
        <w:t>s</w:t>
      </w:r>
      <w:r w:rsidR="003506AF" w:rsidRPr="0002056A">
        <w:rPr>
          <w:rFonts w:ascii="Georgia" w:hAnsi="Georgia"/>
          <w:lang w:val="en-GB"/>
        </w:rPr>
        <w:t xml:space="preserve">, its followers between </w:t>
      </w:r>
      <w:r w:rsidR="006270AD" w:rsidRPr="0002056A">
        <w:rPr>
          <w:rFonts w:ascii="Georgia" w:hAnsi="Georgia"/>
          <w:lang w:val="en-GB"/>
        </w:rPr>
        <w:t>7</w:t>
      </w:r>
      <w:r w:rsidR="00BC10AF" w:rsidRPr="0002056A">
        <w:rPr>
          <w:rFonts w:ascii="Georgia" w:hAnsi="Georgia"/>
          <w:lang w:val="en-GB"/>
        </w:rPr>
        <w:t>6</w:t>
      </w:r>
      <w:r w:rsidR="003506AF" w:rsidRPr="0002056A">
        <w:rPr>
          <w:rFonts w:ascii="Georgia" w:hAnsi="Georgia"/>
          <w:lang w:val="en-GB"/>
        </w:rPr>
        <w:t>-84</w:t>
      </w:r>
      <w:r w:rsidR="00027F25" w:rsidRPr="0002056A">
        <w:rPr>
          <w:rFonts w:ascii="Georgia" w:hAnsi="Georgia"/>
          <w:lang w:val="en-GB"/>
        </w:rPr>
        <w:t>)</w:t>
      </w:r>
      <w:r w:rsidR="006270AD" w:rsidRPr="0002056A">
        <w:rPr>
          <w:rFonts w:ascii="Georgia" w:hAnsi="Georgia"/>
          <w:lang w:val="en-GB"/>
        </w:rPr>
        <w:t>. These results underline that in European national adaptation polic</w:t>
      </w:r>
      <w:r w:rsidR="0042454D" w:rsidRPr="0002056A">
        <w:rPr>
          <w:rFonts w:ascii="Georgia" w:hAnsi="Georgia"/>
          <w:lang w:val="en-GB"/>
        </w:rPr>
        <w:t>ies</w:t>
      </w:r>
      <w:r w:rsidR="00314E2A">
        <w:rPr>
          <w:rFonts w:ascii="Georgia" w:hAnsi="Georgia"/>
          <w:lang w:val="en-GB"/>
        </w:rPr>
        <w:t>, the sectoral approach still</w:t>
      </w:r>
      <w:r w:rsidR="00DB0347" w:rsidRPr="0002056A">
        <w:rPr>
          <w:rFonts w:ascii="Georgia" w:hAnsi="Georgia"/>
          <w:lang w:val="en-GB"/>
        </w:rPr>
        <w:t xml:space="preserve"> prevai</w:t>
      </w:r>
      <w:r w:rsidR="006270AD" w:rsidRPr="0002056A">
        <w:rPr>
          <w:rFonts w:ascii="Georgia" w:hAnsi="Georgia"/>
          <w:lang w:val="en-GB"/>
        </w:rPr>
        <w:t>ls</w:t>
      </w:r>
      <w:r w:rsidR="0042454D" w:rsidRPr="0002056A">
        <w:rPr>
          <w:rFonts w:ascii="Georgia" w:hAnsi="Georgia"/>
          <w:lang w:val="en-GB"/>
        </w:rPr>
        <w:t xml:space="preserve">. Out of the analytical aspects, </w:t>
      </w:r>
      <w:r w:rsidR="0015600A" w:rsidRPr="0002056A">
        <w:rPr>
          <w:rFonts w:ascii="Georgia" w:hAnsi="Georgia"/>
          <w:lang w:val="en-GB"/>
        </w:rPr>
        <w:t xml:space="preserve">general spatiality (general </w:t>
      </w:r>
      <w:r w:rsidR="00832927" w:rsidRPr="0002056A">
        <w:rPr>
          <w:rFonts w:ascii="Georgia" w:hAnsi="Georgia"/>
          <w:lang w:val="en-GB"/>
        </w:rPr>
        <w:t>spatial phraseology, basic planning logic, a</w:t>
      </w:r>
      <w:r w:rsidR="0015600A" w:rsidRPr="0002056A">
        <w:rPr>
          <w:rFonts w:ascii="Georgia" w:hAnsi="Georgia"/>
          <w:lang w:val="en-GB"/>
        </w:rPr>
        <w:t>ctive role of spatial levels</w:t>
      </w:r>
      <w:r w:rsidR="00832927" w:rsidRPr="0002056A">
        <w:rPr>
          <w:rFonts w:ascii="Georgia" w:hAnsi="Georgia"/>
          <w:lang w:val="en-GB"/>
        </w:rPr>
        <w:t xml:space="preserve"> and propagation of lower-level adaptation planning</w:t>
      </w:r>
      <w:r w:rsidR="0015600A" w:rsidRPr="0002056A">
        <w:rPr>
          <w:rFonts w:ascii="Georgia" w:hAnsi="Georgia"/>
          <w:lang w:val="en-GB"/>
        </w:rPr>
        <w:t xml:space="preserve">) and </w:t>
      </w:r>
      <w:r w:rsidR="00C37A63" w:rsidRPr="0002056A">
        <w:rPr>
          <w:rFonts w:ascii="Georgia" w:hAnsi="Georgia"/>
          <w:lang w:val="en-GB"/>
        </w:rPr>
        <w:t xml:space="preserve">NAS’s </w:t>
      </w:r>
      <w:r w:rsidR="0015600A" w:rsidRPr="0002056A">
        <w:rPr>
          <w:rFonts w:ascii="Georgia" w:hAnsi="Georgia"/>
          <w:lang w:val="en-GB"/>
        </w:rPr>
        <w:t>coherence with spatial development policy objectives performed generally well</w:t>
      </w:r>
      <w:r w:rsidR="00E71B33" w:rsidRPr="0002056A">
        <w:rPr>
          <w:rFonts w:ascii="Georgia" w:hAnsi="Georgia"/>
          <w:lang w:val="en-GB"/>
        </w:rPr>
        <w:t xml:space="preserve"> – respectively 4</w:t>
      </w:r>
      <w:r w:rsidR="001D557B" w:rsidRPr="0002056A">
        <w:rPr>
          <w:rFonts w:ascii="Georgia" w:hAnsi="Georgia"/>
          <w:lang w:val="en-GB"/>
        </w:rPr>
        <w:t>9</w:t>
      </w:r>
      <w:r w:rsidR="00E71B33" w:rsidRPr="0002056A">
        <w:rPr>
          <w:rFonts w:ascii="Georgia" w:hAnsi="Georgia"/>
          <w:lang w:val="en-GB"/>
        </w:rPr>
        <w:t>,</w:t>
      </w:r>
      <w:r w:rsidR="001D557B" w:rsidRPr="0002056A">
        <w:rPr>
          <w:rFonts w:ascii="Georgia" w:hAnsi="Georgia"/>
          <w:lang w:val="en-GB"/>
        </w:rPr>
        <w:t>2</w:t>
      </w:r>
      <w:r w:rsidR="002433EC" w:rsidRPr="0002056A">
        <w:rPr>
          <w:rFonts w:ascii="Georgia" w:hAnsi="Georgia"/>
          <w:lang w:val="en-GB"/>
        </w:rPr>
        <w:t>6</w:t>
      </w:r>
      <w:r w:rsidR="00E71B33" w:rsidRPr="0002056A">
        <w:rPr>
          <w:rFonts w:ascii="Georgia" w:hAnsi="Georgia"/>
          <w:lang w:val="en-GB"/>
        </w:rPr>
        <w:t xml:space="preserve"> and 40,9</w:t>
      </w:r>
      <w:r w:rsidR="00C36715" w:rsidRPr="0002056A">
        <w:rPr>
          <w:rFonts w:ascii="Georgia" w:hAnsi="Georgia"/>
          <w:lang w:val="en-GB"/>
        </w:rPr>
        <w:t>7</w:t>
      </w:r>
      <w:r w:rsidR="00E71B33" w:rsidRPr="0002056A">
        <w:rPr>
          <w:rFonts w:ascii="Georgia" w:hAnsi="Georgia"/>
          <w:lang w:val="en-GB"/>
        </w:rPr>
        <w:t xml:space="preserve">% of the maximum available points were reached by the countries in average in these main aspects. </w:t>
      </w:r>
      <w:r w:rsidR="00C37A63" w:rsidRPr="0002056A">
        <w:rPr>
          <w:rFonts w:ascii="Georgia" w:hAnsi="Georgia"/>
          <w:lang w:val="en-GB"/>
        </w:rPr>
        <w:t>S</w:t>
      </w:r>
      <w:r w:rsidR="00D1162C" w:rsidRPr="0002056A">
        <w:rPr>
          <w:rFonts w:ascii="Georgia" w:hAnsi="Georgia"/>
          <w:lang w:val="en-GB"/>
        </w:rPr>
        <w:t xml:space="preserve">patial performance of the NAS </w:t>
      </w:r>
      <w:r w:rsidR="00027F25" w:rsidRPr="0002056A">
        <w:rPr>
          <w:rFonts w:ascii="Georgia" w:hAnsi="Georgia"/>
          <w:lang w:val="en-GB"/>
        </w:rPr>
        <w:t>situ</w:t>
      </w:r>
      <w:r w:rsidR="00D1162C" w:rsidRPr="0002056A">
        <w:rPr>
          <w:rFonts w:ascii="Georgia" w:hAnsi="Georgia"/>
          <w:lang w:val="en-GB"/>
        </w:rPr>
        <w:t>ation</w:t>
      </w:r>
      <w:r w:rsidR="00027F25" w:rsidRPr="0002056A">
        <w:rPr>
          <w:rFonts w:ascii="Georgia" w:hAnsi="Georgia"/>
          <w:lang w:val="en-GB"/>
        </w:rPr>
        <w:t xml:space="preserve"> ana</w:t>
      </w:r>
      <w:r w:rsidR="00D1162C" w:rsidRPr="0002056A">
        <w:rPr>
          <w:rFonts w:ascii="Georgia" w:hAnsi="Georgia"/>
          <w:lang w:val="en-GB"/>
        </w:rPr>
        <w:t>lyses</w:t>
      </w:r>
      <w:r w:rsidR="00027F25" w:rsidRPr="0002056A">
        <w:rPr>
          <w:rFonts w:ascii="Georgia" w:hAnsi="Georgia"/>
          <w:lang w:val="en-GB"/>
        </w:rPr>
        <w:t xml:space="preserve">, </w:t>
      </w:r>
      <w:r w:rsidR="00E71B33" w:rsidRPr="0002056A">
        <w:rPr>
          <w:rFonts w:ascii="Georgia" w:hAnsi="Georgia"/>
          <w:lang w:val="en-GB"/>
        </w:rPr>
        <w:t xml:space="preserve">spatiality of </w:t>
      </w:r>
      <w:r w:rsidR="00D1162C" w:rsidRPr="0002056A">
        <w:rPr>
          <w:rFonts w:ascii="Georgia" w:hAnsi="Georgia"/>
          <w:lang w:val="en-GB"/>
        </w:rPr>
        <w:t>NAS</w:t>
      </w:r>
      <w:r w:rsidR="002433EC" w:rsidRPr="0002056A">
        <w:rPr>
          <w:rFonts w:ascii="Georgia" w:hAnsi="Georgia"/>
          <w:lang w:val="en-GB"/>
        </w:rPr>
        <w:t xml:space="preserve"> o</w:t>
      </w:r>
      <w:r w:rsidR="00027F25" w:rsidRPr="0002056A">
        <w:rPr>
          <w:rFonts w:ascii="Georgia" w:hAnsi="Georgia"/>
          <w:lang w:val="en-GB"/>
        </w:rPr>
        <w:t>bj</w:t>
      </w:r>
      <w:r w:rsidR="00D1162C" w:rsidRPr="0002056A">
        <w:rPr>
          <w:rFonts w:ascii="Georgia" w:hAnsi="Georgia"/>
          <w:lang w:val="en-GB"/>
        </w:rPr>
        <w:t>ective</w:t>
      </w:r>
      <w:r w:rsidR="00027F25" w:rsidRPr="0002056A">
        <w:rPr>
          <w:rFonts w:ascii="Georgia" w:hAnsi="Georgia"/>
          <w:lang w:val="en-GB"/>
        </w:rPr>
        <w:t xml:space="preserve"> systems</w:t>
      </w:r>
      <w:r w:rsidR="00E71B33" w:rsidRPr="0002056A">
        <w:rPr>
          <w:rFonts w:ascii="Georgia" w:hAnsi="Georgia"/>
          <w:lang w:val="en-GB"/>
        </w:rPr>
        <w:t xml:space="preserve"> and</w:t>
      </w:r>
      <w:r w:rsidR="00027F25" w:rsidRPr="0002056A">
        <w:rPr>
          <w:rFonts w:ascii="Georgia" w:hAnsi="Georgia"/>
          <w:lang w:val="en-GB"/>
        </w:rPr>
        <w:t xml:space="preserve"> </w:t>
      </w:r>
      <w:r w:rsidR="00D1162C" w:rsidRPr="0002056A">
        <w:rPr>
          <w:rFonts w:ascii="Georgia" w:hAnsi="Georgia"/>
          <w:lang w:val="en-GB"/>
        </w:rPr>
        <w:t xml:space="preserve">NAP </w:t>
      </w:r>
      <w:r w:rsidR="00027F25" w:rsidRPr="0002056A">
        <w:rPr>
          <w:rFonts w:ascii="Georgia" w:hAnsi="Georgia"/>
          <w:lang w:val="en-GB"/>
        </w:rPr>
        <w:t xml:space="preserve">actions, </w:t>
      </w:r>
      <w:r w:rsidR="00D1162C" w:rsidRPr="0002056A">
        <w:rPr>
          <w:rFonts w:ascii="Georgia" w:hAnsi="Georgia"/>
          <w:lang w:val="en-GB"/>
        </w:rPr>
        <w:t xml:space="preserve">international spatial outlooks and </w:t>
      </w:r>
      <w:r w:rsidR="00027F25" w:rsidRPr="0002056A">
        <w:rPr>
          <w:rFonts w:ascii="Georgia" w:hAnsi="Georgia"/>
          <w:lang w:val="en-GB"/>
        </w:rPr>
        <w:t>MRE</w:t>
      </w:r>
      <w:r w:rsidR="00D1162C" w:rsidRPr="0002056A">
        <w:rPr>
          <w:rFonts w:ascii="Georgia" w:hAnsi="Georgia"/>
          <w:lang w:val="en-GB"/>
        </w:rPr>
        <w:t xml:space="preserve"> activities’ spatiality</w:t>
      </w:r>
      <w:r w:rsidR="00452029" w:rsidRPr="0002056A">
        <w:rPr>
          <w:rFonts w:ascii="Georgia" w:hAnsi="Georgia"/>
          <w:lang w:val="en-GB"/>
        </w:rPr>
        <w:t xml:space="preserve"> aspects</w:t>
      </w:r>
      <w:r w:rsidR="006D7BD8" w:rsidRPr="0002056A">
        <w:rPr>
          <w:rFonts w:ascii="Georgia" w:hAnsi="Georgia"/>
          <w:lang w:val="en-GB"/>
        </w:rPr>
        <w:t>,</w:t>
      </w:r>
      <w:r w:rsidR="00452029" w:rsidRPr="0002056A">
        <w:rPr>
          <w:rFonts w:ascii="Georgia" w:hAnsi="Georgia"/>
          <w:lang w:val="en-GB"/>
        </w:rPr>
        <w:t xml:space="preserve"> </w:t>
      </w:r>
      <w:r w:rsidR="00C946D3" w:rsidRPr="0002056A">
        <w:rPr>
          <w:rFonts w:ascii="Georgia" w:hAnsi="Georgia"/>
          <w:lang w:val="en-GB"/>
        </w:rPr>
        <w:t xml:space="preserve">although </w:t>
      </w:r>
      <w:r w:rsidR="00314E2A">
        <w:rPr>
          <w:rFonts w:ascii="Georgia" w:hAnsi="Georgia"/>
          <w:lang w:val="en-GB"/>
        </w:rPr>
        <w:t>showing</w:t>
      </w:r>
      <w:r w:rsidR="00314E2A" w:rsidRPr="0002056A">
        <w:rPr>
          <w:rFonts w:ascii="Georgia" w:hAnsi="Georgia"/>
          <w:lang w:val="en-GB"/>
        </w:rPr>
        <w:t xml:space="preserve"> </w:t>
      </w:r>
      <w:r w:rsidR="00452029" w:rsidRPr="0002056A">
        <w:rPr>
          <w:rFonts w:ascii="Georgia" w:hAnsi="Georgia"/>
          <w:lang w:val="en-GB"/>
        </w:rPr>
        <w:t xml:space="preserve">a few </w:t>
      </w:r>
      <w:r w:rsidR="00027F25" w:rsidRPr="0002056A">
        <w:rPr>
          <w:rFonts w:ascii="Georgia" w:hAnsi="Georgia"/>
          <w:lang w:val="en-GB"/>
        </w:rPr>
        <w:t xml:space="preserve">very good </w:t>
      </w:r>
      <w:r w:rsidR="00452029" w:rsidRPr="0002056A">
        <w:rPr>
          <w:rFonts w:ascii="Georgia" w:hAnsi="Georgia"/>
          <w:lang w:val="en-GB"/>
        </w:rPr>
        <w:t xml:space="preserve">examples, the </w:t>
      </w:r>
      <w:r w:rsidR="00027F25" w:rsidRPr="0002056A">
        <w:rPr>
          <w:rFonts w:ascii="Georgia" w:hAnsi="Georgia"/>
          <w:lang w:val="en-GB"/>
        </w:rPr>
        <w:t xml:space="preserve">majority </w:t>
      </w:r>
      <w:r w:rsidR="00452029" w:rsidRPr="0002056A">
        <w:rPr>
          <w:rFonts w:ascii="Georgia" w:hAnsi="Georgia"/>
          <w:lang w:val="en-GB"/>
        </w:rPr>
        <w:t xml:space="preserve">of the countries performed </w:t>
      </w:r>
      <w:r w:rsidR="00027F25" w:rsidRPr="0002056A">
        <w:rPr>
          <w:rFonts w:ascii="Georgia" w:hAnsi="Georgia"/>
          <w:lang w:val="en-GB"/>
        </w:rPr>
        <w:t>mediocre or weak</w:t>
      </w:r>
      <w:r w:rsidR="00452029" w:rsidRPr="0002056A">
        <w:rPr>
          <w:rFonts w:ascii="Georgia" w:hAnsi="Georgia"/>
          <w:lang w:val="en-GB"/>
        </w:rPr>
        <w:t xml:space="preserve">. </w:t>
      </w:r>
      <w:r w:rsidR="00C635EB" w:rsidRPr="0002056A">
        <w:rPr>
          <w:rFonts w:ascii="Georgia" w:hAnsi="Georgia"/>
          <w:lang w:val="en-GB"/>
        </w:rPr>
        <w:t xml:space="preserve">The main lessons we can learn from here is that </w:t>
      </w:r>
      <w:r w:rsidR="00B64DC5" w:rsidRPr="0002056A">
        <w:rPr>
          <w:rFonts w:ascii="Georgia" w:hAnsi="Georgia"/>
          <w:lang w:val="en-GB"/>
        </w:rPr>
        <w:t xml:space="preserve">good performances in </w:t>
      </w:r>
      <w:r w:rsidR="00C635EB" w:rsidRPr="0002056A">
        <w:rPr>
          <w:rFonts w:ascii="Georgia" w:hAnsi="Georgia"/>
          <w:lang w:val="en-GB"/>
        </w:rPr>
        <w:t xml:space="preserve">the general spatiality-related aspects and the </w:t>
      </w:r>
      <w:r w:rsidR="00216AD0" w:rsidRPr="0002056A">
        <w:rPr>
          <w:rFonts w:ascii="Georgia" w:hAnsi="Georgia"/>
          <w:lang w:val="en-GB"/>
        </w:rPr>
        <w:t>coherence</w:t>
      </w:r>
      <w:r w:rsidR="006D7BD8" w:rsidRPr="0002056A">
        <w:rPr>
          <w:rFonts w:ascii="Georgia" w:hAnsi="Georgia"/>
          <w:lang w:val="en-GB"/>
        </w:rPr>
        <w:t>-</w:t>
      </w:r>
      <w:r w:rsidR="00C635EB" w:rsidRPr="0002056A">
        <w:rPr>
          <w:rFonts w:ascii="Georgia" w:hAnsi="Georgia"/>
          <w:lang w:val="en-GB"/>
        </w:rPr>
        <w:t>seeking with spatial policies can be explained with the fact that using space-related concepts and definitions in the NAS/NAP texts</w:t>
      </w:r>
      <w:r w:rsidR="004C78D7" w:rsidRPr="0002056A">
        <w:rPr>
          <w:rFonts w:ascii="Georgia" w:hAnsi="Georgia"/>
          <w:lang w:val="en-GB"/>
        </w:rPr>
        <w:t xml:space="preserve"> can be done independently from the real spatially focused approaches; meanwhile</w:t>
      </w:r>
      <w:r w:rsidR="00C635EB" w:rsidRPr="0002056A">
        <w:rPr>
          <w:rFonts w:ascii="Georgia" w:hAnsi="Georgia"/>
          <w:lang w:val="en-GB"/>
        </w:rPr>
        <w:t xml:space="preserve"> </w:t>
      </w:r>
      <w:r w:rsidR="004C78D7" w:rsidRPr="0002056A">
        <w:rPr>
          <w:rFonts w:ascii="Georgia" w:hAnsi="Georgia"/>
          <w:lang w:val="en-GB"/>
        </w:rPr>
        <w:t xml:space="preserve">active adaptation policy making at lower level is rather the consequence of the spatial </w:t>
      </w:r>
      <w:r w:rsidR="005E1CA6" w:rsidRPr="0002056A">
        <w:rPr>
          <w:rFonts w:ascii="Georgia" w:hAnsi="Georgia"/>
          <w:lang w:val="en-GB"/>
        </w:rPr>
        <w:t xml:space="preserve">administration of a given country and not the </w:t>
      </w:r>
      <w:r w:rsidR="006275AC" w:rsidRPr="0002056A">
        <w:rPr>
          <w:rFonts w:ascii="Georgia" w:hAnsi="Georgia"/>
          <w:lang w:val="en-GB"/>
        </w:rPr>
        <w:t xml:space="preserve">situation that the </w:t>
      </w:r>
      <w:r w:rsidR="005E1CA6" w:rsidRPr="0002056A">
        <w:rPr>
          <w:rFonts w:ascii="Georgia" w:hAnsi="Georgia"/>
          <w:lang w:val="en-GB"/>
        </w:rPr>
        <w:t xml:space="preserve">national level’s definite logic </w:t>
      </w:r>
      <w:r w:rsidR="006275AC" w:rsidRPr="0002056A">
        <w:rPr>
          <w:rFonts w:ascii="Georgia" w:hAnsi="Georgia"/>
          <w:lang w:val="en-GB"/>
        </w:rPr>
        <w:t xml:space="preserve">is </w:t>
      </w:r>
      <w:r w:rsidR="005E1CA6" w:rsidRPr="0002056A">
        <w:rPr>
          <w:rFonts w:ascii="Georgia" w:hAnsi="Georgia"/>
          <w:lang w:val="en-GB"/>
        </w:rPr>
        <w:t xml:space="preserve">permeated with spatial thinking. On the other hand, </w:t>
      </w:r>
      <w:r w:rsidR="00084394" w:rsidRPr="0002056A">
        <w:rPr>
          <w:rFonts w:ascii="Georgia" w:hAnsi="Georgia"/>
          <w:lang w:val="en-GB"/>
        </w:rPr>
        <w:t>situation analyses</w:t>
      </w:r>
      <w:r w:rsidR="00455C74" w:rsidRPr="0002056A">
        <w:rPr>
          <w:rFonts w:ascii="Georgia" w:hAnsi="Georgia"/>
          <w:lang w:val="en-GB"/>
        </w:rPr>
        <w:t>’</w:t>
      </w:r>
      <w:r w:rsidR="00084394" w:rsidRPr="0002056A">
        <w:rPr>
          <w:rFonts w:ascii="Georgia" w:hAnsi="Georgia"/>
          <w:lang w:val="en-GB"/>
        </w:rPr>
        <w:t xml:space="preserve"> and objective systems</w:t>
      </w:r>
      <w:r w:rsidR="00455C74" w:rsidRPr="0002056A">
        <w:rPr>
          <w:rFonts w:ascii="Georgia" w:hAnsi="Georgia"/>
          <w:lang w:val="en-GB"/>
        </w:rPr>
        <w:t>’ spatiality</w:t>
      </w:r>
      <w:r w:rsidR="00084394" w:rsidRPr="0002056A">
        <w:rPr>
          <w:rFonts w:ascii="Georgia" w:hAnsi="Georgia"/>
          <w:lang w:val="en-GB"/>
        </w:rPr>
        <w:t xml:space="preserve"> showed the weakest spatial considerations in the analysis</w:t>
      </w:r>
      <w:r w:rsidR="004373D1" w:rsidRPr="0002056A">
        <w:rPr>
          <w:rFonts w:ascii="Georgia" w:hAnsi="Georgia"/>
          <w:lang w:val="en-GB"/>
        </w:rPr>
        <w:t xml:space="preserve"> (</w:t>
      </w:r>
      <w:r w:rsidR="00C875CB" w:rsidRPr="0002056A">
        <w:rPr>
          <w:rFonts w:ascii="Georgia" w:hAnsi="Georgia"/>
          <w:lang w:val="en-GB"/>
        </w:rPr>
        <w:t>19 and 21,1</w:t>
      </w:r>
      <w:r w:rsidR="001C0CA8" w:rsidRPr="0002056A">
        <w:rPr>
          <w:rFonts w:ascii="Georgia" w:hAnsi="Georgia"/>
          <w:lang w:val="en-GB"/>
        </w:rPr>
        <w:t>6</w:t>
      </w:r>
      <w:r w:rsidR="004373D1" w:rsidRPr="0002056A">
        <w:rPr>
          <w:rFonts w:ascii="Georgia" w:hAnsi="Georgia"/>
          <w:lang w:val="en-GB"/>
        </w:rPr>
        <w:t xml:space="preserve">% of the maximum available points were reached </w:t>
      </w:r>
      <w:r w:rsidR="00262B1F">
        <w:rPr>
          <w:rFonts w:ascii="Georgia" w:hAnsi="Georgia"/>
          <w:lang w:val="en-GB"/>
        </w:rPr>
        <w:t>on</w:t>
      </w:r>
      <w:r w:rsidR="00262B1F" w:rsidRPr="0002056A">
        <w:rPr>
          <w:rFonts w:ascii="Georgia" w:hAnsi="Georgia"/>
          <w:lang w:val="en-GB"/>
        </w:rPr>
        <w:t xml:space="preserve"> </w:t>
      </w:r>
      <w:r w:rsidR="004373D1" w:rsidRPr="0002056A">
        <w:rPr>
          <w:rFonts w:ascii="Georgia" w:hAnsi="Georgia"/>
          <w:lang w:val="en-GB"/>
        </w:rPr>
        <w:t>average</w:t>
      </w:r>
      <w:r w:rsidR="00314E2A">
        <w:rPr>
          <w:rFonts w:ascii="Georgia" w:hAnsi="Georgia"/>
          <w:lang w:val="en-GB"/>
        </w:rPr>
        <w:t>,</w:t>
      </w:r>
      <w:r w:rsidR="00C875CB" w:rsidRPr="0002056A">
        <w:rPr>
          <w:rFonts w:ascii="Georgia" w:hAnsi="Georgia"/>
          <w:lang w:val="en-GB"/>
        </w:rPr>
        <w:t xml:space="preserve"> respectively</w:t>
      </w:r>
      <w:r w:rsidR="004373D1" w:rsidRPr="0002056A">
        <w:rPr>
          <w:rFonts w:ascii="Georgia" w:hAnsi="Georgia"/>
          <w:lang w:val="en-GB"/>
        </w:rPr>
        <w:t>), a bit overperformed by the NAP actions</w:t>
      </w:r>
      <w:r w:rsidR="00C63039" w:rsidRPr="0002056A">
        <w:rPr>
          <w:rFonts w:ascii="Georgia" w:hAnsi="Georgia"/>
          <w:lang w:val="en-GB"/>
        </w:rPr>
        <w:t xml:space="preserve">’ spatiality and </w:t>
      </w:r>
      <w:r w:rsidR="004373D1" w:rsidRPr="0002056A">
        <w:rPr>
          <w:rFonts w:ascii="Georgia" w:hAnsi="Georgia"/>
          <w:lang w:val="en-GB"/>
        </w:rPr>
        <w:t xml:space="preserve">international </w:t>
      </w:r>
      <w:r w:rsidR="00C63039" w:rsidRPr="0002056A">
        <w:rPr>
          <w:rFonts w:ascii="Georgia" w:hAnsi="Georgia"/>
          <w:lang w:val="en-GB"/>
        </w:rPr>
        <w:t xml:space="preserve">spatial </w:t>
      </w:r>
      <w:r w:rsidR="004373D1" w:rsidRPr="0002056A">
        <w:rPr>
          <w:rFonts w:ascii="Georgia" w:hAnsi="Georgia"/>
          <w:lang w:val="en-GB"/>
        </w:rPr>
        <w:t xml:space="preserve">outlooks (about 30 </w:t>
      </w:r>
      <w:r w:rsidR="00D23962" w:rsidRPr="0002056A">
        <w:rPr>
          <w:rFonts w:ascii="Georgia" w:hAnsi="Georgia"/>
          <w:lang w:val="en-GB"/>
        </w:rPr>
        <w:t xml:space="preserve">% of the maximum available points were reached </w:t>
      </w:r>
      <w:r w:rsidR="00262B1F">
        <w:rPr>
          <w:rFonts w:ascii="Georgia" w:hAnsi="Georgia"/>
          <w:lang w:val="en-GB"/>
        </w:rPr>
        <w:t>on</w:t>
      </w:r>
      <w:r w:rsidR="00262B1F" w:rsidRPr="0002056A">
        <w:rPr>
          <w:rFonts w:ascii="Georgia" w:hAnsi="Georgia"/>
          <w:lang w:val="en-GB"/>
        </w:rPr>
        <w:t xml:space="preserve"> </w:t>
      </w:r>
      <w:r w:rsidR="00D23962" w:rsidRPr="0002056A">
        <w:rPr>
          <w:rFonts w:ascii="Georgia" w:hAnsi="Georgia"/>
          <w:lang w:val="en-GB"/>
        </w:rPr>
        <w:t>average). It seems that when more concrete decisions must be made (action planning)</w:t>
      </w:r>
      <w:r w:rsidR="00262B1F">
        <w:rPr>
          <w:rFonts w:ascii="Georgia" w:hAnsi="Georgia"/>
          <w:lang w:val="en-GB"/>
        </w:rPr>
        <w:t>,</w:t>
      </w:r>
      <w:r w:rsidR="00D23962" w:rsidRPr="0002056A">
        <w:rPr>
          <w:rFonts w:ascii="Georgia" w:hAnsi="Georgia"/>
          <w:lang w:val="en-GB"/>
        </w:rPr>
        <w:t xml:space="preserve"> the spatial aspects somehow get a bit stronger emphasis than in the </w:t>
      </w:r>
      <w:r w:rsidR="00BA699B" w:rsidRPr="0002056A">
        <w:rPr>
          <w:rFonts w:ascii="Georgia" w:hAnsi="Georgia"/>
          <w:lang w:val="en-GB"/>
        </w:rPr>
        <w:t xml:space="preserve">rather general development line-identifying </w:t>
      </w:r>
      <w:r w:rsidR="00D23962" w:rsidRPr="0002056A">
        <w:rPr>
          <w:rFonts w:ascii="Georgia" w:hAnsi="Georgia"/>
          <w:lang w:val="en-GB"/>
        </w:rPr>
        <w:t xml:space="preserve">strategic </w:t>
      </w:r>
      <w:r w:rsidR="00216AD0" w:rsidRPr="0002056A">
        <w:rPr>
          <w:rFonts w:ascii="Georgia" w:hAnsi="Georgia"/>
          <w:lang w:val="en-GB"/>
        </w:rPr>
        <w:t>planning</w:t>
      </w:r>
      <w:r w:rsidR="00D23962" w:rsidRPr="0002056A">
        <w:rPr>
          <w:rFonts w:ascii="Georgia" w:hAnsi="Georgia"/>
          <w:lang w:val="en-GB"/>
        </w:rPr>
        <w:t xml:space="preserve"> phases.</w:t>
      </w:r>
    </w:p>
    <w:p w14:paraId="1B453A68" w14:textId="579B698F" w:rsidR="00027F25" w:rsidRPr="0002056A" w:rsidRDefault="00D23962" w:rsidP="001D557B">
      <w:pPr>
        <w:spacing w:before="120" w:after="120" w:line="240" w:lineRule="auto"/>
        <w:jc w:val="both"/>
        <w:rPr>
          <w:rFonts w:ascii="Georgia" w:hAnsi="Georgia"/>
          <w:lang w:val="en-GB"/>
        </w:rPr>
      </w:pPr>
      <w:r w:rsidRPr="0002056A">
        <w:rPr>
          <w:rFonts w:ascii="Georgia" w:hAnsi="Georgia"/>
          <w:lang w:val="en-GB"/>
        </w:rPr>
        <w:lastRenderedPageBreak/>
        <w:t xml:space="preserve"> </w:t>
      </w:r>
    </w:p>
    <w:p w14:paraId="3EB97572" w14:textId="77777777" w:rsidR="00837625" w:rsidRPr="0002056A" w:rsidRDefault="00837625" w:rsidP="001D557B">
      <w:pPr>
        <w:spacing w:before="120" w:after="120" w:line="240" w:lineRule="auto"/>
        <w:jc w:val="both"/>
        <w:rPr>
          <w:rFonts w:ascii="Georgia" w:hAnsi="Georgia"/>
          <w:b/>
          <w:bCs/>
          <w:lang w:val="en-GB"/>
        </w:rPr>
      </w:pPr>
    </w:p>
    <w:p w14:paraId="3ECC6241" w14:textId="3C48C27F" w:rsidR="00AA090F" w:rsidRPr="0002056A" w:rsidRDefault="00AA090F" w:rsidP="00AA090F">
      <w:pPr>
        <w:spacing w:before="120" w:after="120" w:line="240" w:lineRule="auto"/>
        <w:jc w:val="center"/>
        <w:rPr>
          <w:rFonts w:ascii="Georgia" w:hAnsi="Georgia" w:cs="Times New Roman"/>
          <w:i/>
          <w:sz w:val="18"/>
          <w:szCs w:val="18"/>
          <w:lang w:val="en-GB"/>
        </w:rPr>
      </w:pPr>
      <w:r w:rsidRPr="0002056A">
        <w:rPr>
          <w:rFonts w:ascii="Georgia" w:hAnsi="Georgia" w:cs="Times New Roman"/>
          <w:b/>
          <w:sz w:val="18"/>
          <w:szCs w:val="18"/>
          <w:lang w:val="en-GB"/>
        </w:rPr>
        <w:t xml:space="preserve">Table 7: </w:t>
      </w:r>
      <w:r w:rsidR="00607B67" w:rsidRPr="0002056A">
        <w:rPr>
          <w:rFonts w:ascii="Georgia" w:hAnsi="Georgia" w:cs="Times New Roman"/>
          <w:b/>
          <w:sz w:val="18"/>
          <w:szCs w:val="18"/>
          <w:lang w:val="en-GB"/>
        </w:rPr>
        <w:t xml:space="preserve">Actual values </w:t>
      </w:r>
      <w:r w:rsidR="00DA2CB7" w:rsidRPr="0002056A">
        <w:rPr>
          <w:rFonts w:ascii="Georgia" w:hAnsi="Georgia" w:cs="Times New Roman"/>
          <w:b/>
          <w:sz w:val="18"/>
          <w:szCs w:val="18"/>
          <w:lang w:val="en-GB"/>
        </w:rPr>
        <w:t xml:space="preserve">and % of the available maximum points </w:t>
      </w:r>
      <w:r w:rsidR="00607B67" w:rsidRPr="0002056A">
        <w:rPr>
          <w:rFonts w:ascii="Georgia" w:hAnsi="Georgia" w:cs="Times New Roman"/>
          <w:b/>
          <w:sz w:val="18"/>
          <w:szCs w:val="18"/>
          <w:lang w:val="en-GB"/>
        </w:rPr>
        <w:t xml:space="preserve">of the analytical main aspects </w:t>
      </w:r>
      <w:r w:rsidR="00DA2CB7" w:rsidRPr="0002056A">
        <w:rPr>
          <w:rFonts w:ascii="Georgia" w:hAnsi="Georgia" w:cs="Times New Roman"/>
          <w:b/>
          <w:sz w:val="18"/>
          <w:szCs w:val="18"/>
          <w:lang w:val="en-GB"/>
        </w:rPr>
        <w:t>in the analysed countries</w:t>
      </w:r>
      <w:r w:rsidRPr="0002056A">
        <w:rPr>
          <w:rFonts w:ascii="Georgia" w:hAnsi="Georgia" w:cs="Times New Roman"/>
          <w:b/>
          <w:sz w:val="18"/>
          <w:szCs w:val="18"/>
          <w:lang w:val="en-GB"/>
        </w:rPr>
        <w:t xml:space="preserve">. </w:t>
      </w:r>
      <w:r w:rsidRPr="0002056A">
        <w:rPr>
          <w:rFonts w:ascii="Georgia" w:hAnsi="Georgia" w:cs="Times New Roman"/>
          <w:i/>
          <w:sz w:val="18"/>
          <w:szCs w:val="18"/>
          <w:lang w:val="en-GB"/>
        </w:rPr>
        <w:t>Source: own editing.</w:t>
      </w:r>
    </w:p>
    <w:tbl>
      <w:tblPr>
        <w:tblW w:w="1395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0"/>
        <w:gridCol w:w="850"/>
        <w:gridCol w:w="909"/>
        <w:gridCol w:w="721"/>
        <w:gridCol w:w="827"/>
        <w:gridCol w:w="682"/>
        <w:gridCol w:w="774"/>
        <w:gridCol w:w="683"/>
        <w:gridCol w:w="773"/>
        <w:gridCol w:w="736"/>
        <w:gridCol w:w="773"/>
        <w:gridCol w:w="804"/>
        <w:gridCol w:w="777"/>
        <w:gridCol w:w="682"/>
        <w:gridCol w:w="851"/>
        <w:gridCol w:w="709"/>
        <w:gridCol w:w="850"/>
      </w:tblGrid>
      <w:tr w:rsidR="00AA090F" w:rsidRPr="0002056A" w14:paraId="148029C6" w14:textId="77777777" w:rsidTr="002543FC">
        <w:trPr>
          <w:trHeight w:val="530"/>
          <w:tblHeader/>
          <w:jc w:val="right"/>
        </w:trPr>
        <w:tc>
          <w:tcPr>
            <w:tcW w:w="1550" w:type="dxa"/>
            <w:vMerge w:val="restart"/>
            <w:shd w:val="clear" w:color="auto" w:fill="C5E0B3" w:themeFill="accent6" w:themeFillTint="66"/>
            <w:vAlign w:val="center"/>
            <w:hideMark/>
          </w:tcPr>
          <w:p w14:paraId="3647A517" w14:textId="77777777" w:rsidR="00AA090F" w:rsidRPr="0002056A" w:rsidRDefault="00AA090F" w:rsidP="00E9730F">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Country</w:t>
            </w:r>
          </w:p>
        </w:tc>
        <w:tc>
          <w:tcPr>
            <w:tcW w:w="1765" w:type="dxa"/>
            <w:gridSpan w:val="2"/>
            <w:shd w:val="clear" w:color="auto" w:fill="C5E0B3" w:themeFill="accent6" w:themeFillTint="66"/>
            <w:vAlign w:val="center"/>
            <w:hideMark/>
          </w:tcPr>
          <w:p w14:paraId="759521C5" w14:textId="77777777" w:rsidR="00AA090F" w:rsidRPr="0002056A" w:rsidRDefault="00AA090F" w:rsidP="00E9730F">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Total Spatial Sensitivity</w:t>
            </w:r>
          </w:p>
        </w:tc>
        <w:tc>
          <w:tcPr>
            <w:tcW w:w="1550" w:type="dxa"/>
            <w:gridSpan w:val="2"/>
            <w:shd w:val="clear" w:color="auto" w:fill="C5E0B3" w:themeFill="accent6" w:themeFillTint="66"/>
            <w:vAlign w:val="center"/>
            <w:hideMark/>
          </w:tcPr>
          <w:p w14:paraId="753D682B"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General spatiality</w:t>
            </w:r>
          </w:p>
        </w:tc>
        <w:tc>
          <w:tcPr>
            <w:tcW w:w="1457" w:type="dxa"/>
            <w:gridSpan w:val="2"/>
            <w:shd w:val="clear" w:color="auto" w:fill="C5E0B3" w:themeFill="accent6" w:themeFillTint="66"/>
            <w:vAlign w:val="center"/>
            <w:hideMark/>
          </w:tcPr>
          <w:p w14:paraId="4FD21F26"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Situation analyses' spatial emphases</w:t>
            </w:r>
          </w:p>
        </w:tc>
        <w:tc>
          <w:tcPr>
            <w:tcW w:w="1451" w:type="dxa"/>
            <w:gridSpan w:val="2"/>
            <w:shd w:val="clear" w:color="auto" w:fill="C5E0B3" w:themeFill="accent6" w:themeFillTint="66"/>
            <w:vAlign w:val="center"/>
            <w:hideMark/>
          </w:tcPr>
          <w:p w14:paraId="4B01D370"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Visions' and objective systems' spatial emphases</w:t>
            </w:r>
          </w:p>
        </w:tc>
        <w:tc>
          <w:tcPr>
            <w:tcW w:w="1509" w:type="dxa"/>
            <w:gridSpan w:val="2"/>
            <w:shd w:val="clear" w:color="auto" w:fill="C5E0B3" w:themeFill="accent6" w:themeFillTint="66"/>
            <w:vAlign w:val="center"/>
            <w:hideMark/>
          </w:tcPr>
          <w:p w14:paraId="20195957"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Actions' spatial content</w:t>
            </w:r>
          </w:p>
        </w:tc>
        <w:tc>
          <w:tcPr>
            <w:tcW w:w="1585" w:type="dxa"/>
            <w:gridSpan w:val="2"/>
            <w:shd w:val="clear" w:color="auto" w:fill="C5E0B3" w:themeFill="accent6" w:themeFillTint="66"/>
            <w:vAlign w:val="center"/>
            <w:hideMark/>
          </w:tcPr>
          <w:p w14:paraId="0785166E" w14:textId="0BF95B86"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 xml:space="preserve">Trans- and international </w:t>
            </w:r>
            <w:r w:rsidR="00E8610C" w:rsidRPr="0002056A">
              <w:rPr>
                <w:rFonts w:ascii="Georgia" w:eastAsia="Times New Roman" w:hAnsi="Georgia" w:cs="Calibri"/>
                <w:b/>
                <w:bCs/>
                <w:color w:val="000000"/>
                <w:sz w:val="16"/>
                <w:szCs w:val="16"/>
                <w:lang w:val="en-GB" w:eastAsia="hu-HU"/>
              </w:rPr>
              <w:t>spatial</w:t>
            </w:r>
            <w:r w:rsidRPr="0002056A">
              <w:rPr>
                <w:rFonts w:ascii="Georgia" w:eastAsia="Times New Roman" w:hAnsi="Georgia" w:cs="Calibri"/>
                <w:b/>
                <w:bCs/>
                <w:color w:val="000000"/>
                <w:sz w:val="16"/>
                <w:szCs w:val="16"/>
                <w:lang w:val="en-GB" w:eastAsia="hu-HU"/>
              </w:rPr>
              <w:t xml:space="preserve"> aspects</w:t>
            </w:r>
          </w:p>
        </w:tc>
        <w:tc>
          <w:tcPr>
            <w:tcW w:w="1525" w:type="dxa"/>
            <w:gridSpan w:val="2"/>
            <w:shd w:val="clear" w:color="auto" w:fill="C5E0B3" w:themeFill="accent6" w:themeFillTint="66"/>
            <w:vAlign w:val="center"/>
            <w:hideMark/>
          </w:tcPr>
          <w:p w14:paraId="17BA39CD"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MRE activities' spatiality</w:t>
            </w:r>
          </w:p>
        </w:tc>
        <w:tc>
          <w:tcPr>
            <w:tcW w:w="1559" w:type="dxa"/>
            <w:gridSpan w:val="2"/>
            <w:shd w:val="clear" w:color="auto" w:fill="C5E0B3" w:themeFill="accent6" w:themeFillTint="66"/>
            <w:vAlign w:val="center"/>
            <w:hideMark/>
          </w:tcPr>
          <w:p w14:paraId="5E483E05" w14:textId="77777777" w:rsidR="00AA090F" w:rsidRPr="0002056A" w:rsidRDefault="00AA090F" w:rsidP="00E9730F">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Consideration of spatial development objectives</w:t>
            </w:r>
          </w:p>
        </w:tc>
      </w:tr>
      <w:tr w:rsidR="002D3210" w:rsidRPr="0002056A" w14:paraId="34E8130A" w14:textId="77777777" w:rsidTr="002543FC">
        <w:trPr>
          <w:trHeight w:val="860"/>
          <w:tblHeader/>
          <w:jc w:val="right"/>
        </w:trPr>
        <w:tc>
          <w:tcPr>
            <w:tcW w:w="1550" w:type="dxa"/>
            <w:vMerge/>
            <w:shd w:val="clear" w:color="auto" w:fill="C5E0B3" w:themeFill="accent6" w:themeFillTint="66"/>
            <w:vAlign w:val="center"/>
            <w:hideMark/>
          </w:tcPr>
          <w:p w14:paraId="13CF503F"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p>
        </w:tc>
        <w:tc>
          <w:tcPr>
            <w:tcW w:w="850" w:type="dxa"/>
            <w:shd w:val="clear" w:color="auto" w:fill="E2EFD9" w:themeFill="accent6" w:themeFillTint="33"/>
            <w:vAlign w:val="center"/>
            <w:hideMark/>
          </w:tcPr>
          <w:p w14:paraId="13464706"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904" w:type="dxa"/>
            <w:shd w:val="clear" w:color="auto" w:fill="E2EFD9" w:themeFill="accent6" w:themeFillTint="33"/>
            <w:vAlign w:val="center"/>
            <w:hideMark/>
          </w:tcPr>
          <w:p w14:paraId="0A1F6542"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721" w:type="dxa"/>
            <w:shd w:val="clear" w:color="auto" w:fill="E2EFD9" w:themeFill="accent6" w:themeFillTint="33"/>
            <w:vAlign w:val="center"/>
            <w:hideMark/>
          </w:tcPr>
          <w:p w14:paraId="717C51AA"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826" w:type="dxa"/>
            <w:shd w:val="clear" w:color="auto" w:fill="E2EFD9" w:themeFill="accent6" w:themeFillTint="33"/>
            <w:vAlign w:val="center"/>
            <w:hideMark/>
          </w:tcPr>
          <w:p w14:paraId="4955EBE8"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682" w:type="dxa"/>
            <w:shd w:val="clear" w:color="auto" w:fill="E2EFD9" w:themeFill="accent6" w:themeFillTint="33"/>
            <w:vAlign w:val="center"/>
            <w:hideMark/>
          </w:tcPr>
          <w:p w14:paraId="0047F495"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773" w:type="dxa"/>
            <w:shd w:val="clear" w:color="auto" w:fill="E2EFD9" w:themeFill="accent6" w:themeFillTint="33"/>
            <w:vAlign w:val="center"/>
            <w:hideMark/>
          </w:tcPr>
          <w:p w14:paraId="637EAEAD"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683" w:type="dxa"/>
            <w:shd w:val="clear" w:color="auto" w:fill="E2EFD9" w:themeFill="accent6" w:themeFillTint="33"/>
            <w:vAlign w:val="center"/>
            <w:hideMark/>
          </w:tcPr>
          <w:p w14:paraId="0E0005AF"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773" w:type="dxa"/>
            <w:shd w:val="clear" w:color="auto" w:fill="E2EFD9" w:themeFill="accent6" w:themeFillTint="33"/>
            <w:vAlign w:val="center"/>
            <w:hideMark/>
          </w:tcPr>
          <w:p w14:paraId="31E6BC7A"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736" w:type="dxa"/>
            <w:shd w:val="clear" w:color="auto" w:fill="E2EFD9" w:themeFill="accent6" w:themeFillTint="33"/>
            <w:vAlign w:val="center"/>
            <w:hideMark/>
          </w:tcPr>
          <w:p w14:paraId="7BD96D1B"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773" w:type="dxa"/>
            <w:shd w:val="clear" w:color="auto" w:fill="E2EFD9" w:themeFill="accent6" w:themeFillTint="33"/>
            <w:vAlign w:val="center"/>
            <w:hideMark/>
          </w:tcPr>
          <w:p w14:paraId="5F3BAE60"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804" w:type="dxa"/>
            <w:shd w:val="clear" w:color="auto" w:fill="E2EFD9" w:themeFill="accent6" w:themeFillTint="33"/>
            <w:vAlign w:val="center"/>
            <w:hideMark/>
          </w:tcPr>
          <w:p w14:paraId="0F9D8599"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773" w:type="dxa"/>
            <w:shd w:val="clear" w:color="auto" w:fill="E2EFD9" w:themeFill="accent6" w:themeFillTint="33"/>
            <w:vAlign w:val="center"/>
            <w:hideMark/>
          </w:tcPr>
          <w:p w14:paraId="291B0790"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682" w:type="dxa"/>
            <w:shd w:val="clear" w:color="auto" w:fill="E2EFD9" w:themeFill="accent6" w:themeFillTint="33"/>
            <w:vAlign w:val="center"/>
            <w:hideMark/>
          </w:tcPr>
          <w:p w14:paraId="0CFDF602"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851" w:type="dxa"/>
            <w:shd w:val="clear" w:color="auto" w:fill="E2EFD9" w:themeFill="accent6" w:themeFillTint="33"/>
            <w:vAlign w:val="center"/>
            <w:hideMark/>
          </w:tcPr>
          <w:p w14:paraId="05D36446"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c>
          <w:tcPr>
            <w:tcW w:w="709" w:type="dxa"/>
            <w:shd w:val="clear" w:color="auto" w:fill="E2EFD9" w:themeFill="accent6" w:themeFillTint="33"/>
            <w:vAlign w:val="center"/>
            <w:hideMark/>
          </w:tcPr>
          <w:p w14:paraId="19BA9817"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Points achieved</w:t>
            </w:r>
          </w:p>
        </w:tc>
        <w:tc>
          <w:tcPr>
            <w:tcW w:w="850" w:type="dxa"/>
            <w:shd w:val="clear" w:color="auto" w:fill="E2EFD9" w:themeFill="accent6" w:themeFillTint="33"/>
            <w:vAlign w:val="center"/>
            <w:hideMark/>
          </w:tcPr>
          <w:p w14:paraId="266968D9" w14:textId="77777777" w:rsidR="00AA090F" w:rsidRPr="0002056A" w:rsidRDefault="00AA090F" w:rsidP="00E9730F">
            <w:pPr>
              <w:spacing w:after="0" w:line="240" w:lineRule="auto"/>
              <w:jc w:val="center"/>
              <w:rPr>
                <w:rFonts w:ascii="Georgia" w:eastAsia="Times New Roman" w:hAnsi="Georgia" w:cs="Calibri"/>
                <w:color w:val="000000"/>
                <w:sz w:val="14"/>
                <w:szCs w:val="14"/>
                <w:lang w:val="en-GB" w:eastAsia="hu-HU"/>
              </w:rPr>
            </w:pPr>
            <w:r w:rsidRPr="0002056A">
              <w:rPr>
                <w:rFonts w:ascii="Georgia" w:eastAsia="Times New Roman" w:hAnsi="Georgia" w:cs="Calibri"/>
                <w:color w:val="000000"/>
                <w:sz w:val="14"/>
                <w:szCs w:val="14"/>
                <w:lang w:val="en-GB" w:eastAsia="hu-HU"/>
              </w:rPr>
              <w:t>% of the available maximum</w:t>
            </w:r>
          </w:p>
        </w:tc>
      </w:tr>
      <w:tr w:rsidR="002D3210" w:rsidRPr="0002056A" w14:paraId="02CCF2D1" w14:textId="77777777" w:rsidTr="002543FC">
        <w:trPr>
          <w:trHeight w:val="280"/>
          <w:jc w:val="right"/>
        </w:trPr>
        <w:tc>
          <w:tcPr>
            <w:tcW w:w="1550" w:type="dxa"/>
            <w:shd w:val="clear" w:color="auto" w:fill="E2EFD9" w:themeFill="accent6" w:themeFillTint="33"/>
            <w:noWrap/>
            <w:vAlign w:val="bottom"/>
            <w:hideMark/>
          </w:tcPr>
          <w:p w14:paraId="462F480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Albania</w:t>
            </w:r>
          </w:p>
        </w:tc>
        <w:tc>
          <w:tcPr>
            <w:tcW w:w="850" w:type="dxa"/>
            <w:noWrap/>
            <w:vAlign w:val="bottom"/>
            <w:hideMark/>
          </w:tcPr>
          <w:p w14:paraId="1EEB869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36</w:t>
            </w:r>
          </w:p>
        </w:tc>
        <w:tc>
          <w:tcPr>
            <w:tcW w:w="904" w:type="dxa"/>
            <w:noWrap/>
            <w:vAlign w:val="bottom"/>
            <w:hideMark/>
          </w:tcPr>
          <w:p w14:paraId="4C9647D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21,18</w:t>
            </w:r>
          </w:p>
        </w:tc>
        <w:tc>
          <w:tcPr>
            <w:tcW w:w="721" w:type="dxa"/>
            <w:noWrap/>
            <w:vAlign w:val="bottom"/>
            <w:hideMark/>
          </w:tcPr>
          <w:p w14:paraId="3C4EAA7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30ED98C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2609E69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64DF73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6B65079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1DE0121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736" w:type="dxa"/>
            <w:noWrap/>
            <w:vAlign w:val="bottom"/>
            <w:hideMark/>
          </w:tcPr>
          <w:p w14:paraId="382353C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3E51B51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804" w:type="dxa"/>
            <w:noWrap/>
            <w:vAlign w:val="bottom"/>
            <w:hideMark/>
          </w:tcPr>
          <w:p w14:paraId="5F9CE4E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21058E6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6D3549F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1" w:type="dxa"/>
            <w:noWrap/>
            <w:vAlign w:val="bottom"/>
            <w:hideMark/>
          </w:tcPr>
          <w:p w14:paraId="3063007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23,33</w:t>
            </w:r>
          </w:p>
        </w:tc>
        <w:tc>
          <w:tcPr>
            <w:tcW w:w="709" w:type="dxa"/>
            <w:noWrap/>
            <w:vAlign w:val="bottom"/>
            <w:hideMark/>
          </w:tcPr>
          <w:p w14:paraId="6116962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3A8B085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70815E5E" w14:textId="77777777" w:rsidTr="002543FC">
        <w:trPr>
          <w:trHeight w:val="280"/>
          <w:jc w:val="right"/>
        </w:trPr>
        <w:tc>
          <w:tcPr>
            <w:tcW w:w="1550" w:type="dxa"/>
            <w:shd w:val="clear" w:color="auto" w:fill="E2EFD9" w:themeFill="accent6" w:themeFillTint="33"/>
            <w:noWrap/>
            <w:vAlign w:val="bottom"/>
            <w:hideMark/>
          </w:tcPr>
          <w:p w14:paraId="0B8BE849"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Austria</w:t>
            </w:r>
          </w:p>
        </w:tc>
        <w:tc>
          <w:tcPr>
            <w:tcW w:w="850" w:type="dxa"/>
            <w:noWrap/>
            <w:vAlign w:val="bottom"/>
            <w:hideMark/>
          </w:tcPr>
          <w:p w14:paraId="115B00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97</w:t>
            </w:r>
          </w:p>
        </w:tc>
        <w:tc>
          <w:tcPr>
            <w:tcW w:w="904" w:type="dxa"/>
            <w:noWrap/>
            <w:vAlign w:val="bottom"/>
            <w:hideMark/>
          </w:tcPr>
          <w:p w14:paraId="6B2A5B2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57,06</w:t>
            </w:r>
          </w:p>
        </w:tc>
        <w:tc>
          <w:tcPr>
            <w:tcW w:w="721" w:type="dxa"/>
            <w:noWrap/>
            <w:vAlign w:val="bottom"/>
            <w:hideMark/>
          </w:tcPr>
          <w:p w14:paraId="52F6B9A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826" w:type="dxa"/>
            <w:noWrap/>
            <w:vAlign w:val="bottom"/>
            <w:hideMark/>
          </w:tcPr>
          <w:p w14:paraId="5E3DD20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682" w:type="dxa"/>
            <w:noWrap/>
            <w:vAlign w:val="bottom"/>
            <w:hideMark/>
          </w:tcPr>
          <w:p w14:paraId="04AF288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773" w:type="dxa"/>
            <w:noWrap/>
            <w:vAlign w:val="bottom"/>
            <w:hideMark/>
          </w:tcPr>
          <w:p w14:paraId="4EB21ED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683" w:type="dxa"/>
            <w:noWrap/>
            <w:vAlign w:val="bottom"/>
            <w:hideMark/>
          </w:tcPr>
          <w:p w14:paraId="2256754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69DED83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22,50</w:t>
            </w:r>
          </w:p>
        </w:tc>
        <w:tc>
          <w:tcPr>
            <w:tcW w:w="736" w:type="dxa"/>
            <w:noWrap/>
            <w:vAlign w:val="bottom"/>
            <w:hideMark/>
          </w:tcPr>
          <w:p w14:paraId="2519E6F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6DBE46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86,67</w:t>
            </w:r>
          </w:p>
        </w:tc>
        <w:tc>
          <w:tcPr>
            <w:tcW w:w="804" w:type="dxa"/>
            <w:noWrap/>
            <w:vAlign w:val="bottom"/>
            <w:hideMark/>
          </w:tcPr>
          <w:p w14:paraId="37A5919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65CF76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c>
          <w:tcPr>
            <w:tcW w:w="682" w:type="dxa"/>
            <w:noWrap/>
            <w:vAlign w:val="bottom"/>
            <w:hideMark/>
          </w:tcPr>
          <w:p w14:paraId="6302A14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w:t>
            </w:r>
          </w:p>
        </w:tc>
        <w:tc>
          <w:tcPr>
            <w:tcW w:w="851" w:type="dxa"/>
            <w:noWrap/>
            <w:vAlign w:val="bottom"/>
            <w:hideMark/>
          </w:tcPr>
          <w:p w14:paraId="76F2469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c>
          <w:tcPr>
            <w:tcW w:w="709" w:type="dxa"/>
            <w:noWrap/>
            <w:vAlign w:val="bottom"/>
            <w:hideMark/>
          </w:tcPr>
          <w:p w14:paraId="478BA76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850" w:type="dxa"/>
            <w:noWrap/>
            <w:vAlign w:val="bottom"/>
            <w:hideMark/>
          </w:tcPr>
          <w:p w14:paraId="53A15D3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r>
      <w:tr w:rsidR="002D3210" w:rsidRPr="0002056A" w14:paraId="13B14BC7" w14:textId="77777777" w:rsidTr="002543FC">
        <w:trPr>
          <w:trHeight w:val="280"/>
          <w:jc w:val="right"/>
        </w:trPr>
        <w:tc>
          <w:tcPr>
            <w:tcW w:w="1550" w:type="dxa"/>
            <w:shd w:val="clear" w:color="auto" w:fill="E2EFD9" w:themeFill="accent6" w:themeFillTint="33"/>
            <w:noWrap/>
            <w:vAlign w:val="bottom"/>
            <w:hideMark/>
          </w:tcPr>
          <w:p w14:paraId="2E0E2B1E"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Belgium</w:t>
            </w:r>
          </w:p>
        </w:tc>
        <w:tc>
          <w:tcPr>
            <w:tcW w:w="850" w:type="dxa"/>
            <w:noWrap/>
            <w:vAlign w:val="bottom"/>
            <w:hideMark/>
          </w:tcPr>
          <w:p w14:paraId="7098F82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w:t>
            </w:r>
          </w:p>
        </w:tc>
        <w:tc>
          <w:tcPr>
            <w:tcW w:w="904" w:type="dxa"/>
            <w:noWrap/>
            <w:vAlign w:val="bottom"/>
            <w:hideMark/>
          </w:tcPr>
          <w:p w14:paraId="37761E8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27,06</w:t>
            </w:r>
          </w:p>
        </w:tc>
        <w:tc>
          <w:tcPr>
            <w:tcW w:w="721" w:type="dxa"/>
            <w:noWrap/>
            <w:vAlign w:val="bottom"/>
            <w:hideMark/>
          </w:tcPr>
          <w:p w14:paraId="497F149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2B469B8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4EC8A73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02C3AC6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22,86</w:t>
            </w:r>
          </w:p>
        </w:tc>
        <w:tc>
          <w:tcPr>
            <w:tcW w:w="683" w:type="dxa"/>
            <w:noWrap/>
            <w:vAlign w:val="bottom"/>
            <w:hideMark/>
          </w:tcPr>
          <w:p w14:paraId="27BA4AA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30CDE07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17,50</w:t>
            </w:r>
          </w:p>
        </w:tc>
        <w:tc>
          <w:tcPr>
            <w:tcW w:w="736" w:type="dxa"/>
            <w:noWrap/>
            <w:vAlign w:val="bottom"/>
            <w:hideMark/>
          </w:tcPr>
          <w:p w14:paraId="6528841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5E5FC71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1B6660D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419D6ED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682" w:type="dxa"/>
            <w:noWrap/>
            <w:vAlign w:val="bottom"/>
            <w:hideMark/>
          </w:tcPr>
          <w:p w14:paraId="4FB144E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851" w:type="dxa"/>
            <w:noWrap/>
            <w:vAlign w:val="bottom"/>
            <w:hideMark/>
          </w:tcPr>
          <w:p w14:paraId="5EAD513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709" w:type="dxa"/>
            <w:noWrap/>
            <w:vAlign w:val="bottom"/>
            <w:hideMark/>
          </w:tcPr>
          <w:p w14:paraId="3A11C27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565EF38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1C0EC4B3" w14:textId="77777777" w:rsidTr="002543FC">
        <w:trPr>
          <w:trHeight w:val="280"/>
          <w:jc w:val="right"/>
        </w:trPr>
        <w:tc>
          <w:tcPr>
            <w:tcW w:w="1550" w:type="dxa"/>
            <w:shd w:val="clear" w:color="auto" w:fill="E2EFD9" w:themeFill="accent6" w:themeFillTint="33"/>
            <w:noWrap/>
            <w:vAlign w:val="bottom"/>
            <w:hideMark/>
          </w:tcPr>
          <w:p w14:paraId="13B4BA95"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Bosnia</w:t>
            </w:r>
          </w:p>
        </w:tc>
        <w:tc>
          <w:tcPr>
            <w:tcW w:w="850" w:type="dxa"/>
            <w:noWrap/>
            <w:vAlign w:val="bottom"/>
            <w:hideMark/>
          </w:tcPr>
          <w:p w14:paraId="17669CD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56</w:t>
            </w:r>
          </w:p>
        </w:tc>
        <w:tc>
          <w:tcPr>
            <w:tcW w:w="904" w:type="dxa"/>
            <w:noWrap/>
            <w:vAlign w:val="bottom"/>
            <w:hideMark/>
          </w:tcPr>
          <w:p w14:paraId="569B3B6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32,94</w:t>
            </w:r>
          </w:p>
        </w:tc>
        <w:tc>
          <w:tcPr>
            <w:tcW w:w="721" w:type="dxa"/>
            <w:noWrap/>
            <w:vAlign w:val="bottom"/>
            <w:hideMark/>
          </w:tcPr>
          <w:p w14:paraId="1C435F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5FC1CC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28C9401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w:t>
            </w:r>
          </w:p>
        </w:tc>
        <w:tc>
          <w:tcPr>
            <w:tcW w:w="773" w:type="dxa"/>
            <w:noWrap/>
            <w:vAlign w:val="bottom"/>
            <w:hideMark/>
          </w:tcPr>
          <w:p w14:paraId="4BAD3A7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48,57</w:t>
            </w:r>
          </w:p>
        </w:tc>
        <w:tc>
          <w:tcPr>
            <w:tcW w:w="683" w:type="dxa"/>
            <w:noWrap/>
            <w:vAlign w:val="bottom"/>
            <w:hideMark/>
          </w:tcPr>
          <w:p w14:paraId="4FA93F0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2AE3A7D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12,50</w:t>
            </w:r>
          </w:p>
        </w:tc>
        <w:tc>
          <w:tcPr>
            <w:tcW w:w="736" w:type="dxa"/>
            <w:noWrap/>
            <w:vAlign w:val="bottom"/>
            <w:hideMark/>
          </w:tcPr>
          <w:p w14:paraId="7AA9C03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5D3FB5C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804" w:type="dxa"/>
            <w:noWrap/>
            <w:vAlign w:val="bottom"/>
            <w:hideMark/>
          </w:tcPr>
          <w:p w14:paraId="702E5FB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3E1C204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682" w:type="dxa"/>
            <w:noWrap/>
            <w:vAlign w:val="bottom"/>
            <w:hideMark/>
          </w:tcPr>
          <w:p w14:paraId="580EB0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1" w:type="dxa"/>
            <w:noWrap/>
            <w:vAlign w:val="bottom"/>
            <w:hideMark/>
          </w:tcPr>
          <w:p w14:paraId="46975DD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09" w:type="dxa"/>
            <w:noWrap/>
            <w:vAlign w:val="bottom"/>
            <w:hideMark/>
          </w:tcPr>
          <w:p w14:paraId="37F72A4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201D388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67558BBE" w14:textId="77777777" w:rsidTr="002543FC">
        <w:trPr>
          <w:trHeight w:val="280"/>
          <w:jc w:val="right"/>
        </w:trPr>
        <w:tc>
          <w:tcPr>
            <w:tcW w:w="1550" w:type="dxa"/>
            <w:shd w:val="clear" w:color="auto" w:fill="E2EFD9" w:themeFill="accent6" w:themeFillTint="33"/>
            <w:noWrap/>
            <w:vAlign w:val="bottom"/>
            <w:hideMark/>
          </w:tcPr>
          <w:p w14:paraId="7D9CD43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Bulgaria</w:t>
            </w:r>
          </w:p>
        </w:tc>
        <w:tc>
          <w:tcPr>
            <w:tcW w:w="850" w:type="dxa"/>
            <w:noWrap/>
            <w:vAlign w:val="bottom"/>
            <w:hideMark/>
          </w:tcPr>
          <w:p w14:paraId="0485AC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37</w:t>
            </w:r>
          </w:p>
        </w:tc>
        <w:tc>
          <w:tcPr>
            <w:tcW w:w="904" w:type="dxa"/>
            <w:noWrap/>
            <w:vAlign w:val="bottom"/>
            <w:hideMark/>
          </w:tcPr>
          <w:p w14:paraId="172B19B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21,76</w:t>
            </w:r>
          </w:p>
        </w:tc>
        <w:tc>
          <w:tcPr>
            <w:tcW w:w="721" w:type="dxa"/>
            <w:noWrap/>
            <w:vAlign w:val="bottom"/>
            <w:hideMark/>
          </w:tcPr>
          <w:p w14:paraId="6B86FD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34B972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49694F9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68203B0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28,57</w:t>
            </w:r>
          </w:p>
        </w:tc>
        <w:tc>
          <w:tcPr>
            <w:tcW w:w="683" w:type="dxa"/>
            <w:noWrap/>
            <w:vAlign w:val="bottom"/>
            <w:hideMark/>
          </w:tcPr>
          <w:p w14:paraId="3786A66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43AADC9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7,50</w:t>
            </w:r>
          </w:p>
        </w:tc>
        <w:tc>
          <w:tcPr>
            <w:tcW w:w="736" w:type="dxa"/>
            <w:noWrap/>
            <w:vAlign w:val="bottom"/>
            <w:hideMark/>
          </w:tcPr>
          <w:p w14:paraId="0CDC790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011BA69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1CD18B7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2DDF89E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73BA411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1" w:type="dxa"/>
            <w:noWrap/>
            <w:vAlign w:val="bottom"/>
            <w:hideMark/>
          </w:tcPr>
          <w:p w14:paraId="4B5EF8B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16,67</w:t>
            </w:r>
          </w:p>
        </w:tc>
        <w:tc>
          <w:tcPr>
            <w:tcW w:w="709" w:type="dxa"/>
            <w:noWrap/>
            <w:vAlign w:val="bottom"/>
            <w:hideMark/>
          </w:tcPr>
          <w:p w14:paraId="157843F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41D36EF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5D042C2C" w14:textId="77777777" w:rsidTr="002543FC">
        <w:trPr>
          <w:trHeight w:val="280"/>
          <w:jc w:val="right"/>
        </w:trPr>
        <w:tc>
          <w:tcPr>
            <w:tcW w:w="1550" w:type="dxa"/>
            <w:shd w:val="clear" w:color="auto" w:fill="E2EFD9" w:themeFill="accent6" w:themeFillTint="33"/>
            <w:noWrap/>
            <w:vAlign w:val="bottom"/>
            <w:hideMark/>
          </w:tcPr>
          <w:p w14:paraId="57DEDBD4"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Croatia</w:t>
            </w:r>
          </w:p>
        </w:tc>
        <w:tc>
          <w:tcPr>
            <w:tcW w:w="850" w:type="dxa"/>
            <w:noWrap/>
            <w:vAlign w:val="bottom"/>
            <w:hideMark/>
          </w:tcPr>
          <w:p w14:paraId="1BA42BC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38</w:t>
            </w:r>
          </w:p>
        </w:tc>
        <w:tc>
          <w:tcPr>
            <w:tcW w:w="904" w:type="dxa"/>
            <w:noWrap/>
            <w:vAlign w:val="bottom"/>
            <w:hideMark/>
          </w:tcPr>
          <w:p w14:paraId="042F7FD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22,35</w:t>
            </w:r>
          </w:p>
        </w:tc>
        <w:tc>
          <w:tcPr>
            <w:tcW w:w="721" w:type="dxa"/>
            <w:noWrap/>
            <w:vAlign w:val="bottom"/>
            <w:hideMark/>
          </w:tcPr>
          <w:p w14:paraId="2D48A7E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26" w:type="dxa"/>
            <w:noWrap/>
            <w:vAlign w:val="bottom"/>
            <w:hideMark/>
          </w:tcPr>
          <w:p w14:paraId="575D733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25,00</w:t>
            </w:r>
          </w:p>
        </w:tc>
        <w:tc>
          <w:tcPr>
            <w:tcW w:w="682" w:type="dxa"/>
            <w:noWrap/>
            <w:vAlign w:val="bottom"/>
            <w:hideMark/>
          </w:tcPr>
          <w:p w14:paraId="37194D2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60B1EB5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249F6E4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13579B8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32,50</w:t>
            </w:r>
          </w:p>
        </w:tc>
        <w:tc>
          <w:tcPr>
            <w:tcW w:w="736" w:type="dxa"/>
            <w:noWrap/>
            <w:vAlign w:val="bottom"/>
            <w:hideMark/>
          </w:tcPr>
          <w:p w14:paraId="22F640D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5C21634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07EB3E7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66C9201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4CE20F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1" w:type="dxa"/>
            <w:noWrap/>
            <w:vAlign w:val="bottom"/>
            <w:hideMark/>
          </w:tcPr>
          <w:p w14:paraId="177A150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16,67</w:t>
            </w:r>
          </w:p>
        </w:tc>
        <w:tc>
          <w:tcPr>
            <w:tcW w:w="709" w:type="dxa"/>
            <w:noWrap/>
            <w:vAlign w:val="bottom"/>
            <w:hideMark/>
          </w:tcPr>
          <w:p w14:paraId="418521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2B50FCE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5FB1DC40" w14:textId="77777777" w:rsidTr="002543FC">
        <w:trPr>
          <w:trHeight w:val="280"/>
          <w:jc w:val="right"/>
        </w:trPr>
        <w:tc>
          <w:tcPr>
            <w:tcW w:w="1550" w:type="dxa"/>
            <w:shd w:val="clear" w:color="auto" w:fill="E2EFD9" w:themeFill="accent6" w:themeFillTint="33"/>
            <w:noWrap/>
            <w:vAlign w:val="bottom"/>
            <w:hideMark/>
          </w:tcPr>
          <w:p w14:paraId="041F7B8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Cyprus</w:t>
            </w:r>
          </w:p>
        </w:tc>
        <w:tc>
          <w:tcPr>
            <w:tcW w:w="850" w:type="dxa"/>
            <w:noWrap/>
            <w:vAlign w:val="bottom"/>
            <w:hideMark/>
          </w:tcPr>
          <w:p w14:paraId="46D311A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904" w:type="dxa"/>
            <w:noWrap/>
            <w:vAlign w:val="bottom"/>
            <w:hideMark/>
          </w:tcPr>
          <w:p w14:paraId="2A5940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7,06</w:t>
            </w:r>
          </w:p>
        </w:tc>
        <w:tc>
          <w:tcPr>
            <w:tcW w:w="721" w:type="dxa"/>
            <w:noWrap/>
            <w:vAlign w:val="bottom"/>
            <w:hideMark/>
          </w:tcPr>
          <w:p w14:paraId="3D0D8DD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26" w:type="dxa"/>
            <w:noWrap/>
            <w:vAlign w:val="bottom"/>
            <w:hideMark/>
          </w:tcPr>
          <w:p w14:paraId="4C06D17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w:t>
            </w:r>
          </w:p>
        </w:tc>
        <w:tc>
          <w:tcPr>
            <w:tcW w:w="682" w:type="dxa"/>
            <w:noWrap/>
            <w:vAlign w:val="bottom"/>
            <w:hideMark/>
          </w:tcPr>
          <w:p w14:paraId="3C9F693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4A948E1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401CE9A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303C232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736" w:type="dxa"/>
            <w:noWrap/>
            <w:vAlign w:val="bottom"/>
            <w:hideMark/>
          </w:tcPr>
          <w:p w14:paraId="0E1C67B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72C33F8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804" w:type="dxa"/>
            <w:noWrap/>
            <w:vAlign w:val="bottom"/>
            <w:hideMark/>
          </w:tcPr>
          <w:p w14:paraId="47680CE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7DC4006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6350BE1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1" w:type="dxa"/>
            <w:noWrap/>
            <w:vAlign w:val="bottom"/>
            <w:hideMark/>
          </w:tcPr>
          <w:p w14:paraId="2B9891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709" w:type="dxa"/>
            <w:noWrap/>
            <w:vAlign w:val="bottom"/>
            <w:hideMark/>
          </w:tcPr>
          <w:p w14:paraId="170666F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6BA979C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65061F8D" w14:textId="77777777" w:rsidTr="002543FC">
        <w:trPr>
          <w:trHeight w:val="280"/>
          <w:jc w:val="right"/>
        </w:trPr>
        <w:tc>
          <w:tcPr>
            <w:tcW w:w="1550" w:type="dxa"/>
            <w:shd w:val="clear" w:color="auto" w:fill="E2EFD9" w:themeFill="accent6" w:themeFillTint="33"/>
            <w:noWrap/>
            <w:vAlign w:val="bottom"/>
            <w:hideMark/>
          </w:tcPr>
          <w:p w14:paraId="455B60FC"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Czech Republic</w:t>
            </w:r>
          </w:p>
        </w:tc>
        <w:tc>
          <w:tcPr>
            <w:tcW w:w="850" w:type="dxa"/>
            <w:noWrap/>
            <w:vAlign w:val="bottom"/>
            <w:hideMark/>
          </w:tcPr>
          <w:p w14:paraId="5DA4864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42</w:t>
            </w:r>
          </w:p>
        </w:tc>
        <w:tc>
          <w:tcPr>
            <w:tcW w:w="904" w:type="dxa"/>
            <w:noWrap/>
            <w:vAlign w:val="bottom"/>
            <w:hideMark/>
          </w:tcPr>
          <w:p w14:paraId="0BC1214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24,71</w:t>
            </w:r>
          </w:p>
        </w:tc>
        <w:tc>
          <w:tcPr>
            <w:tcW w:w="721" w:type="dxa"/>
            <w:noWrap/>
            <w:vAlign w:val="bottom"/>
            <w:hideMark/>
          </w:tcPr>
          <w:p w14:paraId="0B254F9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26" w:type="dxa"/>
            <w:noWrap/>
            <w:vAlign w:val="bottom"/>
            <w:hideMark/>
          </w:tcPr>
          <w:p w14:paraId="316B4EA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45,00</w:t>
            </w:r>
          </w:p>
        </w:tc>
        <w:tc>
          <w:tcPr>
            <w:tcW w:w="682" w:type="dxa"/>
            <w:noWrap/>
            <w:vAlign w:val="bottom"/>
            <w:hideMark/>
          </w:tcPr>
          <w:p w14:paraId="7CB59E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5E8BD78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28,57</w:t>
            </w:r>
          </w:p>
        </w:tc>
        <w:tc>
          <w:tcPr>
            <w:tcW w:w="683" w:type="dxa"/>
            <w:noWrap/>
            <w:vAlign w:val="bottom"/>
            <w:hideMark/>
          </w:tcPr>
          <w:p w14:paraId="35D8095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3BEC45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17,50</w:t>
            </w:r>
          </w:p>
        </w:tc>
        <w:tc>
          <w:tcPr>
            <w:tcW w:w="736" w:type="dxa"/>
            <w:noWrap/>
            <w:vAlign w:val="bottom"/>
            <w:hideMark/>
          </w:tcPr>
          <w:p w14:paraId="722963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38DBB2C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804" w:type="dxa"/>
            <w:noWrap/>
            <w:vAlign w:val="bottom"/>
            <w:hideMark/>
          </w:tcPr>
          <w:p w14:paraId="5F66E8B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09F9AB1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4A2459B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51" w:type="dxa"/>
            <w:noWrap/>
            <w:vAlign w:val="bottom"/>
            <w:hideMark/>
          </w:tcPr>
          <w:p w14:paraId="6F9246D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709" w:type="dxa"/>
            <w:noWrap/>
            <w:vAlign w:val="bottom"/>
            <w:hideMark/>
          </w:tcPr>
          <w:p w14:paraId="59B5DC3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0" w:type="dxa"/>
            <w:noWrap/>
            <w:vAlign w:val="bottom"/>
            <w:hideMark/>
          </w:tcPr>
          <w:p w14:paraId="30CDDF8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r>
      <w:tr w:rsidR="002D3210" w:rsidRPr="0002056A" w14:paraId="0AE66A60" w14:textId="77777777" w:rsidTr="002543FC">
        <w:trPr>
          <w:trHeight w:val="280"/>
          <w:jc w:val="right"/>
        </w:trPr>
        <w:tc>
          <w:tcPr>
            <w:tcW w:w="1550" w:type="dxa"/>
            <w:shd w:val="clear" w:color="auto" w:fill="E2EFD9" w:themeFill="accent6" w:themeFillTint="33"/>
            <w:noWrap/>
            <w:vAlign w:val="bottom"/>
            <w:hideMark/>
          </w:tcPr>
          <w:p w14:paraId="36F563AD"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Denmark</w:t>
            </w:r>
          </w:p>
        </w:tc>
        <w:tc>
          <w:tcPr>
            <w:tcW w:w="850" w:type="dxa"/>
            <w:noWrap/>
            <w:vAlign w:val="bottom"/>
            <w:hideMark/>
          </w:tcPr>
          <w:p w14:paraId="7EFDBC8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51</w:t>
            </w:r>
          </w:p>
        </w:tc>
        <w:tc>
          <w:tcPr>
            <w:tcW w:w="904" w:type="dxa"/>
            <w:noWrap/>
            <w:vAlign w:val="bottom"/>
            <w:hideMark/>
          </w:tcPr>
          <w:p w14:paraId="6737BC8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21" w:type="dxa"/>
            <w:noWrap/>
            <w:vAlign w:val="bottom"/>
            <w:hideMark/>
          </w:tcPr>
          <w:p w14:paraId="604937C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26" w:type="dxa"/>
            <w:noWrap/>
            <w:vAlign w:val="bottom"/>
            <w:hideMark/>
          </w:tcPr>
          <w:p w14:paraId="73ED9CD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35,00</w:t>
            </w:r>
          </w:p>
        </w:tc>
        <w:tc>
          <w:tcPr>
            <w:tcW w:w="682" w:type="dxa"/>
            <w:noWrap/>
            <w:vAlign w:val="bottom"/>
            <w:hideMark/>
          </w:tcPr>
          <w:p w14:paraId="7DA7C6B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288035A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28,57</w:t>
            </w:r>
          </w:p>
        </w:tc>
        <w:tc>
          <w:tcPr>
            <w:tcW w:w="683" w:type="dxa"/>
            <w:noWrap/>
            <w:vAlign w:val="bottom"/>
            <w:hideMark/>
          </w:tcPr>
          <w:p w14:paraId="599603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B0E77A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7,50</w:t>
            </w:r>
          </w:p>
        </w:tc>
        <w:tc>
          <w:tcPr>
            <w:tcW w:w="736" w:type="dxa"/>
            <w:noWrap/>
            <w:vAlign w:val="bottom"/>
            <w:hideMark/>
          </w:tcPr>
          <w:p w14:paraId="2511936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2E504D0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59A8D0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3C62037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53,33</w:t>
            </w:r>
          </w:p>
        </w:tc>
        <w:tc>
          <w:tcPr>
            <w:tcW w:w="682" w:type="dxa"/>
            <w:noWrap/>
            <w:vAlign w:val="bottom"/>
            <w:hideMark/>
          </w:tcPr>
          <w:p w14:paraId="172B70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51" w:type="dxa"/>
            <w:noWrap/>
            <w:vAlign w:val="bottom"/>
            <w:hideMark/>
          </w:tcPr>
          <w:p w14:paraId="7884E60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709" w:type="dxa"/>
            <w:noWrap/>
            <w:vAlign w:val="bottom"/>
            <w:hideMark/>
          </w:tcPr>
          <w:p w14:paraId="1D7991F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5BE2125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31263EF9" w14:textId="77777777" w:rsidTr="002543FC">
        <w:trPr>
          <w:trHeight w:val="280"/>
          <w:jc w:val="right"/>
        </w:trPr>
        <w:tc>
          <w:tcPr>
            <w:tcW w:w="1550" w:type="dxa"/>
            <w:shd w:val="clear" w:color="auto" w:fill="E2EFD9" w:themeFill="accent6" w:themeFillTint="33"/>
            <w:noWrap/>
            <w:vAlign w:val="bottom"/>
            <w:hideMark/>
          </w:tcPr>
          <w:p w14:paraId="448BA56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England</w:t>
            </w:r>
          </w:p>
        </w:tc>
        <w:tc>
          <w:tcPr>
            <w:tcW w:w="850" w:type="dxa"/>
            <w:noWrap/>
            <w:vAlign w:val="bottom"/>
            <w:hideMark/>
          </w:tcPr>
          <w:p w14:paraId="3C54AFD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77</w:t>
            </w:r>
          </w:p>
        </w:tc>
        <w:tc>
          <w:tcPr>
            <w:tcW w:w="904" w:type="dxa"/>
            <w:noWrap/>
            <w:vAlign w:val="bottom"/>
            <w:hideMark/>
          </w:tcPr>
          <w:p w14:paraId="17EB96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45,29</w:t>
            </w:r>
          </w:p>
        </w:tc>
        <w:tc>
          <w:tcPr>
            <w:tcW w:w="721" w:type="dxa"/>
            <w:noWrap/>
            <w:vAlign w:val="bottom"/>
            <w:hideMark/>
          </w:tcPr>
          <w:p w14:paraId="43FA08A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26" w:type="dxa"/>
            <w:noWrap/>
            <w:vAlign w:val="bottom"/>
            <w:hideMark/>
          </w:tcPr>
          <w:p w14:paraId="6A2A486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70,00</w:t>
            </w:r>
          </w:p>
        </w:tc>
        <w:tc>
          <w:tcPr>
            <w:tcW w:w="682" w:type="dxa"/>
            <w:noWrap/>
            <w:vAlign w:val="bottom"/>
            <w:hideMark/>
          </w:tcPr>
          <w:p w14:paraId="7327920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501AA3E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8,57</w:t>
            </w:r>
          </w:p>
        </w:tc>
        <w:tc>
          <w:tcPr>
            <w:tcW w:w="683" w:type="dxa"/>
            <w:noWrap/>
            <w:vAlign w:val="bottom"/>
            <w:hideMark/>
          </w:tcPr>
          <w:p w14:paraId="290EFB7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3ED295B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25,00</w:t>
            </w:r>
          </w:p>
        </w:tc>
        <w:tc>
          <w:tcPr>
            <w:tcW w:w="736" w:type="dxa"/>
            <w:noWrap/>
            <w:vAlign w:val="bottom"/>
            <w:hideMark/>
          </w:tcPr>
          <w:p w14:paraId="2FC68D3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F25050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7A3E82E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w:t>
            </w:r>
          </w:p>
        </w:tc>
        <w:tc>
          <w:tcPr>
            <w:tcW w:w="773" w:type="dxa"/>
            <w:noWrap/>
            <w:vAlign w:val="bottom"/>
            <w:hideMark/>
          </w:tcPr>
          <w:p w14:paraId="4B31D6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100,00</w:t>
            </w:r>
          </w:p>
        </w:tc>
        <w:tc>
          <w:tcPr>
            <w:tcW w:w="682" w:type="dxa"/>
            <w:noWrap/>
            <w:vAlign w:val="bottom"/>
            <w:hideMark/>
          </w:tcPr>
          <w:p w14:paraId="520D374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w:t>
            </w:r>
          </w:p>
        </w:tc>
        <w:tc>
          <w:tcPr>
            <w:tcW w:w="851" w:type="dxa"/>
            <w:noWrap/>
            <w:vAlign w:val="bottom"/>
            <w:hideMark/>
          </w:tcPr>
          <w:p w14:paraId="600F5C5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66,67</w:t>
            </w:r>
          </w:p>
        </w:tc>
        <w:tc>
          <w:tcPr>
            <w:tcW w:w="709" w:type="dxa"/>
            <w:noWrap/>
            <w:vAlign w:val="bottom"/>
            <w:hideMark/>
          </w:tcPr>
          <w:p w14:paraId="4856478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850" w:type="dxa"/>
            <w:noWrap/>
            <w:vAlign w:val="bottom"/>
            <w:hideMark/>
          </w:tcPr>
          <w:p w14:paraId="3101E7C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r>
      <w:tr w:rsidR="002D3210" w:rsidRPr="0002056A" w14:paraId="5EC50F61" w14:textId="77777777" w:rsidTr="002543FC">
        <w:trPr>
          <w:trHeight w:val="280"/>
          <w:jc w:val="right"/>
        </w:trPr>
        <w:tc>
          <w:tcPr>
            <w:tcW w:w="1550" w:type="dxa"/>
            <w:shd w:val="clear" w:color="auto" w:fill="E2EFD9" w:themeFill="accent6" w:themeFillTint="33"/>
            <w:noWrap/>
            <w:vAlign w:val="bottom"/>
            <w:hideMark/>
          </w:tcPr>
          <w:p w14:paraId="234AA356"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Estonia</w:t>
            </w:r>
          </w:p>
        </w:tc>
        <w:tc>
          <w:tcPr>
            <w:tcW w:w="850" w:type="dxa"/>
            <w:noWrap/>
            <w:vAlign w:val="bottom"/>
            <w:hideMark/>
          </w:tcPr>
          <w:p w14:paraId="0168DB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49</w:t>
            </w:r>
          </w:p>
        </w:tc>
        <w:tc>
          <w:tcPr>
            <w:tcW w:w="904" w:type="dxa"/>
            <w:noWrap/>
            <w:vAlign w:val="bottom"/>
            <w:hideMark/>
          </w:tcPr>
          <w:p w14:paraId="2EBF857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28,82</w:t>
            </w:r>
          </w:p>
        </w:tc>
        <w:tc>
          <w:tcPr>
            <w:tcW w:w="721" w:type="dxa"/>
            <w:noWrap/>
            <w:vAlign w:val="bottom"/>
            <w:hideMark/>
          </w:tcPr>
          <w:p w14:paraId="046FDA0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520B516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173F00B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670AA33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25,71</w:t>
            </w:r>
          </w:p>
        </w:tc>
        <w:tc>
          <w:tcPr>
            <w:tcW w:w="683" w:type="dxa"/>
            <w:noWrap/>
            <w:vAlign w:val="bottom"/>
            <w:hideMark/>
          </w:tcPr>
          <w:p w14:paraId="1E23C30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5CFCD14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22,50</w:t>
            </w:r>
          </w:p>
        </w:tc>
        <w:tc>
          <w:tcPr>
            <w:tcW w:w="736" w:type="dxa"/>
            <w:noWrap/>
            <w:vAlign w:val="bottom"/>
            <w:hideMark/>
          </w:tcPr>
          <w:p w14:paraId="69F5A1C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0F4C3B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804" w:type="dxa"/>
            <w:noWrap/>
            <w:vAlign w:val="bottom"/>
            <w:hideMark/>
          </w:tcPr>
          <w:p w14:paraId="7A8D4F9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1A33760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682" w:type="dxa"/>
            <w:noWrap/>
            <w:vAlign w:val="bottom"/>
            <w:hideMark/>
          </w:tcPr>
          <w:p w14:paraId="4342BA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1" w:type="dxa"/>
            <w:noWrap/>
            <w:vAlign w:val="bottom"/>
            <w:hideMark/>
          </w:tcPr>
          <w:p w14:paraId="71FB001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09" w:type="dxa"/>
            <w:noWrap/>
            <w:vAlign w:val="bottom"/>
            <w:hideMark/>
          </w:tcPr>
          <w:p w14:paraId="454083B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570B122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36A71802" w14:textId="77777777" w:rsidTr="002543FC">
        <w:trPr>
          <w:trHeight w:val="280"/>
          <w:jc w:val="right"/>
        </w:trPr>
        <w:tc>
          <w:tcPr>
            <w:tcW w:w="1550" w:type="dxa"/>
            <w:shd w:val="clear" w:color="auto" w:fill="E2EFD9" w:themeFill="accent6" w:themeFillTint="33"/>
            <w:noWrap/>
            <w:vAlign w:val="bottom"/>
            <w:hideMark/>
          </w:tcPr>
          <w:p w14:paraId="48EBDD92" w14:textId="5ECC18F6" w:rsidR="00AA090F" w:rsidRPr="0002056A" w:rsidRDefault="00216AD0"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Finland</w:t>
            </w:r>
          </w:p>
        </w:tc>
        <w:tc>
          <w:tcPr>
            <w:tcW w:w="850" w:type="dxa"/>
            <w:noWrap/>
            <w:vAlign w:val="bottom"/>
            <w:hideMark/>
          </w:tcPr>
          <w:p w14:paraId="1BA0020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72</w:t>
            </w:r>
          </w:p>
        </w:tc>
        <w:tc>
          <w:tcPr>
            <w:tcW w:w="904" w:type="dxa"/>
            <w:noWrap/>
            <w:vAlign w:val="bottom"/>
            <w:hideMark/>
          </w:tcPr>
          <w:p w14:paraId="6479C3A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42,35</w:t>
            </w:r>
          </w:p>
        </w:tc>
        <w:tc>
          <w:tcPr>
            <w:tcW w:w="721" w:type="dxa"/>
            <w:noWrap/>
            <w:vAlign w:val="bottom"/>
            <w:hideMark/>
          </w:tcPr>
          <w:p w14:paraId="2E535E4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26" w:type="dxa"/>
            <w:noWrap/>
            <w:vAlign w:val="bottom"/>
            <w:hideMark/>
          </w:tcPr>
          <w:p w14:paraId="4F5441E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70,00</w:t>
            </w:r>
          </w:p>
        </w:tc>
        <w:tc>
          <w:tcPr>
            <w:tcW w:w="682" w:type="dxa"/>
            <w:noWrap/>
            <w:vAlign w:val="bottom"/>
            <w:hideMark/>
          </w:tcPr>
          <w:p w14:paraId="6E71F82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254A3FA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14,29</w:t>
            </w:r>
          </w:p>
        </w:tc>
        <w:tc>
          <w:tcPr>
            <w:tcW w:w="683" w:type="dxa"/>
            <w:noWrap/>
            <w:vAlign w:val="bottom"/>
            <w:hideMark/>
          </w:tcPr>
          <w:p w14:paraId="2C78756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243DEAA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22,50</w:t>
            </w:r>
          </w:p>
        </w:tc>
        <w:tc>
          <w:tcPr>
            <w:tcW w:w="736" w:type="dxa"/>
            <w:noWrap/>
            <w:vAlign w:val="bottom"/>
            <w:hideMark/>
          </w:tcPr>
          <w:p w14:paraId="766005D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5CCE29D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804" w:type="dxa"/>
            <w:noWrap/>
            <w:vAlign w:val="bottom"/>
            <w:hideMark/>
          </w:tcPr>
          <w:p w14:paraId="6C289B7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6CE1D79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86,67</w:t>
            </w:r>
          </w:p>
        </w:tc>
        <w:tc>
          <w:tcPr>
            <w:tcW w:w="682" w:type="dxa"/>
            <w:noWrap/>
            <w:vAlign w:val="bottom"/>
            <w:hideMark/>
          </w:tcPr>
          <w:p w14:paraId="2F1872E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51" w:type="dxa"/>
            <w:noWrap/>
            <w:vAlign w:val="bottom"/>
            <w:hideMark/>
          </w:tcPr>
          <w:p w14:paraId="57FDDB6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709" w:type="dxa"/>
            <w:noWrap/>
            <w:vAlign w:val="bottom"/>
            <w:hideMark/>
          </w:tcPr>
          <w:p w14:paraId="40D7723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244643E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1A925E5C" w14:textId="77777777" w:rsidTr="002543FC">
        <w:trPr>
          <w:trHeight w:val="280"/>
          <w:jc w:val="right"/>
        </w:trPr>
        <w:tc>
          <w:tcPr>
            <w:tcW w:w="1550" w:type="dxa"/>
            <w:shd w:val="clear" w:color="auto" w:fill="E2EFD9" w:themeFill="accent6" w:themeFillTint="33"/>
            <w:noWrap/>
            <w:vAlign w:val="bottom"/>
            <w:hideMark/>
          </w:tcPr>
          <w:p w14:paraId="4350D59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France</w:t>
            </w:r>
          </w:p>
        </w:tc>
        <w:tc>
          <w:tcPr>
            <w:tcW w:w="850" w:type="dxa"/>
            <w:noWrap/>
            <w:vAlign w:val="bottom"/>
            <w:hideMark/>
          </w:tcPr>
          <w:p w14:paraId="0F1E41D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81</w:t>
            </w:r>
          </w:p>
        </w:tc>
        <w:tc>
          <w:tcPr>
            <w:tcW w:w="904" w:type="dxa"/>
            <w:noWrap/>
            <w:vAlign w:val="bottom"/>
            <w:hideMark/>
          </w:tcPr>
          <w:p w14:paraId="16D1B6D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47,65</w:t>
            </w:r>
          </w:p>
        </w:tc>
        <w:tc>
          <w:tcPr>
            <w:tcW w:w="721" w:type="dxa"/>
            <w:noWrap/>
            <w:vAlign w:val="bottom"/>
            <w:hideMark/>
          </w:tcPr>
          <w:p w14:paraId="0660441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826" w:type="dxa"/>
            <w:noWrap/>
            <w:vAlign w:val="bottom"/>
            <w:hideMark/>
          </w:tcPr>
          <w:p w14:paraId="362165C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65,00</w:t>
            </w:r>
          </w:p>
        </w:tc>
        <w:tc>
          <w:tcPr>
            <w:tcW w:w="682" w:type="dxa"/>
            <w:noWrap/>
            <w:vAlign w:val="bottom"/>
            <w:hideMark/>
          </w:tcPr>
          <w:p w14:paraId="3A4B207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6F2981D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22,86</w:t>
            </w:r>
          </w:p>
        </w:tc>
        <w:tc>
          <w:tcPr>
            <w:tcW w:w="683" w:type="dxa"/>
            <w:noWrap/>
            <w:vAlign w:val="bottom"/>
            <w:hideMark/>
          </w:tcPr>
          <w:p w14:paraId="26681F8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19</w:t>
            </w:r>
          </w:p>
        </w:tc>
        <w:tc>
          <w:tcPr>
            <w:tcW w:w="773" w:type="dxa"/>
            <w:noWrap/>
            <w:vAlign w:val="bottom"/>
            <w:hideMark/>
          </w:tcPr>
          <w:p w14:paraId="038E5DE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47,50</w:t>
            </w:r>
          </w:p>
        </w:tc>
        <w:tc>
          <w:tcPr>
            <w:tcW w:w="736" w:type="dxa"/>
            <w:noWrap/>
            <w:vAlign w:val="bottom"/>
            <w:hideMark/>
          </w:tcPr>
          <w:p w14:paraId="07B440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29187E9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804" w:type="dxa"/>
            <w:noWrap/>
            <w:vAlign w:val="bottom"/>
            <w:hideMark/>
          </w:tcPr>
          <w:p w14:paraId="2BBC933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7C6949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682" w:type="dxa"/>
            <w:noWrap/>
            <w:vAlign w:val="bottom"/>
            <w:hideMark/>
          </w:tcPr>
          <w:p w14:paraId="6E3E31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51" w:type="dxa"/>
            <w:noWrap/>
            <w:vAlign w:val="bottom"/>
            <w:hideMark/>
          </w:tcPr>
          <w:p w14:paraId="630749D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709" w:type="dxa"/>
            <w:noWrap/>
            <w:vAlign w:val="bottom"/>
            <w:hideMark/>
          </w:tcPr>
          <w:p w14:paraId="29A7EA9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850" w:type="dxa"/>
            <w:noWrap/>
            <w:vAlign w:val="bottom"/>
            <w:hideMark/>
          </w:tcPr>
          <w:p w14:paraId="29E03D0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86,67</w:t>
            </w:r>
          </w:p>
        </w:tc>
      </w:tr>
      <w:tr w:rsidR="002D3210" w:rsidRPr="0002056A" w14:paraId="41C0B9E8" w14:textId="77777777" w:rsidTr="002543FC">
        <w:trPr>
          <w:trHeight w:val="280"/>
          <w:jc w:val="right"/>
        </w:trPr>
        <w:tc>
          <w:tcPr>
            <w:tcW w:w="1550" w:type="dxa"/>
            <w:shd w:val="clear" w:color="auto" w:fill="E2EFD9" w:themeFill="accent6" w:themeFillTint="33"/>
            <w:noWrap/>
            <w:vAlign w:val="bottom"/>
            <w:hideMark/>
          </w:tcPr>
          <w:p w14:paraId="7C3AABF6"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Germany</w:t>
            </w:r>
          </w:p>
        </w:tc>
        <w:tc>
          <w:tcPr>
            <w:tcW w:w="850" w:type="dxa"/>
            <w:noWrap/>
            <w:vAlign w:val="bottom"/>
            <w:hideMark/>
          </w:tcPr>
          <w:p w14:paraId="71E3F39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w:t>
            </w:r>
          </w:p>
        </w:tc>
        <w:tc>
          <w:tcPr>
            <w:tcW w:w="904" w:type="dxa"/>
            <w:noWrap/>
            <w:vAlign w:val="bottom"/>
            <w:hideMark/>
          </w:tcPr>
          <w:p w14:paraId="51044E4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47,06</w:t>
            </w:r>
          </w:p>
        </w:tc>
        <w:tc>
          <w:tcPr>
            <w:tcW w:w="721" w:type="dxa"/>
            <w:noWrap/>
            <w:vAlign w:val="bottom"/>
            <w:hideMark/>
          </w:tcPr>
          <w:p w14:paraId="2D3CE29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18</w:t>
            </w:r>
          </w:p>
        </w:tc>
        <w:tc>
          <w:tcPr>
            <w:tcW w:w="826" w:type="dxa"/>
            <w:noWrap/>
            <w:vAlign w:val="bottom"/>
            <w:hideMark/>
          </w:tcPr>
          <w:p w14:paraId="13CCEBE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90,00</w:t>
            </w:r>
          </w:p>
        </w:tc>
        <w:tc>
          <w:tcPr>
            <w:tcW w:w="682" w:type="dxa"/>
            <w:noWrap/>
            <w:vAlign w:val="bottom"/>
            <w:hideMark/>
          </w:tcPr>
          <w:p w14:paraId="378205B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1221CAF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35745A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773" w:type="dxa"/>
            <w:noWrap/>
            <w:vAlign w:val="bottom"/>
            <w:hideMark/>
          </w:tcPr>
          <w:p w14:paraId="4BB6E7A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736" w:type="dxa"/>
            <w:noWrap/>
            <w:vAlign w:val="bottom"/>
            <w:hideMark/>
          </w:tcPr>
          <w:p w14:paraId="42E2819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069211A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2CBB724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2E1B11D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682" w:type="dxa"/>
            <w:noWrap/>
            <w:vAlign w:val="bottom"/>
            <w:hideMark/>
          </w:tcPr>
          <w:p w14:paraId="5F89147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24</w:t>
            </w:r>
          </w:p>
        </w:tc>
        <w:tc>
          <w:tcPr>
            <w:tcW w:w="851" w:type="dxa"/>
            <w:noWrap/>
            <w:vAlign w:val="bottom"/>
            <w:hideMark/>
          </w:tcPr>
          <w:p w14:paraId="28E3EB0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709" w:type="dxa"/>
            <w:noWrap/>
            <w:vAlign w:val="bottom"/>
            <w:hideMark/>
          </w:tcPr>
          <w:p w14:paraId="4ABB7F4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160E683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260DF5D1" w14:textId="77777777" w:rsidTr="002543FC">
        <w:trPr>
          <w:trHeight w:val="280"/>
          <w:jc w:val="right"/>
        </w:trPr>
        <w:tc>
          <w:tcPr>
            <w:tcW w:w="1550" w:type="dxa"/>
            <w:shd w:val="clear" w:color="auto" w:fill="E2EFD9" w:themeFill="accent6" w:themeFillTint="33"/>
            <w:noWrap/>
            <w:vAlign w:val="bottom"/>
            <w:hideMark/>
          </w:tcPr>
          <w:p w14:paraId="19A8CE67"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Greece</w:t>
            </w:r>
          </w:p>
        </w:tc>
        <w:tc>
          <w:tcPr>
            <w:tcW w:w="850" w:type="dxa"/>
            <w:noWrap/>
            <w:vAlign w:val="bottom"/>
            <w:hideMark/>
          </w:tcPr>
          <w:p w14:paraId="7C03061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56</w:t>
            </w:r>
          </w:p>
        </w:tc>
        <w:tc>
          <w:tcPr>
            <w:tcW w:w="904" w:type="dxa"/>
            <w:noWrap/>
            <w:vAlign w:val="bottom"/>
            <w:hideMark/>
          </w:tcPr>
          <w:p w14:paraId="1B0D241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32,94</w:t>
            </w:r>
          </w:p>
        </w:tc>
        <w:tc>
          <w:tcPr>
            <w:tcW w:w="721" w:type="dxa"/>
            <w:noWrap/>
            <w:vAlign w:val="bottom"/>
            <w:hideMark/>
          </w:tcPr>
          <w:p w14:paraId="622ED69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39EAE38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032689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78712CF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25,71</w:t>
            </w:r>
          </w:p>
        </w:tc>
        <w:tc>
          <w:tcPr>
            <w:tcW w:w="683" w:type="dxa"/>
            <w:noWrap/>
            <w:vAlign w:val="bottom"/>
            <w:hideMark/>
          </w:tcPr>
          <w:p w14:paraId="28D630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3C10C2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17,50</w:t>
            </w:r>
          </w:p>
        </w:tc>
        <w:tc>
          <w:tcPr>
            <w:tcW w:w="736" w:type="dxa"/>
            <w:noWrap/>
            <w:vAlign w:val="bottom"/>
            <w:hideMark/>
          </w:tcPr>
          <w:p w14:paraId="6A01797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559DBE7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1F9FEAB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54FB428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66,67</w:t>
            </w:r>
          </w:p>
        </w:tc>
        <w:tc>
          <w:tcPr>
            <w:tcW w:w="682" w:type="dxa"/>
            <w:noWrap/>
            <w:vAlign w:val="bottom"/>
            <w:hideMark/>
          </w:tcPr>
          <w:p w14:paraId="4633C75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51" w:type="dxa"/>
            <w:noWrap/>
            <w:vAlign w:val="bottom"/>
            <w:hideMark/>
          </w:tcPr>
          <w:p w14:paraId="4B72A14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709" w:type="dxa"/>
            <w:noWrap/>
            <w:vAlign w:val="bottom"/>
            <w:hideMark/>
          </w:tcPr>
          <w:p w14:paraId="07A210B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6F68E45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383CE3D8" w14:textId="77777777" w:rsidTr="002543FC">
        <w:trPr>
          <w:trHeight w:val="280"/>
          <w:jc w:val="right"/>
        </w:trPr>
        <w:tc>
          <w:tcPr>
            <w:tcW w:w="1550" w:type="dxa"/>
            <w:shd w:val="clear" w:color="auto" w:fill="E2EFD9" w:themeFill="accent6" w:themeFillTint="33"/>
            <w:noWrap/>
            <w:vAlign w:val="bottom"/>
            <w:hideMark/>
          </w:tcPr>
          <w:p w14:paraId="009C1C96"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Hungary</w:t>
            </w:r>
          </w:p>
        </w:tc>
        <w:tc>
          <w:tcPr>
            <w:tcW w:w="850" w:type="dxa"/>
            <w:noWrap/>
            <w:vAlign w:val="bottom"/>
            <w:hideMark/>
          </w:tcPr>
          <w:p w14:paraId="000148D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w:t>
            </w:r>
          </w:p>
        </w:tc>
        <w:tc>
          <w:tcPr>
            <w:tcW w:w="904" w:type="dxa"/>
            <w:noWrap/>
            <w:vAlign w:val="bottom"/>
            <w:hideMark/>
          </w:tcPr>
          <w:p w14:paraId="4C530E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38,82</w:t>
            </w:r>
          </w:p>
        </w:tc>
        <w:tc>
          <w:tcPr>
            <w:tcW w:w="721" w:type="dxa"/>
            <w:noWrap/>
            <w:vAlign w:val="bottom"/>
            <w:hideMark/>
          </w:tcPr>
          <w:p w14:paraId="295B9B2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826" w:type="dxa"/>
            <w:noWrap/>
            <w:vAlign w:val="bottom"/>
            <w:hideMark/>
          </w:tcPr>
          <w:p w14:paraId="3A5B26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682" w:type="dxa"/>
            <w:noWrap/>
            <w:vAlign w:val="bottom"/>
            <w:hideMark/>
          </w:tcPr>
          <w:p w14:paraId="55E1748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453FA84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31,43</w:t>
            </w:r>
          </w:p>
        </w:tc>
        <w:tc>
          <w:tcPr>
            <w:tcW w:w="683" w:type="dxa"/>
            <w:noWrap/>
            <w:vAlign w:val="bottom"/>
            <w:hideMark/>
          </w:tcPr>
          <w:p w14:paraId="3627416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1B03BF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22,50</w:t>
            </w:r>
          </w:p>
        </w:tc>
        <w:tc>
          <w:tcPr>
            <w:tcW w:w="736" w:type="dxa"/>
            <w:noWrap/>
            <w:vAlign w:val="bottom"/>
            <w:hideMark/>
          </w:tcPr>
          <w:p w14:paraId="79D040A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454DFF0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5C3E2C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584C6C1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06DB524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w:t>
            </w:r>
          </w:p>
        </w:tc>
        <w:tc>
          <w:tcPr>
            <w:tcW w:w="851" w:type="dxa"/>
            <w:noWrap/>
            <w:vAlign w:val="bottom"/>
            <w:hideMark/>
          </w:tcPr>
          <w:p w14:paraId="26EF14F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709" w:type="dxa"/>
            <w:noWrap/>
            <w:vAlign w:val="bottom"/>
            <w:hideMark/>
          </w:tcPr>
          <w:p w14:paraId="3D0394D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4D72629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70B1C96C" w14:textId="77777777" w:rsidTr="002543FC">
        <w:trPr>
          <w:trHeight w:val="280"/>
          <w:jc w:val="right"/>
        </w:trPr>
        <w:tc>
          <w:tcPr>
            <w:tcW w:w="1550" w:type="dxa"/>
            <w:shd w:val="clear" w:color="auto" w:fill="E2EFD9" w:themeFill="accent6" w:themeFillTint="33"/>
            <w:noWrap/>
            <w:vAlign w:val="bottom"/>
            <w:hideMark/>
          </w:tcPr>
          <w:p w14:paraId="12FD96A9"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Iceland</w:t>
            </w:r>
          </w:p>
        </w:tc>
        <w:tc>
          <w:tcPr>
            <w:tcW w:w="850" w:type="dxa"/>
            <w:noWrap/>
            <w:vAlign w:val="bottom"/>
            <w:hideMark/>
          </w:tcPr>
          <w:p w14:paraId="258985E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w:t>
            </w:r>
          </w:p>
        </w:tc>
        <w:tc>
          <w:tcPr>
            <w:tcW w:w="904" w:type="dxa"/>
            <w:noWrap/>
            <w:vAlign w:val="bottom"/>
            <w:hideMark/>
          </w:tcPr>
          <w:p w14:paraId="27E36E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14,71</w:t>
            </w:r>
          </w:p>
        </w:tc>
        <w:tc>
          <w:tcPr>
            <w:tcW w:w="721" w:type="dxa"/>
            <w:noWrap/>
            <w:vAlign w:val="bottom"/>
            <w:hideMark/>
          </w:tcPr>
          <w:p w14:paraId="5B214D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26" w:type="dxa"/>
            <w:noWrap/>
            <w:vAlign w:val="bottom"/>
            <w:hideMark/>
          </w:tcPr>
          <w:p w14:paraId="27A46EC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10,00</w:t>
            </w:r>
          </w:p>
        </w:tc>
        <w:tc>
          <w:tcPr>
            <w:tcW w:w="682" w:type="dxa"/>
            <w:noWrap/>
            <w:vAlign w:val="bottom"/>
            <w:hideMark/>
          </w:tcPr>
          <w:p w14:paraId="6A3B48E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7F69642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0933B43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1F9459B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15,00</w:t>
            </w:r>
          </w:p>
        </w:tc>
        <w:tc>
          <w:tcPr>
            <w:tcW w:w="736" w:type="dxa"/>
            <w:noWrap/>
            <w:vAlign w:val="bottom"/>
            <w:hideMark/>
          </w:tcPr>
          <w:p w14:paraId="1941EDB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1149361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40ADA59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60B66E6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51B5D8A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1" w:type="dxa"/>
            <w:noWrap/>
            <w:vAlign w:val="bottom"/>
            <w:hideMark/>
          </w:tcPr>
          <w:p w14:paraId="484669B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709" w:type="dxa"/>
            <w:noWrap/>
            <w:vAlign w:val="bottom"/>
            <w:hideMark/>
          </w:tcPr>
          <w:p w14:paraId="5051AD6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6875224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1A486176" w14:textId="77777777" w:rsidTr="002543FC">
        <w:trPr>
          <w:trHeight w:val="280"/>
          <w:jc w:val="right"/>
        </w:trPr>
        <w:tc>
          <w:tcPr>
            <w:tcW w:w="1550" w:type="dxa"/>
            <w:shd w:val="clear" w:color="auto" w:fill="E2EFD9" w:themeFill="accent6" w:themeFillTint="33"/>
            <w:noWrap/>
            <w:vAlign w:val="bottom"/>
            <w:hideMark/>
          </w:tcPr>
          <w:p w14:paraId="6F893230"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Ireland</w:t>
            </w:r>
          </w:p>
        </w:tc>
        <w:tc>
          <w:tcPr>
            <w:tcW w:w="850" w:type="dxa"/>
            <w:noWrap/>
            <w:vAlign w:val="bottom"/>
            <w:hideMark/>
          </w:tcPr>
          <w:p w14:paraId="7D57425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w:t>
            </w:r>
          </w:p>
        </w:tc>
        <w:tc>
          <w:tcPr>
            <w:tcW w:w="904" w:type="dxa"/>
            <w:noWrap/>
            <w:vAlign w:val="bottom"/>
            <w:hideMark/>
          </w:tcPr>
          <w:p w14:paraId="1797E00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27,06</w:t>
            </w:r>
          </w:p>
        </w:tc>
        <w:tc>
          <w:tcPr>
            <w:tcW w:w="721" w:type="dxa"/>
            <w:noWrap/>
            <w:vAlign w:val="bottom"/>
            <w:hideMark/>
          </w:tcPr>
          <w:p w14:paraId="387AA58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542D8B0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723B7AF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EE90D0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8,57</w:t>
            </w:r>
          </w:p>
        </w:tc>
        <w:tc>
          <w:tcPr>
            <w:tcW w:w="683" w:type="dxa"/>
            <w:noWrap/>
            <w:vAlign w:val="bottom"/>
            <w:hideMark/>
          </w:tcPr>
          <w:p w14:paraId="7DA5A17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5630C0B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7,50</w:t>
            </w:r>
          </w:p>
        </w:tc>
        <w:tc>
          <w:tcPr>
            <w:tcW w:w="736" w:type="dxa"/>
            <w:noWrap/>
            <w:vAlign w:val="bottom"/>
            <w:hideMark/>
          </w:tcPr>
          <w:p w14:paraId="275E7FB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F55F7F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5016242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7C74F3C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682" w:type="dxa"/>
            <w:noWrap/>
            <w:vAlign w:val="bottom"/>
            <w:hideMark/>
          </w:tcPr>
          <w:p w14:paraId="2DB8374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w:t>
            </w:r>
          </w:p>
        </w:tc>
        <w:tc>
          <w:tcPr>
            <w:tcW w:w="851" w:type="dxa"/>
            <w:noWrap/>
            <w:vAlign w:val="bottom"/>
            <w:hideMark/>
          </w:tcPr>
          <w:p w14:paraId="0F2DD5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709" w:type="dxa"/>
            <w:noWrap/>
            <w:vAlign w:val="bottom"/>
            <w:hideMark/>
          </w:tcPr>
          <w:p w14:paraId="6C5A90A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696D1EE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69EC405C" w14:textId="77777777" w:rsidTr="002543FC">
        <w:trPr>
          <w:trHeight w:val="280"/>
          <w:jc w:val="right"/>
        </w:trPr>
        <w:tc>
          <w:tcPr>
            <w:tcW w:w="1550" w:type="dxa"/>
            <w:shd w:val="clear" w:color="auto" w:fill="E2EFD9" w:themeFill="accent6" w:themeFillTint="33"/>
            <w:noWrap/>
            <w:vAlign w:val="bottom"/>
            <w:hideMark/>
          </w:tcPr>
          <w:p w14:paraId="65CFACE7"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Italy</w:t>
            </w:r>
          </w:p>
        </w:tc>
        <w:tc>
          <w:tcPr>
            <w:tcW w:w="850" w:type="dxa"/>
            <w:noWrap/>
            <w:vAlign w:val="bottom"/>
            <w:hideMark/>
          </w:tcPr>
          <w:p w14:paraId="6B290D3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51</w:t>
            </w:r>
          </w:p>
        </w:tc>
        <w:tc>
          <w:tcPr>
            <w:tcW w:w="904" w:type="dxa"/>
            <w:noWrap/>
            <w:vAlign w:val="bottom"/>
            <w:hideMark/>
          </w:tcPr>
          <w:p w14:paraId="20ED7F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21" w:type="dxa"/>
            <w:noWrap/>
            <w:vAlign w:val="bottom"/>
            <w:hideMark/>
          </w:tcPr>
          <w:p w14:paraId="5234CD2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4EAFD31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4A413B5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438D943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25,71</w:t>
            </w:r>
          </w:p>
        </w:tc>
        <w:tc>
          <w:tcPr>
            <w:tcW w:w="683" w:type="dxa"/>
            <w:noWrap/>
            <w:vAlign w:val="bottom"/>
            <w:hideMark/>
          </w:tcPr>
          <w:p w14:paraId="297B597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7C2339F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17,50</w:t>
            </w:r>
          </w:p>
        </w:tc>
        <w:tc>
          <w:tcPr>
            <w:tcW w:w="736" w:type="dxa"/>
            <w:noWrap/>
            <w:vAlign w:val="bottom"/>
            <w:hideMark/>
          </w:tcPr>
          <w:p w14:paraId="6E74750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04B975F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804" w:type="dxa"/>
            <w:noWrap/>
            <w:vAlign w:val="bottom"/>
            <w:hideMark/>
          </w:tcPr>
          <w:p w14:paraId="59EF4D0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4C6B36F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4828CD1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51" w:type="dxa"/>
            <w:noWrap/>
            <w:vAlign w:val="bottom"/>
            <w:hideMark/>
          </w:tcPr>
          <w:p w14:paraId="6050D50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709" w:type="dxa"/>
            <w:noWrap/>
            <w:vAlign w:val="bottom"/>
            <w:hideMark/>
          </w:tcPr>
          <w:p w14:paraId="180865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152C921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0968D626" w14:textId="77777777" w:rsidTr="002543FC">
        <w:trPr>
          <w:trHeight w:val="280"/>
          <w:jc w:val="right"/>
        </w:trPr>
        <w:tc>
          <w:tcPr>
            <w:tcW w:w="1550" w:type="dxa"/>
            <w:shd w:val="clear" w:color="auto" w:fill="E2EFD9" w:themeFill="accent6" w:themeFillTint="33"/>
            <w:noWrap/>
            <w:vAlign w:val="bottom"/>
            <w:hideMark/>
          </w:tcPr>
          <w:p w14:paraId="276DED61"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Kosovo</w:t>
            </w:r>
          </w:p>
        </w:tc>
        <w:tc>
          <w:tcPr>
            <w:tcW w:w="850" w:type="dxa"/>
            <w:noWrap/>
            <w:vAlign w:val="bottom"/>
            <w:hideMark/>
          </w:tcPr>
          <w:p w14:paraId="3F38618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36</w:t>
            </w:r>
          </w:p>
        </w:tc>
        <w:tc>
          <w:tcPr>
            <w:tcW w:w="904" w:type="dxa"/>
            <w:noWrap/>
            <w:vAlign w:val="bottom"/>
            <w:hideMark/>
          </w:tcPr>
          <w:p w14:paraId="71034AB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21,18</w:t>
            </w:r>
          </w:p>
        </w:tc>
        <w:tc>
          <w:tcPr>
            <w:tcW w:w="721" w:type="dxa"/>
            <w:noWrap/>
            <w:vAlign w:val="bottom"/>
            <w:hideMark/>
          </w:tcPr>
          <w:p w14:paraId="26564F4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26" w:type="dxa"/>
            <w:noWrap/>
            <w:vAlign w:val="bottom"/>
            <w:hideMark/>
          </w:tcPr>
          <w:p w14:paraId="582C604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682" w:type="dxa"/>
            <w:noWrap/>
            <w:vAlign w:val="bottom"/>
            <w:hideMark/>
          </w:tcPr>
          <w:p w14:paraId="3976B64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1A3B68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7425FF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70D03FA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15,00</w:t>
            </w:r>
          </w:p>
        </w:tc>
        <w:tc>
          <w:tcPr>
            <w:tcW w:w="736" w:type="dxa"/>
            <w:noWrap/>
            <w:vAlign w:val="bottom"/>
            <w:hideMark/>
          </w:tcPr>
          <w:p w14:paraId="00262B8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5361AA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64CD0D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298DBA3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3D2D50E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1" w:type="dxa"/>
            <w:noWrap/>
            <w:vAlign w:val="bottom"/>
            <w:hideMark/>
          </w:tcPr>
          <w:p w14:paraId="0E84A8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16,67</w:t>
            </w:r>
          </w:p>
        </w:tc>
        <w:tc>
          <w:tcPr>
            <w:tcW w:w="709" w:type="dxa"/>
            <w:noWrap/>
            <w:vAlign w:val="bottom"/>
            <w:hideMark/>
          </w:tcPr>
          <w:p w14:paraId="123FF08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39FBBC0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2A8FD78E" w14:textId="77777777" w:rsidTr="002543FC">
        <w:trPr>
          <w:trHeight w:val="280"/>
          <w:jc w:val="right"/>
        </w:trPr>
        <w:tc>
          <w:tcPr>
            <w:tcW w:w="1550" w:type="dxa"/>
            <w:shd w:val="clear" w:color="auto" w:fill="E2EFD9" w:themeFill="accent6" w:themeFillTint="33"/>
            <w:noWrap/>
            <w:vAlign w:val="bottom"/>
            <w:hideMark/>
          </w:tcPr>
          <w:p w14:paraId="15EC2A7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Latvia</w:t>
            </w:r>
          </w:p>
        </w:tc>
        <w:tc>
          <w:tcPr>
            <w:tcW w:w="850" w:type="dxa"/>
            <w:noWrap/>
            <w:vAlign w:val="bottom"/>
            <w:hideMark/>
          </w:tcPr>
          <w:p w14:paraId="2026466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45</w:t>
            </w:r>
          </w:p>
        </w:tc>
        <w:tc>
          <w:tcPr>
            <w:tcW w:w="904" w:type="dxa"/>
            <w:noWrap/>
            <w:vAlign w:val="bottom"/>
            <w:hideMark/>
          </w:tcPr>
          <w:p w14:paraId="77681DE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26,47</w:t>
            </w:r>
          </w:p>
        </w:tc>
        <w:tc>
          <w:tcPr>
            <w:tcW w:w="721" w:type="dxa"/>
            <w:noWrap/>
            <w:vAlign w:val="bottom"/>
            <w:hideMark/>
          </w:tcPr>
          <w:p w14:paraId="70503F7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26" w:type="dxa"/>
            <w:noWrap/>
            <w:vAlign w:val="bottom"/>
            <w:hideMark/>
          </w:tcPr>
          <w:p w14:paraId="519FD7E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w:t>
            </w:r>
          </w:p>
        </w:tc>
        <w:tc>
          <w:tcPr>
            <w:tcW w:w="682" w:type="dxa"/>
            <w:noWrap/>
            <w:vAlign w:val="bottom"/>
            <w:hideMark/>
          </w:tcPr>
          <w:p w14:paraId="7C2A95C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08BFE8F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31,43</w:t>
            </w:r>
          </w:p>
        </w:tc>
        <w:tc>
          <w:tcPr>
            <w:tcW w:w="683" w:type="dxa"/>
            <w:noWrap/>
            <w:vAlign w:val="bottom"/>
            <w:hideMark/>
          </w:tcPr>
          <w:p w14:paraId="45598CF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1781F13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32,50</w:t>
            </w:r>
          </w:p>
        </w:tc>
        <w:tc>
          <w:tcPr>
            <w:tcW w:w="736" w:type="dxa"/>
            <w:noWrap/>
            <w:vAlign w:val="bottom"/>
            <w:hideMark/>
          </w:tcPr>
          <w:p w14:paraId="6F10A79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6CFB5F4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0282B21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6AF7A02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38C7088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1" w:type="dxa"/>
            <w:noWrap/>
            <w:vAlign w:val="bottom"/>
            <w:hideMark/>
          </w:tcPr>
          <w:p w14:paraId="469EFB3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09" w:type="dxa"/>
            <w:noWrap/>
            <w:vAlign w:val="bottom"/>
            <w:hideMark/>
          </w:tcPr>
          <w:p w14:paraId="5C18FE9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45ECDA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6AB7742D" w14:textId="77777777" w:rsidTr="002543FC">
        <w:trPr>
          <w:trHeight w:val="280"/>
          <w:jc w:val="right"/>
        </w:trPr>
        <w:tc>
          <w:tcPr>
            <w:tcW w:w="1550" w:type="dxa"/>
            <w:shd w:val="clear" w:color="auto" w:fill="E2EFD9" w:themeFill="accent6" w:themeFillTint="33"/>
            <w:noWrap/>
            <w:vAlign w:val="bottom"/>
            <w:hideMark/>
          </w:tcPr>
          <w:p w14:paraId="6B4D2F16"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Lithuania</w:t>
            </w:r>
          </w:p>
        </w:tc>
        <w:tc>
          <w:tcPr>
            <w:tcW w:w="850" w:type="dxa"/>
            <w:noWrap/>
            <w:vAlign w:val="bottom"/>
            <w:hideMark/>
          </w:tcPr>
          <w:p w14:paraId="0B144A4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55</w:t>
            </w:r>
          </w:p>
        </w:tc>
        <w:tc>
          <w:tcPr>
            <w:tcW w:w="904" w:type="dxa"/>
            <w:noWrap/>
            <w:vAlign w:val="bottom"/>
            <w:hideMark/>
          </w:tcPr>
          <w:p w14:paraId="2472D6E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32,35</w:t>
            </w:r>
          </w:p>
        </w:tc>
        <w:tc>
          <w:tcPr>
            <w:tcW w:w="721" w:type="dxa"/>
            <w:noWrap/>
            <w:vAlign w:val="bottom"/>
            <w:hideMark/>
          </w:tcPr>
          <w:p w14:paraId="64ABCDA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26" w:type="dxa"/>
            <w:noWrap/>
            <w:vAlign w:val="bottom"/>
            <w:hideMark/>
          </w:tcPr>
          <w:p w14:paraId="2DFCBF0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15,00</w:t>
            </w:r>
          </w:p>
        </w:tc>
        <w:tc>
          <w:tcPr>
            <w:tcW w:w="682" w:type="dxa"/>
            <w:noWrap/>
            <w:vAlign w:val="bottom"/>
            <w:hideMark/>
          </w:tcPr>
          <w:p w14:paraId="54386C9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13A9E36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14,29</w:t>
            </w:r>
          </w:p>
        </w:tc>
        <w:tc>
          <w:tcPr>
            <w:tcW w:w="683" w:type="dxa"/>
            <w:noWrap/>
            <w:vAlign w:val="bottom"/>
            <w:hideMark/>
          </w:tcPr>
          <w:p w14:paraId="778589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w:t>
            </w:r>
          </w:p>
        </w:tc>
        <w:tc>
          <w:tcPr>
            <w:tcW w:w="773" w:type="dxa"/>
            <w:noWrap/>
            <w:vAlign w:val="bottom"/>
            <w:hideMark/>
          </w:tcPr>
          <w:p w14:paraId="58E6F4F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42,50</w:t>
            </w:r>
          </w:p>
        </w:tc>
        <w:tc>
          <w:tcPr>
            <w:tcW w:w="736" w:type="dxa"/>
            <w:noWrap/>
            <w:vAlign w:val="bottom"/>
            <w:hideMark/>
          </w:tcPr>
          <w:p w14:paraId="2F5061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39B3875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375B358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41211C4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2E46143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851" w:type="dxa"/>
            <w:noWrap/>
            <w:vAlign w:val="bottom"/>
            <w:hideMark/>
          </w:tcPr>
          <w:p w14:paraId="5182BF6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709" w:type="dxa"/>
            <w:noWrap/>
            <w:vAlign w:val="bottom"/>
            <w:hideMark/>
          </w:tcPr>
          <w:p w14:paraId="1FF58D1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2A32677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06257DE7" w14:textId="77777777" w:rsidTr="002543FC">
        <w:trPr>
          <w:trHeight w:val="280"/>
          <w:jc w:val="right"/>
        </w:trPr>
        <w:tc>
          <w:tcPr>
            <w:tcW w:w="1550" w:type="dxa"/>
            <w:shd w:val="clear" w:color="auto" w:fill="E2EFD9" w:themeFill="accent6" w:themeFillTint="33"/>
            <w:noWrap/>
            <w:vAlign w:val="bottom"/>
            <w:hideMark/>
          </w:tcPr>
          <w:p w14:paraId="1AF0D48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Luxemburg</w:t>
            </w:r>
          </w:p>
        </w:tc>
        <w:tc>
          <w:tcPr>
            <w:tcW w:w="850" w:type="dxa"/>
            <w:noWrap/>
            <w:vAlign w:val="bottom"/>
            <w:hideMark/>
          </w:tcPr>
          <w:p w14:paraId="2416851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31</w:t>
            </w:r>
          </w:p>
        </w:tc>
        <w:tc>
          <w:tcPr>
            <w:tcW w:w="904" w:type="dxa"/>
            <w:noWrap/>
            <w:vAlign w:val="bottom"/>
            <w:hideMark/>
          </w:tcPr>
          <w:p w14:paraId="0EFC2D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18,24</w:t>
            </w:r>
          </w:p>
        </w:tc>
        <w:tc>
          <w:tcPr>
            <w:tcW w:w="721" w:type="dxa"/>
            <w:noWrap/>
            <w:vAlign w:val="bottom"/>
            <w:hideMark/>
          </w:tcPr>
          <w:p w14:paraId="7B583A6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26" w:type="dxa"/>
            <w:noWrap/>
            <w:vAlign w:val="bottom"/>
            <w:hideMark/>
          </w:tcPr>
          <w:p w14:paraId="02C6ACD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25,00</w:t>
            </w:r>
          </w:p>
        </w:tc>
        <w:tc>
          <w:tcPr>
            <w:tcW w:w="682" w:type="dxa"/>
            <w:noWrap/>
            <w:vAlign w:val="bottom"/>
            <w:hideMark/>
          </w:tcPr>
          <w:p w14:paraId="1AE05E0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2C845B2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683" w:type="dxa"/>
            <w:noWrap/>
            <w:vAlign w:val="bottom"/>
            <w:hideMark/>
          </w:tcPr>
          <w:p w14:paraId="6CA90C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2C4BD33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w:t>
            </w:r>
          </w:p>
        </w:tc>
        <w:tc>
          <w:tcPr>
            <w:tcW w:w="736" w:type="dxa"/>
            <w:noWrap/>
            <w:vAlign w:val="bottom"/>
            <w:hideMark/>
          </w:tcPr>
          <w:p w14:paraId="73F24B2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313917A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764CC2B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79D70C5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4A0278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851" w:type="dxa"/>
            <w:noWrap/>
            <w:vAlign w:val="bottom"/>
            <w:hideMark/>
          </w:tcPr>
          <w:p w14:paraId="5BCFAE1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709" w:type="dxa"/>
            <w:noWrap/>
            <w:vAlign w:val="bottom"/>
            <w:hideMark/>
          </w:tcPr>
          <w:p w14:paraId="4956BE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1FDD41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00770D75" w14:textId="77777777" w:rsidTr="002543FC">
        <w:trPr>
          <w:trHeight w:val="280"/>
          <w:jc w:val="right"/>
        </w:trPr>
        <w:tc>
          <w:tcPr>
            <w:tcW w:w="1550" w:type="dxa"/>
            <w:shd w:val="clear" w:color="auto" w:fill="E2EFD9" w:themeFill="accent6" w:themeFillTint="33"/>
            <w:noWrap/>
            <w:vAlign w:val="bottom"/>
            <w:hideMark/>
          </w:tcPr>
          <w:p w14:paraId="675BAA35"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Malta</w:t>
            </w:r>
          </w:p>
        </w:tc>
        <w:tc>
          <w:tcPr>
            <w:tcW w:w="850" w:type="dxa"/>
            <w:noWrap/>
            <w:vAlign w:val="bottom"/>
            <w:hideMark/>
          </w:tcPr>
          <w:p w14:paraId="429DA24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904" w:type="dxa"/>
            <w:noWrap/>
            <w:vAlign w:val="bottom"/>
            <w:hideMark/>
          </w:tcPr>
          <w:p w14:paraId="34681EC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8,24</w:t>
            </w:r>
          </w:p>
        </w:tc>
        <w:tc>
          <w:tcPr>
            <w:tcW w:w="721" w:type="dxa"/>
            <w:noWrap/>
            <w:vAlign w:val="bottom"/>
            <w:hideMark/>
          </w:tcPr>
          <w:p w14:paraId="19721BC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26" w:type="dxa"/>
            <w:noWrap/>
            <w:vAlign w:val="bottom"/>
            <w:hideMark/>
          </w:tcPr>
          <w:p w14:paraId="49A0667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10,00</w:t>
            </w:r>
          </w:p>
        </w:tc>
        <w:tc>
          <w:tcPr>
            <w:tcW w:w="682" w:type="dxa"/>
            <w:noWrap/>
            <w:vAlign w:val="bottom"/>
            <w:hideMark/>
          </w:tcPr>
          <w:p w14:paraId="29873CB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44312AB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2D41BB4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4DBB519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736" w:type="dxa"/>
            <w:noWrap/>
            <w:vAlign w:val="bottom"/>
            <w:hideMark/>
          </w:tcPr>
          <w:p w14:paraId="2636C94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1ED583F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804" w:type="dxa"/>
            <w:noWrap/>
            <w:vAlign w:val="bottom"/>
            <w:hideMark/>
          </w:tcPr>
          <w:p w14:paraId="0033566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4C87249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7794311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1" w:type="dxa"/>
            <w:noWrap/>
            <w:vAlign w:val="bottom"/>
            <w:hideMark/>
          </w:tcPr>
          <w:p w14:paraId="0B2B2A7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709" w:type="dxa"/>
            <w:noWrap/>
            <w:vAlign w:val="bottom"/>
            <w:hideMark/>
          </w:tcPr>
          <w:p w14:paraId="120940F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080D47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36DBCC89" w14:textId="77777777" w:rsidTr="002543FC">
        <w:trPr>
          <w:trHeight w:val="280"/>
          <w:jc w:val="right"/>
        </w:trPr>
        <w:tc>
          <w:tcPr>
            <w:tcW w:w="1550" w:type="dxa"/>
            <w:shd w:val="clear" w:color="auto" w:fill="E2EFD9" w:themeFill="accent6" w:themeFillTint="33"/>
            <w:noWrap/>
            <w:vAlign w:val="bottom"/>
            <w:hideMark/>
          </w:tcPr>
          <w:p w14:paraId="724BF919"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Montenegro</w:t>
            </w:r>
          </w:p>
        </w:tc>
        <w:tc>
          <w:tcPr>
            <w:tcW w:w="850" w:type="dxa"/>
            <w:noWrap/>
            <w:vAlign w:val="bottom"/>
            <w:hideMark/>
          </w:tcPr>
          <w:p w14:paraId="67A02B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904" w:type="dxa"/>
            <w:noWrap/>
            <w:vAlign w:val="bottom"/>
            <w:hideMark/>
          </w:tcPr>
          <w:p w14:paraId="06BB00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5,29</w:t>
            </w:r>
          </w:p>
        </w:tc>
        <w:tc>
          <w:tcPr>
            <w:tcW w:w="721" w:type="dxa"/>
            <w:noWrap/>
            <w:vAlign w:val="bottom"/>
            <w:hideMark/>
          </w:tcPr>
          <w:p w14:paraId="4F10E39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26" w:type="dxa"/>
            <w:noWrap/>
            <w:vAlign w:val="bottom"/>
            <w:hideMark/>
          </w:tcPr>
          <w:p w14:paraId="55F8AEF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10,00</w:t>
            </w:r>
          </w:p>
        </w:tc>
        <w:tc>
          <w:tcPr>
            <w:tcW w:w="682" w:type="dxa"/>
            <w:noWrap/>
            <w:vAlign w:val="bottom"/>
            <w:hideMark/>
          </w:tcPr>
          <w:p w14:paraId="405D04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4B88937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518D644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384C551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w:t>
            </w:r>
          </w:p>
        </w:tc>
        <w:tc>
          <w:tcPr>
            <w:tcW w:w="736" w:type="dxa"/>
            <w:noWrap/>
            <w:vAlign w:val="bottom"/>
            <w:hideMark/>
          </w:tcPr>
          <w:p w14:paraId="63699C7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65A448C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804" w:type="dxa"/>
            <w:noWrap/>
            <w:vAlign w:val="bottom"/>
            <w:hideMark/>
          </w:tcPr>
          <w:p w14:paraId="6A8932C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2C6D6AB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7CA2A1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851" w:type="dxa"/>
            <w:noWrap/>
            <w:vAlign w:val="bottom"/>
            <w:hideMark/>
          </w:tcPr>
          <w:p w14:paraId="0619A05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w:t>
            </w:r>
          </w:p>
        </w:tc>
        <w:tc>
          <w:tcPr>
            <w:tcW w:w="709" w:type="dxa"/>
            <w:noWrap/>
            <w:vAlign w:val="bottom"/>
            <w:hideMark/>
          </w:tcPr>
          <w:p w14:paraId="2029B79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0" w:type="dxa"/>
            <w:noWrap/>
            <w:vAlign w:val="bottom"/>
            <w:hideMark/>
          </w:tcPr>
          <w:p w14:paraId="7B74472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r>
      <w:tr w:rsidR="002D3210" w:rsidRPr="0002056A" w14:paraId="2CC33509" w14:textId="77777777" w:rsidTr="002543FC">
        <w:trPr>
          <w:trHeight w:val="280"/>
          <w:jc w:val="right"/>
        </w:trPr>
        <w:tc>
          <w:tcPr>
            <w:tcW w:w="1550" w:type="dxa"/>
            <w:shd w:val="clear" w:color="auto" w:fill="E2EFD9" w:themeFill="accent6" w:themeFillTint="33"/>
            <w:noWrap/>
            <w:vAlign w:val="bottom"/>
            <w:hideMark/>
          </w:tcPr>
          <w:p w14:paraId="2942845B" w14:textId="77777777" w:rsidR="00AA090F" w:rsidRPr="0002056A" w:rsidRDefault="00AA090F" w:rsidP="00E9730F">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Northern Ireland</w:t>
            </w:r>
          </w:p>
        </w:tc>
        <w:tc>
          <w:tcPr>
            <w:tcW w:w="850" w:type="dxa"/>
            <w:noWrap/>
            <w:vAlign w:val="bottom"/>
            <w:hideMark/>
          </w:tcPr>
          <w:p w14:paraId="77DC4FB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55</w:t>
            </w:r>
          </w:p>
        </w:tc>
        <w:tc>
          <w:tcPr>
            <w:tcW w:w="904" w:type="dxa"/>
            <w:noWrap/>
            <w:vAlign w:val="bottom"/>
            <w:hideMark/>
          </w:tcPr>
          <w:p w14:paraId="59EA92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32,35</w:t>
            </w:r>
          </w:p>
        </w:tc>
        <w:tc>
          <w:tcPr>
            <w:tcW w:w="721" w:type="dxa"/>
            <w:noWrap/>
            <w:vAlign w:val="bottom"/>
            <w:hideMark/>
          </w:tcPr>
          <w:p w14:paraId="1703C1F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0635362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426ABDE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1403EA9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2,86</w:t>
            </w:r>
          </w:p>
        </w:tc>
        <w:tc>
          <w:tcPr>
            <w:tcW w:w="683" w:type="dxa"/>
            <w:noWrap/>
            <w:vAlign w:val="bottom"/>
            <w:hideMark/>
          </w:tcPr>
          <w:p w14:paraId="754B41A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6322703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27,50</w:t>
            </w:r>
          </w:p>
        </w:tc>
        <w:tc>
          <w:tcPr>
            <w:tcW w:w="736" w:type="dxa"/>
            <w:noWrap/>
            <w:vAlign w:val="bottom"/>
            <w:hideMark/>
          </w:tcPr>
          <w:p w14:paraId="3B38ECF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11E69B0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804" w:type="dxa"/>
            <w:noWrap/>
            <w:vAlign w:val="bottom"/>
            <w:hideMark/>
          </w:tcPr>
          <w:p w14:paraId="56D69F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029FCBE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682" w:type="dxa"/>
            <w:noWrap/>
            <w:vAlign w:val="bottom"/>
            <w:hideMark/>
          </w:tcPr>
          <w:p w14:paraId="475F0AA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51" w:type="dxa"/>
            <w:noWrap/>
            <w:vAlign w:val="bottom"/>
            <w:hideMark/>
          </w:tcPr>
          <w:p w14:paraId="2428946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709" w:type="dxa"/>
            <w:noWrap/>
            <w:vAlign w:val="bottom"/>
            <w:hideMark/>
          </w:tcPr>
          <w:p w14:paraId="43D29EF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022A531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0050FE30" w14:textId="77777777" w:rsidTr="002543FC">
        <w:trPr>
          <w:trHeight w:val="280"/>
          <w:jc w:val="right"/>
        </w:trPr>
        <w:tc>
          <w:tcPr>
            <w:tcW w:w="1550" w:type="dxa"/>
            <w:shd w:val="clear" w:color="auto" w:fill="E2EFD9" w:themeFill="accent6" w:themeFillTint="33"/>
            <w:noWrap/>
            <w:vAlign w:val="bottom"/>
            <w:hideMark/>
          </w:tcPr>
          <w:p w14:paraId="57D66845" w14:textId="77777777" w:rsidR="00AA090F" w:rsidRPr="0002056A" w:rsidRDefault="00AA090F" w:rsidP="00E9730F">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North-Macedonia</w:t>
            </w:r>
          </w:p>
        </w:tc>
        <w:tc>
          <w:tcPr>
            <w:tcW w:w="850" w:type="dxa"/>
            <w:noWrap/>
            <w:vAlign w:val="bottom"/>
            <w:hideMark/>
          </w:tcPr>
          <w:p w14:paraId="576B134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19</w:t>
            </w:r>
          </w:p>
        </w:tc>
        <w:tc>
          <w:tcPr>
            <w:tcW w:w="904" w:type="dxa"/>
            <w:noWrap/>
            <w:vAlign w:val="bottom"/>
            <w:hideMark/>
          </w:tcPr>
          <w:p w14:paraId="41CF80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11,18</w:t>
            </w:r>
          </w:p>
        </w:tc>
        <w:tc>
          <w:tcPr>
            <w:tcW w:w="721" w:type="dxa"/>
            <w:noWrap/>
            <w:vAlign w:val="bottom"/>
            <w:hideMark/>
          </w:tcPr>
          <w:p w14:paraId="507EDC8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26" w:type="dxa"/>
            <w:noWrap/>
            <w:vAlign w:val="bottom"/>
            <w:hideMark/>
          </w:tcPr>
          <w:p w14:paraId="2DDF9F8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25,00</w:t>
            </w:r>
          </w:p>
        </w:tc>
        <w:tc>
          <w:tcPr>
            <w:tcW w:w="682" w:type="dxa"/>
            <w:noWrap/>
            <w:vAlign w:val="bottom"/>
            <w:hideMark/>
          </w:tcPr>
          <w:p w14:paraId="76F6FDF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7C7AC2D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0C920D6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5A19B52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w:t>
            </w:r>
          </w:p>
        </w:tc>
        <w:tc>
          <w:tcPr>
            <w:tcW w:w="736" w:type="dxa"/>
            <w:noWrap/>
            <w:vAlign w:val="bottom"/>
            <w:hideMark/>
          </w:tcPr>
          <w:p w14:paraId="2748BAD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2C33CF9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804" w:type="dxa"/>
            <w:noWrap/>
            <w:vAlign w:val="bottom"/>
            <w:hideMark/>
          </w:tcPr>
          <w:p w14:paraId="5AAFFB1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2C40B1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48EFA0B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1" w:type="dxa"/>
            <w:noWrap/>
            <w:vAlign w:val="bottom"/>
            <w:hideMark/>
          </w:tcPr>
          <w:p w14:paraId="2BF451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709" w:type="dxa"/>
            <w:noWrap/>
            <w:vAlign w:val="bottom"/>
            <w:hideMark/>
          </w:tcPr>
          <w:p w14:paraId="56E8C73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850" w:type="dxa"/>
            <w:noWrap/>
            <w:vAlign w:val="bottom"/>
            <w:hideMark/>
          </w:tcPr>
          <w:p w14:paraId="3B2E752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r>
      <w:tr w:rsidR="002D3210" w:rsidRPr="0002056A" w14:paraId="1122469D" w14:textId="77777777" w:rsidTr="002543FC">
        <w:trPr>
          <w:trHeight w:val="280"/>
          <w:jc w:val="right"/>
        </w:trPr>
        <w:tc>
          <w:tcPr>
            <w:tcW w:w="1550" w:type="dxa"/>
            <w:shd w:val="clear" w:color="auto" w:fill="E2EFD9" w:themeFill="accent6" w:themeFillTint="33"/>
            <w:noWrap/>
            <w:vAlign w:val="bottom"/>
            <w:hideMark/>
          </w:tcPr>
          <w:p w14:paraId="3E34209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Norway</w:t>
            </w:r>
          </w:p>
        </w:tc>
        <w:tc>
          <w:tcPr>
            <w:tcW w:w="850" w:type="dxa"/>
            <w:noWrap/>
            <w:vAlign w:val="bottom"/>
            <w:hideMark/>
          </w:tcPr>
          <w:p w14:paraId="70D2768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69</w:t>
            </w:r>
          </w:p>
        </w:tc>
        <w:tc>
          <w:tcPr>
            <w:tcW w:w="904" w:type="dxa"/>
            <w:noWrap/>
            <w:vAlign w:val="bottom"/>
            <w:hideMark/>
          </w:tcPr>
          <w:p w14:paraId="5519FA1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40,59</w:t>
            </w:r>
          </w:p>
        </w:tc>
        <w:tc>
          <w:tcPr>
            <w:tcW w:w="721" w:type="dxa"/>
            <w:noWrap/>
            <w:vAlign w:val="bottom"/>
            <w:hideMark/>
          </w:tcPr>
          <w:p w14:paraId="609B8D6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4A8DAFB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389A075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08199AD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683" w:type="dxa"/>
            <w:noWrap/>
            <w:vAlign w:val="bottom"/>
            <w:hideMark/>
          </w:tcPr>
          <w:p w14:paraId="5955B69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17</w:t>
            </w:r>
          </w:p>
        </w:tc>
        <w:tc>
          <w:tcPr>
            <w:tcW w:w="773" w:type="dxa"/>
            <w:noWrap/>
            <w:vAlign w:val="bottom"/>
            <w:hideMark/>
          </w:tcPr>
          <w:p w14:paraId="484BB20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42,50</w:t>
            </w:r>
          </w:p>
        </w:tc>
        <w:tc>
          <w:tcPr>
            <w:tcW w:w="736" w:type="dxa"/>
            <w:noWrap/>
            <w:vAlign w:val="bottom"/>
            <w:hideMark/>
          </w:tcPr>
          <w:p w14:paraId="1AFA70B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14C30E1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804" w:type="dxa"/>
            <w:noWrap/>
            <w:vAlign w:val="bottom"/>
            <w:hideMark/>
          </w:tcPr>
          <w:p w14:paraId="19FFB07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01219C9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c>
          <w:tcPr>
            <w:tcW w:w="682" w:type="dxa"/>
            <w:noWrap/>
            <w:vAlign w:val="bottom"/>
            <w:hideMark/>
          </w:tcPr>
          <w:p w14:paraId="01816B7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1" w:type="dxa"/>
            <w:noWrap/>
            <w:vAlign w:val="bottom"/>
            <w:hideMark/>
          </w:tcPr>
          <w:p w14:paraId="5D05159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16,67</w:t>
            </w:r>
          </w:p>
        </w:tc>
        <w:tc>
          <w:tcPr>
            <w:tcW w:w="709" w:type="dxa"/>
            <w:noWrap/>
            <w:vAlign w:val="bottom"/>
            <w:hideMark/>
          </w:tcPr>
          <w:p w14:paraId="271B1BC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5604CC6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24C0738B" w14:textId="77777777" w:rsidTr="002543FC">
        <w:trPr>
          <w:trHeight w:val="280"/>
          <w:jc w:val="right"/>
        </w:trPr>
        <w:tc>
          <w:tcPr>
            <w:tcW w:w="1550" w:type="dxa"/>
            <w:shd w:val="clear" w:color="auto" w:fill="E2EFD9" w:themeFill="accent6" w:themeFillTint="33"/>
            <w:noWrap/>
            <w:vAlign w:val="bottom"/>
            <w:hideMark/>
          </w:tcPr>
          <w:p w14:paraId="6AFBBB8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Poland</w:t>
            </w:r>
          </w:p>
        </w:tc>
        <w:tc>
          <w:tcPr>
            <w:tcW w:w="850" w:type="dxa"/>
            <w:noWrap/>
            <w:vAlign w:val="bottom"/>
            <w:hideMark/>
          </w:tcPr>
          <w:p w14:paraId="56569A6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71</w:t>
            </w:r>
          </w:p>
        </w:tc>
        <w:tc>
          <w:tcPr>
            <w:tcW w:w="904" w:type="dxa"/>
            <w:noWrap/>
            <w:vAlign w:val="bottom"/>
            <w:hideMark/>
          </w:tcPr>
          <w:p w14:paraId="536EA2F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41,76</w:t>
            </w:r>
          </w:p>
        </w:tc>
        <w:tc>
          <w:tcPr>
            <w:tcW w:w="721" w:type="dxa"/>
            <w:noWrap/>
            <w:vAlign w:val="bottom"/>
            <w:hideMark/>
          </w:tcPr>
          <w:p w14:paraId="566E71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826" w:type="dxa"/>
            <w:noWrap/>
            <w:vAlign w:val="bottom"/>
            <w:hideMark/>
          </w:tcPr>
          <w:p w14:paraId="660B465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682" w:type="dxa"/>
            <w:noWrap/>
            <w:vAlign w:val="bottom"/>
            <w:hideMark/>
          </w:tcPr>
          <w:p w14:paraId="59978C8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25F6944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28,57</w:t>
            </w:r>
          </w:p>
        </w:tc>
        <w:tc>
          <w:tcPr>
            <w:tcW w:w="683" w:type="dxa"/>
            <w:noWrap/>
            <w:vAlign w:val="bottom"/>
            <w:hideMark/>
          </w:tcPr>
          <w:p w14:paraId="7FA2FF9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w:t>
            </w:r>
          </w:p>
        </w:tc>
        <w:tc>
          <w:tcPr>
            <w:tcW w:w="773" w:type="dxa"/>
            <w:noWrap/>
            <w:vAlign w:val="bottom"/>
            <w:hideMark/>
          </w:tcPr>
          <w:p w14:paraId="2B35477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37,50</w:t>
            </w:r>
          </w:p>
        </w:tc>
        <w:tc>
          <w:tcPr>
            <w:tcW w:w="736" w:type="dxa"/>
            <w:noWrap/>
            <w:vAlign w:val="bottom"/>
            <w:hideMark/>
          </w:tcPr>
          <w:p w14:paraId="3603457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773" w:type="dxa"/>
            <w:noWrap/>
            <w:vAlign w:val="bottom"/>
            <w:hideMark/>
          </w:tcPr>
          <w:p w14:paraId="368CF10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804" w:type="dxa"/>
            <w:noWrap/>
            <w:vAlign w:val="bottom"/>
            <w:hideMark/>
          </w:tcPr>
          <w:p w14:paraId="58064FC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052EBF9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682" w:type="dxa"/>
            <w:noWrap/>
            <w:vAlign w:val="bottom"/>
            <w:hideMark/>
          </w:tcPr>
          <w:p w14:paraId="6D79A05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1" w:type="dxa"/>
            <w:noWrap/>
            <w:vAlign w:val="bottom"/>
            <w:hideMark/>
          </w:tcPr>
          <w:p w14:paraId="6E09B7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23,33</w:t>
            </w:r>
          </w:p>
        </w:tc>
        <w:tc>
          <w:tcPr>
            <w:tcW w:w="709" w:type="dxa"/>
            <w:noWrap/>
            <w:vAlign w:val="bottom"/>
            <w:hideMark/>
          </w:tcPr>
          <w:p w14:paraId="05CBA79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850" w:type="dxa"/>
            <w:noWrap/>
            <w:vAlign w:val="bottom"/>
            <w:hideMark/>
          </w:tcPr>
          <w:p w14:paraId="70E88EF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73,33</w:t>
            </w:r>
          </w:p>
        </w:tc>
      </w:tr>
      <w:tr w:rsidR="002D3210" w:rsidRPr="0002056A" w14:paraId="41CD19EC" w14:textId="77777777" w:rsidTr="002543FC">
        <w:trPr>
          <w:trHeight w:val="280"/>
          <w:jc w:val="right"/>
        </w:trPr>
        <w:tc>
          <w:tcPr>
            <w:tcW w:w="1550" w:type="dxa"/>
            <w:shd w:val="clear" w:color="auto" w:fill="E2EFD9" w:themeFill="accent6" w:themeFillTint="33"/>
            <w:noWrap/>
            <w:vAlign w:val="bottom"/>
            <w:hideMark/>
          </w:tcPr>
          <w:p w14:paraId="061D53C5"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Portugal</w:t>
            </w:r>
          </w:p>
        </w:tc>
        <w:tc>
          <w:tcPr>
            <w:tcW w:w="850" w:type="dxa"/>
            <w:noWrap/>
            <w:vAlign w:val="bottom"/>
            <w:hideMark/>
          </w:tcPr>
          <w:p w14:paraId="2E236FD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59</w:t>
            </w:r>
          </w:p>
        </w:tc>
        <w:tc>
          <w:tcPr>
            <w:tcW w:w="904" w:type="dxa"/>
            <w:noWrap/>
            <w:vAlign w:val="bottom"/>
            <w:hideMark/>
          </w:tcPr>
          <w:p w14:paraId="2086DC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34,71</w:t>
            </w:r>
          </w:p>
        </w:tc>
        <w:tc>
          <w:tcPr>
            <w:tcW w:w="721" w:type="dxa"/>
            <w:noWrap/>
            <w:vAlign w:val="bottom"/>
            <w:hideMark/>
          </w:tcPr>
          <w:p w14:paraId="70C15B7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44DDCE9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0C4BA79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4D69F85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22,86</w:t>
            </w:r>
          </w:p>
        </w:tc>
        <w:tc>
          <w:tcPr>
            <w:tcW w:w="683" w:type="dxa"/>
            <w:noWrap/>
            <w:vAlign w:val="bottom"/>
            <w:hideMark/>
          </w:tcPr>
          <w:p w14:paraId="756823C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37324A4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32,50</w:t>
            </w:r>
          </w:p>
        </w:tc>
        <w:tc>
          <w:tcPr>
            <w:tcW w:w="736" w:type="dxa"/>
            <w:noWrap/>
            <w:vAlign w:val="bottom"/>
            <w:hideMark/>
          </w:tcPr>
          <w:p w14:paraId="1F58B20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28B38D4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804" w:type="dxa"/>
            <w:noWrap/>
            <w:vAlign w:val="bottom"/>
            <w:hideMark/>
          </w:tcPr>
          <w:p w14:paraId="0B3F3CC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140C48C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682" w:type="dxa"/>
            <w:noWrap/>
            <w:vAlign w:val="bottom"/>
            <w:hideMark/>
          </w:tcPr>
          <w:p w14:paraId="3651F9D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1" w:type="dxa"/>
            <w:noWrap/>
            <w:vAlign w:val="bottom"/>
            <w:hideMark/>
          </w:tcPr>
          <w:p w14:paraId="01EAF31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09" w:type="dxa"/>
            <w:noWrap/>
            <w:vAlign w:val="bottom"/>
            <w:hideMark/>
          </w:tcPr>
          <w:p w14:paraId="2D7BA8F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7C0E0B1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6EAC6D26" w14:textId="77777777" w:rsidTr="002543FC">
        <w:trPr>
          <w:trHeight w:val="280"/>
          <w:jc w:val="right"/>
        </w:trPr>
        <w:tc>
          <w:tcPr>
            <w:tcW w:w="1550" w:type="dxa"/>
            <w:shd w:val="clear" w:color="auto" w:fill="E2EFD9" w:themeFill="accent6" w:themeFillTint="33"/>
            <w:noWrap/>
            <w:vAlign w:val="bottom"/>
            <w:hideMark/>
          </w:tcPr>
          <w:p w14:paraId="74684A2C"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Romania</w:t>
            </w:r>
          </w:p>
        </w:tc>
        <w:tc>
          <w:tcPr>
            <w:tcW w:w="850" w:type="dxa"/>
            <w:noWrap/>
            <w:vAlign w:val="bottom"/>
            <w:hideMark/>
          </w:tcPr>
          <w:p w14:paraId="5FF2793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38</w:t>
            </w:r>
          </w:p>
        </w:tc>
        <w:tc>
          <w:tcPr>
            <w:tcW w:w="904" w:type="dxa"/>
            <w:noWrap/>
            <w:vAlign w:val="bottom"/>
            <w:hideMark/>
          </w:tcPr>
          <w:p w14:paraId="7420F6F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22,35</w:t>
            </w:r>
          </w:p>
        </w:tc>
        <w:tc>
          <w:tcPr>
            <w:tcW w:w="721" w:type="dxa"/>
            <w:noWrap/>
            <w:vAlign w:val="bottom"/>
            <w:hideMark/>
          </w:tcPr>
          <w:p w14:paraId="2FAE4BB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4C9BDFD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12E6D03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3BCF70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14,29</w:t>
            </w:r>
          </w:p>
        </w:tc>
        <w:tc>
          <w:tcPr>
            <w:tcW w:w="683" w:type="dxa"/>
            <w:noWrap/>
            <w:vAlign w:val="bottom"/>
            <w:hideMark/>
          </w:tcPr>
          <w:p w14:paraId="200F5B2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08286A6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736" w:type="dxa"/>
            <w:noWrap/>
            <w:vAlign w:val="bottom"/>
            <w:hideMark/>
          </w:tcPr>
          <w:p w14:paraId="118650E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68DA67D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804" w:type="dxa"/>
            <w:noWrap/>
            <w:vAlign w:val="bottom"/>
            <w:hideMark/>
          </w:tcPr>
          <w:p w14:paraId="1DCE663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123528C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1C69FC0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1" w:type="dxa"/>
            <w:noWrap/>
            <w:vAlign w:val="bottom"/>
            <w:hideMark/>
          </w:tcPr>
          <w:p w14:paraId="28F5CEE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16,67</w:t>
            </w:r>
          </w:p>
        </w:tc>
        <w:tc>
          <w:tcPr>
            <w:tcW w:w="709" w:type="dxa"/>
            <w:noWrap/>
            <w:vAlign w:val="bottom"/>
            <w:hideMark/>
          </w:tcPr>
          <w:p w14:paraId="790EC57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46BA286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495DB174" w14:textId="77777777" w:rsidTr="002543FC">
        <w:trPr>
          <w:trHeight w:val="280"/>
          <w:jc w:val="right"/>
        </w:trPr>
        <w:tc>
          <w:tcPr>
            <w:tcW w:w="1550" w:type="dxa"/>
            <w:shd w:val="clear" w:color="auto" w:fill="E2EFD9" w:themeFill="accent6" w:themeFillTint="33"/>
            <w:noWrap/>
            <w:vAlign w:val="bottom"/>
            <w:hideMark/>
          </w:tcPr>
          <w:p w14:paraId="67E44F6D"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Scotland</w:t>
            </w:r>
          </w:p>
        </w:tc>
        <w:tc>
          <w:tcPr>
            <w:tcW w:w="850" w:type="dxa"/>
            <w:noWrap/>
            <w:vAlign w:val="bottom"/>
            <w:hideMark/>
          </w:tcPr>
          <w:p w14:paraId="3CC7F5E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81</w:t>
            </w:r>
          </w:p>
        </w:tc>
        <w:tc>
          <w:tcPr>
            <w:tcW w:w="904" w:type="dxa"/>
            <w:noWrap/>
            <w:vAlign w:val="bottom"/>
            <w:hideMark/>
          </w:tcPr>
          <w:p w14:paraId="5E3212B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47,65</w:t>
            </w:r>
          </w:p>
        </w:tc>
        <w:tc>
          <w:tcPr>
            <w:tcW w:w="721" w:type="dxa"/>
            <w:noWrap/>
            <w:vAlign w:val="bottom"/>
            <w:hideMark/>
          </w:tcPr>
          <w:p w14:paraId="420592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826" w:type="dxa"/>
            <w:noWrap/>
            <w:vAlign w:val="bottom"/>
            <w:hideMark/>
          </w:tcPr>
          <w:p w14:paraId="6ACD9C8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682" w:type="dxa"/>
            <w:noWrap/>
            <w:vAlign w:val="bottom"/>
            <w:hideMark/>
          </w:tcPr>
          <w:p w14:paraId="6CF9F81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4CAECA7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8,57</w:t>
            </w:r>
          </w:p>
        </w:tc>
        <w:tc>
          <w:tcPr>
            <w:tcW w:w="683" w:type="dxa"/>
            <w:noWrap/>
            <w:vAlign w:val="bottom"/>
            <w:hideMark/>
          </w:tcPr>
          <w:p w14:paraId="68992D4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773" w:type="dxa"/>
            <w:noWrap/>
            <w:vAlign w:val="bottom"/>
            <w:hideMark/>
          </w:tcPr>
          <w:p w14:paraId="576B3A5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736" w:type="dxa"/>
            <w:noWrap/>
            <w:vAlign w:val="bottom"/>
            <w:hideMark/>
          </w:tcPr>
          <w:p w14:paraId="47AACA6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7E23388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283CFAA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4668772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86,67</w:t>
            </w:r>
          </w:p>
        </w:tc>
        <w:tc>
          <w:tcPr>
            <w:tcW w:w="682" w:type="dxa"/>
            <w:noWrap/>
            <w:vAlign w:val="bottom"/>
            <w:hideMark/>
          </w:tcPr>
          <w:p w14:paraId="30B05D5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51" w:type="dxa"/>
            <w:noWrap/>
            <w:vAlign w:val="bottom"/>
            <w:hideMark/>
          </w:tcPr>
          <w:p w14:paraId="78F915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709" w:type="dxa"/>
            <w:noWrap/>
            <w:vAlign w:val="bottom"/>
            <w:hideMark/>
          </w:tcPr>
          <w:p w14:paraId="06BC27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850" w:type="dxa"/>
            <w:noWrap/>
            <w:vAlign w:val="bottom"/>
            <w:hideMark/>
          </w:tcPr>
          <w:p w14:paraId="7B460C9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86,67</w:t>
            </w:r>
          </w:p>
        </w:tc>
      </w:tr>
      <w:tr w:rsidR="002D3210" w:rsidRPr="0002056A" w14:paraId="323E9F47" w14:textId="77777777" w:rsidTr="002543FC">
        <w:trPr>
          <w:trHeight w:val="280"/>
          <w:jc w:val="right"/>
        </w:trPr>
        <w:tc>
          <w:tcPr>
            <w:tcW w:w="1550" w:type="dxa"/>
            <w:shd w:val="clear" w:color="auto" w:fill="E2EFD9" w:themeFill="accent6" w:themeFillTint="33"/>
            <w:noWrap/>
            <w:vAlign w:val="bottom"/>
            <w:hideMark/>
          </w:tcPr>
          <w:p w14:paraId="2A6D9CC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Serbia</w:t>
            </w:r>
          </w:p>
        </w:tc>
        <w:tc>
          <w:tcPr>
            <w:tcW w:w="850" w:type="dxa"/>
            <w:noWrap/>
            <w:vAlign w:val="bottom"/>
            <w:hideMark/>
          </w:tcPr>
          <w:p w14:paraId="4A23B4B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43</w:t>
            </w:r>
          </w:p>
        </w:tc>
        <w:tc>
          <w:tcPr>
            <w:tcW w:w="904" w:type="dxa"/>
            <w:noWrap/>
            <w:vAlign w:val="bottom"/>
            <w:hideMark/>
          </w:tcPr>
          <w:p w14:paraId="56D89C1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25,29</w:t>
            </w:r>
          </w:p>
        </w:tc>
        <w:tc>
          <w:tcPr>
            <w:tcW w:w="721" w:type="dxa"/>
            <w:noWrap/>
            <w:vAlign w:val="bottom"/>
            <w:hideMark/>
          </w:tcPr>
          <w:p w14:paraId="4EE8B6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26" w:type="dxa"/>
            <w:noWrap/>
            <w:vAlign w:val="bottom"/>
            <w:hideMark/>
          </w:tcPr>
          <w:p w14:paraId="509C3A0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45,00</w:t>
            </w:r>
          </w:p>
        </w:tc>
        <w:tc>
          <w:tcPr>
            <w:tcW w:w="682" w:type="dxa"/>
            <w:noWrap/>
            <w:vAlign w:val="bottom"/>
            <w:hideMark/>
          </w:tcPr>
          <w:p w14:paraId="146B18A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773" w:type="dxa"/>
            <w:noWrap/>
            <w:vAlign w:val="bottom"/>
            <w:hideMark/>
          </w:tcPr>
          <w:p w14:paraId="6B9E818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34,29</w:t>
            </w:r>
          </w:p>
        </w:tc>
        <w:tc>
          <w:tcPr>
            <w:tcW w:w="683" w:type="dxa"/>
            <w:noWrap/>
            <w:vAlign w:val="bottom"/>
            <w:hideMark/>
          </w:tcPr>
          <w:p w14:paraId="3ADC32B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2C91ACE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15,00</w:t>
            </w:r>
          </w:p>
        </w:tc>
        <w:tc>
          <w:tcPr>
            <w:tcW w:w="736" w:type="dxa"/>
            <w:noWrap/>
            <w:vAlign w:val="bottom"/>
            <w:hideMark/>
          </w:tcPr>
          <w:p w14:paraId="6BA31C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6B92846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804" w:type="dxa"/>
            <w:noWrap/>
            <w:vAlign w:val="bottom"/>
            <w:hideMark/>
          </w:tcPr>
          <w:p w14:paraId="6EEE6C7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4BC3CD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2" w:type="dxa"/>
            <w:noWrap/>
            <w:vAlign w:val="bottom"/>
            <w:hideMark/>
          </w:tcPr>
          <w:p w14:paraId="31A5D6C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51" w:type="dxa"/>
            <w:noWrap/>
            <w:vAlign w:val="bottom"/>
            <w:hideMark/>
          </w:tcPr>
          <w:p w14:paraId="422CA76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709" w:type="dxa"/>
            <w:noWrap/>
            <w:vAlign w:val="bottom"/>
            <w:hideMark/>
          </w:tcPr>
          <w:p w14:paraId="461E9C2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1F58F1B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7F95864C" w14:textId="77777777" w:rsidTr="002543FC">
        <w:trPr>
          <w:trHeight w:val="280"/>
          <w:jc w:val="right"/>
        </w:trPr>
        <w:tc>
          <w:tcPr>
            <w:tcW w:w="1550" w:type="dxa"/>
            <w:shd w:val="clear" w:color="auto" w:fill="E2EFD9" w:themeFill="accent6" w:themeFillTint="33"/>
            <w:noWrap/>
            <w:vAlign w:val="bottom"/>
            <w:hideMark/>
          </w:tcPr>
          <w:p w14:paraId="27712270"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Slovakia</w:t>
            </w:r>
          </w:p>
        </w:tc>
        <w:tc>
          <w:tcPr>
            <w:tcW w:w="850" w:type="dxa"/>
            <w:noWrap/>
            <w:vAlign w:val="bottom"/>
            <w:hideMark/>
          </w:tcPr>
          <w:p w14:paraId="3A42ECA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36</w:t>
            </w:r>
          </w:p>
        </w:tc>
        <w:tc>
          <w:tcPr>
            <w:tcW w:w="904" w:type="dxa"/>
            <w:noWrap/>
            <w:vAlign w:val="bottom"/>
            <w:hideMark/>
          </w:tcPr>
          <w:p w14:paraId="347D342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21,18</w:t>
            </w:r>
          </w:p>
        </w:tc>
        <w:tc>
          <w:tcPr>
            <w:tcW w:w="721" w:type="dxa"/>
            <w:noWrap/>
            <w:vAlign w:val="bottom"/>
            <w:hideMark/>
          </w:tcPr>
          <w:p w14:paraId="4245CD0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26" w:type="dxa"/>
            <w:noWrap/>
            <w:vAlign w:val="bottom"/>
            <w:hideMark/>
          </w:tcPr>
          <w:p w14:paraId="0AD8374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682" w:type="dxa"/>
            <w:noWrap/>
            <w:vAlign w:val="bottom"/>
            <w:hideMark/>
          </w:tcPr>
          <w:p w14:paraId="23CC6FB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w:t>
            </w:r>
          </w:p>
        </w:tc>
        <w:tc>
          <w:tcPr>
            <w:tcW w:w="773" w:type="dxa"/>
            <w:noWrap/>
            <w:vAlign w:val="bottom"/>
            <w:hideMark/>
          </w:tcPr>
          <w:p w14:paraId="227F40B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11,43</w:t>
            </w:r>
          </w:p>
        </w:tc>
        <w:tc>
          <w:tcPr>
            <w:tcW w:w="683" w:type="dxa"/>
            <w:noWrap/>
            <w:vAlign w:val="bottom"/>
            <w:hideMark/>
          </w:tcPr>
          <w:p w14:paraId="06E159D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0E41101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12,50</w:t>
            </w:r>
          </w:p>
        </w:tc>
        <w:tc>
          <w:tcPr>
            <w:tcW w:w="736" w:type="dxa"/>
            <w:noWrap/>
            <w:vAlign w:val="bottom"/>
            <w:hideMark/>
          </w:tcPr>
          <w:p w14:paraId="7111DFB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55BF9E1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3321681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w:t>
            </w:r>
          </w:p>
        </w:tc>
        <w:tc>
          <w:tcPr>
            <w:tcW w:w="773" w:type="dxa"/>
            <w:noWrap/>
            <w:vAlign w:val="bottom"/>
            <w:hideMark/>
          </w:tcPr>
          <w:p w14:paraId="23A43FD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6,67</w:t>
            </w:r>
          </w:p>
        </w:tc>
        <w:tc>
          <w:tcPr>
            <w:tcW w:w="682" w:type="dxa"/>
            <w:noWrap/>
            <w:vAlign w:val="bottom"/>
            <w:hideMark/>
          </w:tcPr>
          <w:p w14:paraId="6F31AEA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851" w:type="dxa"/>
            <w:noWrap/>
            <w:vAlign w:val="bottom"/>
            <w:hideMark/>
          </w:tcPr>
          <w:p w14:paraId="600672E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26,67</w:t>
            </w:r>
          </w:p>
        </w:tc>
        <w:tc>
          <w:tcPr>
            <w:tcW w:w="709" w:type="dxa"/>
            <w:noWrap/>
            <w:vAlign w:val="bottom"/>
            <w:hideMark/>
          </w:tcPr>
          <w:p w14:paraId="72728B7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2F5C362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29E0F529" w14:textId="77777777" w:rsidTr="002543FC">
        <w:trPr>
          <w:trHeight w:val="280"/>
          <w:jc w:val="right"/>
        </w:trPr>
        <w:tc>
          <w:tcPr>
            <w:tcW w:w="1550" w:type="dxa"/>
            <w:shd w:val="clear" w:color="auto" w:fill="E2EFD9" w:themeFill="accent6" w:themeFillTint="33"/>
            <w:noWrap/>
            <w:vAlign w:val="bottom"/>
            <w:hideMark/>
          </w:tcPr>
          <w:p w14:paraId="264E0A8C"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Slovenia</w:t>
            </w:r>
          </w:p>
        </w:tc>
        <w:tc>
          <w:tcPr>
            <w:tcW w:w="850" w:type="dxa"/>
            <w:noWrap/>
            <w:vAlign w:val="bottom"/>
            <w:hideMark/>
          </w:tcPr>
          <w:p w14:paraId="1AF756E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44</w:t>
            </w:r>
          </w:p>
        </w:tc>
        <w:tc>
          <w:tcPr>
            <w:tcW w:w="904" w:type="dxa"/>
            <w:noWrap/>
            <w:vAlign w:val="bottom"/>
            <w:hideMark/>
          </w:tcPr>
          <w:p w14:paraId="1DCEB9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25,88</w:t>
            </w:r>
          </w:p>
        </w:tc>
        <w:tc>
          <w:tcPr>
            <w:tcW w:w="721" w:type="dxa"/>
            <w:noWrap/>
            <w:vAlign w:val="bottom"/>
            <w:hideMark/>
          </w:tcPr>
          <w:p w14:paraId="1EB084C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826" w:type="dxa"/>
            <w:noWrap/>
            <w:vAlign w:val="bottom"/>
            <w:hideMark/>
          </w:tcPr>
          <w:p w14:paraId="74E28F1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682" w:type="dxa"/>
            <w:noWrap/>
            <w:vAlign w:val="bottom"/>
            <w:hideMark/>
          </w:tcPr>
          <w:p w14:paraId="3299876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w:t>
            </w:r>
          </w:p>
        </w:tc>
        <w:tc>
          <w:tcPr>
            <w:tcW w:w="773" w:type="dxa"/>
            <w:noWrap/>
            <w:vAlign w:val="bottom"/>
            <w:hideMark/>
          </w:tcPr>
          <w:p w14:paraId="46EB7C7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0,00</w:t>
            </w:r>
          </w:p>
        </w:tc>
        <w:tc>
          <w:tcPr>
            <w:tcW w:w="683" w:type="dxa"/>
            <w:noWrap/>
            <w:vAlign w:val="bottom"/>
            <w:hideMark/>
          </w:tcPr>
          <w:p w14:paraId="5312AE1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773" w:type="dxa"/>
            <w:noWrap/>
            <w:vAlign w:val="bottom"/>
            <w:hideMark/>
          </w:tcPr>
          <w:p w14:paraId="0EAE299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36" w:type="dxa"/>
            <w:noWrap/>
            <w:vAlign w:val="bottom"/>
            <w:hideMark/>
          </w:tcPr>
          <w:p w14:paraId="4A7E28E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4F4BFD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1C71BB8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523525D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53,33</w:t>
            </w:r>
          </w:p>
        </w:tc>
        <w:tc>
          <w:tcPr>
            <w:tcW w:w="682" w:type="dxa"/>
            <w:noWrap/>
            <w:vAlign w:val="bottom"/>
            <w:hideMark/>
          </w:tcPr>
          <w:p w14:paraId="5BFA124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1" w:type="dxa"/>
            <w:noWrap/>
            <w:vAlign w:val="bottom"/>
            <w:hideMark/>
          </w:tcPr>
          <w:p w14:paraId="239C383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23,33</w:t>
            </w:r>
          </w:p>
        </w:tc>
        <w:tc>
          <w:tcPr>
            <w:tcW w:w="709" w:type="dxa"/>
            <w:noWrap/>
            <w:vAlign w:val="bottom"/>
            <w:hideMark/>
          </w:tcPr>
          <w:p w14:paraId="3B244F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850" w:type="dxa"/>
            <w:noWrap/>
            <w:vAlign w:val="bottom"/>
            <w:hideMark/>
          </w:tcPr>
          <w:p w14:paraId="7B132E3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r>
      <w:tr w:rsidR="002D3210" w:rsidRPr="0002056A" w14:paraId="59BCDACF" w14:textId="77777777" w:rsidTr="002543FC">
        <w:trPr>
          <w:trHeight w:val="280"/>
          <w:jc w:val="right"/>
        </w:trPr>
        <w:tc>
          <w:tcPr>
            <w:tcW w:w="1550" w:type="dxa"/>
            <w:shd w:val="clear" w:color="auto" w:fill="E2EFD9" w:themeFill="accent6" w:themeFillTint="33"/>
            <w:noWrap/>
            <w:vAlign w:val="bottom"/>
            <w:hideMark/>
          </w:tcPr>
          <w:p w14:paraId="3629DF11"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Spain</w:t>
            </w:r>
          </w:p>
        </w:tc>
        <w:tc>
          <w:tcPr>
            <w:tcW w:w="850" w:type="dxa"/>
            <w:noWrap/>
            <w:vAlign w:val="bottom"/>
            <w:hideMark/>
          </w:tcPr>
          <w:p w14:paraId="7F5F59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63</w:t>
            </w:r>
          </w:p>
        </w:tc>
        <w:tc>
          <w:tcPr>
            <w:tcW w:w="904" w:type="dxa"/>
            <w:noWrap/>
            <w:vAlign w:val="bottom"/>
            <w:hideMark/>
          </w:tcPr>
          <w:p w14:paraId="07F3CB2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37,06</w:t>
            </w:r>
          </w:p>
        </w:tc>
        <w:tc>
          <w:tcPr>
            <w:tcW w:w="721" w:type="dxa"/>
            <w:noWrap/>
            <w:vAlign w:val="bottom"/>
            <w:hideMark/>
          </w:tcPr>
          <w:p w14:paraId="2EC581F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6A16CE2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07F03CB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2656CE7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6B3B80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11</w:t>
            </w:r>
          </w:p>
        </w:tc>
        <w:tc>
          <w:tcPr>
            <w:tcW w:w="773" w:type="dxa"/>
            <w:noWrap/>
            <w:vAlign w:val="bottom"/>
            <w:hideMark/>
          </w:tcPr>
          <w:p w14:paraId="64C61CB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27,50</w:t>
            </w:r>
          </w:p>
        </w:tc>
        <w:tc>
          <w:tcPr>
            <w:tcW w:w="736" w:type="dxa"/>
            <w:noWrap/>
            <w:vAlign w:val="bottom"/>
            <w:hideMark/>
          </w:tcPr>
          <w:p w14:paraId="1F4854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34D8B93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794564F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7640361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66,67</w:t>
            </w:r>
          </w:p>
        </w:tc>
        <w:tc>
          <w:tcPr>
            <w:tcW w:w="682" w:type="dxa"/>
            <w:noWrap/>
            <w:vAlign w:val="bottom"/>
            <w:hideMark/>
          </w:tcPr>
          <w:p w14:paraId="18681E0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851" w:type="dxa"/>
            <w:noWrap/>
            <w:vAlign w:val="bottom"/>
            <w:hideMark/>
          </w:tcPr>
          <w:p w14:paraId="6D55786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43,33</w:t>
            </w:r>
          </w:p>
        </w:tc>
        <w:tc>
          <w:tcPr>
            <w:tcW w:w="709" w:type="dxa"/>
            <w:noWrap/>
            <w:vAlign w:val="bottom"/>
            <w:hideMark/>
          </w:tcPr>
          <w:p w14:paraId="02F974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0" w:type="dxa"/>
            <w:noWrap/>
            <w:vAlign w:val="bottom"/>
            <w:hideMark/>
          </w:tcPr>
          <w:p w14:paraId="36F114E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r>
      <w:tr w:rsidR="002D3210" w:rsidRPr="0002056A" w14:paraId="7FB561A7" w14:textId="77777777" w:rsidTr="002543FC">
        <w:trPr>
          <w:trHeight w:val="280"/>
          <w:jc w:val="right"/>
        </w:trPr>
        <w:tc>
          <w:tcPr>
            <w:tcW w:w="1550" w:type="dxa"/>
            <w:shd w:val="clear" w:color="auto" w:fill="E2EFD9" w:themeFill="accent6" w:themeFillTint="33"/>
            <w:noWrap/>
            <w:vAlign w:val="bottom"/>
            <w:hideMark/>
          </w:tcPr>
          <w:p w14:paraId="3D231AB4"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Sweden</w:t>
            </w:r>
          </w:p>
        </w:tc>
        <w:tc>
          <w:tcPr>
            <w:tcW w:w="850" w:type="dxa"/>
            <w:noWrap/>
            <w:vAlign w:val="bottom"/>
            <w:hideMark/>
          </w:tcPr>
          <w:p w14:paraId="06C44DA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73</w:t>
            </w:r>
          </w:p>
        </w:tc>
        <w:tc>
          <w:tcPr>
            <w:tcW w:w="904" w:type="dxa"/>
            <w:noWrap/>
            <w:vAlign w:val="bottom"/>
            <w:hideMark/>
          </w:tcPr>
          <w:p w14:paraId="33E2AB9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42,94</w:t>
            </w:r>
          </w:p>
        </w:tc>
        <w:tc>
          <w:tcPr>
            <w:tcW w:w="721" w:type="dxa"/>
            <w:noWrap/>
            <w:vAlign w:val="bottom"/>
            <w:hideMark/>
          </w:tcPr>
          <w:p w14:paraId="19DECAF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26" w:type="dxa"/>
            <w:noWrap/>
            <w:vAlign w:val="bottom"/>
            <w:hideMark/>
          </w:tcPr>
          <w:p w14:paraId="131CC47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51A9CA3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79BEA62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25,71</w:t>
            </w:r>
          </w:p>
        </w:tc>
        <w:tc>
          <w:tcPr>
            <w:tcW w:w="683" w:type="dxa"/>
            <w:noWrap/>
            <w:vAlign w:val="bottom"/>
            <w:hideMark/>
          </w:tcPr>
          <w:p w14:paraId="21F8CC4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60C2B7B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15,00</w:t>
            </w:r>
          </w:p>
        </w:tc>
        <w:tc>
          <w:tcPr>
            <w:tcW w:w="736" w:type="dxa"/>
            <w:noWrap/>
            <w:vAlign w:val="bottom"/>
            <w:hideMark/>
          </w:tcPr>
          <w:p w14:paraId="290E7FC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2C48099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804" w:type="dxa"/>
            <w:noWrap/>
            <w:vAlign w:val="bottom"/>
            <w:hideMark/>
          </w:tcPr>
          <w:p w14:paraId="62A5F1E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15</w:t>
            </w:r>
          </w:p>
        </w:tc>
        <w:tc>
          <w:tcPr>
            <w:tcW w:w="773" w:type="dxa"/>
            <w:noWrap/>
            <w:vAlign w:val="bottom"/>
            <w:hideMark/>
          </w:tcPr>
          <w:p w14:paraId="133EF0C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100,00</w:t>
            </w:r>
          </w:p>
        </w:tc>
        <w:tc>
          <w:tcPr>
            <w:tcW w:w="682" w:type="dxa"/>
            <w:noWrap/>
            <w:vAlign w:val="bottom"/>
            <w:hideMark/>
          </w:tcPr>
          <w:p w14:paraId="70A800C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51" w:type="dxa"/>
            <w:noWrap/>
            <w:vAlign w:val="bottom"/>
            <w:hideMark/>
          </w:tcPr>
          <w:p w14:paraId="783276C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c>
          <w:tcPr>
            <w:tcW w:w="709" w:type="dxa"/>
            <w:noWrap/>
            <w:vAlign w:val="bottom"/>
            <w:hideMark/>
          </w:tcPr>
          <w:p w14:paraId="4303C2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0" w:type="dxa"/>
            <w:noWrap/>
            <w:vAlign w:val="bottom"/>
            <w:hideMark/>
          </w:tcPr>
          <w:p w14:paraId="023D2B5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r>
      <w:tr w:rsidR="002D3210" w:rsidRPr="0002056A" w14:paraId="5624E02D" w14:textId="77777777" w:rsidTr="002543FC">
        <w:trPr>
          <w:trHeight w:val="280"/>
          <w:jc w:val="right"/>
        </w:trPr>
        <w:tc>
          <w:tcPr>
            <w:tcW w:w="1550" w:type="dxa"/>
            <w:shd w:val="clear" w:color="auto" w:fill="E2EFD9" w:themeFill="accent6" w:themeFillTint="33"/>
            <w:noWrap/>
            <w:vAlign w:val="bottom"/>
            <w:hideMark/>
          </w:tcPr>
          <w:p w14:paraId="6C703FD3"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Switzerland</w:t>
            </w:r>
          </w:p>
        </w:tc>
        <w:tc>
          <w:tcPr>
            <w:tcW w:w="850" w:type="dxa"/>
            <w:noWrap/>
            <w:vAlign w:val="bottom"/>
            <w:hideMark/>
          </w:tcPr>
          <w:p w14:paraId="294D71A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w:t>
            </w:r>
          </w:p>
        </w:tc>
        <w:tc>
          <w:tcPr>
            <w:tcW w:w="904" w:type="dxa"/>
            <w:noWrap/>
            <w:vAlign w:val="bottom"/>
            <w:hideMark/>
          </w:tcPr>
          <w:p w14:paraId="1B0E9C3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47,06</w:t>
            </w:r>
          </w:p>
        </w:tc>
        <w:tc>
          <w:tcPr>
            <w:tcW w:w="721" w:type="dxa"/>
            <w:noWrap/>
            <w:vAlign w:val="bottom"/>
            <w:hideMark/>
          </w:tcPr>
          <w:p w14:paraId="1A8CB85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26" w:type="dxa"/>
            <w:noWrap/>
            <w:vAlign w:val="bottom"/>
            <w:hideMark/>
          </w:tcPr>
          <w:p w14:paraId="23879AF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70,00</w:t>
            </w:r>
          </w:p>
        </w:tc>
        <w:tc>
          <w:tcPr>
            <w:tcW w:w="682" w:type="dxa"/>
            <w:noWrap/>
            <w:vAlign w:val="bottom"/>
            <w:hideMark/>
          </w:tcPr>
          <w:p w14:paraId="245107F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773" w:type="dxa"/>
            <w:noWrap/>
            <w:vAlign w:val="bottom"/>
            <w:hideMark/>
          </w:tcPr>
          <w:p w14:paraId="53AC645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37,14</w:t>
            </w:r>
          </w:p>
        </w:tc>
        <w:tc>
          <w:tcPr>
            <w:tcW w:w="683" w:type="dxa"/>
            <w:noWrap/>
            <w:vAlign w:val="bottom"/>
            <w:hideMark/>
          </w:tcPr>
          <w:p w14:paraId="1791C82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773" w:type="dxa"/>
            <w:noWrap/>
            <w:vAlign w:val="bottom"/>
            <w:hideMark/>
          </w:tcPr>
          <w:p w14:paraId="4EB9422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30,00</w:t>
            </w:r>
          </w:p>
        </w:tc>
        <w:tc>
          <w:tcPr>
            <w:tcW w:w="736" w:type="dxa"/>
            <w:noWrap/>
            <w:vAlign w:val="bottom"/>
            <w:hideMark/>
          </w:tcPr>
          <w:p w14:paraId="342AFFB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70A223B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804" w:type="dxa"/>
            <w:noWrap/>
            <w:vAlign w:val="bottom"/>
            <w:hideMark/>
          </w:tcPr>
          <w:p w14:paraId="174121D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38BAE5A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682" w:type="dxa"/>
            <w:noWrap/>
            <w:vAlign w:val="bottom"/>
            <w:hideMark/>
          </w:tcPr>
          <w:p w14:paraId="75082CB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19</w:t>
            </w:r>
          </w:p>
        </w:tc>
        <w:tc>
          <w:tcPr>
            <w:tcW w:w="851" w:type="dxa"/>
            <w:noWrap/>
            <w:vAlign w:val="bottom"/>
            <w:hideMark/>
          </w:tcPr>
          <w:p w14:paraId="55A9A4B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63,33</w:t>
            </w:r>
          </w:p>
        </w:tc>
        <w:tc>
          <w:tcPr>
            <w:tcW w:w="709" w:type="dxa"/>
            <w:noWrap/>
            <w:vAlign w:val="bottom"/>
            <w:hideMark/>
          </w:tcPr>
          <w:p w14:paraId="682171D3"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850" w:type="dxa"/>
            <w:noWrap/>
            <w:vAlign w:val="bottom"/>
            <w:hideMark/>
          </w:tcPr>
          <w:p w14:paraId="661887F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r>
      <w:tr w:rsidR="002D3210" w:rsidRPr="0002056A" w14:paraId="7776D1A4" w14:textId="77777777" w:rsidTr="002543FC">
        <w:trPr>
          <w:trHeight w:val="280"/>
          <w:jc w:val="right"/>
        </w:trPr>
        <w:tc>
          <w:tcPr>
            <w:tcW w:w="1550" w:type="dxa"/>
            <w:shd w:val="clear" w:color="auto" w:fill="E2EFD9" w:themeFill="accent6" w:themeFillTint="33"/>
            <w:noWrap/>
            <w:vAlign w:val="bottom"/>
            <w:hideMark/>
          </w:tcPr>
          <w:p w14:paraId="5FB90932"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The Netherlands</w:t>
            </w:r>
          </w:p>
        </w:tc>
        <w:tc>
          <w:tcPr>
            <w:tcW w:w="850" w:type="dxa"/>
            <w:noWrap/>
            <w:vAlign w:val="bottom"/>
            <w:hideMark/>
          </w:tcPr>
          <w:p w14:paraId="58A29DC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84</w:t>
            </w:r>
          </w:p>
        </w:tc>
        <w:tc>
          <w:tcPr>
            <w:tcW w:w="904" w:type="dxa"/>
            <w:noWrap/>
            <w:vAlign w:val="bottom"/>
            <w:hideMark/>
          </w:tcPr>
          <w:p w14:paraId="718ABFB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49,41</w:t>
            </w:r>
          </w:p>
        </w:tc>
        <w:tc>
          <w:tcPr>
            <w:tcW w:w="721" w:type="dxa"/>
            <w:noWrap/>
            <w:vAlign w:val="bottom"/>
            <w:hideMark/>
          </w:tcPr>
          <w:p w14:paraId="72EAB29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16</w:t>
            </w:r>
          </w:p>
        </w:tc>
        <w:tc>
          <w:tcPr>
            <w:tcW w:w="826" w:type="dxa"/>
            <w:noWrap/>
            <w:vAlign w:val="bottom"/>
            <w:hideMark/>
          </w:tcPr>
          <w:p w14:paraId="30D136B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80,00</w:t>
            </w:r>
          </w:p>
        </w:tc>
        <w:tc>
          <w:tcPr>
            <w:tcW w:w="682" w:type="dxa"/>
            <w:noWrap/>
            <w:vAlign w:val="bottom"/>
            <w:hideMark/>
          </w:tcPr>
          <w:p w14:paraId="652D2D2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1129F1C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25,71</w:t>
            </w:r>
          </w:p>
        </w:tc>
        <w:tc>
          <w:tcPr>
            <w:tcW w:w="683" w:type="dxa"/>
            <w:noWrap/>
            <w:vAlign w:val="bottom"/>
            <w:hideMark/>
          </w:tcPr>
          <w:p w14:paraId="112C68F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773" w:type="dxa"/>
            <w:noWrap/>
            <w:vAlign w:val="bottom"/>
            <w:hideMark/>
          </w:tcPr>
          <w:p w14:paraId="6FC4464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25,00</w:t>
            </w:r>
          </w:p>
        </w:tc>
        <w:tc>
          <w:tcPr>
            <w:tcW w:w="736" w:type="dxa"/>
            <w:noWrap/>
            <w:vAlign w:val="bottom"/>
            <w:hideMark/>
          </w:tcPr>
          <w:p w14:paraId="57C96E4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8</w:t>
            </w:r>
          </w:p>
        </w:tc>
        <w:tc>
          <w:tcPr>
            <w:tcW w:w="773" w:type="dxa"/>
            <w:noWrap/>
            <w:vAlign w:val="bottom"/>
            <w:hideMark/>
          </w:tcPr>
          <w:p w14:paraId="6599960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53,33</w:t>
            </w:r>
          </w:p>
        </w:tc>
        <w:tc>
          <w:tcPr>
            <w:tcW w:w="804" w:type="dxa"/>
            <w:noWrap/>
            <w:vAlign w:val="bottom"/>
            <w:hideMark/>
          </w:tcPr>
          <w:p w14:paraId="501E6A41"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39DF314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c>
          <w:tcPr>
            <w:tcW w:w="682" w:type="dxa"/>
            <w:noWrap/>
            <w:vAlign w:val="bottom"/>
            <w:hideMark/>
          </w:tcPr>
          <w:p w14:paraId="42725FB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w:t>
            </w:r>
          </w:p>
        </w:tc>
        <w:tc>
          <w:tcPr>
            <w:tcW w:w="851" w:type="dxa"/>
            <w:noWrap/>
            <w:vAlign w:val="bottom"/>
            <w:hideMark/>
          </w:tcPr>
          <w:p w14:paraId="38CDB62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66,67</w:t>
            </w:r>
          </w:p>
        </w:tc>
        <w:tc>
          <w:tcPr>
            <w:tcW w:w="709" w:type="dxa"/>
            <w:noWrap/>
            <w:vAlign w:val="bottom"/>
            <w:hideMark/>
          </w:tcPr>
          <w:p w14:paraId="46D2FB5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w:t>
            </w:r>
          </w:p>
        </w:tc>
        <w:tc>
          <w:tcPr>
            <w:tcW w:w="850" w:type="dxa"/>
            <w:noWrap/>
            <w:vAlign w:val="bottom"/>
            <w:hideMark/>
          </w:tcPr>
          <w:p w14:paraId="270149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46,67</w:t>
            </w:r>
          </w:p>
        </w:tc>
      </w:tr>
      <w:tr w:rsidR="002D3210" w:rsidRPr="0002056A" w14:paraId="3A9F0C60" w14:textId="77777777" w:rsidTr="002543FC">
        <w:trPr>
          <w:trHeight w:val="280"/>
          <w:jc w:val="right"/>
        </w:trPr>
        <w:tc>
          <w:tcPr>
            <w:tcW w:w="1550" w:type="dxa"/>
            <w:shd w:val="clear" w:color="auto" w:fill="E2EFD9" w:themeFill="accent6" w:themeFillTint="33"/>
            <w:noWrap/>
            <w:vAlign w:val="bottom"/>
            <w:hideMark/>
          </w:tcPr>
          <w:p w14:paraId="245575B1"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Türkiye</w:t>
            </w:r>
          </w:p>
        </w:tc>
        <w:tc>
          <w:tcPr>
            <w:tcW w:w="850" w:type="dxa"/>
            <w:noWrap/>
            <w:vAlign w:val="bottom"/>
            <w:hideMark/>
          </w:tcPr>
          <w:p w14:paraId="7D90DD8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67</w:t>
            </w:r>
          </w:p>
        </w:tc>
        <w:tc>
          <w:tcPr>
            <w:tcW w:w="904" w:type="dxa"/>
            <w:noWrap/>
            <w:vAlign w:val="bottom"/>
            <w:hideMark/>
          </w:tcPr>
          <w:p w14:paraId="398FF9F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39,41</w:t>
            </w:r>
          </w:p>
        </w:tc>
        <w:tc>
          <w:tcPr>
            <w:tcW w:w="721" w:type="dxa"/>
            <w:noWrap/>
            <w:vAlign w:val="bottom"/>
            <w:hideMark/>
          </w:tcPr>
          <w:p w14:paraId="63750B8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14</w:t>
            </w:r>
          </w:p>
        </w:tc>
        <w:tc>
          <w:tcPr>
            <w:tcW w:w="826" w:type="dxa"/>
            <w:noWrap/>
            <w:vAlign w:val="bottom"/>
            <w:hideMark/>
          </w:tcPr>
          <w:p w14:paraId="1C48775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70,00</w:t>
            </w:r>
          </w:p>
        </w:tc>
        <w:tc>
          <w:tcPr>
            <w:tcW w:w="682" w:type="dxa"/>
            <w:noWrap/>
            <w:vAlign w:val="bottom"/>
            <w:hideMark/>
          </w:tcPr>
          <w:p w14:paraId="23160B29"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773" w:type="dxa"/>
            <w:noWrap/>
            <w:vAlign w:val="bottom"/>
            <w:hideMark/>
          </w:tcPr>
          <w:p w14:paraId="1FB6E83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34,29</w:t>
            </w:r>
          </w:p>
        </w:tc>
        <w:tc>
          <w:tcPr>
            <w:tcW w:w="683" w:type="dxa"/>
            <w:noWrap/>
            <w:vAlign w:val="bottom"/>
            <w:hideMark/>
          </w:tcPr>
          <w:p w14:paraId="46F7EC16"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773" w:type="dxa"/>
            <w:noWrap/>
            <w:vAlign w:val="bottom"/>
            <w:hideMark/>
          </w:tcPr>
          <w:p w14:paraId="3028DAD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22,50</w:t>
            </w:r>
          </w:p>
        </w:tc>
        <w:tc>
          <w:tcPr>
            <w:tcW w:w="736" w:type="dxa"/>
            <w:noWrap/>
            <w:vAlign w:val="bottom"/>
            <w:hideMark/>
          </w:tcPr>
          <w:p w14:paraId="2A61261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w:t>
            </w:r>
          </w:p>
        </w:tc>
        <w:tc>
          <w:tcPr>
            <w:tcW w:w="773" w:type="dxa"/>
            <w:noWrap/>
            <w:vAlign w:val="bottom"/>
            <w:hideMark/>
          </w:tcPr>
          <w:p w14:paraId="6BFEA64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20,00</w:t>
            </w:r>
          </w:p>
        </w:tc>
        <w:tc>
          <w:tcPr>
            <w:tcW w:w="804" w:type="dxa"/>
            <w:noWrap/>
            <w:vAlign w:val="bottom"/>
            <w:hideMark/>
          </w:tcPr>
          <w:p w14:paraId="233DE9E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w:t>
            </w:r>
          </w:p>
        </w:tc>
        <w:tc>
          <w:tcPr>
            <w:tcW w:w="773" w:type="dxa"/>
            <w:noWrap/>
            <w:vAlign w:val="bottom"/>
            <w:hideMark/>
          </w:tcPr>
          <w:p w14:paraId="1943235A"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682" w:type="dxa"/>
            <w:noWrap/>
            <w:vAlign w:val="bottom"/>
            <w:hideMark/>
          </w:tcPr>
          <w:p w14:paraId="3FB004C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w:t>
            </w:r>
          </w:p>
        </w:tc>
        <w:tc>
          <w:tcPr>
            <w:tcW w:w="851" w:type="dxa"/>
            <w:noWrap/>
            <w:vAlign w:val="bottom"/>
            <w:hideMark/>
          </w:tcPr>
          <w:p w14:paraId="5EB3C19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43,33</w:t>
            </w:r>
          </w:p>
        </w:tc>
        <w:tc>
          <w:tcPr>
            <w:tcW w:w="709" w:type="dxa"/>
            <w:noWrap/>
            <w:vAlign w:val="bottom"/>
            <w:hideMark/>
          </w:tcPr>
          <w:p w14:paraId="3115ED3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0" w:type="dxa"/>
            <w:noWrap/>
            <w:vAlign w:val="bottom"/>
            <w:hideMark/>
          </w:tcPr>
          <w:p w14:paraId="313ADF8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r>
      <w:tr w:rsidR="002D3210" w:rsidRPr="0002056A" w14:paraId="14A60837" w14:textId="77777777" w:rsidTr="002543FC">
        <w:trPr>
          <w:trHeight w:val="290"/>
          <w:jc w:val="right"/>
        </w:trPr>
        <w:tc>
          <w:tcPr>
            <w:tcW w:w="1550" w:type="dxa"/>
            <w:shd w:val="clear" w:color="auto" w:fill="E2EFD9" w:themeFill="accent6" w:themeFillTint="33"/>
            <w:noWrap/>
            <w:vAlign w:val="bottom"/>
            <w:hideMark/>
          </w:tcPr>
          <w:p w14:paraId="02AA84C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Wales</w:t>
            </w:r>
          </w:p>
        </w:tc>
        <w:tc>
          <w:tcPr>
            <w:tcW w:w="850" w:type="dxa"/>
            <w:noWrap/>
            <w:vAlign w:val="bottom"/>
            <w:hideMark/>
          </w:tcPr>
          <w:p w14:paraId="62B4D88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45</w:t>
            </w:r>
          </w:p>
        </w:tc>
        <w:tc>
          <w:tcPr>
            <w:tcW w:w="904" w:type="dxa"/>
            <w:noWrap/>
            <w:vAlign w:val="bottom"/>
            <w:hideMark/>
          </w:tcPr>
          <w:p w14:paraId="4EE488A5"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26,47</w:t>
            </w:r>
          </w:p>
        </w:tc>
        <w:tc>
          <w:tcPr>
            <w:tcW w:w="721" w:type="dxa"/>
            <w:noWrap/>
            <w:vAlign w:val="bottom"/>
            <w:hideMark/>
          </w:tcPr>
          <w:p w14:paraId="305AF03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10</w:t>
            </w:r>
          </w:p>
        </w:tc>
        <w:tc>
          <w:tcPr>
            <w:tcW w:w="826" w:type="dxa"/>
            <w:noWrap/>
            <w:vAlign w:val="bottom"/>
            <w:hideMark/>
          </w:tcPr>
          <w:p w14:paraId="2BBF4D3F"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50,00</w:t>
            </w:r>
          </w:p>
        </w:tc>
        <w:tc>
          <w:tcPr>
            <w:tcW w:w="682" w:type="dxa"/>
            <w:noWrap/>
            <w:vAlign w:val="bottom"/>
            <w:hideMark/>
          </w:tcPr>
          <w:p w14:paraId="650331B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4698274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5,71</w:t>
            </w:r>
          </w:p>
        </w:tc>
        <w:tc>
          <w:tcPr>
            <w:tcW w:w="683" w:type="dxa"/>
            <w:noWrap/>
            <w:vAlign w:val="bottom"/>
            <w:hideMark/>
          </w:tcPr>
          <w:p w14:paraId="5627C627"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4EE9AD9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12,50</w:t>
            </w:r>
          </w:p>
        </w:tc>
        <w:tc>
          <w:tcPr>
            <w:tcW w:w="736" w:type="dxa"/>
            <w:noWrap/>
            <w:vAlign w:val="bottom"/>
            <w:hideMark/>
          </w:tcPr>
          <w:p w14:paraId="75B486FD"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2</w:t>
            </w:r>
          </w:p>
        </w:tc>
        <w:tc>
          <w:tcPr>
            <w:tcW w:w="773" w:type="dxa"/>
            <w:noWrap/>
            <w:vAlign w:val="bottom"/>
            <w:hideMark/>
          </w:tcPr>
          <w:p w14:paraId="29AB86A8"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13,33</w:t>
            </w:r>
          </w:p>
        </w:tc>
        <w:tc>
          <w:tcPr>
            <w:tcW w:w="804" w:type="dxa"/>
            <w:noWrap/>
            <w:vAlign w:val="bottom"/>
            <w:hideMark/>
          </w:tcPr>
          <w:p w14:paraId="3459A07E"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5</w:t>
            </w:r>
          </w:p>
        </w:tc>
        <w:tc>
          <w:tcPr>
            <w:tcW w:w="773" w:type="dxa"/>
            <w:noWrap/>
            <w:vAlign w:val="bottom"/>
            <w:hideMark/>
          </w:tcPr>
          <w:p w14:paraId="6D6EC3DC"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33,33</w:t>
            </w:r>
          </w:p>
        </w:tc>
        <w:tc>
          <w:tcPr>
            <w:tcW w:w="682" w:type="dxa"/>
            <w:noWrap/>
            <w:vAlign w:val="bottom"/>
            <w:hideMark/>
          </w:tcPr>
          <w:p w14:paraId="4D5CB0B4"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12</w:t>
            </w:r>
          </w:p>
        </w:tc>
        <w:tc>
          <w:tcPr>
            <w:tcW w:w="851" w:type="dxa"/>
            <w:noWrap/>
            <w:vAlign w:val="bottom"/>
            <w:hideMark/>
          </w:tcPr>
          <w:p w14:paraId="77F3C4E0"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40,00</w:t>
            </w:r>
          </w:p>
        </w:tc>
        <w:tc>
          <w:tcPr>
            <w:tcW w:w="709" w:type="dxa"/>
            <w:noWrap/>
            <w:vAlign w:val="bottom"/>
            <w:hideMark/>
          </w:tcPr>
          <w:p w14:paraId="5DD4BD42"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9</w:t>
            </w:r>
          </w:p>
        </w:tc>
        <w:tc>
          <w:tcPr>
            <w:tcW w:w="850" w:type="dxa"/>
            <w:noWrap/>
            <w:vAlign w:val="bottom"/>
            <w:hideMark/>
          </w:tcPr>
          <w:p w14:paraId="456D7ECB" w14:textId="77777777" w:rsidR="00AA090F" w:rsidRPr="0002056A" w:rsidRDefault="00AA090F" w:rsidP="00E9730F">
            <w:pPr>
              <w:spacing w:after="0" w:line="240" w:lineRule="auto"/>
              <w:jc w:val="right"/>
              <w:rPr>
                <w:rFonts w:ascii="Georgia" w:eastAsia="Times New Roman" w:hAnsi="Georgia" w:cs="Calibri"/>
                <w:color w:val="000000"/>
                <w:sz w:val="16"/>
                <w:szCs w:val="16"/>
                <w:lang w:val="en-GB" w:eastAsia="hu-HU"/>
              </w:rPr>
            </w:pPr>
            <w:r w:rsidRPr="0002056A">
              <w:rPr>
                <w:rFonts w:ascii="Georgia" w:eastAsia="Times New Roman" w:hAnsi="Georgia" w:cs="Calibri"/>
                <w:color w:val="000000"/>
                <w:sz w:val="16"/>
                <w:szCs w:val="16"/>
                <w:lang w:val="en-GB" w:eastAsia="hu-HU"/>
              </w:rPr>
              <w:t>60,00</w:t>
            </w:r>
          </w:p>
        </w:tc>
      </w:tr>
      <w:tr w:rsidR="00AA090F" w:rsidRPr="0002056A" w14:paraId="4C51E54B" w14:textId="77777777" w:rsidTr="002543FC">
        <w:trPr>
          <w:trHeight w:val="280"/>
          <w:jc w:val="right"/>
        </w:trPr>
        <w:tc>
          <w:tcPr>
            <w:tcW w:w="1550" w:type="dxa"/>
            <w:shd w:val="clear" w:color="000000" w:fill="D0CECE"/>
            <w:noWrap/>
            <w:vAlign w:val="bottom"/>
            <w:hideMark/>
          </w:tcPr>
          <w:p w14:paraId="4095F0FC" w14:textId="77777777" w:rsidR="00AA090F" w:rsidRPr="0002056A" w:rsidRDefault="00AA090F" w:rsidP="00E9730F">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Max.available points/values</w:t>
            </w:r>
          </w:p>
        </w:tc>
        <w:tc>
          <w:tcPr>
            <w:tcW w:w="850" w:type="dxa"/>
            <w:shd w:val="clear" w:color="000000" w:fill="D0CECE"/>
            <w:noWrap/>
            <w:vAlign w:val="bottom"/>
            <w:hideMark/>
          </w:tcPr>
          <w:p w14:paraId="534AC691"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170</w:t>
            </w:r>
          </w:p>
        </w:tc>
        <w:tc>
          <w:tcPr>
            <w:tcW w:w="904" w:type="dxa"/>
            <w:shd w:val="clear" w:color="000000" w:fill="D0CECE"/>
            <w:noWrap/>
            <w:vAlign w:val="bottom"/>
            <w:hideMark/>
          </w:tcPr>
          <w:p w14:paraId="76B08C67"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721" w:type="dxa"/>
            <w:shd w:val="clear" w:color="000000" w:fill="D0CECE"/>
            <w:noWrap/>
            <w:vAlign w:val="bottom"/>
            <w:hideMark/>
          </w:tcPr>
          <w:p w14:paraId="6E07428D"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20</w:t>
            </w:r>
          </w:p>
        </w:tc>
        <w:tc>
          <w:tcPr>
            <w:tcW w:w="826" w:type="dxa"/>
            <w:shd w:val="clear" w:color="000000" w:fill="D0CECE"/>
            <w:noWrap/>
            <w:vAlign w:val="bottom"/>
            <w:hideMark/>
          </w:tcPr>
          <w:p w14:paraId="2791143C"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682" w:type="dxa"/>
            <w:shd w:val="clear" w:color="000000" w:fill="D0CECE"/>
            <w:noWrap/>
            <w:vAlign w:val="bottom"/>
            <w:hideMark/>
          </w:tcPr>
          <w:p w14:paraId="03C202C4"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35</w:t>
            </w:r>
          </w:p>
        </w:tc>
        <w:tc>
          <w:tcPr>
            <w:tcW w:w="773" w:type="dxa"/>
            <w:shd w:val="clear" w:color="000000" w:fill="D0CECE"/>
            <w:noWrap/>
            <w:vAlign w:val="bottom"/>
            <w:hideMark/>
          </w:tcPr>
          <w:p w14:paraId="44F0B8D3"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683" w:type="dxa"/>
            <w:shd w:val="clear" w:color="000000" w:fill="D0CECE"/>
            <w:noWrap/>
            <w:vAlign w:val="bottom"/>
            <w:hideMark/>
          </w:tcPr>
          <w:p w14:paraId="61EF4327" w14:textId="4ED5980D"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4</w:t>
            </w:r>
            <w:r w:rsidR="00342287" w:rsidRPr="0002056A">
              <w:rPr>
                <w:rFonts w:ascii="Georgia" w:eastAsia="Times New Roman" w:hAnsi="Georgia" w:cs="Calibri"/>
                <w:b/>
                <w:bCs/>
                <w:i/>
                <w:iCs/>
                <w:color w:val="000000"/>
                <w:sz w:val="16"/>
                <w:szCs w:val="16"/>
                <w:lang w:val="en-GB" w:eastAsia="hu-HU"/>
              </w:rPr>
              <w:t>0</w:t>
            </w:r>
          </w:p>
        </w:tc>
        <w:tc>
          <w:tcPr>
            <w:tcW w:w="773" w:type="dxa"/>
            <w:shd w:val="clear" w:color="000000" w:fill="D0CECE"/>
            <w:noWrap/>
            <w:vAlign w:val="bottom"/>
            <w:hideMark/>
          </w:tcPr>
          <w:p w14:paraId="32F01A77"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736" w:type="dxa"/>
            <w:shd w:val="clear" w:color="000000" w:fill="D0CECE"/>
            <w:noWrap/>
            <w:vAlign w:val="bottom"/>
            <w:hideMark/>
          </w:tcPr>
          <w:p w14:paraId="40342544"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15</w:t>
            </w:r>
          </w:p>
        </w:tc>
        <w:tc>
          <w:tcPr>
            <w:tcW w:w="773" w:type="dxa"/>
            <w:shd w:val="clear" w:color="000000" w:fill="D0CECE"/>
            <w:noWrap/>
            <w:vAlign w:val="bottom"/>
            <w:hideMark/>
          </w:tcPr>
          <w:p w14:paraId="2B8679F8"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804" w:type="dxa"/>
            <w:shd w:val="clear" w:color="000000" w:fill="D0CECE"/>
            <w:noWrap/>
            <w:vAlign w:val="bottom"/>
            <w:hideMark/>
          </w:tcPr>
          <w:p w14:paraId="6101F7E2"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15</w:t>
            </w:r>
          </w:p>
        </w:tc>
        <w:tc>
          <w:tcPr>
            <w:tcW w:w="773" w:type="dxa"/>
            <w:shd w:val="clear" w:color="000000" w:fill="D0CECE"/>
            <w:noWrap/>
            <w:vAlign w:val="bottom"/>
            <w:hideMark/>
          </w:tcPr>
          <w:p w14:paraId="238F7C4F"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682" w:type="dxa"/>
            <w:shd w:val="clear" w:color="000000" w:fill="D0CECE"/>
            <w:noWrap/>
            <w:vAlign w:val="bottom"/>
            <w:hideMark/>
          </w:tcPr>
          <w:p w14:paraId="52A0A90E"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30</w:t>
            </w:r>
          </w:p>
        </w:tc>
        <w:tc>
          <w:tcPr>
            <w:tcW w:w="851" w:type="dxa"/>
            <w:shd w:val="clear" w:color="000000" w:fill="D0CECE"/>
            <w:noWrap/>
            <w:vAlign w:val="bottom"/>
            <w:hideMark/>
          </w:tcPr>
          <w:p w14:paraId="78826D6D"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c>
          <w:tcPr>
            <w:tcW w:w="709" w:type="dxa"/>
            <w:shd w:val="clear" w:color="000000" w:fill="D0CECE"/>
            <w:noWrap/>
            <w:vAlign w:val="bottom"/>
            <w:hideMark/>
          </w:tcPr>
          <w:p w14:paraId="3EACEBA7"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15</w:t>
            </w:r>
          </w:p>
        </w:tc>
        <w:tc>
          <w:tcPr>
            <w:tcW w:w="850" w:type="dxa"/>
            <w:shd w:val="clear" w:color="000000" w:fill="D0CECE"/>
            <w:noWrap/>
            <w:vAlign w:val="bottom"/>
            <w:hideMark/>
          </w:tcPr>
          <w:p w14:paraId="0AD945A8"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100,00</w:t>
            </w:r>
          </w:p>
        </w:tc>
      </w:tr>
      <w:tr w:rsidR="00AA090F" w:rsidRPr="0002056A" w14:paraId="5ACF375D" w14:textId="77777777" w:rsidTr="002543FC">
        <w:trPr>
          <w:trHeight w:val="280"/>
          <w:jc w:val="right"/>
        </w:trPr>
        <w:tc>
          <w:tcPr>
            <w:tcW w:w="1550" w:type="dxa"/>
            <w:shd w:val="clear" w:color="000000" w:fill="D0CECE"/>
            <w:noWrap/>
            <w:vAlign w:val="bottom"/>
            <w:hideMark/>
          </w:tcPr>
          <w:p w14:paraId="7CD64EFA" w14:textId="77777777" w:rsidR="00AA090F" w:rsidRPr="0002056A" w:rsidRDefault="00AA090F" w:rsidP="00E9730F">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Average values</w:t>
            </w:r>
          </w:p>
        </w:tc>
        <w:tc>
          <w:tcPr>
            <w:tcW w:w="850" w:type="dxa"/>
            <w:shd w:val="clear" w:color="000000" w:fill="D0CECE"/>
            <w:noWrap/>
            <w:vAlign w:val="bottom"/>
            <w:hideMark/>
          </w:tcPr>
          <w:p w14:paraId="44A0B9C4"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52,07</w:t>
            </w:r>
          </w:p>
        </w:tc>
        <w:tc>
          <w:tcPr>
            <w:tcW w:w="904" w:type="dxa"/>
            <w:shd w:val="clear" w:color="000000" w:fill="D0CECE"/>
            <w:noWrap/>
            <w:vAlign w:val="bottom"/>
            <w:hideMark/>
          </w:tcPr>
          <w:p w14:paraId="6503723C"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30,63</w:t>
            </w:r>
          </w:p>
        </w:tc>
        <w:tc>
          <w:tcPr>
            <w:tcW w:w="721" w:type="dxa"/>
            <w:shd w:val="clear" w:color="000000" w:fill="D0CECE"/>
            <w:noWrap/>
            <w:vAlign w:val="bottom"/>
            <w:hideMark/>
          </w:tcPr>
          <w:p w14:paraId="5042666D"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9,85</w:t>
            </w:r>
          </w:p>
        </w:tc>
        <w:tc>
          <w:tcPr>
            <w:tcW w:w="826" w:type="dxa"/>
            <w:shd w:val="clear" w:color="000000" w:fill="D0CECE"/>
            <w:noWrap/>
            <w:vAlign w:val="bottom"/>
            <w:hideMark/>
          </w:tcPr>
          <w:p w14:paraId="1E603C64"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49,27</w:t>
            </w:r>
          </w:p>
        </w:tc>
        <w:tc>
          <w:tcPr>
            <w:tcW w:w="682" w:type="dxa"/>
            <w:shd w:val="clear" w:color="000000" w:fill="D0CECE"/>
            <w:noWrap/>
            <w:vAlign w:val="bottom"/>
            <w:hideMark/>
          </w:tcPr>
          <w:p w14:paraId="6CF9852B"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6,68</w:t>
            </w:r>
          </w:p>
        </w:tc>
        <w:tc>
          <w:tcPr>
            <w:tcW w:w="773" w:type="dxa"/>
            <w:shd w:val="clear" w:color="000000" w:fill="D0CECE"/>
            <w:noWrap/>
            <w:vAlign w:val="bottom"/>
            <w:hideMark/>
          </w:tcPr>
          <w:p w14:paraId="3B76AF58"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19,09</w:t>
            </w:r>
          </w:p>
        </w:tc>
        <w:tc>
          <w:tcPr>
            <w:tcW w:w="683" w:type="dxa"/>
            <w:shd w:val="clear" w:color="000000" w:fill="D0CECE"/>
            <w:noWrap/>
            <w:vAlign w:val="bottom"/>
            <w:hideMark/>
          </w:tcPr>
          <w:p w14:paraId="53318C06"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8,46</w:t>
            </w:r>
          </w:p>
        </w:tc>
        <w:tc>
          <w:tcPr>
            <w:tcW w:w="773" w:type="dxa"/>
            <w:shd w:val="clear" w:color="000000" w:fill="D0CECE"/>
            <w:noWrap/>
            <w:vAlign w:val="bottom"/>
            <w:hideMark/>
          </w:tcPr>
          <w:p w14:paraId="2ED59FD7"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21,16</w:t>
            </w:r>
          </w:p>
        </w:tc>
        <w:tc>
          <w:tcPr>
            <w:tcW w:w="736" w:type="dxa"/>
            <w:shd w:val="clear" w:color="000000" w:fill="D0CECE"/>
            <w:noWrap/>
            <w:vAlign w:val="bottom"/>
            <w:hideMark/>
          </w:tcPr>
          <w:p w14:paraId="5461D6E4"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4,56</w:t>
            </w:r>
          </w:p>
        </w:tc>
        <w:tc>
          <w:tcPr>
            <w:tcW w:w="773" w:type="dxa"/>
            <w:shd w:val="clear" w:color="000000" w:fill="D0CECE"/>
            <w:noWrap/>
            <w:vAlign w:val="bottom"/>
            <w:hideMark/>
          </w:tcPr>
          <w:p w14:paraId="487DD639"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30,41</w:t>
            </w:r>
          </w:p>
        </w:tc>
        <w:tc>
          <w:tcPr>
            <w:tcW w:w="804" w:type="dxa"/>
            <w:shd w:val="clear" w:color="000000" w:fill="D0CECE"/>
            <w:noWrap/>
            <w:vAlign w:val="bottom"/>
            <w:hideMark/>
          </w:tcPr>
          <w:p w14:paraId="1E902A0B"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4,76</w:t>
            </w:r>
          </w:p>
        </w:tc>
        <w:tc>
          <w:tcPr>
            <w:tcW w:w="773" w:type="dxa"/>
            <w:shd w:val="clear" w:color="000000" w:fill="D0CECE"/>
            <w:noWrap/>
            <w:vAlign w:val="bottom"/>
            <w:hideMark/>
          </w:tcPr>
          <w:p w14:paraId="1BA9999A"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31,71</w:t>
            </w:r>
          </w:p>
        </w:tc>
        <w:tc>
          <w:tcPr>
            <w:tcW w:w="682" w:type="dxa"/>
            <w:shd w:val="clear" w:color="000000" w:fill="D0CECE"/>
            <w:noWrap/>
            <w:vAlign w:val="bottom"/>
            <w:hideMark/>
          </w:tcPr>
          <w:p w14:paraId="547665DC"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9,61</w:t>
            </w:r>
          </w:p>
        </w:tc>
        <w:tc>
          <w:tcPr>
            <w:tcW w:w="851" w:type="dxa"/>
            <w:shd w:val="clear" w:color="000000" w:fill="D0CECE"/>
            <w:noWrap/>
            <w:vAlign w:val="bottom"/>
            <w:hideMark/>
          </w:tcPr>
          <w:p w14:paraId="5D2E9C9C"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32,03</w:t>
            </w:r>
          </w:p>
        </w:tc>
        <w:tc>
          <w:tcPr>
            <w:tcW w:w="709" w:type="dxa"/>
            <w:shd w:val="clear" w:color="000000" w:fill="D0CECE"/>
            <w:noWrap/>
            <w:vAlign w:val="bottom"/>
            <w:hideMark/>
          </w:tcPr>
          <w:p w14:paraId="603AF7E5"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6,15</w:t>
            </w:r>
          </w:p>
        </w:tc>
        <w:tc>
          <w:tcPr>
            <w:tcW w:w="850" w:type="dxa"/>
            <w:shd w:val="clear" w:color="000000" w:fill="D0CECE"/>
            <w:noWrap/>
            <w:vAlign w:val="bottom"/>
            <w:hideMark/>
          </w:tcPr>
          <w:p w14:paraId="5144E342" w14:textId="77777777" w:rsidR="00AA090F" w:rsidRPr="0002056A" w:rsidRDefault="00AA090F" w:rsidP="00E9730F">
            <w:pPr>
              <w:spacing w:after="0" w:line="240" w:lineRule="auto"/>
              <w:jc w:val="right"/>
              <w:rPr>
                <w:rFonts w:ascii="Georgia" w:eastAsia="Times New Roman" w:hAnsi="Georgia" w:cs="Calibri"/>
                <w:b/>
                <w:bCs/>
                <w:i/>
                <w:iCs/>
                <w:color w:val="000000"/>
                <w:sz w:val="16"/>
                <w:szCs w:val="16"/>
                <w:lang w:val="en-GB" w:eastAsia="hu-HU"/>
              </w:rPr>
            </w:pPr>
            <w:r w:rsidRPr="0002056A">
              <w:rPr>
                <w:rFonts w:ascii="Georgia" w:eastAsia="Times New Roman" w:hAnsi="Georgia" w:cs="Calibri"/>
                <w:b/>
                <w:bCs/>
                <w:i/>
                <w:iCs/>
                <w:color w:val="000000"/>
                <w:sz w:val="16"/>
                <w:szCs w:val="16"/>
                <w:lang w:val="en-GB" w:eastAsia="hu-HU"/>
              </w:rPr>
              <w:t>40,98</w:t>
            </w:r>
          </w:p>
        </w:tc>
      </w:tr>
    </w:tbl>
    <w:p w14:paraId="16C4E8A0" w14:textId="77777777" w:rsidR="00AA090F" w:rsidRPr="0002056A" w:rsidRDefault="00AA090F" w:rsidP="001D557B">
      <w:pPr>
        <w:spacing w:before="120" w:after="120" w:line="240" w:lineRule="auto"/>
        <w:jc w:val="both"/>
        <w:rPr>
          <w:rFonts w:ascii="Georgia" w:hAnsi="Georgia"/>
          <w:b/>
          <w:bCs/>
          <w:lang w:val="en-GB"/>
        </w:rPr>
        <w:sectPr w:rsidR="00AA090F" w:rsidRPr="0002056A" w:rsidSect="00837625">
          <w:pgSz w:w="16838" w:h="11906" w:orient="landscape"/>
          <w:pgMar w:top="1417" w:right="1417" w:bottom="1417" w:left="1417" w:header="708" w:footer="708" w:gutter="0"/>
          <w:cols w:space="708"/>
          <w:docGrid w:linePitch="360"/>
        </w:sectPr>
      </w:pPr>
    </w:p>
    <w:p w14:paraId="52BB4465" w14:textId="27BB81DA" w:rsidR="008D40C0" w:rsidRPr="0002056A" w:rsidRDefault="007E1B94" w:rsidP="00F00409">
      <w:pPr>
        <w:spacing w:before="120" w:after="120"/>
        <w:jc w:val="both"/>
        <w:rPr>
          <w:rFonts w:ascii="Georgia" w:hAnsi="Georgia"/>
          <w:lang w:val="en-GB"/>
        </w:rPr>
      </w:pPr>
      <w:r w:rsidRPr="0002056A">
        <w:rPr>
          <w:rFonts w:ascii="Georgia" w:hAnsi="Georgia"/>
          <w:lang w:val="en-GB"/>
        </w:rPr>
        <w:lastRenderedPageBreak/>
        <w:t>T</w:t>
      </w:r>
      <w:r w:rsidR="00F128D7" w:rsidRPr="0002056A">
        <w:rPr>
          <w:rFonts w:ascii="Georgia" w:hAnsi="Georgia"/>
          <w:lang w:val="en-GB"/>
        </w:rPr>
        <w:t>he research also tries</w:t>
      </w:r>
      <w:r w:rsidR="00F128D7" w:rsidRPr="0002056A">
        <w:rPr>
          <w:rFonts w:ascii="Georgia" w:hAnsi="Georgia" w:cs="Times New Roman"/>
          <w:lang w:val="en-GB"/>
        </w:rPr>
        <w:t xml:space="preserve"> to identify the main influential factors of adaptation </w:t>
      </w:r>
      <w:r w:rsidR="002543FC" w:rsidRPr="0002056A">
        <w:rPr>
          <w:rFonts w:ascii="Georgia" w:hAnsi="Georgia" w:cs="Times New Roman"/>
          <w:lang w:val="en-GB"/>
        </w:rPr>
        <w:t xml:space="preserve">planning </w:t>
      </w:r>
      <w:r w:rsidR="00F128D7" w:rsidRPr="0002056A">
        <w:rPr>
          <w:rFonts w:ascii="Georgia" w:hAnsi="Georgia" w:cs="Times New Roman"/>
          <w:lang w:val="en-GB"/>
        </w:rPr>
        <w:t>tools’ spatial performance, through comparing the elaborated spatial sensitivity composite indicator</w:t>
      </w:r>
      <w:r w:rsidR="00737015" w:rsidRPr="0002056A">
        <w:rPr>
          <w:rFonts w:ascii="Georgia" w:hAnsi="Georgia" w:cs="Times New Roman"/>
          <w:lang w:val="en-GB"/>
        </w:rPr>
        <w:t xml:space="preserve"> value</w:t>
      </w:r>
      <w:r w:rsidR="00F128D7" w:rsidRPr="0002056A">
        <w:rPr>
          <w:rFonts w:ascii="Georgia" w:hAnsi="Georgia" w:cs="Times New Roman"/>
          <w:lang w:val="en-GB"/>
        </w:rPr>
        <w:t>s to other social</w:t>
      </w:r>
      <w:r w:rsidR="00737015" w:rsidRPr="0002056A">
        <w:rPr>
          <w:rFonts w:ascii="Georgia" w:hAnsi="Georgia" w:cs="Times New Roman"/>
          <w:lang w:val="en-GB"/>
        </w:rPr>
        <w:t xml:space="preserve">, </w:t>
      </w:r>
      <w:r w:rsidR="00F128D7" w:rsidRPr="0002056A">
        <w:rPr>
          <w:rFonts w:ascii="Georgia" w:hAnsi="Georgia" w:cs="Times New Roman"/>
          <w:lang w:val="en-GB"/>
        </w:rPr>
        <w:t>economic</w:t>
      </w:r>
      <w:r w:rsidR="00737015" w:rsidRPr="0002056A">
        <w:rPr>
          <w:rFonts w:ascii="Georgia" w:hAnsi="Georgia" w:cs="Times New Roman"/>
          <w:lang w:val="en-GB"/>
        </w:rPr>
        <w:t xml:space="preserve">, </w:t>
      </w:r>
      <w:r w:rsidR="00F128D7" w:rsidRPr="0002056A">
        <w:rPr>
          <w:rFonts w:ascii="Georgia" w:hAnsi="Georgia" w:cs="Times New Roman"/>
          <w:lang w:val="en-GB"/>
        </w:rPr>
        <w:t>geographic</w:t>
      </w:r>
      <w:r w:rsidR="00737015" w:rsidRPr="0002056A">
        <w:rPr>
          <w:rFonts w:ascii="Georgia" w:hAnsi="Georgia" w:cs="Times New Roman"/>
          <w:lang w:val="en-GB"/>
        </w:rPr>
        <w:t xml:space="preserve">, </w:t>
      </w:r>
      <w:r w:rsidR="00F128D7" w:rsidRPr="0002056A">
        <w:rPr>
          <w:rFonts w:ascii="Georgia" w:hAnsi="Georgia" w:cs="Times New Roman"/>
          <w:lang w:val="en-GB"/>
        </w:rPr>
        <w:t>spatial administration-</w:t>
      </w:r>
      <w:r w:rsidR="00737015" w:rsidRPr="0002056A">
        <w:rPr>
          <w:rFonts w:ascii="Georgia" w:hAnsi="Georgia" w:cs="Times New Roman"/>
          <w:lang w:val="en-GB"/>
        </w:rPr>
        <w:t>, or adaptation planning-</w:t>
      </w:r>
      <w:r w:rsidR="00F128D7" w:rsidRPr="0002056A">
        <w:rPr>
          <w:rFonts w:ascii="Georgia" w:hAnsi="Georgia" w:cs="Times New Roman"/>
          <w:lang w:val="en-GB"/>
        </w:rPr>
        <w:t xml:space="preserve">related indices to </w:t>
      </w:r>
      <w:r w:rsidR="00D862CF" w:rsidRPr="0002056A">
        <w:rPr>
          <w:rFonts w:ascii="Georgia" w:hAnsi="Georgia" w:cs="Times New Roman"/>
          <w:lang w:val="en-GB"/>
        </w:rPr>
        <w:t xml:space="preserve">decide </w:t>
      </w:r>
      <w:r w:rsidR="002B620A" w:rsidRPr="0002056A">
        <w:rPr>
          <w:rFonts w:ascii="Georgia" w:hAnsi="Georgia" w:cs="Times New Roman"/>
          <w:lang w:val="en-GB"/>
        </w:rPr>
        <w:t>which one has the strongest influence</w:t>
      </w:r>
      <w:r w:rsidRPr="0002056A">
        <w:rPr>
          <w:rFonts w:ascii="Georgia" w:hAnsi="Georgia" w:cs="Times New Roman"/>
          <w:lang w:val="en-GB"/>
        </w:rPr>
        <w:t xml:space="preserve">. </w:t>
      </w:r>
      <w:r w:rsidR="005700B5" w:rsidRPr="0002056A">
        <w:rPr>
          <w:rFonts w:ascii="Georgia" w:hAnsi="Georgia" w:cs="Times New Roman"/>
          <w:lang w:val="en-GB"/>
        </w:rPr>
        <w:t xml:space="preserve">Although the correlation analysis did not close with </w:t>
      </w:r>
      <w:r w:rsidR="00216AD0" w:rsidRPr="0002056A">
        <w:rPr>
          <w:rFonts w:ascii="Georgia" w:hAnsi="Georgia" w:cs="Times New Roman"/>
          <w:lang w:val="en-GB"/>
        </w:rPr>
        <w:t>unambiguously</w:t>
      </w:r>
      <w:r w:rsidR="00D31A66" w:rsidRPr="0002056A">
        <w:rPr>
          <w:rFonts w:ascii="Georgia" w:hAnsi="Georgia" w:cs="Times New Roman"/>
          <w:lang w:val="en-GB"/>
        </w:rPr>
        <w:t xml:space="preserve"> clear results, some basic relational tr</w:t>
      </w:r>
      <w:r w:rsidR="0040237C" w:rsidRPr="0002056A">
        <w:rPr>
          <w:rFonts w:ascii="Georgia" w:hAnsi="Georgia" w:cs="Times New Roman"/>
          <w:lang w:val="en-GB"/>
        </w:rPr>
        <w:t>ivia are</w:t>
      </w:r>
      <w:r w:rsidR="00D31A66" w:rsidRPr="0002056A">
        <w:rPr>
          <w:rFonts w:ascii="Georgia" w:hAnsi="Georgia" w:cs="Times New Roman"/>
          <w:lang w:val="en-GB"/>
        </w:rPr>
        <w:t xml:space="preserve"> </w:t>
      </w:r>
      <w:r w:rsidR="00453599" w:rsidRPr="0002056A">
        <w:rPr>
          <w:rFonts w:ascii="Georgia" w:hAnsi="Georgia" w:cs="Times New Roman"/>
          <w:lang w:val="en-GB"/>
        </w:rPr>
        <w:t>recognisable</w:t>
      </w:r>
      <w:r w:rsidR="00D31A66" w:rsidRPr="0002056A">
        <w:rPr>
          <w:rFonts w:ascii="Georgia" w:hAnsi="Georgia" w:cs="Times New Roman"/>
          <w:lang w:val="en-GB"/>
        </w:rPr>
        <w:t xml:space="preserve">. </w:t>
      </w:r>
      <w:r w:rsidRPr="0002056A">
        <w:rPr>
          <w:rFonts w:ascii="Georgia" w:hAnsi="Georgia"/>
          <w:lang w:val="en-GB"/>
        </w:rPr>
        <w:t xml:space="preserve">As for the strongest influencing factors of </w:t>
      </w:r>
      <w:r w:rsidR="005700B5" w:rsidRPr="0002056A">
        <w:rPr>
          <w:rFonts w:ascii="Georgia" w:hAnsi="Georgia"/>
          <w:lang w:val="en-GB"/>
        </w:rPr>
        <w:t>national adaptation policy</w:t>
      </w:r>
      <w:r w:rsidR="00262B1F">
        <w:rPr>
          <w:rFonts w:ascii="Georgia" w:hAnsi="Georgia"/>
          <w:lang w:val="en-GB"/>
        </w:rPr>
        <w:t>making’s spatial performance, the traditions and development of both adaptation planning and spatial administration show the closest connections, followed by such national / country characteristics as</w:t>
      </w:r>
      <w:r w:rsidR="008D3264" w:rsidRPr="0002056A">
        <w:rPr>
          <w:rFonts w:ascii="Georgia" w:hAnsi="Georgia"/>
          <w:lang w:val="en-GB"/>
        </w:rPr>
        <w:t xml:space="preserve"> the </w:t>
      </w:r>
      <w:r w:rsidR="00027F25" w:rsidRPr="0002056A">
        <w:rPr>
          <w:rFonts w:ascii="Georgia" w:hAnsi="Georgia"/>
          <w:lang w:val="en-GB"/>
        </w:rPr>
        <w:t>size</w:t>
      </w:r>
      <w:r w:rsidR="00726950" w:rsidRPr="0002056A">
        <w:rPr>
          <w:rFonts w:ascii="Georgia" w:hAnsi="Georgia"/>
          <w:lang w:val="en-GB"/>
        </w:rPr>
        <w:t xml:space="preserve"> of the country or </w:t>
      </w:r>
      <w:r w:rsidR="0064606E" w:rsidRPr="0002056A">
        <w:rPr>
          <w:rFonts w:ascii="Georgia" w:hAnsi="Georgia"/>
          <w:lang w:val="en-GB"/>
        </w:rPr>
        <w:t xml:space="preserve">the </w:t>
      </w:r>
      <w:r w:rsidR="00726950" w:rsidRPr="0002056A">
        <w:rPr>
          <w:rFonts w:ascii="Georgia" w:hAnsi="Georgia"/>
          <w:lang w:val="en-GB"/>
        </w:rPr>
        <w:t>number of the</w:t>
      </w:r>
      <w:r w:rsidR="00027F25" w:rsidRPr="0002056A">
        <w:rPr>
          <w:rFonts w:ascii="Georgia" w:hAnsi="Georgia"/>
          <w:lang w:val="en-GB"/>
        </w:rPr>
        <w:t xml:space="preserve"> population</w:t>
      </w:r>
      <w:r w:rsidR="00726950" w:rsidRPr="0002056A">
        <w:rPr>
          <w:rFonts w:ascii="Georgia" w:hAnsi="Georgia"/>
          <w:lang w:val="en-GB"/>
        </w:rPr>
        <w:t xml:space="preserve">. But, once again, the strongest connections are only a bit </w:t>
      </w:r>
      <w:r w:rsidR="00262B1F">
        <w:rPr>
          <w:rFonts w:ascii="Georgia" w:hAnsi="Georgia"/>
          <w:lang w:val="en-GB"/>
        </w:rPr>
        <w:t xml:space="preserve">above </w:t>
      </w:r>
      <w:r w:rsidR="005B065C">
        <w:rPr>
          <w:rFonts w:ascii="Georgia" w:hAnsi="Georgia"/>
          <w:lang w:val="en-GB"/>
        </w:rPr>
        <w:t>medium level</w:t>
      </w:r>
      <w:r w:rsidR="00262B1F">
        <w:rPr>
          <w:rFonts w:ascii="Georgia" w:hAnsi="Georgia"/>
          <w:lang w:val="en-GB"/>
        </w:rPr>
        <w:t>; there is no strong or extremely strong connection in any direction</w:t>
      </w:r>
      <w:r w:rsidR="00726950" w:rsidRPr="0002056A">
        <w:rPr>
          <w:rFonts w:ascii="Georgia" w:hAnsi="Georgia"/>
          <w:lang w:val="en-GB"/>
        </w:rPr>
        <w:t>.</w:t>
      </w:r>
      <w:r w:rsidR="008D40C0" w:rsidRPr="0002056A">
        <w:rPr>
          <w:rFonts w:ascii="Georgia" w:hAnsi="Georgia"/>
          <w:lang w:val="en-GB"/>
        </w:rPr>
        <w:t xml:space="preserve"> Altogether</w:t>
      </w:r>
      <w:r w:rsidR="0064606E" w:rsidRPr="0002056A">
        <w:rPr>
          <w:rFonts w:ascii="Georgia" w:hAnsi="Georgia"/>
          <w:lang w:val="en-GB"/>
        </w:rPr>
        <w:t>,</w:t>
      </w:r>
      <w:r w:rsidR="008D40C0" w:rsidRPr="0002056A">
        <w:rPr>
          <w:rFonts w:ascii="Georgia" w:hAnsi="Georgia"/>
          <w:lang w:val="en-GB"/>
        </w:rPr>
        <w:t xml:space="preserve"> similarly to the results of </w:t>
      </w:r>
      <w:r w:rsidR="009C462B" w:rsidRPr="0002056A">
        <w:rPr>
          <w:rFonts w:ascii="Georgia" w:hAnsi="Georgia"/>
          <w:lang w:val="en-GB"/>
        </w:rPr>
        <w:t>some earlier studies mentioned by the literature review,</w:t>
      </w:r>
      <w:r w:rsidR="008D40C0" w:rsidRPr="0002056A">
        <w:rPr>
          <w:rFonts w:ascii="Georgia" w:hAnsi="Georgia"/>
          <w:lang w:val="en-GB"/>
        </w:rPr>
        <w:t xml:space="preserve"> the national level adaptation policy strategies, and according to my results, MRE-related documents still do not show numerous </w:t>
      </w:r>
      <w:r w:rsidR="009E2183" w:rsidRPr="0002056A">
        <w:rPr>
          <w:rFonts w:ascii="Georgia" w:hAnsi="Georgia"/>
          <w:lang w:val="en-GB"/>
        </w:rPr>
        <w:t xml:space="preserve">geographically specific </w:t>
      </w:r>
      <w:r w:rsidR="008D40C0" w:rsidRPr="0002056A">
        <w:rPr>
          <w:rFonts w:ascii="Georgia" w:hAnsi="Georgia"/>
          <w:lang w:val="en-GB"/>
        </w:rPr>
        <w:t>national characteristics</w:t>
      </w:r>
      <w:r w:rsidR="009C462B" w:rsidRPr="0002056A">
        <w:rPr>
          <w:rFonts w:ascii="Georgia" w:hAnsi="Georgia"/>
          <w:lang w:val="en-GB"/>
        </w:rPr>
        <w:t xml:space="preserve"> or</w:t>
      </w:r>
      <w:r w:rsidR="008D40C0" w:rsidRPr="0002056A">
        <w:rPr>
          <w:rFonts w:ascii="Georgia" w:hAnsi="Georgia"/>
          <w:lang w:val="en-GB"/>
        </w:rPr>
        <w:t xml:space="preserve"> spatially tailored approaches, </w:t>
      </w:r>
      <w:r w:rsidR="00262B1F">
        <w:rPr>
          <w:rFonts w:ascii="Georgia" w:hAnsi="Georgia"/>
          <w:lang w:val="en-GB"/>
        </w:rPr>
        <w:t>but rather follow a uniform</w:t>
      </w:r>
      <w:r w:rsidR="008D40C0" w:rsidRPr="0002056A">
        <w:rPr>
          <w:rFonts w:ascii="Georgia" w:hAnsi="Georgia"/>
          <w:lang w:val="en-GB"/>
        </w:rPr>
        <w:t>, sector-oriented logic. As in Greiving and Fl</w:t>
      </w:r>
      <w:r w:rsidR="008B00AE" w:rsidRPr="0002056A">
        <w:rPr>
          <w:rFonts w:ascii="Georgia" w:hAnsi="Georgia"/>
          <w:lang w:val="en-GB"/>
        </w:rPr>
        <w:t>e</w:t>
      </w:r>
      <w:r w:rsidR="008D40C0" w:rsidRPr="0002056A">
        <w:rPr>
          <w:rFonts w:ascii="Georgia" w:hAnsi="Georgia"/>
          <w:lang w:val="en-GB"/>
        </w:rPr>
        <w:t>ischhauer’s study, where no significant correlation w</w:t>
      </w:r>
      <w:r w:rsidR="003D5E61" w:rsidRPr="0002056A">
        <w:rPr>
          <w:rFonts w:ascii="Georgia" w:hAnsi="Georgia"/>
          <w:lang w:val="en-GB"/>
        </w:rPr>
        <w:t>as</w:t>
      </w:r>
      <w:r w:rsidR="008D40C0" w:rsidRPr="0002056A">
        <w:rPr>
          <w:rFonts w:ascii="Georgia" w:hAnsi="Georgia"/>
          <w:lang w:val="en-GB"/>
        </w:rPr>
        <w:t xml:space="preserve"> observed between the speediness of developing a national adaptation strategy and the degree of climate change exposure or sensitivity, I did not find </w:t>
      </w:r>
      <w:r w:rsidR="00262B1F">
        <w:rPr>
          <w:rFonts w:ascii="Georgia" w:hAnsi="Georgia"/>
          <w:lang w:val="en-GB"/>
        </w:rPr>
        <w:t xml:space="preserve">a </w:t>
      </w:r>
      <w:r w:rsidR="008D40C0" w:rsidRPr="0002056A">
        <w:rPr>
          <w:rFonts w:ascii="Georgia" w:hAnsi="Georgia"/>
          <w:lang w:val="en-GB"/>
        </w:rPr>
        <w:t xml:space="preserve">significant correlation between </w:t>
      </w:r>
      <w:r w:rsidR="000654AE" w:rsidRPr="0002056A">
        <w:rPr>
          <w:rFonts w:ascii="Georgia" w:hAnsi="Georgia"/>
          <w:lang w:val="en-GB"/>
        </w:rPr>
        <w:t xml:space="preserve">spatial sensitivity AND </w:t>
      </w:r>
      <w:r w:rsidR="008D40C0" w:rsidRPr="0002056A">
        <w:rPr>
          <w:rFonts w:ascii="Georgia" w:hAnsi="Georgia"/>
          <w:lang w:val="en-GB"/>
        </w:rPr>
        <w:t xml:space="preserve">the size </w:t>
      </w:r>
      <w:r w:rsidR="003D5E61" w:rsidRPr="0002056A">
        <w:rPr>
          <w:rFonts w:ascii="Georgia" w:hAnsi="Georgia"/>
          <w:lang w:val="en-GB"/>
        </w:rPr>
        <w:t xml:space="preserve">of a state </w:t>
      </w:r>
      <w:r w:rsidR="000654AE" w:rsidRPr="0002056A">
        <w:rPr>
          <w:rFonts w:ascii="Georgia" w:hAnsi="Georgia"/>
          <w:lang w:val="en-GB"/>
        </w:rPr>
        <w:t>or</w:t>
      </w:r>
      <w:r w:rsidR="008D40C0" w:rsidRPr="0002056A">
        <w:rPr>
          <w:rFonts w:ascii="Georgia" w:hAnsi="Georgia"/>
          <w:lang w:val="en-GB"/>
        </w:rPr>
        <w:t xml:space="preserve"> the consequent variability of climatic zones within a given country.</w:t>
      </w:r>
    </w:p>
    <w:p w14:paraId="232D9652" w14:textId="54664ED8" w:rsidR="00027F25" w:rsidRPr="0002056A" w:rsidRDefault="00726950" w:rsidP="00F00409">
      <w:pPr>
        <w:spacing w:before="120" w:after="120"/>
        <w:jc w:val="both"/>
        <w:rPr>
          <w:rFonts w:ascii="Georgia" w:hAnsi="Georgia"/>
          <w:lang w:val="en-GB"/>
        </w:rPr>
      </w:pPr>
      <w:r w:rsidRPr="0002056A">
        <w:rPr>
          <w:rFonts w:ascii="Georgia" w:hAnsi="Georgia"/>
          <w:lang w:val="en-GB"/>
        </w:rPr>
        <w:t>The m</w:t>
      </w:r>
      <w:r w:rsidR="00027F25" w:rsidRPr="0002056A">
        <w:rPr>
          <w:rFonts w:ascii="Georgia" w:hAnsi="Georgia"/>
          <w:lang w:val="en-GB"/>
        </w:rPr>
        <w:t>acr</w:t>
      </w:r>
      <w:r w:rsidR="00262B1F">
        <w:rPr>
          <w:rFonts w:ascii="Georgia" w:hAnsi="Georgia"/>
          <w:lang w:val="en-GB"/>
        </w:rPr>
        <w:t>o</w:t>
      </w:r>
      <w:r w:rsidR="005B065C">
        <w:rPr>
          <w:rFonts w:ascii="Georgia" w:hAnsi="Georgia"/>
          <w:lang w:val="en-GB"/>
        </w:rPr>
        <w:t xml:space="preserve"> </w:t>
      </w:r>
      <w:r w:rsidR="00027F25" w:rsidRPr="0002056A">
        <w:rPr>
          <w:rFonts w:ascii="Georgia" w:hAnsi="Georgia"/>
          <w:lang w:val="en-GB"/>
        </w:rPr>
        <w:t>regional</w:t>
      </w:r>
      <w:r w:rsidRPr="0002056A">
        <w:rPr>
          <w:rFonts w:ascii="Georgia" w:hAnsi="Georgia"/>
          <w:lang w:val="en-GB"/>
        </w:rPr>
        <w:t xml:space="preserve"> position of a given country, it seems, </w:t>
      </w:r>
      <w:r w:rsidR="009E2183" w:rsidRPr="0002056A">
        <w:rPr>
          <w:rFonts w:ascii="Georgia" w:hAnsi="Georgia"/>
          <w:lang w:val="en-GB"/>
        </w:rPr>
        <w:t>is also in connection with</w:t>
      </w:r>
      <w:r w:rsidRPr="0002056A">
        <w:rPr>
          <w:rFonts w:ascii="Georgia" w:hAnsi="Georgia"/>
          <w:lang w:val="en-GB"/>
        </w:rPr>
        <w:t xml:space="preserve"> the spatial performance of adaptation policy planning activities</w:t>
      </w:r>
      <w:r w:rsidR="002955F1" w:rsidRPr="0002056A">
        <w:rPr>
          <w:rFonts w:ascii="Georgia" w:hAnsi="Georgia"/>
          <w:lang w:val="en-GB"/>
        </w:rPr>
        <w:t>. In the comparative analysis</w:t>
      </w:r>
      <w:r w:rsidR="00262B1F">
        <w:rPr>
          <w:rFonts w:ascii="Georgia" w:hAnsi="Georgia"/>
          <w:lang w:val="en-GB"/>
        </w:rPr>
        <w:t>,</w:t>
      </w:r>
      <w:r w:rsidR="002955F1" w:rsidRPr="0002056A">
        <w:rPr>
          <w:rFonts w:ascii="Georgia" w:hAnsi="Georgia"/>
          <w:lang w:val="en-GB"/>
        </w:rPr>
        <w:t xml:space="preserve"> Western and Northwestern states showed the most persuasive spatial performances, meanwhile, as we saw above, among the weakest </w:t>
      </w:r>
      <w:r w:rsidR="004573C1" w:rsidRPr="0002056A">
        <w:rPr>
          <w:rFonts w:ascii="Georgia" w:hAnsi="Georgia"/>
          <w:lang w:val="en-GB"/>
        </w:rPr>
        <w:t xml:space="preserve">values </w:t>
      </w:r>
      <w:r w:rsidR="002955F1" w:rsidRPr="0002056A">
        <w:rPr>
          <w:rFonts w:ascii="Georgia" w:hAnsi="Georgia"/>
          <w:lang w:val="en-GB"/>
        </w:rPr>
        <w:t>mostly Southern and South</w:t>
      </w:r>
      <w:r w:rsidR="003E7A9A" w:rsidRPr="0002056A">
        <w:rPr>
          <w:rFonts w:ascii="Georgia" w:hAnsi="Georgia"/>
          <w:lang w:val="en-GB"/>
        </w:rPr>
        <w:t>-</w:t>
      </w:r>
      <w:r w:rsidR="004573C1" w:rsidRPr="0002056A">
        <w:rPr>
          <w:rFonts w:ascii="Georgia" w:hAnsi="Georgia"/>
          <w:lang w:val="en-GB"/>
        </w:rPr>
        <w:t>E</w:t>
      </w:r>
      <w:r w:rsidR="003E7A9A" w:rsidRPr="0002056A">
        <w:rPr>
          <w:rFonts w:ascii="Georgia" w:hAnsi="Georgia"/>
          <w:lang w:val="en-GB"/>
        </w:rPr>
        <w:t>astern countries appear. Th</w:t>
      </w:r>
      <w:r w:rsidR="009E2183" w:rsidRPr="0002056A">
        <w:rPr>
          <w:rFonts w:ascii="Georgia" w:hAnsi="Georgia"/>
          <w:lang w:val="en-GB"/>
        </w:rPr>
        <w:t>ese</w:t>
      </w:r>
      <w:r w:rsidR="003E7A9A" w:rsidRPr="0002056A">
        <w:rPr>
          <w:rFonts w:ascii="Georgia" w:hAnsi="Georgia"/>
          <w:lang w:val="en-GB"/>
        </w:rPr>
        <w:t xml:space="preserve"> results (even if we take into consideration some surprising </w:t>
      </w:r>
      <w:r w:rsidR="008D15DB" w:rsidRPr="0002056A">
        <w:rPr>
          <w:rFonts w:ascii="Georgia" w:hAnsi="Georgia"/>
          <w:lang w:val="en-GB"/>
        </w:rPr>
        <w:t xml:space="preserve">out-of-line performances) </w:t>
      </w:r>
      <w:r w:rsidR="003E7A9A" w:rsidRPr="0002056A">
        <w:rPr>
          <w:rFonts w:ascii="Georgia" w:hAnsi="Georgia"/>
          <w:lang w:val="en-GB"/>
        </w:rPr>
        <w:t>only underline the well-known Northwest-Southeast divide</w:t>
      </w:r>
      <w:r w:rsidR="008B00AE" w:rsidRPr="0002056A">
        <w:rPr>
          <w:rFonts w:ascii="Georgia" w:hAnsi="Georgia"/>
          <w:lang w:val="en-GB"/>
        </w:rPr>
        <w:t xml:space="preserve"> in Europe. N</w:t>
      </w:r>
      <w:r w:rsidR="003E7A9A" w:rsidRPr="0002056A">
        <w:rPr>
          <w:rFonts w:ascii="Georgia" w:hAnsi="Georgia"/>
          <w:lang w:val="en-GB"/>
        </w:rPr>
        <w:t xml:space="preserve">o </w:t>
      </w:r>
      <w:r w:rsidR="008D15DB" w:rsidRPr="0002056A">
        <w:rPr>
          <w:rFonts w:ascii="Georgia" w:hAnsi="Georgia"/>
          <w:lang w:val="en-GB"/>
        </w:rPr>
        <w:t>unexpected research results come up in this case.</w:t>
      </w:r>
    </w:p>
    <w:p w14:paraId="26EC980A" w14:textId="081AC919" w:rsidR="00027F25" w:rsidRPr="0002056A" w:rsidRDefault="008D15DB" w:rsidP="00F00409">
      <w:pPr>
        <w:spacing w:before="120" w:after="120"/>
        <w:jc w:val="both"/>
        <w:rPr>
          <w:rFonts w:ascii="Georgia" w:hAnsi="Georgia"/>
          <w:lang w:val="en-GB"/>
        </w:rPr>
      </w:pPr>
      <w:r w:rsidRPr="0002056A">
        <w:rPr>
          <w:rFonts w:ascii="Georgia" w:hAnsi="Georgia"/>
          <w:lang w:val="en-GB"/>
        </w:rPr>
        <w:t xml:space="preserve">To </w:t>
      </w:r>
      <w:r w:rsidR="00262B1F">
        <w:rPr>
          <w:rFonts w:ascii="Georgia" w:hAnsi="Georgia"/>
          <w:lang w:val="en-GB"/>
        </w:rPr>
        <w:t>summarise our findings, basically we can say that the spatial sensitivity/performance of national-level</w:t>
      </w:r>
      <w:r w:rsidRPr="0002056A">
        <w:rPr>
          <w:rFonts w:ascii="Georgia" w:hAnsi="Georgia"/>
          <w:lang w:val="en-GB"/>
        </w:rPr>
        <w:t xml:space="preserve"> </w:t>
      </w:r>
      <w:r w:rsidR="008B00AE" w:rsidRPr="0002056A">
        <w:rPr>
          <w:rFonts w:ascii="Georgia" w:hAnsi="Georgia"/>
          <w:lang w:val="en-GB"/>
        </w:rPr>
        <w:t xml:space="preserve">climate </w:t>
      </w:r>
      <w:r w:rsidRPr="0002056A">
        <w:rPr>
          <w:rFonts w:ascii="Georgia" w:hAnsi="Georgia"/>
          <w:lang w:val="en-GB"/>
        </w:rPr>
        <w:t>adaptation policy planning</w:t>
      </w:r>
      <w:r w:rsidR="004573C1" w:rsidRPr="0002056A">
        <w:rPr>
          <w:rFonts w:ascii="Georgia" w:hAnsi="Georgia"/>
          <w:lang w:val="en-GB"/>
        </w:rPr>
        <w:t xml:space="preserve"> and MRE</w:t>
      </w:r>
      <w:r w:rsidRPr="0002056A">
        <w:rPr>
          <w:rFonts w:ascii="Georgia" w:hAnsi="Georgia"/>
          <w:lang w:val="en-GB"/>
        </w:rPr>
        <w:t xml:space="preserve"> activities </w:t>
      </w:r>
      <w:r w:rsidR="00027F25" w:rsidRPr="0002056A">
        <w:rPr>
          <w:rFonts w:ascii="Georgia" w:hAnsi="Georgia"/>
          <w:lang w:val="en-GB"/>
        </w:rPr>
        <w:t xml:space="preserve">depend more on individual </w:t>
      </w:r>
      <w:r w:rsidR="00DC4F45" w:rsidRPr="0002056A">
        <w:rPr>
          <w:rFonts w:ascii="Georgia" w:hAnsi="Georgia"/>
          <w:lang w:val="en-GB"/>
        </w:rPr>
        <w:t xml:space="preserve">national </w:t>
      </w:r>
      <w:r w:rsidR="00027F25" w:rsidRPr="0002056A">
        <w:rPr>
          <w:rFonts w:ascii="Georgia" w:hAnsi="Georgia"/>
          <w:lang w:val="en-GB"/>
        </w:rPr>
        <w:t xml:space="preserve">circumstances </w:t>
      </w:r>
      <w:r w:rsidR="00DC4F45" w:rsidRPr="0002056A">
        <w:rPr>
          <w:rFonts w:ascii="Georgia" w:hAnsi="Georgia"/>
          <w:lang w:val="en-GB"/>
        </w:rPr>
        <w:t xml:space="preserve">and climate policy </w:t>
      </w:r>
      <w:r w:rsidR="00027F25" w:rsidRPr="0002056A">
        <w:rPr>
          <w:rFonts w:ascii="Georgia" w:hAnsi="Georgia"/>
          <w:lang w:val="en-GB"/>
        </w:rPr>
        <w:t>planning</w:t>
      </w:r>
      <w:r w:rsidR="00B010E0" w:rsidRPr="0002056A">
        <w:rPr>
          <w:rFonts w:ascii="Georgia" w:hAnsi="Georgia"/>
          <w:lang w:val="en-GB"/>
        </w:rPr>
        <w:t xml:space="preserve"> </w:t>
      </w:r>
      <w:r w:rsidR="008B00AE" w:rsidRPr="0002056A">
        <w:rPr>
          <w:rFonts w:ascii="Georgia" w:hAnsi="Georgia"/>
          <w:lang w:val="en-GB"/>
        </w:rPr>
        <w:t xml:space="preserve">environment </w:t>
      </w:r>
      <w:r w:rsidR="00B010E0" w:rsidRPr="0002056A">
        <w:rPr>
          <w:rFonts w:ascii="Georgia" w:hAnsi="Georgia"/>
          <w:lang w:val="en-GB"/>
        </w:rPr>
        <w:t>than on physical endowments, geographical characteristics or climatic trends, let alone the degree of economic or social development.</w:t>
      </w:r>
      <w:r w:rsidR="00824BC3" w:rsidRPr="0002056A">
        <w:rPr>
          <w:rFonts w:ascii="Georgia" w:hAnsi="Georgia"/>
          <w:lang w:val="en-GB"/>
        </w:rPr>
        <w:t xml:space="preserve"> The</w:t>
      </w:r>
      <w:r w:rsidR="00B010E0" w:rsidRPr="0002056A">
        <w:rPr>
          <w:rFonts w:ascii="Georgia" w:hAnsi="Georgia"/>
          <w:lang w:val="en-GB"/>
        </w:rPr>
        <w:t xml:space="preserve"> most </w:t>
      </w:r>
      <w:r w:rsidR="00216AD0" w:rsidRPr="0002056A">
        <w:rPr>
          <w:rFonts w:ascii="Georgia" w:hAnsi="Georgia"/>
          <w:lang w:val="en-GB"/>
        </w:rPr>
        <w:t>influential</w:t>
      </w:r>
      <w:r w:rsidR="00B010E0" w:rsidRPr="0002056A">
        <w:rPr>
          <w:rFonts w:ascii="Georgia" w:hAnsi="Georgia"/>
          <w:lang w:val="en-GB"/>
        </w:rPr>
        <w:t xml:space="preserve"> fac</w:t>
      </w:r>
      <w:r w:rsidR="00D14AAD" w:rsidRPr="0002056A">
        <w:rPr>
          <w:rFonts w:ascii="Georgia" w:hAnsi="Georgia"/>
          <w:lang w:val="en-GB"/>
        </w:rPr>
        <w:t>t</w:t>
      </w:r>
      <w:r w:rsidR="00B010E0" w:rsidRPr="0002056A">
        <w:rPr>
          <w:rFonts w:ascii="Georgia" w:hAnsi="Georgia"/>
          <w:lang w:val="en-GB"/>
        </w:rPr>
        <w:t xml:space="preserve">ors </w:t>
      </w:r>
      <w:r w:rsidR="00D14AAD" w:rsidRPr="0002056A">
        <w:rPr>
          <w:rFonts w:ascii="Georgia" w:hAnsi="Georgia"/>
          <w:lang w:val="en-GB"/>
        </w:rPr>
        <w:t>might</w:t>
      </w:r>
      <w:r w:rsidR="00824BC3" w:rsidRPr="0002056A">
        <w:rPr>
          <w:rFonts w:ascii="Georgia" w:hAnsi="Georgia"/>
          <w:lang w:val="en-GB"/>
        </w:rPr>
        <w:t xml:space="preserve"> be the different </w:t>
      </w:r>
      <w:r w:rsidR="00DC4F45" w:rsidRPr="0002056A">
        <w:rPr>
          <w:rFonts w:ascii="Georgia" w:hAnsi="Georgia"/>
          <w:lang w:val="en-GB"/>
        </w:rPr>
        <w:t xml:space="preserve">approaches and attitudes of different </w:t>
      </w:r>
      <w:r w:rsidR="00027F25" w:rsidRPr="0002056A">
        <w:rPr>
          <w:rFonts w:ascii="Georgia" w:hAnsi="Georgia"/>
          <w:lang w:val="en-GB"/>
        </w:rPr>
        <w:t>planner schools</w:t>
      </w:r>
      <w:r w:rsidR="00DC4F45" w:rsidRPr="0002056A">
        <w:rPr>
          <w:rFonts w:ascii="Georgia" w:hAnsi="Georgia"/>
          <w:lang w:val="en-GB"/>
        </w:rPr>
        <w:t>, planning workshops, institutions responsible for these tasks in a given country</w:t>
      </w:r>
      <w:r w:rsidR="00262B1F">
        <w:rPr>
          <w:rFonts w:ascii="Georgia" w:hAnsi="Georgia"/>
          <w:lang w:val="en-GB"/>
        </w:rPr>
        <w:t>, together with spatial administration forms, level and type of institutionalisation</w:t>
      </w:r>
      <w:r w:rsidR="00824BC3" w:rsidRPr="0002056A">
        <w:rPr>
          <w:rFonts w:ascii="Georgia" w:hAnsi="Georgia"/>
          <w:lang w:val="en-GB"/>
        </w:rPr>
        <w:t xml:space="preserve"> of adaptation policy in a given </w:t>
      </w:r>
      <w:r w:rsidR="009E3FA1" w:rsidRPr="0002056A">
        <w:rPr>
          <w:rFonts w:ascii="Georgia" w:hAnsi="Georgia"/>
          <w:lang w:val="en-GB"/>
        </w:rPr>
        <w:t xml:space="preserve">state. </w:t>
      </w:r>
      <w:r w:rsidR="00262B1F">
        <w:rPr>
          <w:rFonts w:ascii="Georgia" w:hAnsi="Georgia"/>
          <w:lang w:val="en-GB"/>
        </w:rPr>
        <w:t>This is not good news, because it calls our attention to the eventuality of national spatial awareness, and the chances to improve this situation are</w:t>
      </w:r>
      <w:r w:rsidR="00372A4C" w:rsidRPr="0002056A">
        <w:rPr>
          <w:rFonts w:ascii="Georgia" w:hAnsi="Georgia"/>
          <w:lang w:val="en-GB"/>
        </w:rPr>
        <w:t xml:space="preserve"> in question</w:t>
      </w:r>
      <w:r w:rsidR="00752F08" w:rsidRPr="0002056A">
        <w:rPr>
          <w:rFonts w:ascii="Georgia" w:hAnsi="Georgia"/>
          <w:lang w:val="en-GB"/>
        </w:rPr>
        <w:t>,</w:t>
      </w:r>
      <w:r w:rsidR="00372A4C" w:rsidRPr="0002056A">
        <w:rPr>
          <w:rFonts w:ascii="Georgia" w:hAnsi="Georgia"/>
          <w:lang w:val="en-GB"/>
        </w:rPr>
        <w:t xml:space="preserve"> to say the least. On the other hand, if we consider the fact th</w:t>
      </w:r>
      <w:r w:rsidR="0029686C" w:rsidRPr="0002056A">
        <w:rPr>
          <w:rFonts w:ascii="Georgia" w:hAnsi="Georgia"/>
          <w:lang w:val="en-GB"/>
        </w:rPr>
        <w:t xml:space="preserve">at </w:t>
      </w:r>
      <w:r w:rsidR="0064691B" w:rsidRPr="0002056A">
        <w:rPr>
          <w:rFonts w:ascii="Georgia" w:hAnsi="Georgia"/>
          <w:lang w:val="en-GB"/>
        </w:rPr>
        <w:t>spatial sensitivity of adaptation planning and related activities is almost independent from any crucial factors, this makes the possibility to strengthen these geographical</w:t>
      </w:r>
      <w:r w:rsidR="0026363C" w:rsidRPr="0002056A">
        <w:rPr>
          <w:rFonts w:ascii="Georgia" w:hAnsi="Georgia"/>
          <w:lang w:val="en-GB"/>
        </w:rPr>
        <w:t xml:space="preserve"> and general</w:t>
      </w:r>
      <w:r w:rsidR="00311BBE" w:rsidRPr="0002056A">
        <w:rPr>
          <w:rFonts w:ascii="Georgia" w:hAnsi="Georgia"/>
          <w:lang w:val="en-GB"/>
        </w:rPr>
        <w:t xml:space="preserve"> </w:t>
      </w:r>
      <w:r w:rsidR="0064691B" w:rsidRPr="0002056A">
        <w:rPr>
          <w:rFonts w:ascii="Georgia" w:hAnsi="Georgia"/>
          <w:lang w:val="en-GB"/>
        </w:rPr>
        <w:t>spatial dimension</w:t>
      </w:r>
      <w:r w:rsidR="00D14AAD" w:rsidRPr="0002056A">
        <w:rPr>
          <w:rFonts w:ascii="Georgia" w:hAnsi="Georgia"/>
          <w:lang w:val="en-GB"/>
        </w:rPr>
        <w:t>s</w:t>
      </w:r>
      <w:r w:rsidR="0064691B" w:rsidRPr="0002056A">
        <w:rPr>
          <w:rFonts w:ascii="Georgia" w:hAnsi="Georgia"/>
          <w:lang w:val="en-GB"/>
        </w:rPr>
        <w:t xml:space="preserve"> </w:t>
      </w:r>
      <w:r w:rsidR="00D66FE5" w:rsidRPr="0002056A">
        <w:rPr>
          <w:rFonts w:ascii="Georgia" w:hAnsi="Georgia"/>
          <w:lang w:val="en-GB"/>
        </w:rPr>
        <w:t>anywhere</w:t>
      </w:r>
      <w:r w:rsidR="00D14AAD" w:rsidRPr="0002056A">
        <w:rPr>
          <w:rFonts w:ascii="Georgia" w:hAnsi="Georgia"/>
          <w:lang w:val="en-GB"/>
        </w:rPr>
        <w:t>,</w:t>
      </w:r>
      <w:r w:rsidR="00D66FE5" w:rsidRPr="0002056A">
        <w:rPr>
          <w:rFonts w:ascii="Georgia" w:hAnsi="Georgia"/>
          <w:lang w:val="en-GB"/>
        </w:rPr>
        <w:t xml:space="preserve"> in any country, </w:t>
      </w:r>
      <w:r w:rsidR="00262B1F">
        <w:rPr>
          <w:rFonts w:ascii="Georgia" w:hAnsi="Georgia"/>
          <w:lang w:val="en-GB"/>
        </w:rPr>
        <w:t xml:space="preserve">independent </w:t>
      </w:r>
      <w:r w:rsidR="00212905">
        <w:rPr>
          <w:rFonts w:ascii="Georgia" w:hAnsi="Georgia"/>
          <w:lang w:val="en-GB"/>
        </w:rPr>
        <w:t>from</w:t>
      </w:r>
      <w:r w:rsidR="00D14AAD" w:rsidRPr="0002056A">
        <w:rPr>
          <w:rFonts w:ascii="Georgia" w:hAnsi="Georgia"/>
          <w:lang w:val="en-GB"/>
        </w:rPr>
        <w:t xml:space="preserve"> national geographic/</w:t>
      </w:r>
      <w:r w:rsidR="00216AD0" w:rsidRPr="0002056A">
        <w:rPr>
          <w:rFonts w:ascii="Georgia" w:hAnsi="Georgia"/>
          <w:lang w:val="en-GB"/>
        </w:rPr>
        <w:t>economic</w:t>
      </w:r>
      <w:r w:rsidR="00D14AAD" w:rsidRPr="0002056A">
        <w:rPr>
          <w:rFonts w:ascii="Georgia" w:hAnsi="Georgia"/>
          <w:lang w:val="en-GB"/>
        </w:rPr>
        <w:t xml:space="preserve">/social endowments; </w:t>
      </w:r>
      <w:r w:rsidR="00D66FE5" w:rsidRPr="0002056A">
        <w:rPr>
          <w:rFonts w:ascii="Georgia" w:hAnsi="Georgia"/>
          <w:lang w:val="en-GB"/>
        </w:rPr>
        <w:t xml:space="preserve">if the political and professional willingness for such a </w:t>
      </w:r>
      <w:r w:rsidR="00D14AAD" w:rsidRPr="0002056A">
        <w:rPr>
          <w:rFonts w:ascii="Georgia" w:hAnsi="Georgia"/>
          <w:lang w:val="en-GB"/>
        </w:rPr>
        <w:t xml:space="preserve">development </w:t>
      </w:r>
      <w:r w:rsidR="00D66FE5" w:rsidRPr="0002056A">
        <w:rPr>
          <w:rFonts w:ascii="Georgia" w:hAnsi="Georgia"/>
          <w:lang w:val="en-GB"/>
        </w:rPr>
        <w:t>direction is available.</w:t>
      </w:r>
    </w:p>
    <w:p w14:paraId="2BEC0E47" w14:textId="14480A88" w:rsidR="00893027" w:rsidRPr="0002056A" w:rsidRDefault="00893027" w:rsidP="00FA2C76">
      <w:pPr>
        <w:pStyle w:val="Cmsor3"/>
        <w:numPr>
          <w:ilvl w:val="2"/>
          <w:numId w:val="30"/>
        </w:numPr>
        <w:rPr>
          <w:lang w:val="en-GB"/>
        </w:rPr>
      </w:pPr>
      <w:bookmarkStart w:id="64" w:name="_Toc225578881"/>
      <w:r w:rsidRPr="0002056A">
        <w:rPr>
          <w:lang w:val="en-GB"/>
        </w:rPr>
        <w:t>New scientific results</w:t>
      </w:r>
      <w:bookmarkEnd w:id="64"/>
    </w:p>
    <w:p w14:paraId="4C713A47" w14:textId="4555C0A2" w:rsidR="007F57C1" w:rsidRPr="0002056A" w:rsidRDefault="00D948FF" w:rsidP="00F00409">
      <w:pPr>
        <w:spacing w:before="120" w:after="120"/>
        <w:jc w:val="both"/>
        <w:rPr>
          <w:rFonts w:ascii="Georgia" w:hAnsi="Georgia"/>
          <w:lang w:val="en-GB"/>
        </w:rPr>
      </w:pPr>
      <w:r w:rsidRPr="0002056A">
        <w:rPr>
          <w:rFonts w:ascii="Georgia" w:hAnsi="Georgia"/>
          <w:lang w:val="en-GB"/>
        </w:rPr>
        <w:t xml:space="preserve">The previous subchapter already </w:t>
      </w:r>
      <w:r w:rsidR="00262B1F">
        <w:rPr>
          <w:rFonts w:ascii="Georgia" w:hAnsi="Georgia"/>
          <w:lang w:val="en-GB"/>
        </w:rPr>
        <w:t>summarises the main results of the research,</w:t>
      </w:r>
      <w:r w:rsidRPr="0002056A">
        <w:rPr>
          <w:rFonts w:ascii="Georgia" w:hAnsi="Georgia"/>
          <w:lang w:val="en-GB"/>
        </w:rPr>
        <w:t xml:space="preserve"> and </w:t>
      </w:r>
      <w:r w:rsidR="00DD7C18" w:rsidRPr="0002056A">
        <w:rPr>
          <w:rFonts w:ascii="Georgia" w:hAnsi="Georgia"/>
          <w:lang w:val="en-GB"/>
        </w:rPr>
        <w:t xml:space="preserve">most of these, </w:t>
      </w:r>
      <w:r w:rsidRPr="0002056A">
        <w:rPr>
          <w:rFonts w:ascii="Georgia" w:hAnsi="Georgia"/>
          <w:lang w:val="en-GB"/>
        </w:rPr>
        <w:t xml:space="preserve">due to the fact that the dissertation deals with a relatively new and </w:t>
      </w:r>
      <w:r w:rsidR="005C05B7" w:rsidRPr="0002056A">
        <w:rPr>
          <w:rFonts w:ascii="Georgia" w:hAnsi="Georgia"/>
          <w:lang w:val="en-GB"/>
        </w:rPr>
        <w:t>unexplored topic, can be considered as new scientific results.</w:t>
      </w:r>
    </w:p>
    <w:p w14:paraId="6F117E6F" w14:textId="004291C8" w:rsidR="00255281" w:rsidRPr="0002056A" w:rsidRDefault="004E2863" w:rsidP="00F00409">
      <w:pPr>
        <w:spacing w:before="120" w:after="120"/>
        <w:jc w:val="both"/>
        <w:rPr>
          <w:rFonts w:ascii="Georgia" w:hAnsi="Georgia"/>
          <w:lang w:val="en-GB"/>
        </w:rPr>
      </w:pPr>
      <w:r w:rsidRPr="0002056A">
        <w:rPr>
          <w:rFonts w:ascii="Georgia" w:hAnsi="Georgia"/>
          <w:lang w:val="en-GB"/>
        </w:rPr>
        <w:lastRenderedPageBreak/>
        <w:t xml:space="preserve">As the literature review has already </w:t>
      </w:r>
      <w:r w:rsidR="00BB72C6" w:rsidRPr="0002056A">
        <w:rPr>
          <w:rFonts w:ascii="Georgia" w:hAnsi="Georgia"/>
          <w:lang w:val="en-GB"/>
        </w:rPr>
        <w:t>conclude</w:t>
      </w:r>
      <w:r w:rsidRPr="0002056A">
        <w:rPr>
          <w:rFonts w:ascii="Georgia" w:hAnsi="Georgia"/>
          <w:lang w:val="en-GB"/>
        </w:rPr>
        <w:t xml:space="preserve">d, </w:t>
      </w:r>
      <w:r w:rsidR="001421C9" w:rsidRPr="0002056A">
        <w:rPr>
          <w:rFonts w:ascii="Georgia" w:hAnsi="Georgia"/>
          <w:lang w:val="en-GB"/>
        </w:rPr>
        <w:t xml:space="preserve">there </w:t>
      </w:r>
      <w:r w:rsidR="00262B1F">
        <w:rPr>
          <w:rFonts w:ascii="Georgia" w:hAnsi="Georgia"/>
          <w:lang w:val="en-GB"/>
        </w:rPr>
        <w:t>have</w:t>
      </w:r>
      <w:r w:rsidR="00262B1F" w:rsidRPr="0002056A">
        <w:rPr>
          <w:rFonts w:ascii="Georgia" w:hAnsi="Georgia"/>
          <w:lang w:val="en-GB"/>
        </w:rPr>
        <w:t xml:space="preserve"> </w:t>
      </w:r>
      <w:r w:rsidR="001421C9" w:rsidRPr="0002056A">
        <w:rPr>
          <w:rFonts w:ascii="Georgia" w:hAnsi="Georgia"/>
          <w:lang w:val="en-GB"/>
        </w:rPr>
        <w:t xml:space="preserve">been no </w:t>
      </w:r>
      <w:r w:rsidRPr="0002056A">
        <w:rPr>
          <w:rFonts w:ascii="Georgia" w:hAnsi="Georgia"/>
          <w:lang w:val="en-GB"/>
        </w:rPr>
        <w:t xml:space="preserve">or barely any </w:t>
      </w:r>
      <w:r w:rsidR="001421C9" w:rsidRPr="0002056A">
        <w:rPr>
          <w:rFonts w:ascii="Georgia" w:hAnsi="Georgia"/>
          <w:lang w:val="en-GB"/>
        </w:rPr>
        <w:t xml:space="preserve">examples so far for analysing </w:t>
      </w:r>
      <w:r w:rsidR="00BB72C6" w:rsidRPr="0002056A">
        <w:rPr>
          <w:rFonts w:ascii="Georgia" w:hAnsi="Georgia"/>
          <w:lang w:val="en-GB"/>
        </w:rPr>
        <w:t xml:space="preserve">sensitivity to </w:t>
      </w:r>
      <w:r w:rsidR="001421C9" w:rsidRPr="0002056A">
        <w:rPr>
          <w:rFonts w:ascii="Georgia" w:hAnsi="Georgia"/>
          <w:lang w:val="en-GB"/>
        </w:rPr>
        <w:t xml:space="preserve">spatial issues / emphases </w:t>
      </w:r>
      <w:r w:rsidR="00C37D25" w:rsidRPr="0002056A">
        <w:rPr>
          <w:rFonts w:ascii="Georgia" w:hAnsi="Georgia"/>
          <w:lang w:val="en-GB"/>
        </w:rPr>
        <w:t xml:space="preserve">explicitly </w:t>
      </w:r>
      <w:r w:rsidR="001421C9" w:rsidRPr="0002056A">
        <w:rPr>
          <w:rFonts w:ascii="Georgia" w:hAnsi="Georgia"/>
          <w:lang w:val="en-GB"/>
        </w:rPr>
        <w:t xml:space="preserve">in national climate adaptation policy </w:t>
      </w:r>
      <w:r w:rsidR="00BB72C6" w:rsidRPr="0002056A">
        <w:rPr>
          <w:rFonts w:ascii="Georgia" w:hAnsi="Georgia"/>
          <w:lang w:val="en-GB"/>
        </w:rPr>
        <w:t xml:space="preserve">planning </w:t>
      </w:r>
      <w:r w:rsidR="001421C9" w:rsidRPr="0002056A">
        <w:rPr>
          <w:rFonts w:ascii="Georgia" w:hAnsi="Georgia"/>
          <w:lang w:val="en-GB"/>
        </w:rPr>
        <w:t xml:space="preserve">activities of European countries. </w:t>
      </w:r>
      <w:r w:rsidR="00C37D25" w:rsidRPr="0002056A">
        <w:rPr>
          <w:rFonts w:ascii="Georgia" w:hAnsi="Georgia"/>
          <w:lang w:val="en-GB"/>
        </w:rPr>
        <w:t xml:space="preserve">Spatial/geographical dimensions’ application in climate policy planning instruments </w:t>
      </w:r>
      <w:r w:rsidR="00262B1F">
        <w:rPr>
          <w:rFonts w:ascii="Georgia" w:hAnsi="Georgia"/>
          <w:lang w:val="en-GB"/>
        </w:rPr>
        <w:t>on the continent has not been dealt with yet,</w:t>
      </w:r>
      <w:r w:rsidR="00C37D25" w:rsidRPr="0002056A">
        <w:rPr>
          <w:rFonts w:ascii="Georgia" w:hAnsi="Georgia"/>
          <w:lang w:val="en-GB"/>
        </w:rPr>
        <w:t xml:space="preserve"> neither from a scientific point of view, nor in a comprehensive way. </w:t>
      </w:r>
      <w:r w:rsidR="001421C9" w:rsidRPr="0002056A">
        <w:rPr>
          <w:rFonts w:ascii="Georgia" w:hAnsi="Georgia"/>
          <w:lang w:val="en-GB"/>
        </w:rPr>
        <w:t>The few known example</w:t>
      </w:r>
      <w:r w:rsidR="00CC4DBC" w:rsidRPr="0002056A">
        <w:rPr>
          <w:rFonts w:ascii="Georgia" w:hAnsi="Georgia"/>
          <w:lang w:val="en-GB"/>
        </w:rPr>
        <w:t>s</w:t>
      </w:r>
      <w:r w:rsidR="001421C9" w:rsidRPr="0002056A">
        <w:rPr>
          <w:rFonts w:ascii="Georgia" w:hAnsi="Georgia"/>
          <w:lang w:val="en-GB"/>
        </w:rPr>
        <w:t xml:space="preserve"> </w:t>
      </w:r>
      <w:r w:rsidR="00653CB8" w:rsidRPr="0002056A">
        <w:rPr>
          <w:rFonts w:ascii="Georgia" w:hAnsi="Georgia"/>
          <w:lang w:val="en-GB"/>
        </w:rPr>
        <w:t xml:space="preserve">of climate adaptation-oriented comparative analyses </w:t>
      </w:r>
      <w:r w:rsidR="001421C9" w:rsidRPr="0002056A">
        <w:rPr>
          <w:rFonts w:ascii="Georgia" w:hAnsi="Georgia"/>
          <w:lang w:val="en-GB"/>
        </w:rPr>
        <w:t>deal only with a limited number of European countries</w:t>
      </w:r>
      <w:r w:rsidR="00EE4228" w:rsidRPr="0002056A">
        <w:rPr>
          <w:rFonts w:ascii="Georgia" w:hAnsi="Georgia"/>
          <w:lang w:val="en-GB"/>
        </w:rPr>
        <w:t xml:space="preserve"> </w:t>
      </w:r>
      <w:r w:rsidR="00CC4DBC" w:rsidRPr="0002056A">
        <w:rPr>
          <w:rFonts w:ascii="Georgia" w:hAnsi="Georgia"/>
          <w:lang w:val="en-GB"/>
        </w:rPr>
        <w:t xml:space="preserve">or </w:t>
      </w:r>
      <w:r w:rsidR="00262B1F">
        <w:rPr>
          <w:rFonts w:ascii="Georgia" w:hAnsi="Georgia"/>
          <w:lang w:val="en-GB"/>
        </w:rPr>
        <w:t>examine</w:t>
      </w:r>
      <w:r w:rsidR="00262B1F" w:rsidRPr="0002056A">
        <w:rPr>
          <w:rFonts w:ascii="Georgia" w:hAnsi="Georgia"/>
          <w:lang w:val="en-GB"/>
        </w:rPr>
        <w:t xml:space="preserve"> </w:t>
      </w:r>
      <w:r w:rsidR="00B54447" w:rsidRPr="0002056A">
        <w:rPr>
          <w:rFonts w:ascii="Georgia" w:hAnsi="Georgia"/>
          <w:lang w:val="en-GB"/>
        </w:rPr>
        <w:t>s</w:t>
      </w:r>
      <w:r w:rsidR="00CC4DBC" w:rsidRPr="0002056A">
        <w:rPr>
          <w:rFonts w:ascii="Georgia" w:hAnsi="Georgia"/>
          <w:lang w:val="en-GB"/>
        </w:rPr>
        <w:t>o</w:t>
      </w:r>
      <w:r w:rsidR="00B54447" w:rsidRPr="0002056A">
        <w:rPr>
          <w:rFonts w:ascii="Georgia" w:hAnsi="Georgia"/>
          <w:lang w:val="en-GB"/>
        </w:rPr>
        <w:t>me</w:t>
      </w:r>
      <w:r w:rsidR="00CC4DBC" w:rsidRPr="0002056A">
        <w:rPr>
          <w:rFonts w:ascii="Georgia" w:hAnsi="Georgia"/>
          <w:lang w:val="en-GB"/>
        </w:rPr>
        <w:t xml:space="preserve"> </w:t>
      </w:r>
      <w:r w:rsidR="001421C9" w:rsidRPr="0002056A">
        <w:rPr>
          <w:rFonts w:ascii="Georgia" w:hAnsi="Georgia"/>
          <w:lang w:val="en-GB"/>
        </w:rPr>
        <w:t>aspects</w:t>
      </w:r>
      <w:r w:rsidR="00C37D25" w:rsidRPr="0002056A">
        <w:rPr>
          <w:rFonts w:ascii="Georgia" w:hAnsi="Georgia"/>
          <w:lang w:val="en-GB"/>
        </w:rPr>
        <w:t>.</w:t>
      </w:r>
      <w:r w:rsidR="00CC4DBC" w:rsidRPr="0002056A">
        <w:rPr>
          <w:rFonts w:ascii="Georgia" w:hAnsi="Georgia"/>
          <w:lang w:val="en-GB"/>
        </w:rPr>
        <w:t xml:space="preserve"> </w:t>
      </w:r>
      <w:r w:rsidR="00087C09" w:rsidRPr="0002056A">
        <w:rPr>
          <w:rFonts w:ascii="Georgia" w:hAnsi="Georgia"/>
          <w:lang w:val="en-GB"/>
        </w:rPr>
        <w:t>This dissertation</w:t>
      </w:r>
      <w:r w:rsidR="00262B1F">
        <w:rPr>
          <w:rFonts w:ascii="Georgia" w:hAnsi="Georgia"/>
          <w:lang w:val="en-GB"/>
        </w:rPr>
        <w:t>, with all its limits, is the first attempt to examine almost all European countries</w:t>
      </w:r>
      <w:r w:rsidR="002F6C76" w:rsidRPr="0002056A">
        <w:rPr>
          <w:rFonts w:ascii="Georgia" w:hAnsi="Georgia"/>
          <w:b/>
          <w:bCs/>
          <w:lang w:val="en-GB"/>
        </w:rPr>
        <w:t xml:space="preserve"> in a single analysis</w:t>
      </w:r>
      <w:r w:rsidR="002F6C76" w:rsidRPr="0002056A">
        <w:rPr>
          <w:rFonts w:ascii="Georgia" w:hAnsi="Georgia"/>
          <w:lang w:val="en-GB"/>
        </w:rPr>
        <w:t xml:space="preserve"> based on a</w:t>
      </w:r>
      <w:r w:rsidR="002F1D30" w:rsidRPr="0002056A">
        <w:rPr>
          <w:rFonts w:ascii="Georgia" w:hAnsi="Georgia"/>
          <w:lang w:val="en-GB"/>
        </w:rPr>
        <w:t>n extended,</w:t>
      </w:r>
      <w:r w:rsidR="002F6C76" w:rsidRPr="0002056A">
        <w:rPr>
          <w:rFonts w:ascii="Georgia" w:hAnsi="Georgia"/>
          <w:lang w:val="en-GB"/>
        </w:rPr>
        <w:t xml:space="preserve"> </w:t>
      </w:r>
      <w:r w:rsidR="002F6C76" w:rsidRPr="0002056A">
        <w:rPr>
          <w:rFonts w:ascii="Georgia" w:hAnsi="Georgia"/>
          <w:b/>
          <w:bCs/>
          <w:lang w:val="en-GB"/>
        </w:rPr>
        <w:t>comparative, prefabricated analytical aspect system</w:t>
      </w:r>
      <w:r w:rsidR="002F1D30" w:rsidRPr="0002056A">
        <w:rPr>
          <w:rFonts w:ascii="Georgia" w:hAnsi="Georgia"/>
          <w:lang w:val="en-GB"/>
        </w:rPr>
        <w:t>.</w:t>
      </w:r>
    </w:p>
    <w:p w14:paraId="6D3974A6" w14:textId="5522FCB3" w:rsidR="003E65FA" w:rsidRPr="0002056A" w:rsidRDefault="006308BE" w:rsidP="00F00409">
      <w:pPr>
        <w:spacing w:before="120" w:after="120"/>
        <w:jc w:val="both"/>
        <w:rPr>
          <w:rFonts w:ascii="Georgia" w:hAnsi="Georgia"/>
          <w:lang w:val="en-GB"/>
        </w:rPr>
      </w:pPr>
      <w:r w:rsidRPr="0002056A">
        <w:rPr>
          <w:rFonts w:ascii="Georgia" w:hAnsi="Georgia"/>
          <w:lang w:val="en-GB"/>
        </w:rPr>
        <w:t xml:space="preserve">The innovativeness of the research and </w:t>
      </w:r>
      <w:r w:rsidR="0028767B" w:rsidRPr="0002056A">
        <w:rPr>
          <w:rFonts w:ascii="Georgia" w:hAnsi="Georgia"/>
          <w:lang w:val="en-GB"/>
        </w:rPr>
        <w:t>its</w:t>
      </w:r>
      <w:r w:rsidRPr="0002056A">
        <w:rPr>
          <w:rFonts w:ascii="Georgia" w:hAnsi="Georgia"/>
          <w:lang w:val="en-GB"/>
        </w:rPr>
        <w:t xml:space="preserve"> outcomes is basically two-sided: on the one hand it tries </w:t>
      </w:r>
      <w:r w:rsidRPr="0002056A">
        <w:rPr>
          <w:rFonts w:ascii="Georgia" w:hAnsi="Georgia"/>
          <w:b/>
          <w:bCs/>
          <w:lang w:val="en-GB"/>
        </w:rPr>
        <w:t>to conceptualise spatiality</w:t>
      </w:r>
      <w:r w:rsidR="00075158" w:rsidRPr="0002056A">
        <w:rPr>
          <w:rFonts w:ascii="Georgia" w:hAnsi="Georgia"/>
          <w:lang w:val="en-GB"/>
        </w:rPr>
        <w:t xml:space="preserve"> (as spatial emphases and the consideration of geographical dimensions in climate adaptation planning and MRE activities) the </w:t>
      </w:r>
      <w:r w:rsidR="00075158" w:rsidRPr="0002056A">
        <w:rPr>
          <w:rFonts w:ascii="Georgia" w:hAnsi="Georgia"/>
          <w:b/>
          <w:bCs/>
          <w:lang w:val="en-GB"/>
        </w:rPr>
        <w:t>first time</w:t>
      </w:r>
      <w:r w:rsidR="00A417CA" w:rsidRPr="0002056A">
        <w:rPr>
          <w:rFonts w:ascii="Georgia" w:hAnsi="Georgia"/>
          <w:lang w:val="en-GB"/>
        </w:rPr>
        <w:t xml:space="preserve">. </w:t>
      </w:r>
      <w:r w:rsidR="009D18A5" w:rsidRPr="0002056A">
        <w:rPr>
          <w:rFonts w:ascii="Georgia" w:hAnsi="Georgia"/>
          <w:lang w:val="en-GB"/>
        </w:rPr>
        <w:t>It</w:t>
      </w:r>
      <w:r w:rsidR="00A417CA" w:rsidRPr="0002056A">
        <w:rPr>
          <w:rFonts w:ascii="Georgia" w:hAnsi="Georgia"/>
          <w:lang w:val="en-GB"/>
        </w:rPr>
        <w:t xml:space="preserve"> </w:t>
      </w:r>
      <w:r w:rsidR="009D18A5" w:rsidRPr="0002056A">
        <w:rPr>
          <w:rFonts w:ascii="Georgia" w:hAnsi="Georgia"/>
          <w:lang w:val="en-GB"/>
        </w:rPr>
        <w:t xml:space="preserve">collected </w:t>
      </w:r>
      <w:r w:rsidR="00F742CA" w:rsidRPr="0002056A">
        <w:rPr>
          <w:rFonts w:ascii="Georgia" w:hAnsi="Georgia"/>
          <w:lang w:val="en-GB"/>
        </w:rPr>
        <w:t xml:space="preserve">space concepts and interpretations from </w:t>
      </w:r>
      <w:r w:rsidR="00A417CA" w:rsidRPr="0002056A">
        <w:rPr>
          <w:rFonts w:ascii="Georgia" w:hAnsi="Georgia"/>
          <w:lang w:val="en-GB"/>
        </w:rPr>
        <w:t xml:space="preserve">several space-oriented </w:t>
      </w:r>
      <w:r w:rsidR="00F742CA" w:rsidRPr="0002056A">
        <w:rPr>
          <w:rFonts w:ascii="Georgia" w:hAnsi="Georgia"/>
          <w:lang w:val="en-GB"/>
        </w:rPr>
        <w:t>disciplines</w:t>
      </w:r>
      <w:r w:rsidR="00A417CA" w:rsidRPr="0002056A">
        <w:rPr>
          <w:rFonts w:ascii="Georgia" w:hAnsi="Georgia"/>
          <w:lang w:val="en-GB"/>
        </w:rPr>
        <w:t xml:space="preserve"> and practical fields</w:t>
      </w:r>
      <w:r w:rsidR="00262B1F">
        <w:rPr>
          <w:rFonts w:ascii="Georgia" w:hAnsi="Georgia"/>
          <w:lang w:val="en-GB"/>
        </w:rPr>
        <w:t>, and distilled them into a unique, new concept: the</w:t>
      </w:r>
      <w:r w:rsidR="00A417CA" w:rsidRPr="0002056A">
        <w:rPr>
          <w:rFonts w:ascii="Georgia" w:hAnsi="Georgia"/>
          <w:lang w:val="en-GB"/>
        </w:rPr>
        <w:t xml:space="preserve"> spatial sensitivity of adaptation planning instruments</w:t>
      </w:r>
      <w:r w:rsidR="00BF42D7" w:rsidRPr="0002056A">
        <w:rPr>
          <w:rFonts w:ascii="Georgia" w:hAnsi="Georgia"/>
          <w:lang w:val="en-GB"/>
        </w:rPr>
        <w:t xml:space="preserve">. This new concept </w:t>
      </w:r>
      <w:r w:rsidR="003E65FA" w:rsidRPr="0002056A">
        <w:rPr>
          <w:rFonts w:ascii="Georgia" w:hAnsi="Georgia"/>
          <w:lang w:val="en-GB"/>
        </w:rPr>
        <w:t>is</w:t>
      </w:r>
      <w:r w:rsidR="00262B1F">
        <w:rPr>
          <w:rFonts w:ascii="Georgia" w:hAnsi="Georgia"/>
          <w:lang w:val="en-GB"/>
        </w:rPr>
        <w:t>, to some extent,</w:t>
      </w:r>
      <w:r w:rsidR="001C1C54" w:rsidRPr="0002056A">
        <w:rPr>
          <w:rFonts w:ascii="Georgia" w:hAnsi="Georgia"/>
          <w:lang w:val="en-GB"/>
        </w:rPr>
        <w:t xml:space="preserve"> </w:t>
      </w:r>
      <w:r w:rsidR="003E65FA" w:rsidRPr="0002056A">
        <w:rPr>
          <w:rFonts w:ascii="Georgia" w:hAnsi="Georgia"/>
          <w:lang w:val="en-GB"/>
        </w:rPr>
        <w:t xml:space="preserve">able </w:t>
      </w:r>
      <w:r w:rsidR="003E65FA" w:rsidRPr="0002056A">
        <w:rPr>
          <w:rFonts w:ascii="Georgia" w:hAnsi="Georgia"/>
          <w:b/>
          <w:bCs/>
          <w:lang w:val="en-GB"/>
        </w:rPr>
        <w:t>to describe the extent o</w:t>
      </w:r>
      <w:r w:rsidR="00BF42D7" w:rsidRPr="0002056A">
        <w:rPr>
          <w:rFonts w:ascii="Georgia" w:hAnsi="Georgia"/>
          <w:b/>
          <w:bCs/>
          <w:lang w:val="en-GB"/>
        </w:rPr>
        <w:t>f</w:t>
      </w:r>
      <w:r w:rsidR="003E65FA" w:rsidRPr="0002056A">
        <w:rPr>
          <w:rFonts w:ascii="Georgia" w:hAnsi="Georgia"/>
          <w:b/>
          <w:bCs/>
          <w:lang w:val="en-GB"/>
        </w:rPr>
        <w:t xml:space="preserve"> spatial c</w:t>
      </w:r>
      <w:r w:rsidR="00BF42D7" w:rsidRPr="0002056A">
        <w:rPr>
          <w:rFonts w:ascii="Georgia" w:hAnsi="Georgia"/>
          <w:b/>
          <w:bCs/>
          <w:lang w:val="en-GB"/>
        </w:rPr>
        <w:t>o</w:t>
      </w:r>
      <w:r w:rsidR="003E65FA" w:rsidRPr="0002056A">
        <w:rPr>
          <w:rFonts w:ascii="Georgia" w:hAnsi="Georgia"/>
          <w:b/>
          <w:bCs/>
          <w:lang w:val="en-GB"/>
        </w:rPr>
        <w:t xml:space="preserve">nsiderations </w:t>
      </w:r>
      <w:r w:rsidR="00BF42D7" w:rsidRPr="0002056A">
        <w:rPr>
          <w:rFonts w:ascii="Georgia" w:hAnsi="Georgia"/>
          <w:b/>
          <w:bCs/>
          <w:lang w:val="en-GB"/>
        </w:rPr>
        <w:t xml:space="preserve">in </w:t>
      </w:r>
      <w:r w:rsidR="00F742CA" w:rsidRPr="0002056A">
        <w:rPr>
          <w:rFonts w:ascii="Georgia" w:hAnsi="Georgia"/>
          <w:b/>
          <w:bCs/>
          <w:lang w:val="en-GB"/>
        </w:rPr>
        <w:t xml:space="preserve">national adaptation </w:t>
      </w:r>
      <w:r w:rsidR="001C1C54" w:rsidRPr="0002056A">
        <w:rPr>
          <w:rFonts w:ascii="Georgia" w:hAnsi="Georgia"/>
          <w:b/>
          <w:bCs/>
          <w:lang w:val="en-GB"/>
        </w:rPr>
        <w:t>planning and MRE</w:t>
      </w:r>
      <w:r w:rsidR="00C738A1" w:rsidRPr="0002056A">
        <w:rPr>
          <w:rFonts w:ascii="Georgia" w:hAnsi="Georgia"/>
          <w:b/>
          <w:bCs/>
          <w:lang w:val="en-GB"/>
        </w:rPr>
        <w:t xml:space="preserve"> activities</w:t>
      </w:r>
      <w:r w:rsidR="003E65FA" w:rsidRPr="0002056A">
        <w:rPr>
          <w:rFonts w:ascii="Georgia" w:hAnsi="Georgia"/>
          <w:lang w:val="en-GB"/>
        </w:rPr>
        <w:t xml:space="preserve">. </w:t>
      </w:r>
    </w:p>
    <w:p w14:paraId="38F255BE" w14:textId="09BFDACA" w:rsidR="006308BE" w:rsidRPr="0002056A" w:rsidRDefault="003E65FA" w:rsidP="00F00409">
      <w:pPr>
        <w:spacing w:before="120" w:after="120"/>
        <w:jc w:val="both"/>
        <w:rPr>
          <w:rFonts w:ascii="Georgia" w:hAnsi="Georgia"/>
          <w:lang w:val="en-GB"/>
        </w:rPr>
      </w:pPr>
      <w:r w:rsidRPr="0002056A">
        <w:rPr>
          <w:rFonts w:ascii="Georgia" w:hAnsi="Georgia"/>
          <w:lang w:val="en-GB"/>
        </w:rPr>
        <w:t xml:space="preserve">On the other hand, </w:t>
      </w:r>
      <w:r w:rsidR="00934AAE" w:rsidRPr="0002056A">
        <w:rPr>
          <w:rFonts w:ascii="Georgia" w:hAnsi="Georgia"/>
          <w:lang w:val="en-GB"/>
        </w:rPr>
        <w:t xml:space="preserve">the research also tries </w:t>
      </w:r>
      <w:r w:rsidR="00C738A1" w:rsidRPr="0002056A">
        <w:rPr>
          <w:rFonts w:ascii="Georgia" w:hAnsi="Georgia"/>
          <w:lang w:val="en-GB"/>
        </w:rPr>
        <w:t>not only to describe but</w:t>
      </w:r>
      <w:r w:rsidR="00C738A1" w:rsidRPr="0002056A">
        <w:rPr>
          <w:rFonts w:ascii="Georgia" w:hAnsi="Georgia"/>
          <w:b/>
          <w:bCs/>
          <w:lang w:val="en-GB"/>
        </w:rPr>
        <w:t xml:space="preserve"> also to</w:t>
      </w:r>
      <w:r w:rsidR="00934AAE" w:rsidRPr="0002056A">
        <w:rPr>
          <w:rFonts w:ascii="Georgia" w:hAnsi="Georgia"/>
          <w:b/>
          <w:bCs/>
          <w:lang w:val="en-GB"/>
        </w:rPr>
        <w:t xml:space="preserve"> measure this spatial sensitivity</w:t>
      </w:r>
      <w:r w:rsidR="00934AAE" w:rsidRPr="0002056A">
        <w:rPr>
          <w:rFonts w:ascii="Georgia" w:hAnsi="Georgia"/>
          <w:lang w:val="en-GB"/>
        </w:rPr>
        <w:t xml:space="preserve"> of polic</w:t>
      </w:r>
      <w:r w:rsidR="00606821" w:rsidRPr="0002056A">
        <w:rPr>
          <w:rFonts w:ascii="Georgia" w:hAnsi="Georgia"/>
          <w:lang w:val="en-GB"/>
        </w:rPr>
        <w:t>y planning activities</w:t>
      </w:r>
      <w:r w:rsidR="00934AAE" w:rsidRPr="0002056A">
        <w:rPr>
          <w:rFonts w:ascii="Georgia" w:hAnsi="Georgia"/>
          <w:lang w:val="en-GB"/>
        </w:rPr>
        <w:t xml:space="preserve"> </w:t>
      </w:r>
      <w:r w:rsidR="003A15A1" w:rsidRPr="0002056A">
        <w:rPr>
          <w:rFonts w:ascii="Georgia" w:hAnsi="Georgia"/>
          <w:lang w:val="en-GB"/>
        </w:rPr>
        <w:t xml:space="preserve">through the </w:t>
      </w:r>
      <w:r w:rsidR="00934AAE" w:rsidRPr="0002056A">
        <w:rPr>
          <w:rFonts w:ascii="Georgia" w:hAnsi="Georgia"/>
          <w:lang w:val="en-GB"/>
        </w:rPr>
        <w:t>elaborat</w:t>
      </w:r>
      <w:r w:rsidR="003A15A1" w:rsidRPr="0002056A">
        <w:rPr>
          <w:rFonts w:ascii="Georgia" w:hAnsi="Georgia"/>
          <w:lang w:val="en-GB"/>
        </w:rPr>
        <w:t>ion of</w:t>
      </w:r>
      <w:r w:rsidR="00934AAE" w:rsidRPr="0002056A">
        <w:rPr>
          <w:rFonts w:ascii="Georgia" w:hAnsi="Georgia"/>
          <w:b/>
          <w:bCs/>
          <w:lang w:val="en-GB"/>
        </w:rPr>
        <w:t xml:space="preserve"> a unique, comprehensive set of analytical aspects</w:t>
      </w:r>
      <w:r w:rsidR="004C14EB" w:rsidRPr="0002056A">
        <w:rPr>
          <w:rFonts w:ascii="Georgia" w:hAnsi="Georgia"/>
          <w:lang w:val="en-GB"/>
        </w:rPr>
        <w:t xml:space="preserve"> (with </w:t>
      </w:r>
      <w:r w:rsidR="00C738A1" w:rsidRPr="0002056A">
        <w:rPr>
          <w:rFonts w:ascii="Georgia" w:hAnsi="Georgia"/>
          <w:lang w:val="en-GB"/>
        </w:rPr>
        <w:t>7</w:t>
      </w:r>
      <w:r w:rsidR="004C14EB" w:rsidRPr="0002056A">
        <w:rPr>
          <w:rFonts w:ascii="Georgia" w:hAnsi="Georgia"/>
          <w:lang w:val="en-GB"/>
        </w:rPr>
        <w:t xml:space="preserve"> main and </w:t>
      </w:r>
      <w:r w:rsidR="00C738A1" w:rsidRPr="0002056A">
        <w:rPr>
          <w:rFonts w:ascii="Georgia" w:hAnsi="Georgia"/>
          <w:lang w:val="en-GB"/>
        </w:rPr>
        <w:t>34</w:t>
      </w:r>
      <w:r w:rsidR="004C14EB" w:rsidRPr="0002056A">
        <w:rPr>
          <w:rFonts w:ascii="Georgia" w:hAnsi="Georgia"/>
          <w:lang w:val="en-GB"/>
        </w:rPr>
        <w:t xml:space="preserve"> sub-factors) being capable of </w:t>
      </w:r>
      <w:r w:rsidR="00262B1F">
        <w:rPr>
          <w:rFonts w:ascii="Georgia" w:hAnsi="Georgia"/>
          <w:b/>
          <w:bCs/>
          <w:lang w:val="en-GB"/>
        </w:rPr>
        <w:t>quantifying</w:t>
      </w:r>
      <w:r w:rsidR="00262B1F" w:rsidRPr="0002056A">
        <w:rPr>
          <w:rFonts w:ascii="Georgia" w:hAnsi="Georgia"/>
          <w:b/>
          <w:bCs/>
          <w:lang w:val="en-GB"/>
        </w:rPr>
        <w:t xml:space="preserve"> </w:t>
      </w:r>
      <w:r w:rsidR="004C14EB" w:rsidRPr="0002056A">
        <w:rPr>
          <w:rFonts w:ascii="Georgia" w:hAnsi="Georgia"/>
          <w:lang w:val="en-GB"/>
        </w:rPr>
        <w:t>the mentioned sensitivity</w:t>
      </w:r>
      <w:r w:rsidR="004C14EB" w:rsidRPr="0002056A">
        <w:rPr>
          <w:rFonts w:ascii="Georgia" w:hAnsi="Georgia"/>
          <w:b/>
          <w:bCs/>
          <w:lang w:val="en-GB"/>
        </w:rPr>
        <w:t xml:space="preserve"> in the form of a </w:t>
      </w:r>
      <w:r w:rsidR="00216AD0" w:rsidRPr="0002056A">
        <w:rPr>
          <w:rFonts w:ascii="Georgia" w:hAnsi="Georgia"/>
          <w:b/>
          <w:bCs/>
          <w:lang w:val="en-GB"/>
        </w:rPr>
        <w:t>composite</w:t>
      </w:r>
      <w:r w:rsidR="004C14EB" w:rsidRPr="0002056A">
        <w:rPr>
          <w:rFonts w:ascii="Georgia" w:hAnsi="Georgia"/>
          <w:b/>
          <w:bCs/>
          <w:lang w:val="en-GB"/>
        </w:rPr>
        <w:t xml:space="preserve"> ind</w:t>
      </w:r>
      <w:r w:rsidR="009312C5" w:rsidRPr="0002056A">
        <w:rPr>
          <w:rFonts w:ascii="Georgia" w:hAnsi="Georgia"/>
          <w:b/>
          <w:bCs/>
          <w:lang w:val="en-GB"/>
        </w:rPr>
        <w:t>icator</w:t>
      </w:r>
      <w:r w:rsidR="004C14EB" w:rsidRPr="0002056A">
        <w:rPr>
          <w:rFonts w:ascii="Georgia" w:hAnsi="Georgia"/>
          <w:lang w:val="en-GB"/>
        </w:rPr>
        <w:t>.</w:t>
      </w:r>
      <w:r w:rsidRPr="0002056A">
        <w:rPr>
          <w:rFonts w:ascii="Georgia" w:hAnsi="Georgia"/>
          <w:lang w:val="en-GB"/>
        </w:rPr>
        <w:t xml:space="preserve"> </w:t>
      </w:r>
      <w:r w:rsidR="007136D7" w:rsidRPr="0002056A">
        <w:rPr>
          <w:rFonts w:ascii="Georgia" w:hAnsi="Georgia"/>
          <w:lang w:val="en-GB"/>
        </w:rPr>
        <w:t>With these examinations</w:t>
      </w:r>
      <w:r w:rsidR="00262B1F">
        <w:rPr>
          <w:rFonts w:ascii="Georgia" w:hAnsi="Georgia"/>
          <w:lang w:val="en-GB"/>
        </w:rPr>
        <w:t>,</w:t>
      </w:r>
      <w:r w:rsidR="007136D7" w:rsidRPr="0002056A">
        <w:rPr>
          <w:rFonts w:ascii="Georgia" w:hAnsi="Georgia"/>
          <w:lang w:val="en-GB"/>
        </w:rPr>
        <w:t xml:space="preserve"> it became </w:t>
      </w:r>
      <w:r w:rsidR="00071763" w:rsidRPr="0002056A">
        <w:rPr>
          <w:rFonts w:ascii="Georgia" w:hAnsi="Georgia"/>
          <w:lang w:val="en-GB"/>
        </w:rPr>
        <w:t xml:space="preserve">one of the </w:t>
      </w:r>
      <w:r w:rsidR="007136D7" w:rsidRPr="0002056A">
        <w:rPr>
          <w:rFonts w:ascii="Georgia" w:hAnsi="Georgia"/>
          <w:lang w:val="en-GB"/>
        </w:rPr>
        <w:t>first attempt</w:t>
      </w:r>
      <w:r w:rsidR="009312C5" w:rsidRPr="0002056A">
        <w:rPr>
          <w:rFonts w:ascii="Georgia" w:hAnsi="Georgia"/>
          <w:lang w:val="en-GB"/>
        </w:rPr>
        <w:t>s</w:t>
      </w:r>
      <w:r w:rsidR="007136D7" w:rsidRPr="0002056A">
        <w:rPr>
          <w:rFonts w:ascii="Georgia" w:hAnsi="Georgia"/>
          <w:lang w:val="en-GB"/>
        </w:rPr>
        <w:t xml:space="preserve"> to compare</w:t>
      </w:r>
      <w:r w:rsidR="00CD42AD" w:rsidRPr="0002056A">
        <w:rPr>
          <w:rFonts w:ascii="Georgia" w:hAnsi="Georgia"/>
          <w:lang w:val="en-GB"/>
        </w:rPr>
        <w:t xml:space="preserve"> “spatial performances”</w:t>
      </w:r>
      <w:r w:rsidR="007136D7" w:rsidRPr="0002056A">
        <w:rPr>
          <w:rFonts w:ascii="Georgia" w:hAnsi="Georgia"/>
          <w:lang w:val="en-GB"/>
        </w:rPr>
        <w:t xml:space="preserve"> </w:t>
      </w:r>
      <w:r w:rsidR="00CD42AD" w:rsidRPr="0002056A">
        <w:rPr>
          <w:rFonts w:ascii="Georgia" w:hAnsi="Georgia"/>
          <w:lang w:val="en-GB"/>
        </w:rPr>
        <w:t xml:space="preserve">of </w:t>
      </w:r>
      <w:r w:rsidR="007136D7" w:rsidRPr="0002056A">
        <w:rPr>
          <w:rFonts w:ascii="Georgia" w:hAnsi="Georgia"/>
          <w:lang w:val="en-GB"/>
        </w:rPr>
        <w:t xml:space="preserve">European countries’ national level adaptation policy planning and </w:t>
      </w:r>
      <w:r w:rsidR="008D08F7" w:rsidRPr="0002056A">
        <w:rPr>
          <w:rFonts w:ascii="Georgia" w:hAnsi="Georgia"/>
          <w:lang w:val="en-GB"/>
        </w:rPr>
        <w:t xml:space="preserve">even attribute a value to the countries in this respect </w:t>
      </w:r>
      <w:r w:rsidR="008D08F7" w:rsidRPr="0002056A">
        <w:rPr>
          <w:rFonts w:ascii="Georgia" w:hAnsi="Georgia"/>
          <w:b/>
          <w:bCs/>
          <w:lang w:val="en-GB"/>
        </w:rPr>
        <w:t>to rank them</w:t>
      </w:r>
      <w:r w:rsidR="008D08F7" w:rsidRPr="0002056A">
        <w:rPr>
          <w:rFonts w:ascii="Georgia" w:hAnsi="Georgia"/>
          <w:lang w:val="en-GB"/>
        </w:rPr>
        <w:t>.</w:t>
      </w:r>
    </w:p>
    <w:p w14:paraId="2FBE9F37" w14:textId="5919793A" w:rsidR="005C2324" w:rsidRPr="0002056A" w:rsidRDefault="00AC2648" w:rsidP="00F00409">
      <w:pPr>
        <w:spacing w:before="120" w:after="120"/>
        <w:jc w:val="both"/>
        <w:rPr>
          <w:rFonts w:ascii="Georgia" w:hAnsi="Georgia"/>
          <w:lang w:val="en-GB"/>
        </w:rPr>
      </w:pPr>
      <w:r w:rsidRPr="0002056A">
        <w:rPr>
          <w:rFonts w:ascii="Georgia" w:hAnsi="Georgia"/>
          <w:lang w:val="en-GB"/>
        </w:rPr>
        <w:t xml:space="preserve">Furthermore, </w:t>
      </w:r>
      <w:r w:rsidR="00C562A6" w:rsidRPr="0002056A">
        <w:rPr>
          <w:rFonts w:ascii="Georgia" w:hAnsi="Georgia"/>
          <w:lang w:val="en-GB"/>
        </w:rPr>
        <w:t>the research</w:t>
      </w:r>
      <w:r w:rsidRPr="0002056A">
        <w:rPr>
          <w:rFonts w:ascii="Georgia" w:hAnsi="Georgia"/>
          <w:lang w:val="en-GB"/>
        </w:rPr>
        <w:t xml:space="preserve"> even </w:t>
      </w:r>
      <w:r w:rsidR="00262B1F">
        <w:rPr>
          <w:rFonts w:ascii="Georgia" w:hAnsi="Georgia"/>
          <w:lang w:val="en-GB"/>
        </w:rPr>
        <w:t xml:space="preserve">sought to </w:t>
      </w:r>
      <w:r w:rsidR="00262B1F" w:rsidRPr="00EF0459">
        <w:rPr>
          <w:rFonts w:ascii="Georgia" w:hAnsi="Georgia"/>
          <w:b/>
          <w:bCs/>
          <w:lang w:val="en-GB"/>
        </w:rPr>
        <w:t>identify the main influential factors in the spatial performance of national adaptation planning tools</w:t>
      </w:r>
      <w:r w:rsidR="00262B1F">
        <w:rPr>
          <w:rFonts w:ascii="Georgia" w:hAnsi="Georgia"/>
          <w:lang w:val="en-GB"/>
        </w:rPr>
        <w:t xml:space="preserve">, by </w:t>
      </w:r>
      <w:r w:rsidR="00262B1F" w:rsidRPr="00EF0459">
        <w:rPr>
          <w:rFonts w:ascii="Georgia" w:hAnsi="Georgia"/>
          <w:b/>
          <w:bCs/>
          <w:lang w:val="en-GB"/>
        </w:rPr>
        <w:t>comparing</w:t>
      </w:r>
      <w:r w:rsidR="00262B1F">
        <w:rPr>
          <w:rFonts w:ascii="Georgia" w:hAnsi="Georgia"/>
          <w:lang w:val="en-GB"/>
        </w:rPr>
        <w:t xml:space="preserve"> the elaborated national </w:t>
      </w:r>
      <w:r w:rsidR="00262B1F" w:rsidRPr="00EF0459">
        <w:rPr>
          <w:rFonts w:ascii="Georgia" w:hAnsi="Georgia"/>
          <w:b/>
          <w:bCs/>
          <w:lang w:val="en-GB"/>
        </w:rPr>
        <w:t xml:space="preserve">spatial sensitivity composite indicators with other </w:t>
      </w:r>
      <w:r w:rsidR="00262B1F">
        <w:rPr>
          <w:rFonts w:ascii="Georgia" w:hAnsi="Georgia"/>
          <w:lang w:val="en-GB"/>
        </w:rPr>
        <w:t xml:space="preserve">social/economic/geographic/spatial administration-related </w:t>
      </w:r>
      <w:r w:rsidR="00262B1F" w:rsidRPr="00EF0459">
        <w:rPr>
          <w:rFonts w:ascii="Georgia" w:hAnsi="Georgia"/>
          <w:b/>
          <w:bCs/>
          <w:lang w:val="en-GB"/>
        </w:rPr>
        <w:t>indices</w:t>
      </w:r>
      <w:r w:rsidR="00262B1F">
        <w:rPr>
          <w:rFonts w:ascii="Georgia" w:hAnsi="Georgia"/>
          <w:lang w:val="en-GB"/>
        </w:rPr>
        <w:t xml:space="preserve"> through</w:t>
      </w:r>
      <w:r w:rsidR="00C562A6" w:rsidRPr="0002056A">
        <w:rPr>
          <w:rFonts w:ascii="Georgia" w:hAnsi="Georgia"/>
          <w:lang w:val="en-GB"/>
        </w:rPr>
        <w:t xml:space="preserve"> a</w:t>
      </w:r>
      <w:r w:rsidR="00C562A6" w:rsidRPr="0002056A">
        <w:rPr>
          <w:rFonts w:ascii="Georgia" w:hAnsi="Georgia"/>
          <w:b/>
          <w:bCs/>
          <w:lang w:val="en-GB"/>
        </w:rPr>
        <w:t xml:space="preserve"> correlation analysis</w:t>
      </w:r>
      <w:r w:rsidR="005C2324" w:rsidRPr="0002056A">
        <w:rPr>
          <w:rFonts w:ascii="Georgia" w:hAnsi="Georgia"/>
          <w:b/>
          <w:bCs/>
          <w:lang w:val="en-GB"/>
        </w:rPr>
        <w:t>.</w:t>
      </w:r>
      <w:r w:rsidR="00C562A6" w:rsidRPr="0002056A">
        <w:rPr>
          <w:rFonts w:ascii="Georgia" w:hAnsi="Georgia"/>
          <w:lang w:val="en-GB"/>
        </w:rPr>
        <w:t xml:space="preserve"> Although th</w:t>
      </w:r>
      <w:r w:rsidR="00EF1B63" w:rsidRPr="0002056A">
        <w:rPr>
          <w:rFonts w:ascii="Georgia" w:hAnsi="Georgia"/>
          <w:lang w:val="en-GB"/>
        </w:rPr>
        <w:t xml:space="preserve">is </w:t>
      </w:r>
      <w:r w:rsidR="00C562A6" w:rsidRPr="0002056A">
        <w:rPr>
          <w:rFonts w:ascii="Georgia" w:hAnsi="Georgia"/>
          <w:lang w:val="en-GB"/>
        </w:rPr>
        <w:t>analysis did not br</w:t>
      </w:r>
      <w:r w:rsidR="0046427F" w:rsidRPr="0002056A">
        <w:rPr>
          <w:rFonts w:ascii="Georgia" w:hAnsi="Georgia"/>
          <w:lang w:val="en-GB"/>
        </w:rPr>
        <w:t>ing</w:t>
      </w:r>
      <w:r w:rsidR="00C562A6" w:rsidRPr="0002056A">
        <w:rPr>
          <w:rFonts w:ascii="Georgia" w:hAnsi="Georgia"/>
          <w:lang w:val="en-GB"/>
        </w:rPr>
        <w:t xml:space="preserve"> unambiguous results with extremely strong or weak correlations, </w:t>
      </w:r>
      <w:r w:rsidR="007B5009" w:rsidRPr="0002056A">
        <w:rPr>
          <w:rFonts w:ascii="Georgia" w:hAnsi="Georgia"/>
          <w:b/>
          <w:bCs/>
          <w:lang w:val="en-GB"/>
        </w:rPr>
        <w:t>some basic conclusions could be drawn</w:t>
      </w:r>
      <w:r w:rsidR="007B5009" w:rsidRPr="0002056A">
        <w:rPr>
          <w:rFonts w:ascii="Georgia" w:hAnsi="Georgia"/>
          <w:lang w:val="en-GB"/>
        </w:rPr>
        <w:t>, as we saw in the previous subchapter.</w:t>
      </w:r>
    </w:p>
    <w:p w14:paraId="6F31EA80" w14:textId="7B0964FC" w:rsidR="00AC2648" w:rsidRPr="0002056A" w:rsidRDefault="005C2324" w:rsidP="00F00409">
      <w:pPr>
        <w:spacing w:before="120" w:after="120"/>
        <w:jc w:val="both"/>
        <w:rPr>
          <w:rFonts w:ascii="Georgia" w:hAnsi="Georgia"/>
          <w:lang w:val="en-GB"/>
        </w:rPr>
      </w:pPr>
      <w:r w:rsidRPr="0002056A">
        <w:rPr>
          <w:rFonts w:ascii="Georgia" w:hAnsi="Georgia"/>
          <w:lang w:val="en-GB"/>
        </w:rPr>
        <w:t>Finally, as another new and uniqu</w:t>
      </w:r>
      <w:r w:rsidR="00FC3AF1" w:rsidRPr="0002056A">
        <w:rPr>
          <w:rFonts w:ascii="Georgia" w:hAnsi="Georgia"/>
          <w:lang w:val="en-GB"/>
        </w:rPr>
        <w:t>e</w:t>
      </w:r>
      <w:r w:rsidRPr="0002056A">
        <w:rPr>
          <w:rFonts w:ascii="Georgia" w:hAnsi="Georgia"/>
          <w:lang w:val="en-GB"/>
        </w:rPr>
        <w:t xml:space="preserve"> aspect, </w:t>
      </w:r>
      <w:r w:rsidRPr="0002056A">
        <w:rPr>
          <w:rFonts w:ascii="Georgia" w:hAnsi="Georgia"/>
          <w:b/>
          <w:bCs/>
          <w:lang w:val="en-GB"/>
        </w:rPr>
        <w:t xml:space="preserve">the dissertation sought macro regional </w:t>
      </w:r>
      <w:r w:rsidR="008C5350" w:rsidRPr="0002056A">
        <w:rPr>
          <w:rFonts w:ascii="Georgia" w:hAnsi="Georgia"/>
          <w:b/>
          <w:bCs/>
          <w:lang w:val="en-GB"/>
        </w:rPr>
        <w:t>patterns</w:t>
      </w:r>
      <w:r w:rsidRPr="0002056A">
        <w:rPr>
          <w:rFonts w:ascii="Georgia" w:hAnsi="Georgia"/>
          <w:lang w:val="en-GB"/>
        </w:rPr>
        <w:t xml:space="preserve">, too, in spatial sensitivity values of European national adaptation </w:t>
      </w:r>
      <w:r w:rsidR="008C5350" w:rsidRPr="0002056A">
        <w:rPr>
          <w:rFonts w:ascii="Georgia" w:hAnsi="Georgia"/>
          <w:lang w:val="en-GB"/>
        </w:rPr>
        <w:t xml:space="preserve">planning and MRE </w:t>
      </w:r>
      <w:r w:rsidRPr="0002056A">
        <w:rPr>
          <w:rFonts w:ascii="Georgia" w:hAnsi="Georgia"/>
          <w:lang w:val="en-GB"/>
        </w:rPr>
        <w:t xml:space="preserve">activities, </w:t>
      </w:r>
      <w:r w:rsidRPr="0002056A">
        <w:rPr>
          <w:rFonts w:ascii="Georgia" w:hAnsi="Georgia"/>
          <w:b/>
          <w:bCs/>
          <w:lang w:val="en-GB"/>
        </w:rPr>
        <w:t xml:space="preserve">comparing performances of different countries from </w:t>
      </w:r>
      <w:r w:rsidRPr="0002056A">
        <w:rPr>
          <w:rFonts w:ascii="Georgia" w:hAnsi="Georgia"/>
          <w:lang w:val="en-GB"/>
        </w:rPr>
        <w:t xml:space="preserve">different </w:t>
      </w:r>
      <w:r w:rsidR="00FC3AF1" w:rsidRPr="0002056A">
        <w:rPr>
          <w:rFonts w:ascii="Georgia" w:hAnsi="Georgia"/>
          <w:lang w:val="en-GB"/>
        </w:rPr>
        <w:t xml:space="preserve">macro regions </w:t>
      </w:r>
      <w:r w:rsidR="0048393B" w:rsidRPr="0002056A">
        <w:rPr>
          <w:rFonts w:ascii="Georgia" w:hAnsi="Georgia"/>
          <w:lang w:val="en-GB"/>
        </w:rPr>
        <w:t>(</w:t>
      </w:r>
      <w:r w:rsidR="0048393B" w:rsidRPr="0002056A">
        <w:rPr>
          <w:rFonts w:ascii="Georgia" w:hAnsi="Georgia"/>
          <w:b/>
          <w:bCs/>
          <w:lang w:val="en-GB"/>
        </w:rPr>
        <w:t xml:space="preserve">North, </w:t>
      </w:r>
      <w:r w:rsidR="00216AD0" w:rsidRPr="0002056A">
        <w:rPr>
          <w:rFonts w:ascii="Georgia" w:hAnsi="Georgia"/>
          <w:b/>
          <w:bCs/>
          <w:lang w:val="en-GB"/>
        </w:rPr>
        <w:t>South, West</w:t>
      </w:r>
      <w:r w:rsidR="0048393B" w:rsidRPr="0002056A">
        <w:rPr>
          <w:rFonts w:ascii="Georgia" w:hAnsi="Georgia"/>
          <w:b/>
          <w:bCs/>
          <w:lang w:val="en-GB"/>
        </w:rPr>
        <w:t xml:space="preserve"> and Eastern-Central</w:t>
      </w:r>
      <w:r w:rsidR="0048393B" w:rsidRPr="0002056A">
        <w:rPr>
          <w:rFonts w:ascii="Georgia" w:hAnsi="Georgia"/>
          <w:lang w:val="en-GB"/>
        </w:rPr>
        <w:t xml:space="preserve">) </w:t>
      </w:r>
      <w:r w:rsidR="00FC3AF1" w:rsidRPr="0002056A">
        <w:rPr>
          <w:rFonts w:ascii="Georgia" w:hAnsi="Georgia"/>
          <w:lang w:val="en-GB"/>
        </w:rPr>
        <w:t xml:space="preserve">of Europe and drew a basic picture of </w:t>
      </w:r>
      <w:r w:rsidR="008C5350" w:rsidRPr="0002056A">
        <w:rPr>
          <w:rFonts w:ascii="Georgia" w:hAnsi="Georgia"/>
          <w:lang w:val="en-GB"/>
        </w:rPr>
        <w:t>geographical</w:t>
      </w:r>
      <w:r w:rsidR="00FC3AF1" w:rsidRPr="0002056A">
        <w:rPr>
          <w:rFonts w:ascii="Georgia" w:hAnsi="Georgia"/>
          <w:lang w:val="en-GB"/>
        </w:rPr>
        <w:t xml:space="preserve"> differences</w:t>
      </w:r>
      <w:r w:rsidR="0048393B" w:rsidRPr="0002056A">
        <w:rPr>
          <w:rFonts w:ascii="Georgia" w:hAnsi="Georgia"/>
          <w:lang w:val="en-GB"/>
        </w:rPr>
        <w:t xml:space="preserve"> </w:t>
      </w:r>
      <w:r w:rsidR="008A238B" w:rsidRPr="0002056A">
        <w:rPr>
          <w:rFonts w:ascii="Georgia" w:hAnsi="Georgia"/>
          <w:lang w:val="en-GB"/>
        </w:rPr>
        <w:t>in</w:t>
      </w:r>
      <w:r w:rsidR="00FC3AF1" w:rsidRPr="0002056A">
        <w:rPr>
          <w:rFonts w:ascii="Georgia" w:hAnsi="Georgia"/>
          <w:lang w:val="en-GB"/>
        </w:rPr>
        <w:t xml:space="preserve"> spatial performances </w:t>
      </w:r>
      <w:r w:rsidR="00CB7B8B" w:rsidRPr="0002056A">
        <w:rPr>
          <w:rFonts w:ascii="Georgia" w:hAnsi="Georgia"/>
          <w:lang w:val="en-GB"/>
        </w:rPr>
        <w:t>o</w:t>
      </w:r>
      <w:r w:rsidR="0048393B" w:rsidRPr="0002056A">
        <w:rPr>
          <w:rFonts w:ascii="Georgia" w:hAnsi="Georgia"/>
          <w:lang w:val="en-GB"/>
        </w:rPr>
        <w:t>f</w:t>
      </w:r>
      <w:r w:rsidR="00CB7B8B" w:rsidRPr="0002056A">
        <w:rPr>
          <w:rFonts w:ascii="Georgia" w:hAnsi="Georgia"/>
          <w:lang w:val="en-GB"/>
        </w:rPr>
        <w:t xml:space="preserve"> national adaptation policy making – the results underlin</w:t>
      </w:r>
      <w:r w:rsidR="00993806" w:rsidRPr="0002056A">
        <w:rPr>
          <w:rFonts w:ascii="Georgia" w:hAnsi="Georgia"/>
          <w:lang w:val="en-GB"/>
        </w:rPr>
        <w:t>es</w:t>
      </w:r>
      <w:r w:rsidR="00CB7B8B" w:rsidRPr="0002056A">
        <w:rPr>
          <w:rFonts w:ascii="Georgia" w:hAnsi="Georgia"/>
          <w:lang w:val="en-GB"/>
        </w:rPr>
        <w:t xml:space="preserve"> the well-known </w:t>
      </w:r>
      <w:r w:rsidR="008A238B" w:rsidRPr="0002056A">
        <w:rPr>
          <w:rFonts w:ascii="Georgia" w:hAnsi="Georgia"/>
          <w:lang w:val="en-GB"/>
        </w:rPr>
        <w:t>N</w:t>
      </w:r>
      <w:r w:rsidR="00CB7B8B" w:rsidRPr="0002056A">
        <w:rPr>
          <w:rFonts w:ascii="Georgia" w:hAnsi="Georgia"/>
          <w:lang w:val="en-GB"/>
        </w:rPr>
        <w:t>orthwest-</w:t>
      </w:r>
      <w:r w:rsidR="008A238B" w:rsidRPr="0002056A">
        <w:rPr>
          <w:rFonts w:ascii="Georgia" w:hAnsi="Georgia"/>
          <w:lang w:val="en-GB"/>
        </w:rPr>
        <w:t>S</w:t>
      </w:r>
      <w:r w:rsidR="00CB7B8B" w:rsidRPr="0002056A">
        <w:rPr>
          <w:rFonts w:ascii="Georgia" w:hAnsi="Georgia"/>
          <w:lang w:val="en-GB"/>
        </w:rPr>
        <w:t>outheast divide within the continent even in this respect.</w:t>
      </w:r>
    </w:p>
    <w:p w14:paraId="71770736" w14:textId="28672D9A" w:rsidR="008D08F7" w:rsidRPr="0002056A" w:rsidRDefault="008D08F7" w:rsidP="00F00409">
      <w:pPr>
        <w:spacing w:before="120" w:after="120"/>
        <w:jc w:val="both"/>
        <w:rPr>
          <w:rFonts w:ascii="Georgia" w:hAnsi="Georgia"/>
          <w:lang w:val="en-GB"/>
        </w:rPr>
      </w:pPr>
      <w:r w:rsidRPr="0002056A">
        <w:rPr>
          <w:rFonts w:ascii="Georgia" w:hAnsi="Georgia"/>
          <w:lang w:val="en-GB"/>
        </w:rPr>
        <w:t>Naturally, a</w:t>
      </w:r>
      <w:r w:rsidR="00687FA8" w:rsidRPr="0002056A">
        <w:rPr>
          <w:rFonts w:ascii="Georgia" w:hAnsi="Georgia"/>
          <w:lang w:val="en-GB"/>
        </w:rPr>
        <w:t xml:space="preserve">s several “first attempts” this </w:t>
      </w:r>
      <w:r w:rsidR="00687FA8" w:rsidRPr="0002056A">
        <w:rPr>
          <w:rFonts w:ascii="Georgia" w:hAnsi="Georgia"/>
          <w:b/>
          <w:bCs/>
          <w:lang w:val="en-GB"/>
        </w:rPr>
        <w:t xml:space="preserve">research has its own </w:t>
      </w:r>
      <w:r w:rsidR="00216AD0" w:rsidRPr="0002056A">
        <w:rPr>
          <w:rFonts w:ascii="Georgia" w:hAnsi="Georgia"/>
          <w:b/>
          <w:bCs/>
          <w:lang w:val="en-GB"/>
        </w:rPr>
        <w:t>childhood</w:t>
      </w:r>
      <w:r w:rsidR="00687FA8" w:rsidRPr="0002056A">
        <w:rPr>
          <w:rFonts w:ascii="Georgia" w:hAnsi="Georgia"/>
          <w:b/>
          <w:bCs/>
          <w:lang w:val="en-GB"/>
        </w:rPr>
        <w:t xml:space="preserve"> illnesses,</w:t>
      </w:r>
      <w:r w:rsidR="00BB18C2" w:rsidRPr="0002056A">
        <w:rPr>
          <w:rFonts w:ascii="Georgia" w:hAnsi="Georgia"/>
          <w:b/>
          <w:bCs/>
          <w:lang w:val="en-GB"/>
        </w:rPr>
        <w:t xml:space="preserve"> too</w:t>
      </w:r>
      <w:r w:rsidR="00BB18C2" w:rsidRPr="0002056A">
        <w:rPr>
          <w:rFonts w:ascii="Georgia" w:hAnsi="Georgia"/>
          <w:lang w:val="en-GB"/>
        </w:rPr>
        <w:t xml:space="preserve">, </w:t>
      </w:r>
      <w:r w:rsidR="00AC2648" w:rsidRPr="0002056A">
        <w:rPr>
          <w:rFonts w:ascii="Georgia" w:hAnsi="Georgia"/>
          <w:lang w:val="en-GB"/>
        </w:rPr>
        <w:t>as I encountered unexpected obstacles (</w:t>
      </w:r>
      <w:r w:rsidR="00D45F90" w:rsidRPr="0002056A">
        <w:rPr>
          <w:rFonts w:ascii="Georgia" w:hAnsi="Georgia"/>
          <w:lang w:val="en-GB"/>
        </w:rPr>
        <w:t xml:space="preserve">weak </w:t>
      </w:r>
      <w:r w:rsidR="00AC2648" w:rsidRPr="0002056A">
        <w:rPr>
          <w:rFonts w:ascii="Georgia" w:hAnsi="Georgia"/>
          <w:lang w:val="en-GB"/>
        </w:rPr>
        <w:t>document or data availability</w:t>
      </w:r>
      <w:r w:rsidR="00F80507" w:rsidRPr="0002056A">
        <w:rPr>
          <w:rFonts w:ascii="Georgia" w:hAnsi="Georgia"/>
          <w:lang w:val="en-GB"/>
        </w:rPr>
        <w:t>, low willingness</w:t>
      </w:r>
      <w:r w:rsidR="00993806" w:rsidRPr="0002056A">
        <w:rPr>
          <w:rFonts w:ascii="Georgia" w:hAnsi="Georgia"/>
          <w:lang w:val="en-GB"/>
        </w:rPr>
        <w:t xml:space="preserve"> </w:t>
      </w:r>
      <w:r w:rsidR="00D45F90" w:rsidRPr="0002056A">
        <w:rPr>
          <w:rFonts w:ascii="Georgia" w:hAnsi="Georgia"/>
          <w:lang w:val="en-GB"/>
        </w:rPr>
        <w:t xml:space="preserve">of the approached potential interviewees </w:t>
      </w:r>
      <w:r w:rsidR="00993806" w:rsidRPr="0002056A">
        <w:rPr>
          <w:rFonts w:ascii="Georgia" w:hAnsi="Georgia"/>
          <w:lang w:val="en-GB"/>
        </w:rPr>
        <w:t>to cooperat</w:t>
      </w:r>
      <w:r w:rsidR="00D45F90" w:rsidRPr="0002056A">
        <w:rPr>
          <w:rFonts w:ascii="Georgia" w:hAnsi="Georgia"/>
          <w:lang w:val="en-GB"/>
        </w:rPr>
        <w:t>e</w:t>
      </w:r>
      <w:r w:rsidR="00F80507" w:rsidRPr="0002056A">
        <w:rPr>
          <w:rFonts w:ascii="Georgia" w:hAnsi="Georgia"/>
          <w:lang w:val="en-GB"/>
        </w:rPr>
        <w:t xml:space="preserve"> or their </w:t>
      </w:r>
      <w:r w:rsidR="003961AF" w:rsidRPr="0002056A">
        <w:rPr>
          <w:rFonts w:ascii="Georgia" w:hAnsi="Georgia"/>
          <w:lang w:val="en-GB"/>
        </w:rPr>
        <w:t>low-level knowledge</w:t>
      </w:r>
      <w:r w:rsidR="003D4BD2" w:rsidRPr="0002056A">
        <w:rPr>
          <w:rFonts w:ascii="Georgia" w:hAnsi="Georgia"/>
          <w:lang w:val="en-GB"/>
        </w:rPr>
        <w:t xml:space="preserve"> on /interest in</w:t>
      </w:r>
      <w:r w:rsidR="003961AF" w:rsidRPr="0002056A">
        <w:rPr>
          <w:rFonts w:ascii="Georgia" w:hAnsi="Georgia"/>
          <w:lang w:val="en-GB"/>
        </w:rPr>
        <w:t xml:space="preserve"> the nature of spatial/geographical dimensions) and of course there were several methodological solutions in question and other constraints (described </w:t>
      </w:r>
      <w:r w:rsidR="00A6299D" w:rsidRPr="0002056A">
        <w:rPr>
          <w:rFonts w:ascii="Georgia" w:hAnsi="Georgia"/>
          <w:lang w:val="en-GB"/>
        </w:rPr>
        <w:t>by</w:t>
      </w:r>
      <w:r w:rsidR="003961AF" w:rsidRPr="0002056A">
        <w:rPr>
          <w:rFonts w:ascii="Georgia" w:hAnsi="Georgia"/>
          <w:lang w:val="en-GB"/>
        </w:rPr>
        <w:t xml:space="preserve"> the next subchapter in details)</w:t>
      </w:r>
      <w:r w:rsidR="00B873C9" w:rsidRPr="0002056A">
        <w:rPr>
          <w:rFonts w:ascii="Georgia" w:hAnsi="Georgia"/>
          <w:lang w:val="en-GB"/>
        </w:rPr>
        <w:t>. Despite of these</w:t>
      </w:r>
      <w:r w:rsidR="00A6299D" w:rsidRPr="0002056A">
        <w:rPr>
          <w:rFonts w:ascii="Georgia" w:hAnsi="Georgia"/>
          <w:lang w:val="en-GB"/>
        </w:rPr>
        <w:t>,</w:t>
      </w:r>
      <w:r w:rsidR="00B873C9" w:rsidRPr="0002056A">
        <w:rPr>
          <w:rFonts w:ascii="Georgia" w:hAnsi="Georgia"/>
          <w:lang w:val="en-GB"/>
        </w:rPr>
        <w:t xml:space="preserve"> the enlisted results are new and the product of my own, and they serve hopefully as the first stepping stones in the future </w:t>
      </w:r>
      <w:r w:rsidR="00A6299D" w:rsidRPr="0002056A">
        <w:rPr>
          <w:rFonts w:ascii="Georgia" w:hAnsi="Georgia"/>
          <w:lang w:val="en-GB"/>
        </w:rPr>
        <w:t xml:space="preserve">path of </w:t>
      </w:r>
      <w:r w:rsidR="00793243" w:rsidRPr="0002056A">
        <w:rPr>
          <w:rFonts w:ascii="Georgia" w:hAnsi="Georgia"/>
          <w:lang w:val="en-GB"/>
        </w:rPr>
        <w:t>research activities de</w:t>
      </w:r>
      <w:r w:rsidR="00993806" w:rsidRPr="0002056A">
        <w:rPr>
          <w:rFonts w:ascii="Georgia" w:hAnsi="Georgia"/>
          <w:lang w:val="en-GB"/>
        </w:rPr>
        <w:t>a</w:t>
      </w:r>
      <w:r w:rsidR="00793243" w:rsidRPr="0002056A">
        <w:rPr>
          <w:rFonts w:ascii="Georgia" w:hAnsi="Georgia"/>
          <w:lang w:val="en-GB"/>
        </w:rPr>
        <w:t>l</w:t>
      </w:r>
      <w:r w:rsidR="00993806" w:rsidRPr="0002056A">
        <w:rPr>
          <w:rFonts w:ascii="Georgia" w:hAnsi="Georgia"/>
          <w:lang w:val="en-GB"/>
        </w:rPr>
        <w:t>ing</w:t>
      </w:r>
      <w:r w:rsidR="00793243" w:rsidRPr="0002056A">
        <w:rPr>
          <w:rFonts w:ascii="Georgia" w:hAnsi="Georgia"/>
          <w:lang w:val="en-GB"/>
        </w:rPr>
        <w:t xml:space="preserve"> with the topic of adaptation policy’s spatiality.</w:t>
      </w:r>
    </w:p>
    <w:p w14:paraId="70ECD39F" w14:textId="24C32E6B" w:rsidR="00665D94" w:rsidRPr="00256864" w:rsidRDefault="00665D94" w:rsidP="00FA2C76">
      <w:pPr>
        <w:pStyle w:val="Cmsor3"/>
        <w:numPr>
          <w:ilvl w:val="2"/>
          <w:numId w:val="30"/>
        </w:numPr>
        <w:rPr>
          <w:lang w:val="en-GB"/>
        </w:rPr>
      </w:pPr>
      <w:bookmarkStart w:id="65" w:name="_Toc225578882"/>
      <w:r w:rsidRPr="00256864">
        <w:rPr>
          <w:lang w:val="en-GB"/>
        </w:rPr>
        <w:lastRenderedPageBreak/>
        <w:t>Limits of the research and potential further directions</w:t>
      </w:r>
      <w:bookmarkEnd w:id="65"/>
    </w:p>
    <w:p w14:paraId="701DBF46" w14:textId="7478D412" w:rsidR="007F57C1" w:rsidRPr="0002056A" w:rsidRDefault="009B223A" w:rsidP="00F00409">
      <w:pPr>
        <w:spacing w:before="120" w:after="120"/>
        <w:jc w:val="both"/>
        <w:rPr>
          <w:rFonts w:ascii="Georgia" w:hAnsi="Georgia"/>
          <w:lang w:val="en-GB"/>
        </w:rPr>
      </w:pPr>
      <w:r w:rsidRPr="0002056A">
        <w:rPr>
          <w:rFonts w:ascii="Georgia" w:hAnsi="Georgia"/>
          <w:lang w:val="en-GB"/>
        </w:rPr>
        <w:t xml:space="preserve">As the previous subchapter </w:t>
      </w:r>
      <w:r w:rsidR="008B2241">
        <w:rPr>
          <w:rFonts w:ascii="Georgia" w:hAnsi="Georgia"/>
          <w:lang w:val="en-GB"/>
        </w:rPr>
        <w:t xml:space="preserve">has </w:t>
      </w:r>
      <w:r w:rsidRPr="0002056A">
        <w:rPr>
          <w:rFonts w:ascii="Georgia" w:hAnsi="Georgia"/>
          <w:lang w:val="en-GB"/>
        </w:rPr>
        <w:t xml:space="preserve">already mentioned, </w:t>
      </w:r>
      <w:r w:rsidR="0054180E" w:rsidRPr="0002056A">
        <w:rPr>
          <w:rFonts w:ascii="Georgia" w:hAnsi="Georgia"/>
          <w:lang w:val="en-GB"/>
        </w:rPr>
        <w:t>although several new results were brought by the empirical part of the dissertation, the research has</w:t>
      </w:r>
      <w:r w:rsidR="00262B1F">
        <w:rPr>
          <w:rFonts w:ascii="Georgia" w:hAnsi="Georgia"/>
          <w:lang w:val="en-GB"/>
        </w:rPr>
        <w:t>, of course,</w:t>
      </w:r>
      <w:r w:rsidR="00940728" w:rsidRPr="0002056A">
        <w:rPr>
          <w:rFonts w:ascii="Georgia" w:hAnsi="Georgia"/>
          <w:lang w:val="en-GB"/>
        </w:rPr>
        <w:t xml:space="preserve"> </w:t>
      </w:r>
      <w:r w:rsidR="0054180E" w:rsidRPr="0002056A">
        <w:rPr>
          <w:rFonts w:ascii="Georgia" w:hAnsi="Georgia"/>
          <w:lang w:val="en-GB"/>
        </w:rPr>
        <w:t xml:space="preserve">numerous limitations </w:t>
      </w:r>
      <w:r w:rsidR="00940728" w:rsidRPr="0002056A">
        <w:rPr>
          <w:rFonts w:ascii="Georgia" w:hAnsi="Georgia"/>
          <w:lang w:val="en-GB"/>
        </w:rPr>
        <w:t>and</w:t>
      </w:r>
      <w:r w:rsidR="0054180E" w:rsidRPr="0002056A">
        <w:rPr>
          <w:rFonts w:ascii="Georgia" w:hAnsi="Georgia"/>
          <w:lang w:val="en-GB"/>
        </w:rPr>
        <w:t xml:space="preserve"> weaknesses</w:t>
      </w:r>
      <w:r w:rsidR="006A48E7" w:rsidRPr="0002056A">
        <w:rPr>
          <w:rFonts w:ascii="Georgia" w:hAnsi="Georgia"/>
          <w:lang w:val="en-GB"/>
        </w:rPr>
        <w:t xml:space="preserve">. These, at the same time, call our attention to the potential future research directions – </w:t>
      </w:r>
      <w:r w:rsidR="00940728" w:rsidRPr="0002056A">
        <w:rPr>
          <w:rFonts w:ascii="Georgia" w:hAnsi="Georgia"/>
          <w:lang w:val="en-GB"/>
        </w:rPr>
        <w:t xml:space="preserve">those </w:t>
      </w:r>
      <w:r w:rsidR="006A48E7" w:rsidRPr="0002056A">
        <w:rPr>
          <w:rFonts w:ascii="Georgia" w:hAnsi="Georgia"/>
          <w:lang w:val="en-GB"/>
        </w:rPr>
        <w:t xml:space="preserve">related activities </w:t>
      </w:r>
      <w:r w:rsidR="00940728" w:rsidRPr="0002056A">
        <w:rPr>
          <w:rFonts w:ascii="Georgia" w:hAnsi="Georgia"/>
          <w:lang w:val="en-GB"/>
        </w:rPr>
        <w:t xml:space="preserve">that </w:t>
      </w:r>
      <w:r w:rsidR="006A48E7" w:rsidRPr="0002056A">
        <w:rPr>
          <w:rFonts w:ascii="Georgia" w:hAnsi="Georgia"/>
          <w:lang w:val="en-GB"/>
        </w:rPr>
        <w:t xml:space="preserve">may continue the examinations </w:t>
      </w:r>
      <w:r w:rsidR="00CA5D9C" w:rsidRPr="0002056A">
        <w:rPr>
          <w:rFonts w:ascii="Georgia" w:hAnsi="Georgia"/>
          <w:lang w:val="en-GB"/>
        </w:rPr>
        <w:t xml:space="preserve">according to the aspects </w:t>
      </w:r>
      <w:r w:rsidR="00262B1F">
        <w:rPr>
          <w:rFonts w:ascii="Georgia" w:hAnsi="Georgia"/>
          <w:lang w:val="en-GB"/>
        </w:rPr>
        <w:t>listed</w:t>
      </w:r>
      <w:r w:rsidR="00262B1F" w:rsidRPr="0002056A">
        <w:rPr>
          <w:rFonts w:ascii="Georgia" w:hAnsi="Georgia"/>
          <w:lang w:val="en-GB"/>
        </w:rPr>
        <w:t xml:space="preserve"> </w:t>
      </w:r>
      <w:r w:rsidR="00CA5D9C" w:rsidRPr="0002056A">
        <w:rPr>
          <w:rFonts w:ascii="Georgia" w:hAnsi="Georgia"/>
          <w:lang w:val="en-GB"/>
        </w:rPr>
        <w:t>below.</w:t>
      </w:r>
    </w:p>
    <w:p w14:paraId="303B6524" w14:textId="0B416A7A" w:rsidR="00D727B7" w:rsidRPr="0002056A" w:rsidRDefault="00CA5D9C" w:rsidP="00F00409">
      <w:pPr>
        <w:spacing w:before="120" w:after="120"/>
        <w:jc w:val="both"/>
        <w:rPr>
          <w:rFonts w:ascii="Georgia" w:hAnsi="Georgia"/>
          <w:lang w:val="en-GB"/>
        </w:rPr>
      </w:pPr>
      <w:r w:rsidRPr="0002056A">
        <w:rPr>
          <w:rFonts w:ascii="Georgia" w:hAnsi="Georgia"/>
          <w:b/>
          <w:bCs/>
          <w:lang w:val="en-GB"/>
        </w:rPr>
        <w:t>T</w:t>
      </w:r>
      <w:r w:rsidR="00F9404F" w:rsidRPr="0002056A">
        <w:rPr>
          <w:rFonts w:ascii="Georgia" w:hAnsi="Georgia"/>
          <w:b/>
          <w:bCs/>
          <w:lang w:val="en-GB"/>
        </w:rPr>
        <w:t>he analysis</w:t>
      </w:r>
      <w:r w:rsidR="00F9404F" w:rsidRPr="0002056A">
        <w:rPr>
          <w:rFonts w:ascii="Georgia" w:hAnsi="Georgia"/>
          <w:lang w:val="en-GB"/>
        </w:rPr>
        <w:t xml:space="preserve">, despite </w:t>
      </w:r>
      <w:r w:rsidR="00262B1F">
        <w:rPr>
          <w:rFonts w:ascii="Georgia" w:hAnsi="Georgia"/>
          <w:lang w:val="en-GB"/>
        </w:rPr>
        <w:t>its uniqueness, is one-sided to some extent in</w:t>
      </w:r>
      <w:r w:rsidRPr="0002056A">
        <w:rPr>
          <w:rFonts w:ascii="Georgia" w:hAnsi="Georgia"/>
          <w:lang w:val="en-GB"/>
        </w:rPr>
        <w:t xml:space="preserve"> its </w:t>
      </w:r>
      <w:r w:rsidRPr="0002056A">
        <w:rPr>
          <w:rFonts w:ascii="Georgia" w:hAnsi="Georgia"/>
          <w:b/>
          <w:bCs/>
          <w:lang w:val="en-GB"/>
        </w:rPr>
        <w:t>methodological basis.</w:t>
      </w:r>
      <w:r w:rsidRPr="0002056A">
        <w:rPr>
          <w:rFonts w:ascii="Georgia" w:hAnsi="Georgia"/>
          <w:lang w:val="en-GB"/>
        </w:rPr>
        <w:t xml:space="preserve"> </w:t>
      </w:r>
      <w:r w:rsidR="008726D9" w:rsidRPr="0002056A">
        <w:rPr>
          <w:rFonts w:ascii="Georgia" w:hAnsi="Georgia"/>
          <w:lang w:val="en-GB"/>
        </w:rPr>
        <w:t xml:space="preserve">The processed </w:t>
      </w:r>
      <w:r w:rsidR="00767816" w:rsidRPr="0002056A">
        <w:rPr>
          <w:rFonts w:ascii="Georgia" w:hAnsi="Georgia"/>
          <w:lang w:val="en-GB"/>
        </w:rPr>
        <w:t>info</w:t>
      </w:r>
      <w:r w:rsidR="008726D9" w:rsidRPr="0002056A">
        <w:rPr>
          <w:rFonts w:ascii="Georgia" w:hAnsi="Georgia"/>
          <w:lang w:val="en-GB"/>
        </w:rPr>
        <w:t xml:space="preserve">rmation is mainly </w:t>
      </w:r>
      <w:r w:rsidR="00767816" w:rsidRPr="0002056A">
        <w:rPr>
          <w:rFonts w:ascii="Georgia" w:hAnsi="Georgia"/>
          <w:lang w:val="en-GB"/>
        </w:rPr>
        <w:t>based on docu</w:t>
      </w:r>
      <w:r w:rsidR="008726D9" w:rsidRPr="0002056A">
        <w:rPr>
          <w:rFonts w:ascii="Georgia" w:hAnsi="Georgia"/>
          <w:lang w:val="en-GB"/>
        </w:rPr>
        <w:t>ment</w:t>
      </w:r>
      <w:r w:rsidR="00767816" w:rsidRPr="0002056A">
        <w:rPr>
          <w:rFonts w:ascii="Georgia" w:hAnsi="Georgia"/>
          <w:lang w:val="en-GB"/>
        </w:rPr>
        <w:t xml:space="preserve"> analyses</w:t>
      </w:r>
      <w:r w:rsidR="00A126A3" w:rsidRPr="0002056A">
        <w:rPr>
          <w:rFonts w:ascii="Georgia" w:hAnsi="Georgia"/>
          <w:lang w:val="en-GB"/>
        </w:rPr>
        <w:t xml:space="preserve"> -</w:t>
      </w:r>
      <w:r w:rsidR="008726D9" w:rsidRPr="0002056A">
        <w:rPr>
          <w:rFonts w:ascii="Georgia" w:hAnsi="Georgia"/>
          <w:lang w:val="en-GB"/>
        </w:rPr>
        <w:t xml:space="preserve"> </w:t>
      </w:r>
      <w:r w:rsidR="00A126A3" w:rsidRPr="0002056A">
        <w:rPr>
          <w:rFonts w:ascii="Georgia" w:hAnsi="Georgia"/>
          <w:lang w:val="en-GB"/>
        </w:rPr>
        <w:t xml:space="preserve">although </w:t>
      </w:r>
      <w:r w:rsidR="008726D9" w:rsidRPr="0002056A">
        <w:rPr>
          <w:rFonts w:ascii="Georgia" w:hAnsi="Georgia"/>
          <w:lang w:val="en-GB"/>
        </w:rPr>
        <w:t xml:space="preserve">the research </w:t>
      </w:r>
      <w:r w:rsidR="00A126A3" w:rsidRPr="0002056A">
        <w:rPr>
          <w:rFonts w:ascii="Georgia" w:hAnsi="Georgia"/>
          <w:lang w:val="en-GB"/>
        </w:rPr>
        <w:t>tried to complete the</w:t>
      </w:r>
      <w:r w:rsidR="008B2241">
        <w:rPr>
          <w:rFonts w:ascii="Georgia" w:hAnsi="Georgia"/>
          <w:lang w:val="en-GB"/>
        </w:rPr>
        <w:t>se</w:t>
      </w:r>
      <w:r w:rsidR="00A126A3" w:rsidRPr="0002056A">
        <w:rPr>
          <w:rFonts w:ascii="Georgia" w:hAnsi="Georgia"/>
          <w:lang w:val="en-GB"/>
        </w:rPr>
        <w:t xml:space="preserve"> </w:t>
      </w:r>
      <w:r w:rsidR="003465A6" w:rsidRPr="0002056A">
        <w:rPr>
          <w:rFonts w:ascii="Georgia" w:hAnsi="Georgia"/>
          <w:lang w:val="en-GB"/>
        </w:rPr>
        <w:t xml:space="preserve">examinations with personal </w:t>
      </w:r>
      <w:r w:rsidR="008B2241">
        <w:rPr>
          <w:rFonts w:ascii="Georgia" w:hAnsi="Georgia"/>
          <w:lang w:val="en-GB"/>
        </w:rPr>
        <w:t xml:space="preserve">e-mail </w:t>
      </w:r>
      <w:r w:rsidR="00216AD0" w:rsidRPr="0002056A">
        <w:rPr>
          <w:rFonts w:ascii="Georgia" w:hAnsi="Georgia"/>
          <w:lang w:val="en-GB"/>
        </w:rPr>
        <w:t>interviews</w:t>
      </w:r>
      <w:r w:rsidR="003465A6" w:rsidRPr="0002056A">
        <w:rPr>
          <w:rFonts w:ascii="Georgia" w:hAnsi="Georgia"/>
          <w:lang w:val="en-GB"/>
        </w:rPr>
        <w:t xml:space="preserve"> and questionnaires to obtain </w:t>
      </w:r>
      <w:r w:rsidR="00216AD0" w:rsidRPr="0002056A">
        <w:rPr>
          <w:rFonts w:ascii="Georgia" w:hAnsi="Georgia"/>
          <w:lang w:val="en-GB"/>
        </w:rPr>
        <w:t>complementary</w:t>
      </w:r>
      <w:r w:rsidR="003465A6" w:rsidRPr="0002056A">
        <w:rPr>
          <w:rFonts w:ascii="Georgia" w:hAnsi="Georgia"/>
          <w:lang w:val="en-GB"/>
        </w:rPr>
        <w:t xml:space="preserve"> information</w:t>
      </w:r>
      <w:r w:rsidR="008726D9" w:rsidRPr="0002056A">
        <w:rPr>
          <w:rFonts w:ascii="Georgia" w:hAnsi="Georgia"/>
          <w:lang w:val="en-GB"/>
        </w:rPr>
        <w:t xml:space="preserve"> on topics that were not or only in a blurred form revealed by the strategic </w:t>
      </w:r>
      <w:r w:rsidR="001D2D23">
        <w:rPr>
          <w:rFonts w:ascii="Georgia" w:hAnsi="Georgia"/>
          <w:lang w:val="en-GB"/>
        </w:rPr>
        <w:t xml:space="preserve">planning </w:t>
      </w:r>
      <w:r w:rsidR="008726D9" w:rsidRPr="0002056A">
        <w:rPr>
          <w:rFonts w:ascii="Georgia" w:hAnsi="Georgia"/>
          <w:lang w:val="en-GB"/>
        </w:rPr>
        <w:t>or MRE documents</w:t>
      </w:r>
      <w:r w:rsidR="000D4CFF" w:rsidRPr="0002056A">
        <w:rPr>
          <w:rFonts w:ascii="Georgia" w:hAnsi="Georgia"/>
          <w:lang w:val="en-GB"/>
        </w:rPr>
        <w:t>. T</w:t>
      </w:r>
      <w:r w:rsidR="003465A6" w:rsidRPr="0002056A">
        <w:rPr>
          <w:rFonts w:ascii="Georgia" w:hAnsi="Georgia"/>
          <w:lang w:val="en-GB"/>
        </w:rPr>
        <w:t xml:space="preserve">his attempt brought only half (or rather: </w:t>
      </w:r>
      <w:r w:rsidR="00940728" w:rsidRPr="0002056A">
        <w:rPr>
          <w:rFonts w:ascii="Georgia" w:hAnsi="Georgia"/>
          <w:lang w:val="en-GB"/>
        </w:rPr>
        <w:t>partial</w:t>
      </w:r>
      <w:r w:rsidR="003465A6" w:rsidRPr="0002056A">
        <w:rPr>
          <w:rFonts w:ascii="Georgia" w:hAnsi="Georgia"/>
          <w:lang w:val="en-GB"/>
        </w:rPr>
        <w:t xml:space="preserve">) success. </w:t>
      </w:r>
      <w:r w:rsidR="000D4CFF" w:rsidRPr="0002056A">
        <w:rPr>
          <w:rFonts w:ascii="Georgia" w:hAnsi="Georgia"/>
          <w:lang w:val="en-GB"/>
        </w:rPr>
        <w:t xml:space="preserve">Only </w:t>
      </w:r>
      <w:r w:rsidR="00262B1F">
        <w:rPr>
          <w:rFonts w:ascii="Georgia" w:hAnsi="Georgia"/>
          <w:lang w:val="en-GB"/>
        </w:rPr>
        <w:t>a few questionnaires were answered, and the majority of these contained only short responses, reflecting the fact that spatial thinking is still not in the focus of interest of professionals and, consequently,</w:t>
      </w:r>
      <w:r w:rsidR="00940728" w:rsidRPr="0002056A">
        <w:rPr>
          <w:rFonts w:ascii="Georgia" w:hAnsi="Georgia"/>
          <w:lang w:val="en-GB"/>
        </w:rPr>
        <w:t xml:space="preserve"> is </w:t>
      </w:r>
      <w:r w:rsidR="00F95A8C" w:rsidRPr="0002056A">
        <w:rPr>
          <w:rFonts w:ascii="Georgia" w:hAnsi="Georgia"/>
          <w:lang w:val="en-GB"/>
        </w:rPr>
        <w:t xml:space="preserve">not </w:t>
      </w:r>
      <w:r w:rsidR="009F6880" w:rsidRPr="0002056A">
        <w:rPr>
          <w:rFonts w:ascii="Georgia" w:hAnsi="Georgia"/>
          <w:lang w:val="en-GB"/>
        </w:rPr>
        <w:t xml:space="preserve">a dominating approach </w:t>
      </w:r>
      <w:r w:rsidR="007D7101" w:rsidRPr="0002056A">
        <w:rPr>
          <w:rFonts w:ascii="Georgia" w:hAnsi="Georgia"/>
          <w:lang w:val="en-GB"/>
        </w:rPr>
        <w:t xml:space="preserve">or part of the planning mainstream in national climate adaptation policies, </w:t>
      </w:r>
      <w:r w:rsidR="009F6880" w:rsidRPr="0002056A">
        <w:rPr>
          <w:rFonts w:ascii="Georgia" w:hAnsi="Georgia"/>
          <w:lang w:val="en-GB"/>
        </w:rPr>
        <w:t>to say the least.</w:t>
      </w:r>
      <w:r w:rsidR="009C5D8A" w:rsidRPr="0002056A">
        <w:rPr>
          <w:rFonts w:ascii="Georgia" w:hAnsi="Georgia"/>
          <w:lang w:val="en-GB"/>
        </w:rPr>
        <w:t xml:space="preserve"> </w:t>
      </w:r>
      <w:r w:rsidR="00054671">
        <w:rPr>
          <w:rFonts w:ascii="Georgia" w:hAnsi="Georgia"/>
          <w:b/>
          <w:bCs/>
          <w:lang w:val="en-GB"/>
        </w:rPr>
        <w:t>A p</w:t>
      </w:r>
      <w:r w:rsidR="00D727B7" w:rsidRPr="0002056A">
        <w:rPr>
          <w:rFonts w:ascii="Georgia" w:hAnsi="Georgia"/>
          <w:b/>
          <w:bCs/>
          <w:lang w:val="en-GB"/>
        </w:rPr>
        <w:t>otential further research direction</w:t>
      </w:r>
      <w:r w:rsidR="000D4CFF" w:rsidRPr="0002056A">
        <w:rPr>
          <w:rFonts w:ascii="Georgia" w:hAnsi="Georgia"/>
          <w:lang w:val="en-GB"/>
        </w:rPr>
        <w:t xml:space="preserve"> </w:t>
      </w:r>
      <w:r w:rsidR="00262B1F">
        <w:rPr>
          <w:rFonts w:ascii="Georgia" w:hAnsi="Georgia"/>
          <w:lang w:val="en-GB"/>
        </w:rPr>
        <w:t>is to expand the circle of interview subjects (5-6 potential interviewees to be approached in a given country) to increase the likelihood of receiving positive,</w:t>
      </w:r>
      <w:r w:rsidR="002012DA" w:rsidRPr="0002056A">
        <w:rPr>
          <w:rFonts w:ascii="Georgia" w:hAnsi="Georgia"/>
          <w:lang w:val="en-GB"/>
        </w:rPr>
        <w:t xml:space="preserve"> detailed answers. Moreover</w:t>
      </w:r>
      <w:r w:rsidR="00080FA7" w:rsidRPr="0002056A">
        <w:rPr>
          <w:rFonts w:ascii="Georgia" w:hAnsi="Georgia"/>
          <w:lang w:val="en-GB"/>
        </w:rPr>
        <w:t>,</w:t>
      </w:r>
      <w:r w:rsidR="002012DA" w:rsidRPr="0002056A">
        <w:rPr>
          <w:rFonts w:ascii="Georgia" w:hAnsi="Georgia"/>
          <w:lang w:val="en-GB"/>
        </w:rPr>
        <w:t xml:space="preserve"> </w:t>
      </w:r>
      <w:r w:rsidR="00D727B7" w:rsidRPr="0002056A">
        <w:rPr>
          <w:rFonts w:ascii="Georgia" w:hAnsi="Georgia"/>
          <w:lang w:val="en-GB"/>
        </w:rPr>
        <w:t xml:space="preserve">the </w:t>
      </w:r>
      <w:r w:rsidR="00EE55F3" w:rsidRPr="0002056A">
        <w:rPr>
          <w:rFonts w:ascii="Georgia" w:hAnsi="Georgia"/>
          <w:lang w:val="en-GB"/>
        </w:rPr>
        <w:t>completion of the methodological background with more soft methods (conduction of comprehensive questionnaire-based surveys)</w:t>
      </w:r>
      <w:r w:rsidR="002012DA" w:rsidRPr="0002056A">
        <w:rPr>
          <w:rFonts w:ascii="Georgia" w:hAnsi="Georgia"/>
          <w:lang w:val="en-GB"/>
        </w:rPr>
        <w:t xml:space="preserve"> is another possible solution, targeting basically the same group of countries that the current dissertation does.</w:t>
      </w:r>
    </w:p>
    <w:p w14:paraId="6F6BFA37" w14:textId="023D1360" w:rsidR="009D7FA8" w:rsidRPr="0002056A" w:rsidRDefault="002012DA" w:rsidP="00F00409">
      <w:pPr>
        <w:spacing w:before="120" w:after="120"/>
        <w:jc w:val="both"/>
        <w:rPr>
          <w:rFonts w:ascii="Georgia" w:hAnsi="Georgia"/>
          <w:lang w:val="en-GB"/>
        </w:rPr>
      </w:pPr>
      <w:r w:rsidRPr="0002056A">
        <w:rPr>
          <w:rFonts w:ascii="Georgia" w:hAnsi="Georgia"/>
          <w:lang w:val="en-GB"/>
        </w:rPr>
        <w:t>A</w:t>
      </w:r>
      <w:r w:rsidR="00C65184" w:rsidRPr="0002056A">
        <w:rPr>
          <w:rFonts w:ascii="Georgia" w:hAnsi="Georgia"/>
          <w:lang w:val="en-GB"/>
        </w:rPr>
        <w:t xml:space="preserve">lthough the dissertation is based on a quite comprehensive analytical aspect system with an elaborated list of main and sub-aspects, the </w:t>
      </w:r>
      <w:r w:rsidR="00C65184" w:rsidRPr="0002056A">
        <w:rPr>
          <w:rFonts w:ascii="Georgia" w:hAnsi="Georgia"/>
          <w:b/>
          <w:bCs/>
          <w:lang w:val="en-GB"/>
        </w:rPr>
        <w:t xml:space="preserve">vast majority of the applied </w:t>
      </w:r>
      <w:r w:rsidR="00155E2B" w:rsidRPr="0002056A">
        <w:rPr>
          <w:rFonts w:ascii="Georgia" w:hAnsi="Georgia"/>
          <w:b/>
          <w:bCs/>
          <w:lang w:val="en-GB"/>
        </w:rPr>
        <w:t>sub-aspects are qualitative method-based ones</w:t>
      </w:r>
      <w:r w:rsidRPr="0002056A">
        <w:rPr>
          <w:rFonts w:ascii="Georgia" w:hAnsi="Georgia"/>
          <w:lang w:val="en-GB"/>
        </w:rPr>
        <w:t>. O</w:t>
      </w:r>
      <w:r w:rsidR="00155E2B" w:rsidRPr="0002056A">
        <w:rPr>
          <w:rFonts w:ascii="Georgia" w:hAnsi="Georgia"/>
          <w:lang w:val="en-GB"/>
        </w:rPr>
        <w:t>nly space phr</w:t>
      </w:r>
      <w:r w:rsidRPr="0002056A">
        <w:rPr>
          <w:rFonts w:ascii="Georgia" w:hAnsi="Georgia"/>
          <w:lang w:val="en-GB"/>
        </w:rPr>
        <w:t>a</w:t>
      </w:r>
      <w:r w:rsidR="00155E2B" w:rsidRPr="0002056A">
        <w:rPr>
          <w:rFonts w:ascii="Georgia" w:hAnsi="Georgia"/>
          <w:lang w:val="en-GB"/>
        </w:rPr>
        <w:t xml:space="preserve">seology, the </w:t>
      </w:r>
      <w:r w:rsidRPr="0002056A">
        <w:rPr>
          <w:rFonts w:ascii="Georgia" w:hAnsi="Georgia"/>
          <w:lang w:val="en-GB"/>
        </w:rPr>
        <w:t xml:space="preserve">situation analyses’ </w:t>
      </w:r>
      <w:r w:rsidR="00155E2B" w:rsidRPr="0002056A">
        <w:rPr>
          <w:rFonts w:ascii="Georgia" w:hAnsi="Georgia"/>
          <w:lang w:val="en-GB"/>
        </w:rPr>
        <w:t xml:space="preserve">map content and </w:t>
      </w:r>
      <w:r w:rsidR="006369AC" w:rsidRPr="0002056A">
        <w:rPr>
          <w:rFonts w:ascii="Georgia" w:hAnsi="Georgia"/>
          <w:lang w:val="en-GB"/>
        </w:rPr>
        <w:t xml:space="preserve">the aspects measuring the proportions of </w:t>
      </w:r>
      <w:r w:rsidR="00080FA7" w:rsidRPr="0002056A">
        <w:rPr>
          <w:rFonts w:ascii="Georgia" w:hAnsi="Georgia"/>
          <w:lang w:val="en-GB"/>
        </w:rPr>
        <w:t>lower-level</w:t>
      </w:r>
      <w:r w:rsidR="006369AC" w:rsidRPr="0002056A">
        <w:rPr>
          <w:rFonts w:ascii="Georgia" w:hAnsi="Georgia"/>
          <w:lang w:val="en-GB"/>
        </w:rPr>
        <w:t xml:space="preserve"> objectives and actions with spatial content show some</w:t>
      </w:r>
      <w:r w:rsidR="009D7FA8" w:rsidRPr="0002056A">
        <w:rPr>
          <w:rFonts w:ascii="Georgia" w:hAnsi="Georgia"/>
          <w:lang w:val="en-GB"/>
        </w:rPr>
        <w:t xml:space="preserve"> quantitative </w:t>
      </w:r>
      <w:r w:rsidR="00356525" w:rsidRPr="0002056A">
        <w:rPr>
          <w:rFonts w:ascii="Georgia" w:hAnsi="Georgia"/>
          <w:lang w:val="en-GB"/>
        </w:rPr>
        <w:t>“scent”</w:t>
      </w:r>
      <w:r w:rsidRPr="0002056A">
        <w:rPr>
          <w:rFonts w:ascii="Georgia" w:hAnsi="Georgia"/>
          <w:lang w:val="en-GB"/>
        </w:rPr>
        <w:t xml:space="preserve">. The </w:t>
      </w:r>
      <w:r w:rsidR="000C360B">
        <w:rPr>
          <w:rFonts w:ascii="Georgia" w:hAnsi="Georgia"/>
          <w:lang w:val="en-GB"/>
        </w:rPr>
        <w:t>overwhelming</w:t>
      </w:r>
      <w:r w:rsidRPr="0002056A">
        <w:rPr>
          <w:rFonts w:ascii="Georgia" w:hAnsi="Georgia"/>
          <w:lang w:val="en-GB"/>
        </w:rPr>
        <w:t xml:space="preserve"> majority of </w:t>
      </w:r>
      <w:r w:rsidR="00216AD0" w:rsidRPr="0002056A">
        <w:rPr>
          <w:rFonts w:ascii="Georgia" w:hAnsi="Georgia"/>
          <w:lang w:val="en-GB"/>
        </w:rPr>
        <w:t>analytical</w:t>
      </w:r>
      <w:r w:rsidRPr="0002056A">
        <w:rPr>
          <w:rFonts w:ascii="Georgia" w:hAnsi="Georgia"/>
          <w:lang w:val="en-GB"/>
        </w:rPr>
        <w:t xml:space="preserve"> sub-aspects were measured by half-</w:t>
      </w:r>
      <w:r w:rsidR="00FD7338">
        <w:rPr>
          <w:rFonts w:ascii="Georgia" w:hAnsi="Georgia"/>
          <w:lang w:val="en-GB"/>
        </w:rPr>
        <w:t>discretionary (half-arbitrary)</w:t>
      </w:r>
      <w:r w:rsidRPr="0002056A">
        <w:rPr>
          <w:rFonts w:ascii="Georgia" w:hAnsi="Georgia"/>
          <w:lang w:val="en-GB"/>
        </w:rPr>
        <w:t xml:space="preserve"> expert estimation (nevertheless, subjectivity was tried to be </w:t>
      </w:r>
      <w:r w:rsidR="00216AD0" w:rsidRPr="0002056A">
        <w:rPr>
          <w:rFonts w:ascii="Georgia" w:hAnsi="Georgia"/>
          <w:lang w:val="en-GB"/>
        </w:rPr>
        <w:t>diminished</w:t>
      </w:r>
      <w:r w:rsidRPr="0002056A">
        <w:rPr>
          <w:rFonts w:ascii="Georgia" w:hAnsi="Georgia"/>
          <w:lang w:val="en-GB"/>
        </w:rPr>
        <w:t xml:space="preserve"> as much as possible with the </w:t>
      </w:r>
      <w:r w:rsidR="00CF374D" w:rsidRPr="0002056A">
        <w:rPr>
          <w:rFonts w:ascii="Georgia" w:hAnsi="Georgia"/>
          <w:lang w:val="en-GB"/>
        </w:rPr>
        <w:t>strict definition of rules of classification in each sub-aspect</w:t>
      </w:r>
      <w:r w:rsidR="00F95A8C" w:rsidRPr="0002056A">
        <w:rPr>
          <w:rFonts w:ascii="Georgia" w:hAnsi="Georgia"/>
          <w:lang w:val="en-GB"/>
        </w:rPr>
        <w:t xml:space="preserve"> in </w:t>
      </w:r>
      <w:r w:rsidR="00F95A8C" w:rsidRPr="000C360B">
        <w:rPr>
          <w:rFonts w:ascii="Georgia" w:hAnsi="Georgia"/>
          <w:lang w:val="en-GB"/>
        </w:rPr>
        <w:t>advance</w:t>
      </w:r>
      <w:r w:rsidR="00CF374D" w:rsidRPr="000C360B">
        <w:rPr>
          <w:rFonts w:ascii="Georgia" w:hAnsi="Georgia"/>
          <w:lang w:val="en-GB"/>
        </w:rPr>
        <w:t>).</w:t>
      </w:r>
      <w:r w:rsidR="00CF374D" w:rsidRPr="0002056A">
        <w:rPr>
          <w:rFonts w:ascii="Georgia" w:hAnsi="Georgia"/>
          <w:b/>
          <w:bCs/>
          <w:lang w:val="en-GB"/>
        </w:rPr>
        <w:t xml:space="preserve"> A </w:t>
      </w:r>
      <w:r w:rsidR="009D7FA8" w:rsidRPr="0002056A">
        <w:rPr>
          <w:rFonts w:ascii="Georgia" w:hAnsi="Georgia"/>
          <w:b/>
          <w:bCs/>
          <w:lang w:val="en-GB"/>
        </w:rPr>
        <w:t>potential further research direction</w:t>
      </w:r>
      <w:r w:rsidR="00CF374D" w:rsidRPr="0002056A">
        <w:rPr>
          <w:rFonts w:ascii="Georgia" w:hAnsi="Georgia"/>
          <w:lang w:val="en-GB"/>
        </w:rPr>
        <w:t xml:space="preserve"> i</w:t>
      </w:r>
      <w:r w:rsidR="009D7FA8" w:rsidRPr="0002056A">
        <w:rPr>
          <w:rFonts w:ascii="Georgia" w:hAnsi="Georgia"/>
          <w:lang w:val="en-GB"/>
        </w:rPr>
        <w:t>s</w:t>
      </w:r>
      <w:r w:rsidR="00CF374D" w:rsidRPr="0002056A">
        <w:rPr>
          <w:rFonts w:ascii="Georgia" w:hAnsi="Georgia"/>
          <w:lang w:val="en-GB"/>
        </w:rPr>
        <w:t xml:space="preserve"> </w:t>
      </w:r>
      <w:r w:rsidR="005904DF" w:rsidRPr="0002056A">
        <w:rPr>
          <w:rFonts w:ascii="Georgia" w:hAnsi="Georgia"/>
          <w:lang w:val="en-GB"/>
        </w:rPr>
        <w:t xml:space="preserve">the </w:t>
      </w:r>
      <w:r w:rsidR="00CF374D" w:rsidRPr="0002056A">
        <w:rPr>
          <w:rFonts w:ascii="Georgia" w:hAnsi="Georgia"/>
          <w:lang w:val="en-GB"/>
        </w:rPr>
        <w:t>involvement of</w:t>
      </w:r>
      <w:r w:rsidR="005904DF" w:rsidRPr="0002056A">
        <w:rPr>
          <w:rFonts w:ascii="Georgia" w:hAnsi="Georgia"/>
          <w:lang w:val="en-GB"/>
        </w:rPr>
        <w:t xml:space="preserve"> more quantitative indices </w:t>
      </w:r>
      <w:r w:rsidR="00262B1F">
        <w:rPr>
          <w:rFonts w:ascii="Georgia" w:hAnsi="Georgia"/>
          <w:lang w:val="en-GB"/>
        </w:rPr>
        <w:t xml:space="preserve">in the </w:t>
      </w:r>
      <w:r w:rsidR="00365FF9">
        <w:rPr>
          <w:rFonts w:ascii="Georgia" w:hAnsi="Georgia"/>
          <w:lang w:val="en-GB"/>
        </w:rPr>
        <w:t xml:space="preserve">system of </w:t>
      </w:r>
      <w:r w:rsidR="00262B1F">
        <w:rPr>
          <w:rFonts w:ascii="Georgia" w:hAnsi="Georgia"/>
          <w:lang w:val="en-GB"/>
        </w:rPr>
        <w:t>analytical aspect</w:t>
      </w:r>
      <w:r w:rsidR="005904DF" w:rsidRPr="0002056A">
        <w:rPr>
          <w:rFonts w:ascii="Georgia" w:hAnsi="Georgia"/>
          <w:lang w:val="en-GB"/>
        </w:rPr>
        <w:t>s</w:t>
      </w:r>
      <w:r w:rsidR="00365FF9">
        <w:rPr>
          <w:rFonts w:ascii="Georgia" w:hAnsi="Georgia"/>
          <w:lang w:val="en-GB"/>
        </w:rPr>
        <w:t xml:space="preserve"> </w:t>
      </w:r>
      <w:r w:rsidR="005904DF" w:rsidRPr="0002056A">
        <w:rPr>
          <w:rFonts w:ascii="Georgia" w:hAnsi="Georgia"/>
          <w:lang w:val="en-GB"/>
        </w:rPr>
        <w:t>instead of expert estimations/assessments</w:t>
      </w:r>
      <w:r w:rsidR="00EB2BF1" w:rsidRPr="0002056A">
        <w:rPr>
          <w:rFonts w:ascii="Georgia" w:hAnsi="Georgia"/>
          <w:lang w:val="en-GB"/>
        </w:rPr>
        <w:t>. On</w:t>
      </w:r>
      <w:r w:rsidR="005904DF" w:rsidRPr="0002056A">
        <w:rPr>
          <w:rFonts w:ascii="Georgia" w:hAnsi="Georgia"/>
          <w:lang w:val="en-GB"/>
        </w:rPr>
        <w:t xml:space="preserve"> the other hand</w:t>
      </w:r>
      <w:r w:rsidR="00080FA7" w:rsidRPr="0002056A">
        <w:rPr>
          <w:rFonts w:ascii="Georgia" w:hAnsi="Georgia"/>
          <w:lang w:val="en-GB"/>
        </w:rPr>
        <w:t>,</w:t>
      </w:r>
      <w:r w:rsidR="005904DF" w:rsidRPr="0002056A">
        <w:rPr>
          <w:rFonts w:ascii="Georgia" w:hAnsi="Georgia"/>
          <w:lang w:val="en-GB"/>
        </w:rPr>
        <w:t xml:space="preserve"> </w:t>
      </w:r>
      <w:r w:rsidR="009D7FA8" w:rsidRPr="0002056A">
        <w:rPr>
          <w:rFonts w:ascii="Georgia" w:hAnsi="Georgia"/>
          <w:lang w:val="en-GB"/>
        </w:rPr>
        <w:t>deepen</w:t>
      </w:r>
      <w:r w:rsidR="00EB2BF1" w:rsidRPr="0002056A">
        <w:rPr>
          <w:rFonts w:ascii="Georgia" w:hAnsi="Georgia"/>
          <w:lang w:val="en-GB"/>
        </w:rPr>
        <w:t>ing</w:t>
      </w:r>
      <w:r w:rsidR="009D7FA8" w:rsidRPr="0002056A">
        <w:rPr>
          <w:rFonts w:ascii="Georgia" w:hAnsi="Georgia"/>
          <w:lang w:val="en-GB"/>
        </w:rPr>
        <w:t xml:space="preserve"> the correlation analysis </w:t>
      </w:r>
      <w:r w:rsidR="00FD7338">
        <w:rPr>
          <w:rFonts w:ascii="Georgia" w:hAnsi="Georgia"/>
          <w:lang w:val="en-GB"/>
        </w:rPr>
        <w:t xml:space="preserve">between spatial sensitivity and its potential influential factors </w:t>
      </w:r>
      <w:r w:rsidR="009D7FA8" w:rsidRPr="0002056A">
        <w:rPr>
          <w:rFonts w:ascii="Georgia" w:hAnsi="Georgia"/>
          <w:lang w:val="en-GB"/>
        </w:rPr>
        <w:t>and mixing it with regression analysis</w:t>
      </w:r>
      <w:r w:rsidR="00EB2BF1" w:rsidRPr="0002056A">
        <w:rPr>
          <w:rFonts w:ascii="Georgia" w:hAnsi="Georgia"/>
          <w:lang w:val="en-GB"/>
        </w:rPr>
        <w:t xml:space="preserve"> </w:t>
      </w:r>
      <w:r w:rsidR="00262B1F">
        <w:rPr>
          <w:rFonts w:ascii="Georgia" w:hAnsi="Georgia"/>
          <w:lang w:val="en-GB"/>
        </w:rPr>
        <w:t>could also</w:t>
      </w:r>
      <w:r w:rsidR="00EB2BF1" w:rsidRPr="0002056A">
        <w:rPr>
          <w:rFonts w:ascii="Georgia" w:hAnsi="Georgia"/>
          <w:lang w:val="en-GB"/>
        </w:rPr>
        <w:t xml:space="preserve"> strengthen the quantitative data basis of the findings.</w:t>
      </w:r>
    </w:p>
    <w:p w14:paraId="25D6200C" w14:textId="7727EC04" w:rsidR="00DE64A9" w:rsidRPr="0002056A" w:rsidRDefault="00EB2BF1" w:rsidP="00F00409">
      <w:pPr>
        <w:spacing w:before="120" w:after="120"/>
        <w:jc w:val="both"/>
        <w:rPr>
          <w:rFonts w:ascii="Georgia" w:hAnsi="Georgia"/>
          <w:lang w:val="en-GB"/>
        </w:rPr>
      </w:pPr>
      <w:r w:rsidRPr="0002056A">
        <w:rPr>
          <w:rFonts w:ascii="Georgia" w:hAnsi="Georgia"/>
          <w:lang w:val="en-GB"/>
        </w:rPr>
        <w:t>Already</w:t>
      </w:r>
      <w:r w:rsidR="00262B1F">
        <w:rPr>
          <w:rFonts w:ascii="Georgia" w:hAnsi="Georgia"/>
          <w:lang w:val="en-GB"/>
        </w:rPr>
        <w:t xml:space="preserve">, the geographic context subchapter within the “Material and methods of the empirical research” main chapter declares that </w:t>
      </w:r>
      <w:r w:rsidR="00262B1F" w:rsidRPr="005F5268">
        <w:rPr>
          <w:rFonts w:ascii="Georgia" w:hAnsi="Georgia"/>
          <w:b/>
          <w:bCs/>
          <w:lang w:val="en-GB"/>
        </w:rPr>
        <w:t>European spatial coverage is not full</w:t>
      </w:r>
      <w:r w:rsidR="00262B1F">
        <w:rPr>
          <w:rFonts w:ascii="Georgia" w:hAnsi="Georgia"/>
          <w:lang w:val="en-GB"/>
        </w:rPr>
        <w:t>: parts of the ex-USSR (excluding the Baltic states) and mini states were left out from the analysis (for reasoning,</w:t>
      </w:r>
      <w:r w:rsidR="00B543D4" w:rsidRPr="0002056A">
        <w:rPr>
          <w:rFonts w:ascii="Georgia" w:hAnsi="Georgia"/>
          <w:lang w:val="en-GB"/>
        </w:rPr>
        <w:t xml:space="preserve"> please read the mentioned chapters). Out of these left-out </w:t>
      </w:r>
      <w:r w:rsidR="00262B1F">
        <w:rPr>
          <w:rFonts w:ascii="Georgia" w:hAnsi="Georgia"/>
          <w:lang w:val="en-GB"/>
        </w:rPr>
        <w:t>groups, the inclusion of the former ones should be considered for getting to a whole European picture</w:t>
      </w:r>
      <w:r w:rsidR="00B543D4" w:rsidRPr="0002056A">
        <w:rPr>
          <w:rFonts w:ascii="Georgia" w:hAnsi="Georgia"/>
          <w:lang w:val="en-GB"/>
        </w:rPr>
        <w:t xml:space="preserve">. </w:t>
      </w:r>
      <w:r w:rsidR="00B543D4" w:rsidRPr="0002056A">
        <w:rPr>
          <w:rFonts w:ascii="Georgia" w:hAnsi="Georgia"/>
          <w:b/>
          <w:bCs/>
          <w:lang w:val="en-GB"/>
        </w:rPr>
        <w:t xml:space="preserve">A </w:t>
      </w:r>
      <w:r w:rsidR="00D727B7" w:rsidRPr="0002056A">
        <w:rPr>
          <w:rFonts w:ascii="Georgia" w:hAnsi="Georgia"/>
          <w:b/>
          <w:bCs/>
          <w:lang w:val="en-GB"/>
        </w:rPr>
        <w:t>potential further research direction</w:t>
      </w:r>
      <w:r w:rsidR="00D727B7" w:rsidRPr="0002056A">
        <w:rPr>
          <w:rFonts w:ascii="Georgia" w:hAnsi="Georgia"/>
          <w:lang w:val="en-GB"/>
        </w:rPr>
        <w:t xml:space="preserve"> </w:t>
      </w:r>
      <w:r w:rsidR="00B543D4" w:rsidRPr="0002056A">
        <w:rPr>
          <w:rFonts w:ascii="Georgia" w:hAnsi="Georgia"/>
          <w:lang w:val="en-GB"/>
        </w:rPr>
        <w:t xml:space="preserve">in this case could be </w:t>
      </w:r>
      <w:r w:rsidR="00D727B7" w:rsidRPr="0002056A">
        <w:rPr>
          <w:rFonts w:ascii="Georgia" w:hAnsi="Georgia"/>
          <w:lang w:val="en-GB"/>
        </w:rPr>
        <w:t xml:space="preserve">the widening of the list of countries involved, opening the research into the direction of </w:t>
      </w:r>
      <w:r w:rsidR="002240F5" w:rsidRPr="0002056A">
        <w:rPr>
          <w:rFonts w:ascii="Georgia" w:hAnsi="Georgia"/>
          <w:lang w:val="en-GB"/>
        </w:rPr>
        <w:t xml:space="preserve">Ukraine, Belarus and Moldova as well as the Caucasian countries in the future. Nevertheless, </w:t>
      </w:r>
      <w:r w:rsidR="00506EEE" w:rsidRPr="0002056A">
        <w:rPr>
          <w:rFonts w:ascii="Georgia" w:hAnsi="Georgia"/>
          <w:lang w:val="en-GB"/>
        </w:rPr>
        <w:t xml:space="preserve">the recent geopolitical conflicts, as well as </w:t>
      </w:r>
      <w:r w:rsidR="002240F5" w:rsidRPr="0002056A">
        <w:rPr>
          <w:rFonts w:ascii="Georgia" w:hAnsi="Georgia"/>
          <w:lang w:val="en-GB"/>
        </w:rPr>
        <w:t>document</w:t>
      </w:r>
      <w:r w:rsidR="00AC0BDC">
        <w:rPr>
          <w:rFonts w:ascii="Georgia" w:hAnsi="Georgia"/>
          <w:lang w:val="en-GB"/>
        </w:rPr>
        <w:t>/</w:t>
      </w:r>
      <w:r w:rsidR="002240F5" w:rsidRPr="0002056A">
        <w:rPr>
          <w:rFonts w:ascii="Georgia" w:hAnsi="Georgia"/>
          <w:lang w:val="en-GB"/>
        </w:rPr>
        <w:t>data availability</w:t>
      </w:r>
      <w:r w:rsidR="00AC0BDC">
        <w:rPr>
          <w:rFonts w:ascii="Georgia" w:hAnsi="Georgia"/>
          <w:lang w:val="en-GB"/>
        </w:rPr>
        <w:t xml:space="preserve"> and</w:t>
      </w:r>
      <w:r w:rsidR="00506EEE" w:rsidRPr="0002056A">
        <w:rPr>
          <w:rFonts w:ascii="Georgia" w:hAnsi="Georgia"/>
          <w:lang w:val="en-GB"/>
        </w:rPr>
        <w:t xml:space="preserve"> </w:t>
      </w:r>
      <w:r w:rsidR="002240F5" w:rsidRPr="0002056A">
        <w:rPr>
          <w:rFonts w:ascii="Georgia" w:hAnsi="Georgia"/>
          <w:lang w:val="en-GB"/>
        </w:rPr>
        <w:t>language problems</w:t>
      </w:r>
      <w:r w:rsidR="00262B1F">
        <w:rPr>
          <w:rFonts w:ascii="Georgia" w:hAnsi="Georgia"/>
          <w:lang w:val="en-GB"/>
        </w:rPr>
        <w:t>,</w:t>
      </w:r>
      <w:r w:rsidR="002240F5" w:rsidRPr="0002056A">
        <w:rPr>
          <w:rFonts w:ascii="Georgia" w:hAnsi="Georgia"/>
          <w:lang w:val="en-GB"/>
        </w:rPr>
        <w:t xml:space="preserve"> are those </w:t>
      </w:r>
      <w:r w:rsidR="00506EEE" w:rsidRPr="0002056A">
        <w:rPr>
          <w:rFonts w:ascii="Georgia" w:hAnsi="Georgia"/>
          <w:lang w:val="en-GB"/>
        </w:rPr>
        <w:t>factors that make the involvement of these countries difficult.</w:t>
      </w:r>
      <w:r w:rsidR="009C5D8A" w:rsidRPr="0002056A">
        <w:rPr>
          <w:rFonts w:ascii="Georgia" w:hAnsi="Georgia"/>
          <w:lang w:val="en-GB"/>
        </w:rPr>
        <w:t xml:space="preserve"> </w:t>
      </w:r>
    </w:p>
    <w:p w14:paraId="40B1582C" w14:textId="73E7B56F" w:rsidR="00356525" w:rsidRPr="0002056A" w:rsidRDefault="00DE64A9" w:rsidP="00F00409">
      <w:pPr>
        <w:spacing w:before="120" w:after="120"/>
        <w:jc w:val="both"/>
        <w:rPr>
          <w:rFonts w:ascii="Georgia" w:hAnsi="Georgia"/>
          <w:lang w:val="en-GB"/>
        </w:rPr>
      </w:pPr>
      <w:r w:rsidRPr="0002056A">
        <w:rPr>
          <w:rFonts w:ascii="Georgia" w:hAnsi="Georgia"/>
          <w:lang w:val="en-GB"/>
        </w:rPr>
        <w:t>Moreover, t</w:t>
      </w:r>
      <w:r w:rsidR="007D7101" w:rsidRPr="0002056A">
        <w:rPr>
          <w:rFonts w:ascii="Georgia" w:hAnsi="Georgia"/>
          <w:lang w:val="en-GB"/>
        </w:rPr>
        <w:t xml:space="preserve">he </w:t>
      </w:r>
      <w:r w:rsidR="00A75E77" w:rsidRPr="0002056A">
        <w:rPr>
          <w:rFonts w:ascii="Georgia" w:hAnsi="Georgia"/>
          <w:lang w:val="en-GB"/>
        </w:rPr>
        <w:t xml:space="preserve">current </w:t>
      </w:r>
      <w:r w:rsidR="007D7101" w:rsidRPr="0002056A">
        <w:rPr>
          <w:rFonts w:ascii="Georgia" w:hAnsi="Georgia"/>
          <w:lang w:val="en-GB"/>
        </w:rPr>
        <w:t xml:space="preserve">analysis </w:t>
      </w:r>
      <w:r w:rsidR="00A37D00" w:rsidRPr="0002056A">
        <w:rPr>
          <w:rFonts w:ascii="Georgia" w:hAnsi="Georgia"/>
          <w:b/>
          <w:bCs/>
          <w:lang w:val="en-GB"/>
        </w:rPr>
        <w:t>provides us only with a snapshot of the current situation</w:t>
      </w:r>
      <w:r w:rsidR="00A37D00" w:rsidRPr="0002056A">
        <w:rPr>
          <w:rFonts w:ascii="Georgia" w:hAnsi="Georgia"/>
          <w:lang w:val="en-GB"/>
        </w:rPr>
        <w:t xml:space="preserve"> </w:t>
      </w:r>
      <w:r w:rsidR="00A75E77" w:rsidRPr="0002056A">
        <w:rPr>
          <w:rFonts w:ascii="Georgia" w:hAnsi="Georgia"/>
          <w:lang w:val="en-GB"/>
        </w:rPr>
        <w:t xml:space="preserve">in (the majority of) Europe </w:t>
      </w:r>
      <w:r w:rsidR="00A37D00" w:rsidRPr="0002056A">
        <w:rPr>
          <w:rFonts w:ascii="Georgia" w:hAnsi="Georgia"/>
          <w:lang w:val="en-GB"/>
        </w:rPr>
        <w:t>and lacks any dynamic elements</w:t>
      </w:r>
      <w:r w:rsidR="00A75E77" w:rsidRPr="0002056A">
        <w:rPr>
          <w:rFonts w:ascii="Georgia" w:hAnsi="Georgia"/>
          <w:lang w:val="en-GB"/>
        </w:rPr>
        <w:t>. O</w:t>
      </w:r>
      <w:r w:rsidR="00767816" w:rsidRPr="0002056A">
        <w:rPr>
          <w:rFonts w:ascii="Georgia" w:hAnsi="Georgia"/>
          <w:lang w:val="en-GB"/>
        </w:rPr>
        <w:t>nly</w:t>
      </w:r>
      <w:r w:rsidR="00A37D00" w:rsidRPr="0002056A">
        <w:rPr>
          <w:rFonts w:ascii="Georgia" w:hAnsi="Georgia"/>
          <w:lang w:val="en-GB"/>
        </w:rPr>
        <w:t xml:space="preserve"> the most up-to-date document</w:t>
      </w:r>
      <w:r w:rsidRPr="0002056A">
        <w:rPr>
          <w:rFonts w:ascii="Georgia" w:hAnsi="Georgia"/>
          <w:lang w:val="en-GB"/>
        </w:rPr>
        <w:t>s</w:t>
      </w:r>
      <w:r w:rsidR="00A37D00" w:rsidRPr="0002056A">
        <w:rPr>
          <w:rFonts w:ascii="Georgia" w:hAnsi="Georgia"/>
          <w:lang w:val="en-GB"/>
        </w:rPr>
        <w:t xml:space="preserve"> (</w:t>
      </w:r>
      <w:r w:rsidR="00AD3586">
        <w:rPr>
          <w:rFonts w:ascii="Georgia" w:hAnsi="Georgia"/>
          <w:lang w:val="en-GB"/>
        </w:rPr>
        <w:t xml:space="preserve">and of course the </w:t>
      </w:r>
      <w:r w:rsidR="00A37D00" w:rsidRPr="0002056A">
        <w:rPr>
          <w:rFonts w:ascii="Georgia" w:hAnsi="Georgia"/>
          <w:lang w:val="en-GB"/>
        </w:rPr>
        <w:t>available ones) were analysed</w:t>
      </w:r>
      <w:r w:rsidR="00C3587F" w:rsidRPr="0002056A">
        <w:rPr>
          <w:rFonts w:ascii="Georgia" w:hAnsi="Georgia"/>
          <w:lang w:val="en-GB"/>
        </w:rPr>
        <w:t xml:space="preserve"> from each country; different </w:t>
      </w:r>
      <w:r w:rsidR="00C3587F" w:rsidRPr="0002056A">
        <w:rPr>
          <w:rFonts w:ascii="Georgia" w:hAnsi="Georgia"/>
          <w:lang w:val="en-GB"/>
        </w:rPr>
        <w:lastRenderedPageBreak/>
        <w:t>generations of NAS</w:t>
      </w:r>
      <w:r w:rsidR="00A75E77" w:rsidRPr="0002056A">
        <w:rPr>
          <w:rFonts w:ascii="Georgia" w:hAnsi="Georgia"/>
          <w:lang w:val="en-GB"/>
        </w:rPr>
        <w:t xml:space="preserve"> document</w:t>
      </w:r>
      <w:r w:rsidR="00C3587F" w:rsidRPr="0002056A">
        <w:rPr>
          <w:rFonts w:ascii="Georgia" w:hAnsi="Georgia"/>
          <w:lang w:val="en-GB"/>
        </w:rPr>
        <w:t>s, monitoring reports or evaluations were not compared to each other due to the time, resource and extent-wise constraints of my work.</w:t>
      </w:r>
      <w:r w:rsidR="00A75E77" w:rsidRPr="0002056A">
        <w:rPr>
          <w:rFonts w:ascii="Georgia" w:hAnsi="Georgia"/>
          <w:lang w:val="en-GB"/>
        </w:rPr>
        <w:t xml:space="preserve"> </w:t>
      </w:r>
      <w:r w:rsidR="00DE53A5">
        <w:rPr>
          <w:rFonts w:ascii="Georgia" w:hAnsi="Georgia"/>
          <w:lang w:val="en-GB"/>
        </w:rPr>
        <w:t>The empirical work phase’s document</w:t>
      </w:r>
      <w:r w:rsidR="00CF5E1D">
        <w:rPr>
          <w:rFonts w:ascii="Georgia" w:hAnsi="Georgia"/>
          <w:lang w:val="en-GB"/>
        </w:rPr>
        <w:t>-</w:t>
      </w:r>
      <w:r w:rsidR="00DE53A5">
        <w:rPr>
          <w:rFonts w:ascii="Georgia" w:hAnsi="Georgia"/>
          <w:lang w:val="en-GB"/>
        </w:rPr>
        <w:t xml:space="preserve">gathering stage was strictly closed in August 2025 to make the </w:t>
      </w:r>
      <w:r w:rsidR="00262B1F">
        <w:rPr>
          <w:rFonts w:ascii="Georgia" w:hAnsi="Georgia"/>
          <w:lang w:val="en-GB"/>
        </w:rPr>
        <w:t xml:space="preserve">finalisation </w:t>
      </w:r>
      <w:r w:rsidR="00DE53A5">
        <w:rPr>
          <w:rFonts w:ascii="Georgia" w:hAnsi="Georgia"/>
          <w:lang w:val="en-GB"/>
        </w:rPr>
        <w:t xml:space="preserve">of the dissertation possible. As a consequence, </w:t>
      </w:r>
      <w:r w:rsidR="00CF5E1D">
        <w:rPr>
          <w:rFonts w:ascii="Georgia" w:hAnsi="Georgia"/>
          <w:lang w:val="en-GB"/>
        </w:rPr>
        <w:t xml:space="preserve">strategic planning or MRE </w:t>
      </w:r>
      <w:r w:rsidR="00DE53A5">
        <w:rPr>
          <w:rFonts w:ascii="Georgia" w:hAnsi="Georgia"/>
          <w:lang w:val="en-GB"/>
        </w:rPr>
        <w:t>documents that have been adopted/published si</w:t>
      </w:r>
      <w:r w:rsidR="00CF5E1D">
        <w:rPr>
          <w:rFonts w:ascii="Georgia" w:hAnsi="Georgia"/>
          <w:lang w:val="en-GB"/>
        </w:rPr>
        <w:t>n</w:t>
      </w:r>
      <w:r w:rsidR="00DE53A5">
        <w:rPr>
          <w:rFonts w:ascii="Georgia" w:hAnsi="Georgia"/>
          <w:lang w:val="en-GB"/>
        </w:rPr>
        <w:t>ce then</w:t>
      </w:r>
      <w:r w:rsidR="00262B1F">
        <w:rPr>
          <w:rFonts w:ascii="Georgia" w:hAnsi="Georgia"/>
          <w:lang w:val="en-GB"/>
        </w:rPr>
        <w:t>, as well as additional information, have not been made public and</w:t>
      </w:r>
      <w:r w:rsidR="005417FC">
        <w:rPr>
          <w:rFonts w:ascii="Georgia" w:hAnsi="Georgia"/>
          <w:lang w:val="en-GB"/>
        </w:rPr>
        <w:t xml:space="preserve"> were</w:t>
      </w:r>
      <w:r w:rsidR="001B42B6">
        <w:rPr>
          <w:rFonts w:ascii="Georgia" w:hAnsi="Georgia"/>
          <w:lang w:val="en-GB"/>
        </w:rPr>
        <w:t xml:space="preserve"> not taken into consideration in the empirical analysis. This decision caused some disadvantages</w:t>
      </w:r>
      <w:r w:rsidR="00904CAF">
        <w:rPr>
          <w:rFonts w:ascii="Georgia" w:hAnsi="Georgia"/>
          <w:lang w:val="en-GB"/>
        </w:rPr>
        <w:t xml:space="preserve">. Just mentioning </w:t>
      </w:r>
      <w:r w:rsidR="00180164">
        <w:rPr>
          <w:rFonts w:ascii="Georgia" w:hAnsi="Georgia"/>
          <w:lang w:val="en-GB"/>
        </w:rPr>
        <w:t xml:space="preserve">some </w:t>
      </w:r>
      <w:r w:rsidR="00904CAF">
        <w:rPr>
          <w:rFonts w:ascii="Georgia" w:hAnsi="Georgia"/>
          <w:lang w:val="en-GB"/>
        </w:rPr>
        <w:t>examples</w:t>
      </w:r>
      <w:r w:rsidR="001B42B6">
        <w:rPr>
          <w:rFonts w:ascii="Georgia" w:hAnsi="Georgia"/>
          <w:lang w:val="en-GB"/>
        </w:rPr>
        <w:t>: e.g. Finland has just recently published a comprehensive study on its planned MRE system and indicator development activities in adaptation; meanwhile</w:t>
      </w:r>
      <w:r w:rsidR="00262B1F">
        <w:rPr>
          <w:rFonts w:ascii="Georgia" w:hAnsi="Georgia"/>
          <w:lang w:val="en-GB"/>
        </w:rPr>
        <w:t>,</w:t>
      </w:r>
      <w:r w:rsidR="001B42B6">
        <w:rPr>
          <w:rFonts w:ascii="Georgia" w:hAnsi="Georgia"/>
          <w:lang w:val="en-GB"/>
        </w:rPr>
        <w:t xml:space="preserve"> Iceland </w:t>
      </w:r>
      <w:r w:rsidR="00723F21">
        <w:rPr>
          <w:rFonts w:ascii="Georgia" w:hAnsi="Georgia"/>
          <w:lang w:val="en-GB"/>
        </w:rPr>
        <w:t xml:space="preserve">has only currently revealed that it </w:t>
      </w:r>
      <w:r w:rsidR="006B4495">
        <w:rPr>
          <w:rFonts w:ascii="Georgia" w:hAnsi="Georgia"/>
          <w:lang w:val="en-GB"/>
        </w:rPr>
        <w:t xml:space="preserve">currently works on </w:t>
      </w:r>
      <w:r w:rsidR="00904CAF">
        <w:rPr>
          <w:rFonts w:ascii="Georgia" w:hAnsi="Georgia"/>
          <w:lang w:val="en-GB"/>
        </w:rPr>
        <w:t xml:space="preserve">its national </w:t>
      </w:r>
      <w:r w:rsidR="006B4495">
        <w:rPr>
          <w:rFonts w:ascii="Georgia" w:hAnsi="Georgia"/>
          <w:lang w:val="en-GB"/>
        </w:rPr>
        <w:t>adaptation-related GIS and web-based decision system to</w:t>
      </w:r>
      <w:r w:rsidR="00904CAF">
        <w:rPr>
          <w:rFonts w:ascii="Georgia" w:hAnsi="Georgia"/>
          <w:lang w:val="en-GB"/>
        </w:rPr>
        <w:t>o</w:t>
      </w:r>
      <w:r w:rsidR="006B4495">
        <w:rPr>
          <w:rFonts w:ascii="Georgia" w:hAnsi="Georgia"/>
          <w:lang w:val="en-GB"/>
        </w:rPr>
        <w:t>l development</w:t>
      </w:r>
      <w:r w:rsidR="00F41FA7">
        <w:rPr>
          <w:rFonts w:ascii="Georgia" w:hAnsi="Georgia"/>
          <w:lang w:val="en-GB"/>
        </w:rPr>
        <w:t xml:space="preserve"> – these information consequently is not part of the basis of the </w:t>
      </w:r>
      <w:r w:rsidR="00CF5E1D">
        <w:rPr>
          <w:rFonts w:ascii="Georgia" w:hAnsi="Georgia"/>
          <w:lang w:val="en-GB"/>
        </w:rPr>
        <w:t xml:space="preserve">calculation of the </w:t>
      </w:r>
      <w:r w:rsidR="00F41FA7">
        <w:rPr>
          <w:rFonts w:ascii="Georgia" w:hAnsi="Georgia"/>
          <w:lang w:val="en-GB"/>
        </w:rPr>
        <w:t>countr</w:t>
      </w:r>
      <w:r w:rsidR="00723F21">
        <w:rPr>
          <w:rFonts w:ascii="Georgia" w:hAnsi="Georgia"/>
          <w:lang w:val="en-GB"/>
        </w:rPr>
        <w:t>ies’</w:t>
      </w:r>
      <w:r w:rsidR="00F41FA7">
        <w:rPr>
          <w:rFonts w:ascii="Georgia" w:hAnsi="Georgia"/>
          <w:lang w:val="en-GB"/>
        </w:rPr>
        <w:t xml:space="preserve"> </w:t>
      </w:r>
      <w:r w:rsidR="00CF5E1D">
        <w:rPr>
          <w:rFonts w:ascii="Georgia" w:hAnsi="Georgia"/>
          <w:lang w:val="en-GB"/>
        </w:rPr>
        <w:t>spatial sensitivity composite indicator.</w:t>
      </w:r>
      <w:r w:rsidR="00F41FA7">
        <w:rPr>
          <w:rFonts w:ascii="Georgia" w:hAnsi="Georgia"/>
          <w:lang w:val="en-GB"/>
        </w:rPr>
        <w:t xml:space="preserve"> </w:t>
      </w:r>
      <w:r w:rsidR="00180164">
        <w:rPr>
          <w:rFonts w:ascii="Georgia" w:hAnsi="Georgia"/>
          <w:lang w:val="en-GB"/>
        </w:rPr>
        <w:t xml:space="preserve">Similarly, the Hungarian National Climate Change Strategy </w:t>
      </w:r>
      <w:r w:rsidR="00E67CEF">
        <w:rPr>
          <w:rFonts w:ascii="Georgia" w:hAnsi="Georgia"/>
          <w:lang w:val="en-GB"/>
        </w:rPr>
        <w:t xml:space="preserve">is </w:t>
      </w:r>
      <w:r w:rsidR="00CA2AC6">
        <w:rPr>
          <w:rFonts w:ascii="Georgia" w:hAnsi="Georgia"/>
          <w:lang w:val="en-GB"/>
        </w:rPr>
        <w:t xml:space="preserve">being </w:t>
      </w:r>
      <w:r w:rsidR="00E67CEF">
        <w:rPr>
          <w:rFonts w:ascii="Georgia" w:hAnsi="Georgia"/>
          <w:lang w:val="en-GB"/>
        </w:rPr>
        <w:t>elaborated now. C</w:t>
      </w:r>
      <w:r w:rsidR="00180164">
        <w:rPr>
          <w:rFonts w:ascii="Georgia" w:hAnsi="Georgia"/>
          <w:lang w:val="en-GB"/>
        </w:rPr>
        <w:t>urrently</w:t>
      </w:r>
      <w:r w:rsidR="00262B1F">
        <w:rPr>
          <w:rFonts w:ascii="Georgia" w:hAnsi="Georgia"/>
          <w:lang w:val="en-GB"/>
        </w:rPr>
        <w:t>,</w:t>
      </w:r>
      <w:r w:rsidR="00180164">
        <w:rPr>
          <w:rFonts w:ascii="Georgia" w:hAnsi="Georgia"/>
          <w:lang w:val="en-GB"/>
        </w:rPr>
        <w:t xml:space="preserve"> there are some sign</w:t>
      </w:r>
      <w:r w:rsidR="00E67CEF">
        <w:rPr>
          <w:rFonts w:ascii="Georgia" w:hAnsi="Georgia"/>
          <w:lang w:val="en-GB"/>
        </w:rPr>
        <w:t>s</w:t>
      </w:r>
      <w:r w:rsidR="00180164">
        <w:rPr>
          <w:rFonts w:ascii="Georgia" w:hAnsi="Georgia"/>
          <w:lang w:val="en-GB"/>
        </w:rPr>
        <w:t xml:space="preserve"> that spatiality will be strengthened even more </w:t>
      </w:r>
      <w:r w:rsidR="00E67CEF">
        <w:rPr>
          <w:rFonts w:ascii="Georgia" w:hAnsi="Georgia"/>
          <w:lang w:val="en-GB"/>
        </w:rPr>
        <w:t xml:space="preserve">in its objective system </w:t>
      </w:r>
      <w:r w:rsidR="00180164">
        <w:rPr>
          <w:rFonts w:ascii="Georgia" w:hAnsi="Georgia"/>
          <w:lang w:val="en-GB"/>
        </w:rPr>
        <w:t xml:space="preserve">than the dissertation </w:t>
      </w:r>
      <w:r w:rsidR="00CA2AC6">
        <w:rPr>
          <w:rFonts w:ascii="Georgia" w:hAnsi="Georgia"/>
          <w:lang w:val="en-GB"/>
        </w:rPr>
        <w:t>otherwise also indicates, but the empirical work phase, naturally</w:t>
      </w:r>
      <w:r w:rsidR="00E67CEF">
        <w:rPr>
          <w:rFonts w:ascii="Georgia" w:hAnsi="Georgia"/>
          <w:lang w:val="en-GB"/>
        </w:rPr>
        <w:t>,</w:t>
      </w:r>
      <w:r w:rsidR="00CA2AC6">
        <w:rPr>
          <w:rFonts w:ascii="Georgia" w:hAnsi="Georgia"/>
          <w:lang w:val="en-GB"/>
        </w:rPr>
        <w:t xml:space="preserve"> was not able to count with this unofficial information. </w:t>
      </w:r>
      <w:r w:rsidR="00A75E77" w:rsidRPr="0002056A">
        <w:rPr>
          <w:rFonts w:ascii="Georgia" w:hAnsi="Georgia"/>
          <w:b/>
          <w:bCs/>
          <w:lang w:val="en-GB"/>
        </w:rPr>
        <w:t xml:space="preserve">A </w:t>
      </w:r>
      <w:r w:rsidR="00356525" w:rsidRPr="0002056A">
        <w:rPr>
          <w:rFonts w:ascii="Georgia" w:hAnsi="Georgia"/>
          <w:b/>
          <w:bCs/>
          <w:lang w:val="en-GB"/>
        </w:rPr>
        <w:t>potential further research direction</w:t>
      </w:r>
      <w:r w:rsidR="00356525" w:rsidRPr="0002056A">
        <w:rPr>
          <w:rFonts w:ascii="Georgia" w:hAnsi="Georgia"/>
          <w:lang w:val="en-GB"/>
        </w:rPr>
        <w:t xml:space="preserve"> </w:t>
      </w:r>
      <w:r w:rsidRPr="0002056A">
        <w:rPr>
          <w:rFonts w:ascii="Georgia" w:hAnsi="Georgia"/>
          <w:lang w:val="en-GB"/>
        </w:rPr>
        <w:t>c</w:t>
      </w:r>
      <w:r w:rsidR="00A75E77" w:rsidRPr="0002056A">
        <w:rPr>
          <w:rFonts w:ascii="Georgia" w:hAnsi="Georgia"/>
          <w:lang w:val="en-GB"/>
        </w:rPr>
        <w:t>ould be</w:t>
      </w:r>
      <w:r w:rsidR="00356525" w:rsidRPr="0002056A">
        <w:rPr>
          <w:rFonts w:ascii="Georgia" w:hAnsi="Georgia"/>
          <w:lang w:val="en-GB"/>
        </w:rPr>
        <w:t xml:space="preserve"> the widening of the research into the real</w:t>
      </w:r>
      <w:r w:rsidR="00A75E77" w:rsidRPr="0002056A">
        <w:rPr>
          <w:rFonts w:ascii="Georgia" w:hAnsi="Georgia"/>
          <w:lang w:val="en-GB"/>
        </w:rPr>
        <w:t>m</w:t>
      </w:r>
      <w:r w:rsidR="00356525" w:rsidRPr="0002056A">
        <w:rPr>
          <w:rFonts w:ascii="Georgia" w:hAnsi="Georgia"/>
          <w:lang w:val="en-GB"/>
        </w:rPr>
        <w:t xml:space="preserve">s of dynamic assessments, comparing different generations of NAS/NAP documents within a given country and evaluating the strengthening or weakening of spatial performances </w:t>
      </w:r>
      <w:r w:rsidR="00180164">
        <w:rPr>
          <w:rFonts w:ascii="Georgia" w:hAnsi="Georgia"/>
          <w:lang w:val="en-GB"/>
        </w:rPr>
        <w:t>of</w:t>
      </w:r>
      <w:r w:rsidR="00356525" w:rsidRPr="0002056A">
        <w:rPr>
          <w:rFonts w:ascii="Georgia" w:hAnsi="Georgia"/>
          <w:lang w:val="en-GB"/>
        </w:rPr>
        <w:t xml:space="preserve"> these as we progress in time. These </w:t>
      </w:r>
      <w:r w:rsidR="00492ED9" w:rsidRPr="0002056A">
        <w:rPr>
          <w:rFonts w:ascii="Georgia" w:hAnsi="Georgia"/>
          <w:lang w:val="en-GB"/>
        </w:rPr>
        <w:t xml:space="preserve">results could be added to the current ones as some new dynamic indices in </w:t>
      </w:r>
      <w:r w:rsidR="00964B38" w:rsidRPr="0002056A">
        <w:rPr>
          <w:rFonts w:ascii="Georgia" w:hAnsi="Georgia"/>
          <w:lang w:val="en-GB"/>
        </w:rPr>
        <w:t>the analysis</w:t>
      </w:r>
      <w:r w:rsidR="00492ED9" w:rsidRPr="0002056A">
        <w:rPr>
          <w:rFonts w:ascii="Georgia" w:hAnsi="Georgia"/>
          <w:lang w:val="en-GB"/>
        </w:rPr>
        <w:t xml:space="preserve">. At the same time, the different </w:t>
      </w:r>
      <w:r w:rsidR="00071D33">
        <w:rPr>
          <w:rFonts w:ascii="Georgia" w:hAnsi="Georgia"/>
          <w:lang w:val="en-GB"/>
        </w:rPr>
        <w:t>situations in different countries (in some states, already 2 or 3 adaptation planning cycles have been implemented, meanwhile in others, only 1) would make this kind of dynamic comparison</w:t>
      </w:r>
      <w:r w:rsidR="008D2A24" w:rsidRPr="0002056A">
        <w:rPr>
          <w:rFonts w:ascii="Georgia" w:hAnsi="Georgia"/>
          <w:lang w:val="en-GB"/>
        </w:rPr>
        <w:t xml:space="preserve"> </w:t>
      </w:r>
      <w:r w:rsidR="00A9420C" w:rsidRPr="0002056A">
        <w:rPr>
          <w:rFonts w:ascii="Georgia" w:hAnsi="Georgia"/>
          <w:lang w:val="en-GB"/>
        </w:rPr>
        <w:t>difficult</w:t>
      </w:r>
      <w:r w:rsidR="008D2A24" w:rsidRPr="0002056A">
        <w:rPr>
          <w:rFonts w:ascii="Georgia" w:hAnsi="Georgia"/>
          <w:lang w:val="en-GB"/>
        </w:rPr>
        <w:t>.</w:t>
      </w:r>
    </w:p>
    <w:p w14:paraId="2ED12712" w14:textId="5E2EC175" w:rsidR="00F4393A" w:rsidRDefault="008D2A24" w:rsidP="00F00409">
      <w:pPr>
        <w:spacing w:before="120" w:after="120"/>
        <w:jc w:val="both"/>
        <w:rPr>
          <w:rFonts w:ascii="Georgia" w:hAnsi="Georgia"/>
          <w:lang w:val="en-GB"/>
        </w:rPr>
      </w:pPr>
      <w:r w:rsidRPr="0002056A">
        <w:rPr>
          <w:rFonts w:ascii="Georgia" w:hAnsi="Georgia"/>
          <w:lang w:val="en-GB"/>
        </w:rPr>
        <w:t>Last but not least</w:t>
      </w:r>
      <w:r w:rsidR="00071D33">
        <w:rPr>
          <w:rFonts w:ascii="Georgia" w:hAnsi="Georgia"/>
          <w:lang w:val="en-GB"/>
        </w:rPr>
        <w:t>,</w:t>
      </w:r>
      <w:r w:rsidRPr="0002056A">
        <w:rPr>
          <w:rFonts w:ascii="Georgia" w:hAnsi="Georgia"/>
          <w:lang w:val="en-GB"/>
        </w:rPr>
        <w:t xml:space="preserve"> </w:t>
      </w:r>
      <w:r w:rsidRPr="00F4393A">
        <w:rPr>
          <w:rFonts w:ascii="Georgia" w:hAnsi="Georgia"/>
          <w:b/>
          <w:bCs/>
          <w:lang w:val="en-GB"/>
        </w:rPr>
        <w:t xml:space="preserve">we can </w:t>
      </w:r>
      <w:r w:rsidR="00964B38" w:rsidRPr="00F4393A">
        <w:rPr>
          <w:rFonts w:ascii="Georgia" w:hAnsi="Georgia"/>
          <w:b/>
          <w:bCs/>
          <w:lang w:val="en-GB"/>
        </w:rPr>
        <w:t xml:space="preserve">naturally </w:t>
      </w:r>
      <w:r w:rsidRPr="00F4393A">
        <w:rPr>
          <w:rFonts w:ascii="Georgia" w:hAnsi="Georgia"/>
          <w:b/>
          <w:bCs/>
          <w:lang w:val="en-GB"/>
        </w:rPr>
        <w:t>go down to subnational levels</w:t>
      </w:r>
      <w:r w:rsidRPr="0002056A">
        <w:rPr>
          <w:rFonts w:ascii="Georgia" w:hAnsi="Georgia"/>
          <w:lang w:val="en-GB"/>
        </w:rPr>
        <w:t xml:space="preserve">, analysing regional or municipal performances, </w:t>
      </w:r>
      <w:r w:rsidR="00964B38" w:rsidRPr="00F4393A">
        <w:rPr>
          <w:rFonts w:ascii="Georgia" w:hAnsi="Georgia"/>
          <w:b/>
          <w:bCs/>
          <w:lang w:val="en-GB"/>
        </w:rPr>
        <w:t xml:space="preserve">instead of the several times too abstract national </w:t>
      </w:r>
      <w:r w:rsidR="00964B38" w:rsidRPr="0002056A">
        <w:rPr>
          <w:rFonts w:ascii="Georgia" w:hAnsi="Georgia"/>
          <w:lang w:val="en-GB"/>
        </w:rPr>
        <w:t xml:space="preserve">one. Analysis of the lower spatial </w:t>
      </w:r>
      <w:r w:rsidR="00F048E0">
        <w:rPr>
          <w:rFonts w:ascii="Georgia" w:hAnsi="Georgia"/>
          <w:lang w:val="en-GB"/>
        </w:rPr>
        <w:t>hierarchies</w:t>
      </w:r>
      <w:r w:rsidR="00964B38" w:rsidRPr="0002056A">
        <w:rPr>
          <w:rFonts w:ascii="Georgia" w:hAnsi="Georgia"/>
          <w:lang w:val="en-GB"/>
        </w:rPr>
        <w:t xml:space="preserve"> could be </w:t>
      </w:r>
      <w:r w:rsidRPr="0002056A">
        <w:rPr>
          <w:rFonts w:ascii="Georgia" w:hAnsi="Georgia"/>
          <w:lang w:val="en-GB"/>
        </w:rPr>
        <w:t xml:space="preserve">based on a similar or </w:t>
      </w:r>
      <w:r w:rsidR="00F24827" w:rsidRPr="0002056A">
        <w:rPr>
          <w:rFonts w:ascii="Georgia" w:hAnsi="Georgia"/>
          <w:lang w:val="en-GB"/>
        </w:rPr>
        <w:t xml:space="preserve">almost identical analytical aspect system that was applied by my dissertation. Of course, given the enormous number of spatial items in Europe at </w:t>
      </w:r>
      <w:r w:rsidR="00071D33">
        <w:rPr>
          <w:rFonts w:ascii="Georgia" w:hAnsi="Georgia"/>
          <w:lang w:val="en-GB"/>
        </w:rPr>
        <w:t xml:space="preserve">the </w:t>
      </w:r>
      <w:r w:rsidR="00F24827" w:rsidRPr="0002056A">
        <w:rPr>
          <w:rFonts w:ascii="Georgia" w:hAnsi="Georgia"/>
          <w:lang w:val="en-GB"/>
        </w:rPr>
        <w:t xml:space="preserve">regional or local level, </w:t>
      </w:r>
      <w:r w:rsidR="00F13775" w:rsidRPr="0002056A">
        <w:rPr>
          <w:rFonts w:ascii="Georgia" w:hAnsi="Georgia"/>
          <w:lang w:val="en-GB"/>
        </w:rPr>
        <w:t>new research can concentrate on a given country</w:t>
      </w:r>
      <w:r w:rsidR="000B7822" w:rsidRPr="0002056A">
        <w:rPr>
          <w:rFonts w:ascii="Georgia" w:hAnsi="Georgia"/>
          <w:lang w:val="en-GB"/>
        </w:rPr>
        <w:t xml:space="preserve">’s or macro regions’ subregions or a given country’s settlement stock </w:t>
      </w:r>
      <w:r w:rsidR="00F13775" w:rsidRPr="0002056A">
        <w:rPr>
          <w:rFonts w:ascii="Georgia" w:hAnsi="Georgia"/>
          <w:lang w:val="en-GB"/>
        </w:rPr>
        <w:t>instead of all European states.</w:t>
      </w:r>
      <w:r w:rsidR="009B1C07" w:rsidRPr="0002056A">
        <w:rPr>
          <w:rFonts w:ascii="Georgia" w:hAnsi="Georgia"/>
          <w:lang w:val="en-GB"/>
        </w:rPr>
        <w:t xml:space="preserve"> </w:t>
      </w:r>
    </w:p>
    <w:p w14:paraId="2E605533" w14:textId="25397537" w:rsidR="00356525" w:rsidRDefault="00A9420C" w:rsidP="00F00409">
      <w:pPr>
        <w:spacing w:before="120" w:after="120"/>
        <w:jc w:val="both"/>
        <w:rPr>
          <w:rFonts w:ascii="Georgia" w:hAnsi="Georgia"/>
          <w:lang w:val="en-GB"/>
        </w:rPr>
      </w:pPr>
      <w:r w:rsidRPr="0002056A">
        <w:rPr>
          <w:rFonts w:ascii="Georgia" w:hAnsi="Georgia"/>
          <w:lang w:val="en-GB"/>
        </w:rPr>
        <w:t xml:space="preserve">The enlisted potential ways of further development of the current research could deepen the understanding of European adaptation </w:t>
      </w:r>
      <w:r w:rsidR="00DE66B8" w:rsidRPr="0002056A">
        <w:rPr>
          <w:rFonts w:ascii="Georgia" w:hAnsi="Georgia"/>
          <w:lang w:val="en-GB"/>
        </w:rPr>
        <w:t xml:space="preserve">policies’ spatiality. </w:t>
      </w:r>
      <w:r w:rsidR="00524A75" w:rsidRPr="0002056A">
        <w:rPr>
          <w:rFonts w:ascii="Georgia" w:hAnsi="Georgia"/>
          <w:lang w:val="en-GB"/>
        </w:rPr>
        <w:t>A</w:t>
      </w:r>
      <w:r w:rsidR="00DE66B8" w:rsidRPr="0002056A">
        <w:rPr>
          <w:rFonts w:ascii="Georgia" w:hAnsi="Georgia"/>
          <w:lang w:val="en-GB"/>
        </w:rPr>
        <w:t xml:space="preserve">s we see, the possibilities to continue the examination </w:t>
      </w:r>
      <w:r w:rsidR="00071D33">
        <w:rPr>
          <w:rFonts w:ascii="Georgia" w:hAnsi="Georgia"/>
          <w:lang w:val="en-GB"/>
        </w:rPr>
        <w:t>are almost infinite;</w:t>
      </w:r>
      <w:r w:rsidR="00DE66B8" w:rsidRPr="0002056A">
        <w:rPr>
          <w:rFonts w:ascii="Georgia" w:hAnsi="Georgia"/>
          <w:lang w:val="en-GB"/>
        </w:rPr>
        <w:t xml:space="preserve"> </w:t>
      </w:r>
      <w:r w:rsidR="00EC752A">
        <w:rPr>
          <w:rFonts w:ascii="Georgia" w:hAnsi="Georgia"/>
          <w:lang w:val="en-GB"/>
        </w:rPr>
        <w:t>one</w:t>
      </w:r>
      <w:r w:rsidR="00DE66B8" w:rsidRPr="0002056A">
        <w:rPr>
          <w:rFonts w:ascii="Georgia" w:hAnsi="Georgia"/>
          <w:lang w:val="en-GB"/>
        </w:rPr>
        <w:t xml:space="preserve"> must only </w:t>
      </w:r>
      <w:r w:rsidR="009B1C07" w:rsidRPr="0002056A">
        <w:rPr>
          <w:rFonts w:ascii="Georgia" w:hAnsi="Georgia"/>
          <w:lang w:val="en-GB"/>
        </w:rPr>
        <w:t xml:space="preserve">find the proper </w:t>
      </w:r>
      <w:r w:rsidR="00524A75" w:rsidRPr="0002056A">
        <w:rPr>
          <w:rFonts w:ascii="Georgia" w:hAnsi="Georgia"/>
          <w:lang w:val="en-GB"/>
        </w:rPr>
        <w:t>partners / methodological refinements</w:t>
      </w:r>
      <w:r w:rsidR="009B1C07" w:rsidRPr="0002056A">
        <w:rPr>
          <w:rFonts w:ascii="Georgia" w:hAnsi="Georgia"/>
          <w:lang w:val="en-GB"/>
        </w:rPr>
        <w:t xml:space="preserve"> to continue the research directions th</w:t>
      </w:r>
      <w:r w:rsidR="00EC752A">
        <w:rPr>
          <w:rFonts w:ascii="Georgia" w:hAnsi="Georgia"/>
          <w:lang w:val="en-GB"/>
        </w:rPr>
        <w:t>is</w:t>
      </w:r>
      <w:r w:rsidR="009B1C07" w:rsidRPr="0002056A">
        <w:rPr>
          <w:rFonts w:ascii="Georgia" w:hAnsi="Georgia"/>
          <w:lang w:val="en-GB"/>
        </w:rPr>
        <w:t xml:space="preserve"> dissertation has started. </w:t>
      </w:r>
    </w:p>
    <w:p w14:paraId="35A6D5B8" w14:textId="07D3C1F1" w:rsidR="00071D33" w:rsidRDefault="00071D33">
      <w:pPr>
        <w:spacing w:after="160" w:line="259" w:lineRule="auto"/>
        <w:rPr>
          <w:rFonts w:ascii="Georgia" w:hAnsi="Georgia"/>
          <w:lang w:val="en-GB"/>
        </w:rPr>
      </w:pPr>
      <w:r>
        <w:rPr>
          <w:rFonts w:ascii="Georgia" w:hAnsi="Georgia"/>
          <w:lang w:val="en-GB"/>
        </w:rPr>
        <w:br w:type="page"/>
      </w:r>
    </w:p>
    <w:p w14:paraId="61C3E1F6" w14:textId="77777777" w:rsidR="00071D33" w:rsidRPr="0002056A" w:rsidRDefault="00071D33" w:rsidP="00F00409">
      <w:pPr>
        <w:spacing w:before="120" w:after="120"/>
        <w:jc w:val="both"/>
        <w:rPr>
          <w:rFonts w:ascii="Georgia" w:hAnsi="Georgia"/>
          <w:lang w:val="en-GB"/>
        </w:rPr>
      </w:pPr>
    </w:p>
    <w:p w14:paraId="1E737C27" w14:textId="0494B01A" w:rsidR="00E723CD" w:rsidRPr="0002056A" w:rsidRDefault="00E723CD" w:rsidP="00FA2C76">
      <w:pPr>
        <w:pStyle w:val="Cmsor1"/>
        <w:numPr>
          <w:ilvl w:val="0"/>
          <w:numId w:val="30"/>
        </w:numPr>
        <w:rPr>
          <w:rFonts w:asciiTheme="minorHAnsi" w:hAnsiTheme="minorHAnsi" w:cstheme="minorHAnsi"/>
          <w:lang w:val="en-GB"/>
        </w:rPr>
      </w:pPr>
      <w:bookmarkStart w:id="66" w:name="_Toc133854457"/>
      <w:bookmarkStart w:id="67" w:name="_Toc225578883"/>
      <w:r w:rsidRPr="0002056A">
        <w:rPr>
          <w:rFonts w:asciiTheme="minorHAnsi" w:hAnsiTheme="minorHAnsi" w:cstheme="minorHAnsi"/>
          <w:lang w:val="en-GB"/>
        </w:rPr>
        <w:t>List of used references</w:t>
      </w:r>
      <w:bookmarkEnd w:id="66"/>
      <w:bookmarkEnd w:id="67"/>
      <w:r w:rsidRPr="0002056A">
        <w:rPr>
          <w:rFonts w:asciiTheme="minorHAnsi" w:hAnsiTheme="minorHAnsi" w:cstheme="minorHAnsi"/>
          <w:lang w:val="en-GB"/>
        </w:rPr>
        <w:t xml:space="preserve"> </w:t>
      </w:r>
    </w:p>
    <w:p w14:paraId="6BB0D907" w14:textId="7F82E773" w:rsidR="0056450E" w:rsidRPr="0002056A" w:rsidRDefault="0056450E"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Abrahams, D., Carr, E.J. (2017):</w:t>
      </w:r>
      <w:r w:rsidRPr="0002056A">
        <w:rPr>
          <w:rFonts w:ascii="Georgia" w:eastAsia="Times New Roman" w:hAnsi="Georgia" w:cs="Times New Roman"/>
          <w:color w:val="000000"/>
          <w:sz w:val="16"/>
          <w:szCs w:val="16"/>
          <w:lang w:val="en-GB" w:eastAsia="hu-HU"/>
        </w:rPr>
        <w:t xml:space="preserve"> Understanding the Connections Between Climate Change and Conflict: Contributions </w:t>
      </w:r>
      <w:r w:rsidR="0028767B" w:rsidRPr="0002056A">
        <w:rPr>
          <w:rFonts w:ascii="Georgia" w:eastAsia="Times New Roman" w:hAnsi="Georgia" w:cs="Times New Roman"/>
          <w:color w:val="000000"/>
          <w:sz w:val="16"/>
          <w:szCs w:val="16"/>
          <w:lang w:val="en-GB" w:eastAsia="hu-HU"/>
        </w:rPr>
        <w:t>from</w:t>
      </w:r>
      <w:r w:rsidRPr="0002056A">
        <w:rPr>
          <w:rFonts w:ascii="Georgia" w:eastAsia="Times New Roman" w:hAnsi="Georgia" w:cs="Times New Roman"/>
          <w:color w:val="000000"/>
          <w:sz w:val="16"/>
          <w:szCs w:val="16"/>
          <w:lang w:val="en-GB" w:eastAsia="hu-HU"/>
        </w:rPr>
        <w:t xml:space="preserve"> Geography and Political Ecology. Current Climate Change Reports, Climate Change and Conflicts volume 3, pp 233–242. </w:t>
      </w:r>
      <w:hyperlink r:id="rId50" w:history="1">
        <w:r w:rsidRPr="0002056A">
          <w:rPr>
            <w:rFonts w:ascii="Georgia" w:eastAsia="Times New Roman" w:hAnsi="Georgia" w:cs="Times New Roman"/>
            <w:color w:val="000000"/>
            <w:sz w:val="16"/>
            <w:szCs w:val="16"/>
            <w:lang w:val="en-GB" w:eastAsia="hu-HU"/>
          </w:rPr>
          <w:t>https://doi.org/10.1007/s40641-017-0080-z</w:t>
        </w:r>
      </w:hyperlink>
      <w:r w:rsidRPr="0002056A">
        <w:rPr>
          <w:rFonts w:ascii="Georgia" w:eastAsia="Times New Roman" w:hAnsi="Georgia" w:cs="Times New Roman"/>
          <w:color w:val="000000"/>
          <w:sz w:val="16"/>
          <w:szCs w:val="16"/>
          <w:lang w:val="en-GB" w:eastAsia="hu-HU"/>
        </w:rPr>
        <w:t>. Springer, 2017.</w:t>
      </w:r>
    </w:p>
    <w:p w14:paraId="4F6E94F2" w14:textId="78CC5A11"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Agnew, J. (</w:t>
      </w:r>
      <w:r w:rsidRPr="0002056A">
        <w:rPr>
          <w:rFonts w:ascii="Georgia" w:eastAsia="Times New Roman" w:hAnsi="Georgia" w:cs="Times New Roman"/>
          <w:b/>
          <w:smallCaps/>
          <w:color w:val="000000"/>
          <w:sz w:val="16"/>
          <w:szCs w:val="16"/>
          <w:lang w:val="en-GB" w:eastAsia="hu-HU"/>
        </w:rPr>
        <w:t>1998):</w:t>
      </w:r>
      <w:r w:rsidRPr="0002056A">
        <w:rPr>
          <w:rFonts w:ascii="Georgia" w:eastAsia="Times New Roman" w:hAnsi="Georgia" w:cs="Times New Roman"/>
          <w:color w:val="000000"/>
          <w:sz w:val="16"/>
          <w:szCs w:val="16"/>
          <w:lang w:val="en-GB" w:eastAsia="hu-HU"/>
        </w:rPr>
        <w:t xml:space="preserve"> Geopolitics: Re-visioning world politics. Second Edition. Routledge, London-New York. Second edition 2003 Taylor &amp; Francis Group</w:t>
      </w:r>
    </w:p>
    <w:p w14:paraId="6054EB44" w14:textId="0C59677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Agnew, J. (</w:t>
      </w:r>
      <w:r w:rsidRPr="0002056A">
        <w:rPr>
          <w:rFonts w:ascii="Georgia" w:eastAsia="Times New Roman" w:hAnsi="Georgia" w:cs="Times New Roman"/>
          <w:b/>
          <w:smallCaps/>
          <w:color w:val="000000"/>
          <w:sz w:val="16"/>
          <w:szCs w:val="16"/>
          <w:lang w:val="en-GB" w:eastAsia="hu-HU"/>
        </w:rPr>
        <w:t>1989):</w:t>
      </w:r>
      <w:r w:rsidRPr="0002056A">
        <w:rPr>
          <w:rFonts w:ascii="Georgia" w:eastAsia="Times New Roman" w:hAnsi="Georgia" w:cs="Times New Roman"/>
          <w:color w:val="000000"/>
          <w:sz w:val="16"/>
          <w:szCs w:val="16"/>
          <w:lang w:val="en-GB" w:eastAsia="hu-HU"/>
        </w:rPr>
        <w:t xml:space="preserve"> The devaluation of place in social science. In.: Agnew, J.- Duncan, </w:t>
      </w:r>
      <w:r w:rsidR="0028767B" w:rsidRPr="0002056A">
        <w:rPr>
          <w:rFonts w:ascii="Georgia" w:eastAsia="Times New Roman" w:hAnsi="Georgia" w:cs="Times New Roman"/>
          <w:color w:val="000000"/>
          <w:sz w:val="16"/>
          <w:szCs w:val="16"/>
          <w:lang w:val="en-GB" w:eastAsia="hu-HU"/>
        </w:rPr>
        <w:t>J.:</w:t>
      </w:r>
      <w:r w:rsidRPr="0002056A">
        <w:rPr>
          <w:rFonts w:ascii="Georgia" w:eastAsia="Times New Roman" w:hAnsi="Georgia" w:cs="Times New Roman"/>
          <w:color w:val="000000"/>
          <w:sz w:val="16"/>
          <w:szCs w:val="16"/>
          <w:lang w:val="en-GB" w:eastAsia="hu-HU"/>
        </w:rPr>
        <w:t xml:space="preserve"> The Power of Place (RLE Social &amp; Cultural Geography)</w:t>
      </w:r>
    </w:p>
    <w:p w14:paraId="34D28A5D"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Amin, A.  (</w:t>
      </w:r>
      <w:r w:rsidRPr="0002056A">
        <w:rPr>
          <w:rFonts w:ascii="Georgia" w:eastAsia="Times New Roman" w:hAnsi="Georgia" w:cs="Times New Roman"/>
          <w:b/>
          <w:smallCaps/>
          <w:color w:val="000000"/>
          <w:sz w:val="16"/>
          <w:szCs w:val="16"/>
          <w:lang w:val="en-GB" w:eastAsia="hu-HU"/>
        </w:rPr>
        <w:t>2002):</w:t>
      </w:r>
      <w:r w:rsidRPr="0002056A">
        <w:rPr>
          <w:rFonts w:ascii="Georgia" w:eastAsia="Times New Roman" w:hAnsi="Georgia" w:cs="Times New Roman"/>
          <w:color w:val="000000"/>
          <w:sz w:val="16"/>
          <w:szCs w:val="16"/>
          <w:lang w:val="en-GB" w:eastAsia="hu-HU"/>
        </w:rPr>
        <w:t xml:space="preserve"> Spatialities of Globalisation. </w:t>
      </w:r>
      <w:hyperlink r:id="rId51" w:history="1">
        <w:r w:rsidRPr="0002056A">
          <w:rPr>
            <w:rFonts w:ascii="Georgia" w:eastAsia="Times New Roman" w:hAnsi="Georgia" w:cs="Times New Roman"/>
            <w:color w:val="000000"/>
            <w:sz w:val="16"/>
            <w:szCs w:val="16"/>
            <w:lang w:val="en-GB" w:eastAsia="hu-HU"/>
          </w:rPr>
          <w:t>Volume 34, Issue 3</w:t>
        </w:r>
      </w:hyperlink>
      <w:r w:rsidRPr="0002056A">
        <w:rPr>
          <w:rFonts w:ascii="Georgia" w:eastAsia="Times New Roman" w:hAnsi="Georgia" w:cs="Times New Roman"/>
          <w:color w:val="000000"/>
          <w:sz w:val="16"/>
          <w:szCs w:val="16"/>
          <w:lang w:val="en-GB" w:eastAsia="hu-HU"/>
        </w:rPr>
        <w:t xml:space="preserve"> </w:t>
      </w:r>
      <w:hyperlink r:id="rId52" w:history="1">
        <w:r w:rsidRPr="0002056A">
          <w:rPr>
            <w:rFonts w:ascii="Georgia" w:eastAsia="Times New Roman" w:hAnsi="Georgia" w:cs="Times New Roman"/>
            <w:color w:val="000000"/>
            <w:sz w:val="16"/>
            <w:szCs w:val="16"/>
            <w:lang w:val="en-GB" w:eastAsia="hu-HU"/>
          </w:rPr>
          <w:t>https://doi.org/10.1068/a3439</w:t>
        </w:r>
      </w:hyperlink>
    </w:p>
    <w:p w14:paraId="0C12D28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Araos, M.; Berrang-Forda, L.; Austin, S.; Biesbroek, R.; Lesnikowski,  A. (2</w:t>
      </w:r>
      <w:r w:rsidRPr="0002056A">
        <w:rPr>
          <w:rFonts w:ascii="Georgia" w:eastAsia="Times New Roman" w:hAnsi="Georgia" w:cs="Times New Roman"/>
          <w:b/>
          <w:smallCaps/>
          <w:color w:val="000000"/>
          <w:sz w:val="16"/>
          <w:szCs w:val="16"/>
          <w:lang w:val="en-GB" w:eastAsia="hu-HU"/>
        </w:rPr>
        <w:t>016):</w:t>
      </w:r>
      <w:r w:rsidRPr="0002056A">
        <w:rPr>
          <w:rFonts w:ascii="Georgia" w:eastAsia="Times New Roman" w:hAnsi="Georgia" w:cs="Times New Roman"/>
          <w:color w:val="000000"/>
          <w:sz w:val="16"/>
          <w:szCs w:val="16"/>
          <w:lang w:val="en-GB" w:eastAsia="hu-HU"/>
        </w:rPr>
        <w:t xml:space="preserve"> CC adaptation planning in large cities: A systematic global assessment. Environmental Science &amp; Policy 66 (2016) pp. 375–382.  </w:t>
      </w:r>
    </w:p>
    <w:p w14:paraId="66E01C20"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Baker, I.; Peterson, A.; Brown, G.; McAlpine, C. (2012):</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Local government response to the impacts of CC: An evaluation of local climate adaptation plans. Landscape and Urban Planning 107 (2012) pp. 127– 136.</w:t>
      </w:r>
    </w:p>
    <w:p w14:paraId="3EA3E1CC" w14:textId="358D14CD"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Barnett, M.</w:t>
      </w:r>
      <w:r w:rsidRPr="0002056A">
        <w:rPr>
          <w:rFonts w:ascii="Georgia" w:eastAsia="Times New Roman" w:hAnsi="Georgia" w:cs="Times New Roman"/>
          <w:b/>
          <w:smallCaps/>
          <w:color w:val="000000"/>
          <w:sz w:val="16"/>
          <w:szCs w:val="16"/>
          <w:lang w:val="en-GB" w:eastAsia="hu-HU"/>
        </w:rPr>
        <w:t xml:space="preserve"> (20</w:t>
      </w:r>
      <w:r w:rsidR="00B604BB" w:rsidRPr="0002056A">
        <w:rPr>
          <w:rFonts w:ascii="Georgia" w:eastAsia="Times New Roman" w:hAnsi="Georgia" w:cs="Times New Roman"/>
          <w:b/>
          <w:smallCaps/>
          <w:color w:val="000000"/>
          <w:sz w:val="16"/>
          <w:szCs w:val="16"/>
          <w:lang w:val="en-GB" w:eastAsia="hu-HU"/>
        </w:rPr>
        <w:t>20</w:t>
      </w:r>
      <w:r w:rsidRPr="0002056A">
        <w:rPr>
          <w:rFonts w:ascii="Georgia" w:eastAsia="Times New Roman" w:hAnsi="Georgia" w:cs="Times New Roman"/>
          <w:b/>
          <w:smallCaps/>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Social Constructivism. In.: J Baylis, S. Smith, P. Owens: The Globalization of World Politics. Oxford University Press Inc., New York Oxford University Press, 2017. ISBN 978–0–19–882554–8</w:t>
      </w:r>
    </w:p>
    <w:p w14:paraId="301A37B6" w14:textId="61D43FA6"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Baroutsis, A.; Comber, B.; Woods, A. (2017):</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Social Geography, Space, and Place in Education. In.: Noblit, G. W. (Ed.) Oxford Research </w:t>
      </w:r>
      <w:r w:rsidR="00216AD0" w:rsidRPr="0002056A">
        <w:rPr>
          <w:rFonts w:ascii="Georgia" w:eastAsia="Times New Roman" w:hAnsi="Georgia" w:cs="Times New Roman"/>
          <w:color w:val="000000"/>
          <w:sz w:val="16"/>
          <w:szCs w:val="16"/>
          <w:lang w:val="en-GB" w:eastAsia="hu-HU"/>
        </w:rPr>
        <w:t>Encyclopaedia</w:t>
      </w:r>
      <w:r w:rsidRPr="0002056A">
        <w:rPr>
          <w:rFonts w:ascii="Georgia" w:eastAsia="Times New Roman" w:hAnsi="Georgia" w:cs="Times New Roman"/>
          <w:color w:val="000000"/>
          <w:sz w:val="16"/>
          <w:szCs w:val="16"/>
          <w:lang w:val="en-GB" w:eastAsia="hu-HU"/>
        </w:rPr>
        <w:t xml:space="preserve"> of Education. Oxford University Press, United States of America, pp. 1-16.https://doi.org/10.1093/acrefore/9780190264093</w:t>
      </w:r>
    </w:p>
    <w:p w14:paraId="78D80A78" w14:textId="0005F9E8"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Baylis, J., Smith, S., Owens, P. (20</w:t>
      </w:r>
      <w:r w:rsidR="00F95268" w:rsidRPr="0002056A">
        <w:rPr>
          <w:rFonts w:ascii="Georgia" w:eastAsia="Times New Roman" w:hAnsi="Georgia" w:cs="Times New Roman"/>
          <w:b/>
          <w:bCs/>
          <w:iCs/>
          <w:smallCaps/>
          <w:color w:val="000000"/>
          <w:sz w:val="16"/>
          <w:szCs w:val="16"/>
          <w:lang w:val="en-GB" w:eastAsia="hu-HU"/>
        </w:rPr>
        <w:t>17</w:t>
      </w:r>
      <w:r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Cs/>
          <w:iCs/>
          <w:color w:val="000000"/>
          <w:sz w:val="16"/>
          <w:szCs w:val="16"/>
          <w:lang w:val="en-GB" w:eastAsia="hu-HU"/>
        </w:rPr>
        <w:t xml:space="preserve">  T</w:t>
      </w:r>
      <w:r w:rsidRPr="0002056A">
        <w:rPr>
          <w:rFonts w:ascii="Georgia" w:eastAsia="Times New Roman" w:hAnsi="Georgia" w:cs="Times New Roman"/>
          <w:color w:val="000000"/>
          <w:sz w:val="16"/>
          <w:szCs w:val="16"/>
          <w:lang w:val="en-GB" w:eastAsia="hu-HU"/>
        </w:rPr>
        <w:t>he Globalization of World Politics: An Introduction to International Relations 8</w:t>
      </w:r>
      <w:r w:rsidRPr="0002056A">
        <w:rPr>
          <w:rFonts w:ascii="Georgia" w:eastAsia="Times New Roman" w:hAnsi="Georgia" w:cs="Times New Roman"/>
          <w:color w:val="000000"/>
          <w:sz w:val="16"/>
          <w:szCs w:val="16"/>
          <w:vertAlign w:val="superscript"/>
          <w:lang w:val="en-GB" w:eastAsia="hu-HU"/>
        </w:rPr>
        <w:t>th</w:t>
      </w:r>
      <w:r w:rsidRPr="0002056A">
        <w:rPr>
          <w:rFonts w:ascii="Georgia" w:eastAsia="Times New Roman" w:hAnsi="Georgia" w:cs="Times New Roman"/>
          <w:color w:val="000000"/>
          <w:sz w:val="16"/>
          <w:szCs w:val="16"/>
          <w:lang w:val="en-GB" w:eastAsia="hu-HU"/>
        </w:rPr>
        <w:t xml:space="preserve"> Edition. ISBN10 0198825544. Oxford, 20</w:t>
      </w:r>
      <w:r w:rsidR="00F95268" w:rsidRPr="0002056A">
        <w:rPr>
          <w:rFonts w:ascii="Georgia" w:eastAsia="Times New Roman" w:hAnsi="Georgia" w:cs="Times New Roman"/>
          <w:color w:val="000000"/>
          <w:sz w:val="16"/>
          <w:szCs w:val="16"/>
          <w:lang w:val="en-GB" w:eastAsia="hu-HU"/>
        </w:rPr>
        <w:t>17</w:t>
      </w:r>
      <w:r w:rsidRPr="0002056A">
        <w:rPr>
          <w:rFonts w:ascii="Georgia" w:eastAsia="Times New Roman" w:hAnsi="Georgia" w:cs="Times New Roman"/>
          <w:color w:val="000000"/>
          <w:sz w:val="16"/>
          <w:szCs w:val="16"/>
          <w:lang w:val="en-GB" w:eastAsia="hu-HU"/>
        </w:rPr>
        <w:t>.</w:t>
      </w:r>
    </w:p>
    <w:p w14:paraId="13169721" w14:textId="4C7A0F3B"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Benzie, M.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National Adaptation Plans and the indirect impacts of climate change. Stockholm Environmental Institute. Jan. 1, 2014.</w:t>
      </w:r>
    </w:p>
    <w:p w14:paraId="091A6BBC" w14:textId="196C1DBB" w:rsidR="00AF495E" w:rsidRPr="0002056A" w:rsidRDefault="00AF495E" w:rsidP="00214BD9">
      <w:pPr>
        <w:pStyle w:val="Listaszerbekezds"/>
        <w:numPr>
          <w:ilvl w:val="0"/>
          <w:numId w:val="3"/>
        </w:numPr>
        <w:autoSpaceDE w:val="0"/>
        <w:autoSpaceDN w:val="0"/>
        <w:adjustRightInd w:val="0"/>
        <w:spacing w:after="0" w:line="240" w:lineRule="auto"/>
        <w:contextualSpacing w:val="0"/>
        <w:jc w:val="both"/>
        <w:rPr>
          <w:rFonts w:ascii="Georgia" w:hAnsi="Georgia" w:cs="MyriadPro-SemiCn"/>
          <w:color w:val="000000"/>
          <w:sz w:val="16"/>
          <w:szCs w:val="16"/>
          <w:lang w:val="en-GB"/>
        </w:rPr>
      </w:pPr>
      <w:r w:rsidRPr="0002056A">
        <w:rPr>
          <w:rFonts w:ascii="Georgia" w:eastAsia="Times New Roman" w:hAnsi="Georgia" w:cs="Times New Roman"/>
          <w:b/>
          <w:bCs/>
          <w:iCs/>
          <w:smallCaps/>
          <w:color w:val="000000"/>
          <w:sz w:val="16"/>
          <w:szCs w:val="16"/>
          <w:lang w:val="en-GB" w:eastAsia="hu-HU"/>
        </w:rPr>
        <w:t xml:space="preserve">Benzie, M.; Persson, A. (2019): </w:t>
      </w:r>
      <w:r w:rsidRPr="0002056A">
        <w:rPr>
          <w:rFonts w:ascii="Georgia" w:eastAsia="Times New Roman" w:hAnsi="Georgia" w:cs="Times New Roman"/>
          <w:color w:val="000000"/>
          <w:sz w:val="16"/>
          <w:szCs w:val="16"/>
          <w:lang w:val="en-GB" w:eastAsia="hu-HU"/>
        </w:rPr>
        <w:t>Governing borderless climate risks: moving beyond the territorial framing of adaptation. International Environmental Agreements 2019</w:t>
      </w:r>
      <w:r w:rsidR="0077402F" w:rsidRPr="0002056A">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19:369–393. </w:t>
      </w:r>
      <w:r w:rsidR="0077402F" w:rsidRPr="0002056A">
        <w:rPr>
          <w:rFonts w:ascii="Georgia" w:eastAsia="Times New Roman" w:hAnsi="Georgia" w:cs="Times New Roman"/>
          <w:color w:val="000000"/>
          <w:sz w:val="16"/>
          <w:szCs w:val="16"/>
          <w:lang w:val="en-GB" w:eastAsia="hu-HU"/>
        </w:rPr>
        <w:t>d</w:t>
      </w:r>
      <w:r w:rsidRPr="0002056A">
        <w:rPr>
          <w:rFonts w:ascii="Georgia" w:eastAsia="Times New Roman" w:hAnsi="Georgia" w:cs="Times New Roman"/>
          <w:color w:val="000000"/>
          <w:sz w:val="16"/>
          <w:szCs w:val="16"/>
          <w:lang w:val="en-GB" w:eastAsia="hu-HU"/>
        </w:rPr>
        <w:t>oi.org/10.1007/s10784-019-09441-y</w:t>
      </w:r>
    </w:p>
    <w:p w14:paraId="10ACA5B9" w14:textId="4E624CFF" w:rsidR="00F00D78" w:rsidRPr="0002056A" w:rsidRDefault="00F00D78"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Berke, P.; Kates, J.; Malecha, M.; Masterson, J.; Shea P.; Yu, S. (2021):</w:t>
      </w:r>
      <w:r w:rsidRPr="0002056A">
        <w:rPr>
          <w:rFonts w:ascii="Georgia" w:eastAsia="Times New Roman" w:hAnsi="Georgia" w:cs="Times New Roman"/>
          <w:color w:val="000000"/>
          <w:sz w:val="16"/>
          <w:szCs w:val="16"/>
          <w:lang w:val="en-GB" w:eastAsia="hu-HU"/>
        </w:rPr>
        <w:t xml:space="preserve"> Using a resilience scorecard to improve local planning for vulnerability to hazards and climate change: An application in two cities. </w:t>
      </w:r>
      <w:hyperlink r:id="rId53" w:tooltip="Go to Cities on ScienceDirect" w:history="1">
        <w:r w:rsidRPr="0002056A">
          <w:rPr>
            <w:rFonts w:ascii="Georgia" w:eastAsia="Times New Roman" w:hAnsi="Georgia" w:cs="Times New Roman"/>
            <w:color w:val="000000"/>
            <w:sz w:val="16"/>
            <w:szCs w:val="16"/>
            <w:lang w:val="en-GB" w:eastAsia="hu-HU"/>
          </w:rPr>
          <w:t>Cities</w:t>
        </w:r>
      </w:hyperlink>
      <w:r w:rsidRPr="0002056A">
        <w:rPr>
          <w:rFonts w:ascii="Georgia" w:eastAsia="Times New Roman" w:hAnsi="Georgia" w:cs="Times New Roman"/>
          <w:color w:val="000000"/>
          <w:sz w:val="16"/>
          <w:szCs w:val="16"/>
          <w:lang w:val="en-GB" w:eastAsia="hu-HU"/>
        </w:rPr>
        <w:t xml:space="preserve">. </w:t>
      </w:r>
      <w:hyperlink r:id="rId54" w:tooltip="Go to table of contents for this volume/issue" w:history="1">
        <w:r w:rsidRPr="0002056A">
          <w:rPr>
            <w:rFonts w:ascii="Georgia" w:eastAsia="Times New Roman" w:hAnsi="Georgia" w:cs="Times New Roman"/>
            <w:color w:val="000000"/>
            <w:sz w:val="16"/>
            <w:szCs w:val="16"/>
            <w:lang w:val="en-GB" w:eastAsia="hu-HU"/>
          </w:rPr>
          <w:t>Volume 119</w:t>
        </w:r>
      </w:hyperlink>
      <w:r w:rsidRPr="0002056A">
        <w:rPr>
          <w:rFonts w:ascii="Georgia" w:eastAsia="Times New Roman" w:hAnsi="Georgia" w:cs="Times New Roman"/>
          <w:color w:val="000000"/>
          <w:sz w:val="16"/>
          <w:szCs w:val="16"/>
          <w:lang w:val="en-GB" w:eastAsia="hu-HU"/>
        </w:rPr>
        <w:t xml:space="preserve">, December 2021. </w:t>
      </w:r>
      <w:hyperlink r:id="rId55" w:history="1">
        <w:r w:rsidRPr="0002056A">
          <w:rPr>
            <w:rFonts w:ascii="Georgia" w:hAnsi="Georgia"/>
            <w:color w:val="000000"/>
            <w:sz w:val="16"/>
            <w:szCs w:val="16"/>
            <w:lang w:val="en-GB"/>
          </w:rPr>
          <w:t>doi.org/10.1016/j.cities.2021.103408</w:t>
        </w:r>
      </w:hyperlink>
    </w:p>
    <w:p w14:paraId="7BA7C3AF" w14:textId="15857ADD" w:rsidR="00E92630" w:rsidRPr="0002056A" w:rsidRDefault="00E92630"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Birchall, S.J.; Bonnett, N.; Kehler, S. (</w:t>
      </w:r>
      <w:r w:rsidRPr="0002056A">
        <w:rPr>
          <w:rFonts w:ascii="Georgia" w:eastAsia="Times New Roman" w:hAnsi="Georgia" w:cs="Times New Roman"/>
          <w:b/>
          <w:smallCaps/>
          <w:color w:val="000000"/>
          <w:sz w:val="16"/>
          <w:szCs w:val="16"/>
          <w:lang w:val="en-GB" w:eastAsia="hu-HU"/>
        </w:rPr>
        <w:t>2022):</w:t>
      </w:r>
      <w:r w:rsidRPr="0002056A">
        <w:rPr>
          <w:rFonts w:ascii="Georgia" w:eastAsia="Times New Roman" w:hAnsi="Georgia" w:cs="Times New Roman"/>
          <w:color w:val="000000"/>
          <w:sz w:val="16"/>
          <w:szCs w:val="16"/>
          <w:lang w:val="en-GB" w:eastAsia="hu-HU"/>
        </w:rPr>
        <w:t xml:space="preserve"> The influence of </w:t>
      </w:r>
      <w:r w:rsidR="00216AD0" w:rsidRPr="0002056A">
        <w:rPr>
          <w:rFonts w:ascii="Georgia" w:eastAsia="Times New Roman" w:hAnsi="Georgia" w:cs="Times New Roman"/>
          <w:color w:val="000000"/>
          <w:sz w:val="16"/>
          <w:szCs w:val="16"/>
          <w:lang w:val="en-GB" w:eastAsia="hu-HU"/>
        </w:rPr>
        <w:t>governance</w:t>
      </w:r>
      <w:r w:rsidRPr="0002056A">
        <w:rPr>
          <w:rFonts w:ascii="Georgia" w:eastAsia="Times New Roman" w:hAnsi="Georgia" w:cs="Times New Roman"/>
          <w:color w:val="000000"/>
          <w:sz w:val="16"/>
          <w:szCs w:val="16"/>
          <w:lang w:val="en-GB" w:eastAsia="hu-HU"/>
        </w:rPr>
        <w:t xml:space="preserve"> structure on local resilience: enabling and constraining factors for climate change adaptation in practice. Urban Climate 47 (2023)</w:t>
      </w:r>
    </w:p>
    <w:p w14:paraId="6E0B1233" w14:textId="77777777" w:rsidR="00E92630" w:rsidRPr="0002056A" w:rsidRDefault="00E92630" w:rsidP="00214BD9">
      <w:pPr>
        <w:pStyle w:val="Listaszerbekezds"/>
        <w:numPr>
          <w:ilvl w:val="0"/>
          <w:numId w:val="3"/>
        </w:numPr>
        <w:spacing w:after="0" w:line="240" w:lineRule="auto"/>
        <w:ind w:left="714" w:hanging="357"/>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Birchall, S.J.; Bonnett, N.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Climate change adaptation policy and practice: the role of agents, institutions and systems. CITIES Volume 108, January 2021, 103001. doi: </w:t>
      </w:r>
      <w:hyperlink r:id="rId56" w:history="1">
        <w:r w:rsidRPr="0002056A">
          <w:rPr>
            <w:rStyle w:val="Hiperhivatkozs"/>
            <w:rFonts w:ascii="Georgia" w:hAnsi="Georgia"/>
            <w:sz w:val="16"/>
            <w:szCs w:val="16"/>
            <w:lang w:val="en-GB"/>
          </w:rPr>
          <w:t>https://doi.org./10.1016/j.cities.2020.10300</w:t>
        </w:r>
      </w:hyperlink>
    </w:p>
    <w:p w14:paraId="64B09870" w14:textId="01F1AC91"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Birkmann, J.; Garschagen, M., Setiadi, N.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New challenges for adaptive urban governance in highly dynamic environments: Revisiting planning systems and tools for adaptive and strategic planning. Urban Climate 7 (2014) pp. 115–133.</w:t>
      </w:r>
    </w:p>
    <w:p w14:paraId="5CD0FD71" w14:textId="77777777" w:rsidR="003417E0" w:rsidRPr="0002056A" w:rsidRDefault="003417E0" w:rsidP="00214BD9">
      <w:pPr>
        <w:pStyle w:val="Listaszerbekezds"/>
        <w:numPr>
          <w:ilvl w:val="0"/>
          <w:numId w:val="3"/>
        </w:numPr>
        <w:spacing w:after="0" w:line="240" w:lineRule="auto"/>
        <w:ind w:left="714" w:hanging="357"/>
        <w:contextualSpacing w:val="0"/>
        <w:jc w:val="both"/>
        <w:rPr>
          <w:rFonts w:ascii="Georgia" w:eastAsia="Times New Roman" w:hAnsi="Georgia" w:cs="Times New Roman"/>
          <w:iC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Bodor, Á.; Grünhut, Z. (2021):</w:t>
      </w:r>
      <w:r w:rsidRPr="0002056A">
        <w:rPr>
          <w:rFonts w:ascii="Georgia" w:eastAsia="Times New Roman" w:hAnsi="Georgia" w:cs="Times New Roman"/>
          <w:iCs/>
          <w:smallCaps/>
          <w:color w:val="000000"/>
          <w:sz w:val="16"/>
          <w:szCs w:val="16"/>
          <w:lang w:val="en-GB" w:eastAsia="hu-HU"/>
        </w:rPr>
        <w:t xml:space="preserve"> </w:t>
      </w:r>
      <w:hyperlink r:id="rId57" w:history="1">
        <w:r w:rsidRPr="0002056A">
          <w:rPr>
            <w:rFonts w:ascii="Georgia" w:eastAsia="Times New Roman" w:hAnsi="Georgia" w:cs="Times New Roman"/>
            <w:iCs/>
            <w:color w:val="000000"/>
            <w:sz w:val="16"/>
            <w:szCs w:val="16"/>
            <w:lang w:val="en-GB" w:eastAsia="hu-HU"/>
          </w:rPr>
          <w:t>A klímaváltozás megítélésének dimenziói Európában: mintázatok és összefüggés a társadalmi bizalommal</w:t>
        </w:r>
      </w:hyperlink>
      <w:r w:rsidRPr="0002056A">
        <w:rPr>
          <w:rFonts w:ascii="Georgia" w:eastAsia="Times New Roman" w:hAnsi="Georgia" w:cs="Times New Roman"/>
          <w:iCs/>
          <w:color w:val="000000"/>
          <w:sz w:val="16"/>
          <w:szCs w:val="16"/>
          <w:lang w:val="en-GB" w:eastAsia="hu-HU"/>
        </w:rPr>
        <w:t>. Területi Statisztika, 61(2); https://doi.org 10.15196/TS610205</w:t>
      </w:r>
    </w:p>
    <w:p w14:paraId="6D63C5B7" w14:textId="644B0F6A" w:rsidR="00FE1F51" w:rsidRPr="0002056A" w:rsidRDefault="00FE1F51" w:rsidP="00214BD9">
      <w:pPr>
        <w:pStyle w:val="Listaszerbekezds"/>
        <w:numPr>
          <w:ilvl w:val="0"/>
          <w:numId w:val="3"/>
        </w:numPr>
        <w:spacing w:after="0" w:line="240" w:lineRule="auto"/>
        <w:ind w:left="714" w:hanging="357"/>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w:t>
      </w:r>
      <w:r w:rsidR="00651E00" w:rsidRPr="0002056A">
        <w:rPr>
          <w:rFonts w:ascii="Georgia" w:eastAsia="Times New Roman" w:hAnsi="Georgia" w:cs="Times New Roman"/>
          <w:b/>
          <w:bCs/>
          <w:iCs/>
          <w:smallCaps/>
          <w:color w:val="000000"/>
          <w:sz w:val="16"/>
          <w:szCs w:val="16"/>
          <w:lang w:val="en-GB" w:eastAsia="hu-HU"/>
        </w:rPr>
        <w:t>ogale</w:t>
      </w:r>
      <w:r w:rsidRPr="0002056A">
        <w:rPr>
          <w:rFonts w:ascii="Georgia" w:eastAsia="Times New Roman" w:hAnsi="Georgia" w:cs="Times New Roman"/>
          <w:b/>
          <w:bCs/>
          <w:iCs/>
          <w:smallCaps/>
          <w:color w:val="000000"/>
          <w:sz w:val="16"/>
          <w:szCs w:val="16"/>
          <w:lang w:val="en-GB" w:eastAsia="hu-HU"/>
        </w:rPr>
        <w:t xml:space="preserve">, G. (2015): </w:t>
      </w:r>
      <w:r w:rsidRPr="0002056A">
        <w:rPr>
          <w:rFonts w:ascii="Georgia" w:eastAsia="Times New Roman" w:hAnsi="Georgia" w:cs="Times New Roman"/>
          <w:color w:val="000000"/>
          <w:sz w:val="16"/>
          <w:szCs w:val="16"/>
          <w:lang w:val="en-GB" w:eastAsia="hu-HU"/>
        </w:rPr>
        <w:t>Reviewing of Climate Vulnerability Assessment Methodologies.</w:t>
      </w:r>
      <w:r w:rsidR="00883C75" w:rsidRPr="0002056A">
        <w:rPr>
          <w:rFonts w:ascii="Georgia" w:eastAsia="Times New Roman" w:hAnsi="Georgia" w:cs="Times New Roman"/>
          <w:color w:val="000000"/>
          <w:sz w:val="16"/>
          <w:szCs w:val="16"/>
          <w:lang w:val="en-GB" w:eastAsia="hu-HU"/>
        </w:rPr>
        <w:t xml:space="preserve"> Ethiopian Agricultural Transformation Agency. doi.org/</w:t>
      </w:r>
      <w:hyperlink r:id="rId58" w:tgtFrame="_blank" w:history="1">
        <w:r w:rsidRPr="0002056A">
          <w:rPr>
            <w:rFonts w:ascii="Georgia" w:eastAsia="Times New Roman" w:hAnsi="Georgia" w:cs="Times New Roman"/>
            <w:color w:val="000000"/>
            <w:sz w:val="16"/>
            <w:szCs w:val="16"/>
            <w:lang w:val="en-GB" w:eastAsia="hu-HU"/>
          </w:rPr>
          <w:t>10.13140/RG.2.2.20817.07524</w:t>
        </w:r>
      </w:hyperlink>
    </w:p>
    <w:p w14:paraId="4775F6CF" w14:textId="77777777" w:rsidR="00E723CD" w:rsidRPr="0002056A" w:rsidRDefault="00E723CD" w:rsidP="00214BD9">
      <w:pPr>
        <w:pStyle w:val="Listaszerbekezds"/>
        <w:numPr>
          <w:ilvl w:val="0"/>
          <w:numId w:val="3"/>
        </w:numPr>
        <w:spacing w:after="0" w:line="240" w:lineRule="auto"/>
        <w:ind w:left="714" w:hanging="357"/>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Bours D, Mc Ginn C, Pringle P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Monitoring and evaluation for climate change adaptation: a synthesis of tools, frameworks and approaches. SEA Change CoP and UKCIP, Oxford</w:t>
      </w:r>
    </w:p>
    <w:p w14:paraId="138A46EF" w14:textId="77777777" w:rsidR="00E723CD" w:rsidRPr="0002056A" w:rsidRDefault="00E723CD" w:rsidP="00214BD9">
      <w:pPr>
        <w:pStyle w:val="Listaszerbekezds"/>
        <w:numPr>
          <w:ilvl w:val="0"/>
          <w:numId w:val="3"/>
        </w:numPr>
        <w:spacing w:after="0" w:line="240" w:lineRule="auto"/>
        <w:ind w:left="714" w:hanging="357"/>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Bours D, McGinn C, Pringle P.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Guidance note 1: twelve reasons why climate change adaptation M&amp;E is challenging. SEA Change CoP and UKCIP, Oxford</w:t>
      </w:r>
    </w:p>
    <w:p w14:paraId="2B4549CD" w14:textId="77777777" w:rsidR="003417E0" w:rsidRPr="0002056A" w:rsidRDefault="003417E0" w:rsidP="00214BD9">
      <w:pPr>
        <w:pStyle w:val="Listaszerbekezds"/>
        <w:numPr>
          <w:ilvl w:val="0"/>
          <w:numId w:val="3"/>
        </w:numPr>
        <w:spacing w:after="0" w:line="240" w:lineRule="auto"/>
        <w:ind w:left="714" w:hanging="357"/>
        <w:contextualSpacing w:val="0"/>
        <w:jc w:val="both"/>
        <w:rPr>
          <w:rFonts w:ascii="Georgia" w:eastAsia="Times New Roman" w:hAnsi="Georgia" w:cs="Times New Roman"/>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Bús, B.; Tésits, R.; Alpek, B. L. (2021):</w:t>
      </w:r>
      <w:r w:rsidRPr="0002056A">
        <w:rPr>
          <w:rFonts w:ascii="Georgia" w:eastAsia="Times New Roman" w:hAnsi="Georgia" w:cs="Times New Roman"/>
          <w:iCs/>
          <w:smallCaps/>
          <w:color w:val="000000"/>
          <w:sz w:val="16"/>
          <w:szCs w:val="16"/>
          <w:lang w:val="en-GB" w:eastAsia="hu-HU"/>
        </w:rPr>
        <w:t xml:space="preserve"> </w:t>
      </w:r>
      <w:hyperlink r:id="rId59" w:history="1">
        <w:r w:rsidRPr="0002056A">
          <w:rPr>
            <w:rFonts w:ascii="Georgia" w:eastAsia="Times New Roman" w:hAnsi="Georgia" w:cs="Times New Roman"/>
            <w:iCs/>
            <w:color w:val="000000"/>
            <w:sz w:val="16"/>
            <w:szCs w:val="16"/>
            <w:lang w:val="en-GB" w:eastAsia="hu-HU"/>
          </w:rPr>
          <w:t>A környezettudatos magatartás településföldrajzi szempontú vizsgálata a Baranya megyei ökoiskolák végzős diákjai körében, 2020</w:t>
        </w:r>
      </w:hyperlink>
      <w:r w:rsidRPr="0002056A">
        <w:rPr>
          <w:rFonts w:ascii="Georgia" w:eastAsia="Times New Roman" w:hAnsi="Georgia" w:cs="Times New Roman"/>
          <w:iCs/>
          <w:color w:val="000000"/>
          <w:sz w:val="16"/>
          <w:szCs w:val="16"/>
          <w:lang w:val="en-GB" w:eastAsia="hu-HU"/>
        </w:rPr>
        <w:t>. Területi Statisztika, 61(2); https://doi.org 10.15196/TS610204</w:t>
      </w:r>
    </w:p>
    <w:p w14:paraId="41139289" w14:textId="78535B8C" w:rsidR="005A2E0F" w:rsidRPr="0002056A" w:rsidRDefault="005A2E0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Cobbinah, P.; </w:t>
      </w:r>
      <w:r w:rsidR="001A1684" w:rsidRPr="0002056A">
        <w:rPr>
          <w:rFonts w:ascii="Georgia" w:eastAsia="Times New Roman" w:hAnsi="Georgia" w:cs="Times New Roman"/>
          <w:b/>
          <w:bCs/>
          <w:iCs/>
          <w:smallCaps/>
          <w:color w:val="000000"/>
          <w:sz w:val="16"/>
          <w:szCs w:val="16"/>
          <w:lang w:val="en-GB" w:eastAsia="hu-HU"/>
        </w:rPr>
        <w:t xml:space="preserve">Brandful, P.; </w:t>
      </w:r>
      <w:r w:rsidRPr="0002056A">
        <w:rPr>
          <w:rFonts w:ascii="Georgia" w:eastAsia="Times New Roman" w:hAnsi="Georgia" w:cs="Times New Roman"/>
          <w:b/>
          <w:bCs/>
          <w:iCs/>
          <w:smallCaps/>
          <w:color w:val="000000"/>
          <w:sz w:val="16"/>
          <w:szCs w:val="16"/>
          <w:lang w:val="en-GB" w:eastAsia="hu-HU"/>
        </w:rPr>
        <w:t>Addaney, M. (2019):</w:t>
      </w:r>
      <w:r w:rsidRPr="0002056A">
        <w:rPr>
          <w:rFonts w:ascii="Georgia" w:eastAsia="Times New Roman" w:hAnsi="Georgia" w:cs="Times New Roman"/>
          <w:color w:val="000000"/>
          <w:sz w:val="16"/>
          <w:szCs w:val="16"/>
          <w:lang w:val="en-GB" w:eastAsia="hu-HU"/>
        </w:rPr>
        <w:t xml:space="preserve"> The Geography of Climate Change Adaptation in Urban Africa. </w:t>
      </w:r>
      <w:hyperlink r:id="rId60" w:history="1">
        <w:r w:rsidRPr="0002056A">
          <w:rPr>
            <w:rFonts w:ascii="Georgia" w:eastAsia="Times New Roman" w:hAnsi="Georgia" w:cs="Times New Roman"/>
            <w:color w:val="000000"/>
            <w:sz w:val="16"/>
            <w:szCs w:val="16"/>
            <w:lang w:val="en-GB" w:eastAsia="hu-HU"/>
          </w:rPr>
          <w:t>Kwame Nkrumah University of Science and Technology</w:t>
        </w:r>
      </w:hyperlink>
      <w:r w:rsidRPr="0002056A">
        <w:rPr>
          <w:rFonts w:ascii="Georgia" w:eastAsia="Times New Roman" w:hAnsi="Georgia" w:cs="Times New Roman"/>
          <w:color w:val="000000"/>
          <w:sz w:val="16"/>
          <w:szCs w:val="16"/>
          <w:lang w:val="en-GB" w:eastAsia="hu-HU"/>
        </w:rPr>
        <w:t>.</w:t>
      </w:r>
    </w:p>
    <w:p w14:paraId="3ACFE93C" w14:textId="2ACCD12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61" w:history="1">
        <w:r w:rsidRPr="0002056A">
          <w:rPr>
            <w:rFonts w:ascii="Georgia" w:eastAsia="Times New Roman" w:hAnsi="Georgia" w:cs="Times New Roman"/>
            <w:b/>
            <w:bCs/>
            <w:iCs/>
            <w:smallCaps/>
            <w:color w:val="000000"/>
            <w:sz w:val="16"/>
            <w:szCs w:val="16"/>
            <w:lang w:val="en-GB" w:eastAsia="hu-HU"/>
          </w:rPr>
          <w:t xml:space="preserve">Brown, K. </w:t>
        </w:r>
      </w:hyperlink>
      <w:r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Sustainable adaptation: An oxymoron?  Climate and Development 3(1), pp. 21-31. </w:t>
      </w:r>
      <w:hyperlink r:id="rId62" w:history="1">
        <w:r w:rsidRPr="0002056A">
          <w:rPr>
            <w:rFonts w:ascii="Georgia" w:eastAsia="Times New Roman" w:hAnsi="Georgia" w:cs="Times New Roman"/>
            <w:color w:val="000000"/>
            <w:sz w:val="16"/>
            <w:szCs w:val="16"/>
            <w:lang w:val="en-GB" w:eastAsia="hu-HU"/>
          </w:rPr>
          <w:t>doi.org/10.3763/cdev.2010.0062</w:t>
        </w:r>
      </w:hyperlink>
    </w:p>
    <w:p w14:paraId="388EE1B9" w14:textId="74CD591E" w:rsidR="00DF5123" w:rsidRPr="0002056A" w:rsidRDefault="00DF5123"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Brunetta, G., Caldarice, O. (2018): </w:t>
      </w:r>
      <w:r w:rsidRPr="0002056A">
        <w:rPr>
          <w:rFonts w:ascii="Georgia" w:eastAsia="Times New Roman" w:hAnsi="Georgia" w:cs="Times New Roman"/>
          <w:color w:val="000000"/>
          <w:sz w:val="16"/>
          <w:szCs w:val="16"/>
          <w:lang w:val="en-GB" w:eastAsia="hu-HU"/>
        </w:rPr>
        <w:t>Putting Resilience into Practice. The Spatial Planning Response to Urban Risks. In.: Brunetta-</w:t>
      </w:r>
      <w:r w:rsidR="00216AD0" w:rsidRPr="0002056A">
        <w:rPr>
          <w:rFonts w:ascii="Georgia" w:eastAsia="Times New Roman" w:hAnsi="Georgia" w:cs="Times New Roman"/>
          <w:color w:val="000000"/>
          <w:sz w:val="16"/>
          <w:szCs w:val="16"/>
          <w:lang w:val="en-GB" w:eastAsia="hu-HU"/>
        </w:rPr>
        <w:t>Caldarice</w:t>
      </w:r>
      <w:r w:rsidRPr="0002056A">
        <w:rPr>
          <w:rFonts w:ascii="Georgia" w:eastAsia="Times New Roman" w:hAnsi="Georgia" w:cs="Times New Roman"/>
          <w:color w:val="000000"/>
          <w:sz w:val="16"/>
          <w:szCs w:val="16"/>
          <w:lang w:val="en-GB" w:eastAsia="hu-HU"/>
        </w:rPr>
        <w:t xml:space="preserve">-Tollin-Rosas-casals-Morató (ed): Urban resilience for Risk </w:t>
      </w:r>
      <w:r w:rsidR="00216AD0" w:rsidRPr="0002056A">
        <w:rPr>
          <w:rFonts w:ascii="Georgia" w:eastAsia="Times New Roman" w:hAnsi="Georgia" w:cs="Times New Roman"/>
          <w:color w:val="000000"/>
          <w:sz w:val="16"/>
          <w:szCs w:val="16"/>
          <w:lang w:val="en-GB" w:eastAsia="hu-HU"/>
        </w:rPr>
        <w:t>Adaptation</w:t>
      </w:r>
      <w:r w:rsidRPr="0002056A">
        <w:rPr>
          <w:rFonts w:ascii="Georgia" w:eastAsia="Times New Roman" w:hAnsi="Georgia" w:cs="Times New Roman"/>
          <w:color w:val="000000"/>
          <w:sz w:val="16"/>
          <w:szCs w:val="16"/>
          <w:lang w:val="en-GB" w:eastAsia="hu-HU"/>
        </w:rPr>
        <w:t xml:space="preserve"> Governance. Theory and Practice. Resilient Cities Series.</w:t>
      </w:r>
    </w:p>
    <w:p w14:paraId="5533754B" w14:textId="7A7382D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Bryson, J.M. (2004): </w:t>
      </w:r>
      <w:r w:rsidRPr="0002056A">
        <w:rPr>
          <w:rFonts w:ascii="Georgia" w:eastAsia="Times New Roman" w:hAnsi="Georgia" w:cs="Times New Roman"/>
          <w:color w:val="000000"/>
          <w:sz w:val="16"/>
          <w:szCs w:val="16"/>
          <w:lang w:val="en-GB" w:eastAsia="hu-HU"/>
        </w:rPr>
        <w:t>Strategic Planning for Public and Non-profit Organizations: A Guide to Strengthening and Sustaining Organizational Achievement. Wiley, San Francisco, 2004</w:t>
      </w:r>
    </w:p>
    <w:p w14:paraId="2C0DD3A7" w14:textId="0E4DE91C" w:rsidR="00713789" w:rsidRPr="0002056A" w:rsidRDefault="00713789"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Chang, Ch.-H.; Wi, A (2018):</w:t>
      </w:r>
      <w:r w:rsidRPr="0002056A">
        <w:rPr>
          <w:rFonts w:ascii="Georgia" w:eastAsia="Times New Roman" w:hAnsi="Georgia" w:cs="Times New Roman"/>
          <w:color w:val="000000"/>
          <w:sz w:val="16"/>
          <w:szCs w:val="16"/>
          <w:lang w:val="en-GB" w:eastAsia="hu-HU"/>
        </w:rPr>
        <w:t xml:space="preserve"> Why the World Needs Geography Knowledge in Global Understanding: An Evaluation from a Climate Change Perspective. In.: Demirci-González-Bednarz 8ed): </w:t>
      </w:r>
      <w:r w:rsidR="00216AD0" w:rsidRPr="0002056A">
        <w:rPr>
          <w:rFonts w:ascii="Georgia" w:eastAsia="Times New Roman" w:hAnsi="Georgia" w:cs="Times New Roman"/>
          <w:color w:val="000000"/>
          <w:sz w:val="16"/>
          <w:szCs w:val="16"/>
          <w:lang w:val="en-GB" w:eastAsia="hu-HU"/>
        </w:rPr>
        <w:t>Geography</w:t>
      </w:r>
      <w:r w:rsidRPr="0002056A">
        <w:rPr>
          <w:rFonts w:ascii="Georgia" w:eastAsia="Times New Roman" w:hAnsi="Georgia" w:cs="Times New Roman"/>
          <w:color w:val="000000"/>
          <w:sz w:val="16"/>
          <w:szCs w:val="16"/>
          <w:lang w:val="en-GB" w:eastAsia="hu-HU"/>
        </w:rPr>
        <w:t xml:space="preserve"> Education for Global Understanding. Springer, 2018.</w:t>
      </w:r>
    </w:p>
    <w:p w14:paraId="32279790" w14:textId="0854C0B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Chevalier, R.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Integrated community- and ecosystem-based approaches to climate change adaptation. Policy Insights Vol 49 June 2017. </w:t>
      </w:r>
    </w:p>
    <w:p w14:paraId="33EE3692"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Christiansen, L.; Schaer, C.; Larsen, C.; Naswa, P.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Monitoring&amp;Evaluation for climate change adaptation: A summary of key challenges and emerging practice. Understanding discussing and exemplifying the key challenges of M&amp;E for adaptation. UNEP DTU Partnership Working Paper series: Climate Resilient Development Programme. Working Paper 1: 2016</w:t>
      </w:r>
    </w:p>
    <w:p w14:paraId="54B04EE9" w14:textId="7E8EDF7D"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Cohen, S.B. (</w:t>
      </w:r>
      <w:r w:rsidRPr="0002056A">
        <w:rPr>
          <w:rFonts w:ascii="Georgia" w:eastAsia="Times New Roman" w:hAnsi="Georgia" w:cs="Times New Roman"/>
          <w:b/>
          <w:smallCaps/>
          <w:color w:val="000000"/>
          <w:sz w:val="16"/>
          <w:szCs w:val="16"/>
          <w:lang w:val="en-GB" w:eastAsia="hu-HU"/>
        </w:rPr>
        <w:t>1973):</w:t>
      </w:r>
      <w:r w:rsidRPr="0002056A">
        <w:rPr>
          <w:rFonts w:ascii="Georgia" w:eastAsia="Times New Roman" w:hAnsi="Georgia" w:cs="Times New Roman"/>
          <w:color w:val="000000"/>
          <w:sz w:val="16"/>
          <w:szCs w:val="16"/>
          <w:lang w:val="en-GB" w:eastAsia="hu-HU"/>
        </w:rPr>
        <w:t xml:space="preserve"> Geography and Politics in a World Divided. Oxford University Press, New York, 1973.</w:t>
      </w:r>
    </w:p>
    <w:p w14:paraId="0AD0329D" w14:textId="01E347C1"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Cohen, S.B.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Geopolitics</w:t>
      </w:r>
      <w:r w:rsidR="00367D27">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The Geography of International Relations Third Edition. ROWMAN &amp; LITTLEFIELD Third edition (2003, 2009, 2015).</w:t>
      </w:r>
    </w:p>
    <w:p w14:paraId="0BB7C1EF" w14:textId="5073022E" w:rsidR="00CF7540" w:rsidRPr="0002056A" w:rsidRDefault="00CF7540" w:rsidP="00D4676D">
      <w:pPr>
        <w:pStyle w:val="Listaszerbekezds"/>
        <w:numPr>
          <w:ilvl w:val="0"/>
          <w:numId w:val="3"/>
        </w:numPr>
        <w:spacing w:after="0" w:line="240" w:lineRule="auto"/>
        <w:contextualSpacing w:val="0"/>
        <w:jc w:val="both"/>
        <w:rPr>
          <w:rFonts w:ascii="Georgia" w:hAnsi="Georgia" w:cs="Times New Roman"/>
          <w:color w:val="000000"/>
          <w:sz w:val="16"/>
          <w:szCs w:val="16"/>
          <w:lang w:val="en-GB"/>
        </w:rPr>
      </w:pPr>
      <w:r w:rsidRPr="0002056A">
        <w:rPr>
          <w:rFonts w:ascii="Georgia" w:eastAsia="Times New Roman" w:hAnsi="Georgia" w:cs="Times New Roman"/>
          <w:b/>
          <w:bCs/>
          <w:iCs/>
          <w:smallCaps/>
          <w:color w:val="000000"/>
          <w:sz w:val="16"/>
          <w:szCs w:val="16"/>
          <w:lang w:val="en-GB" w:eastAsia="hu-HU"/>
        </w:rPr>
        <w:t>Colven, E., Thomson, M.J. (2018):</w:t>
      </w:r>
      <w:r w:rsidRPr="0002056A">
        <w:rPr>
          <w:rFonts w:ascii="Georgia" w:eastAsia="Times New Roman" w:hAnsi="Georgia" w:cs="Times New Roman"/>
          <w:color w:val="000000"/>
          <w:sz w:val="16"/>
          <w:szCs w:val="16"/>
          <w:lang w:val="en-GB" w:eastAsia="hu-HU"/>
        </w:rPr>
        <w:t xml:space="preserve"> Bridging the divide between human and physical geography: Potential avenues for collaborative research on climate modelling. Geography Compass, </w:t>
      </w:r>
      <w:hyperlink r:id="rId63" w:tooltip="View Volume 13, Issue 2" w:history="1">
        <w:r w:rsidRPr="0002056A">
          <w:rPr>
            <w:rFonts w:ascii="Georgia" w:eastAsia="Times New Roman" w:hAnsi="Georgia" w:cs="Times New Roman"/>
            <w:color w:val="000000"/>
            <w:sz w:val="16"/>
            <w:szCs w:val="16"/>
            <w:lang w:val="en-GB" w:eastAsia="hu-HU"/>
          </w:rPr>
          <w:t>Volume13,Issue 2</w:t>
        </w:r>
      </w:hyperlink>
      <w:r w:rsidRPr="0002056A">
        <w:rPr>
          <w:rFonts w:ascii="Georgia" w:eastAsia="Times New Roman" w:hAnsi="Georgia" w:cs="Times New Roman"/>
          <w:color w:val="000000"/>
          <w:sz w:val="16"/>
          <w:szCs w:val="16"/>
          <w:lang w:val="en-GB" w:eastAsia="hu-HU"/>
        </w:rPr>
        <w:t>, February 2019, e12418.</w:t>
      </w:r>
    </w:p>
    <w:p w14:paraId="59DC150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lastRenderedPageBreak/>
        <w:t>Cresswell, T. (</w:t>
      </w:r>
      <w:r w:rsidRPr="0002056A">
        <w:rPr>
          <w:rFonts w:ascii="Georgia" w:eastAsia="Times New Roman" w:hAnsi="Georgia" w:cs="Times New Roman"/>
          <w:b/>
          <w:smallCaps/>
          <w:color w:val="000000"/>
          <w:sz w:val="16"/>
          <w:szCs w:val="16"/>
          <w:lang w:val="en-GB" w:eastAsia="hu-HU"/>
        </w:rPr>
        <w:t>2008):</w:t>
      </w:r>
      <w:r w:rsidRPr="0002056A">
        <w:rPr>
          <w:rFonts w:ascii="Georgia" w:eastAsia="Times New Roman" w:hAnsi="Georgia" w:cs="Times New Roman"/>
          <w:color w:val="000000"/>
          <w:sz w:val="16"/>
          <w:szCs w:val="16"/>
          <w:lang w:val="en-GB" w:eastAsia="hu-HU"/>
        </w:rPr>
        <w:t xml:space="preserve"> Place: Encountering geography as philosophy. Geography, 93:3, 132-139, DOI: 10.1080/00167487.2008.12094234</w:t>
      </w:r>
    </w:p>
    <w:p w14:paraId="6B1F8163"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color w:val="000000"/>
          <w:sz w:val="16"/>
          <w:szCs w:val="16"/>
          <w:lang w:val="en-GB"/>
        </w:rPr>
        <w:t>Csutora. M.; Harangozó, G.; Széchy, A. (</w:t>
      </w:r>
      <w:r w:rsidRPr="0002056A">
        <w:rPr>
          <w:rFonts w:ascii="Georgia" w:hAnsi="Georgia"/>
          <w:b/>
          <w:smallCaps/>
          <w:color w:val="000000"/>
          <w:sz w:val="16"/>
          <w:szCs w:val="16"/>
          <w:lang w:val="en-GB"/>
        </w:rPr>
        <w:t>2021):</w:t>
      </w:r>
      <w:r w:rsidRPr="0002056A">
        <w:rPr>
          <w:rFonts w:ascii="Georgia" w:hAnsi="Georgia"/>
          <w:color w:val="000000"/>
          <w:sz w:val="16"/>
          <w:szCs w:val="16"/>
          <w:lang w:val="en-GB"/>
        </w:rPr>
        <w:t xml:space="preserve"> A társadalmi diszkontráta meghatározása és alkalmazási lehetőségei. In.: Salamin Géza – Széchy Anna (szerk.): A fenntarthatósági politikák megalapozásának mérési eszközei Budapesti Corvinus Egyetem Budapest, 2021.</w:t>
      </w:r>
    </w:p>
    <w:p w14:paraId="25653075" w14:textId="1CE6C5E2" w:rsidR="00E33E0F" w:rsidRPr="0002056A" w:rsidRDefault="00E33E0F"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hAnsi="Georgia"/>
          <w:b/>
          <w:bCs/>
          <w:iCs/>
          <w:smallCaps/>
          <w:color w:val="000000"/>
          <w:sz w:val="16"/>
          <w:szCs w:val="16"/>
          <w:lang w:val="en-GB"/>
        </w:rPr>
        <w:t>Damsgaard O</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Doucet Ph</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Drahos Zs</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Gere L</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Illés I</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Jetmar M</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xml:space="preserve">, Komornicki </w:t>
      </w:r>
      <w:r w:rsidR="006F4AB4" w:rsidRPr="0002056A">
        <w:rPr>
          <w:rFonts w:ascii="Georgia" w:hAnsi="Georgia"/>
          <w:b/>
          <w:bCs/>
          <w:iCs/>
          <w:smallCaps/>
          <w:color w:val="000000"/>
          <w:sz w:val="16"/>
          <w:szCs w:val="16"/>
          <w:lang w:val="en-GB"/>
        </w:rPr>
        <w:t>T.</w:t>
      </w:r>
      <w:r w:rsidRPr="0002056A">
        <w:rPr>
          <w:rFonts w:ascii="Georgia" w:hAnsi="Georgia"/>
          <w:b/>
          <w:bCs/>
          <w:iCs/>
          <w:smallCaps/>
          <w:color w:val="000000"/>
          <w:sz w:val="16"/>
          <w:szCs w:val="16"/>
          <w:lang w:val="en-GB"/>
        </w:rPr>
        <w:t>, Lopez I</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Péti M</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Prokai R</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Radvánszki Á</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Ricz J</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Salamin G</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Schmidt-Seiwert V</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Schön P</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Somfai Á</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Sütő A</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Tomay K</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Vanautgaerden L</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Zaucha J</w:t>
      </w:r>
      <w:r w:rsidR="006F4AB4" w:rsidRPr="0002056A">
        <w:rPr>
          <w:rFonts w:ascii="Georgia" w:hAnsi="Georgia"/>
          <w:b/>
          <w:bCs/>
          <w:iCs/>
          <w:smallCaps/>
          <w:color w:val="000000"/>
          <w:sz w:val="16"/>
          <w:szCs w:val="16"/>
          <w:lang w:val="en-GB"/>
        </w:rPr>
        <w:t>.</w:t>
      </w:r>
      <w:r w:rsidRPr="0002056A">
        <w:rPr>
          <w:rFonts w:ascii="Georgia" w:hAnsi="Georgia"/>
          <w:b/>
          <w:bCs/>
          <w:iCs/>
          <w:smallCaps/>
          <w:color w:val="000000"/>
          <w:sz w:val="16"/>
          <w:szCs w:val="16"/>
          <w:lang w:val="en-GB"/>
        </w:rPr>
        <w:t xml:space="preserve"> (2011):</w:t>
      </w:r>
      <w:r w:rsidRPr="0002056A">
        <w:rPr>
          <w:rFonts w:ascii="Georgia" w:eastAsia="Times New Roman" w:hAnsi="Georgia" w:cs="Times New Roman"/>
          <w:color w:val="000000"/>
          <w:sz w:val="16"/>
          <w:szCs w:val="16"/>
          <w:lang w:val="en-GB" w:eastAsia="hu-HU"/>
        </w:rPr>
        <w:t xml:space="preserve"> The Territorial State and Perspectives of the European Union, 2011 update: Background document for the Territorial Agenda of the European Union 2020 (2011)</w:t>
      </w:r>
    </w:p>
    <w:p w14:paraId="26650867" w14:textId="4DC6D00E" w:rsidR="008B2558" w:rsidRPr="0002056A" w:rsidRDefault="009F41E9"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hAnsi="Georgia"/>
          <w:b/>
          <w:bCs/>
          <w:iCs/>
          <w:smallCaps/>
          <w:color w:val="000000"/>
          <w:sz w:val="16"/>
          <w:szCs w:val="16"/>
          <w:lang w:val="en-GB"/>
        </w:rPr>
        <w:t xml:space="preserve">Davidse, B.J.; Othengrafen, M.; Deppisch, S. (2015): </w:t>
      </w:r>
      <w:r w:rsidRPr="0002056A">
        <w:rPr>
          <w:rFonts w:ascii="Georgia" w:eastAsia="Times New Roman" w:hAnsi="Georgia" w:cs="Times New Roman"/>
          <w:color w:val="000000"/>
          <w:sz w:val="16"/>
          <w:szCs w:val="16"/>
          <w:lang w:val="en-GB" w:eastAsia="hu-HU"/>
        </w:rPr>
        <w:t>Spatial planning practices of adapting to climate change.</w:t>
      </w:r>
      <w:r w:rsidR="008B2558" w:rsidRPr="0002056A">
        <w:rPr>
          <w:rFonts w:ascii="Georgia" w:eastAsia="Times New Roman" w:hAnsi="Georgia" w:cs="Times New Roman"/>
          <w:color w:val="000000"/>
          <w:sz w:val="16"/>
          <w:szCs w:val="16"/>
          <w:lang w:val="en-GB" w:eastAsia="hu-HU"/>
        </w:rPr>
        <w:t xml:space="preserve"> Spatial planning practices of adapting to climate change</w:t>
      </w:r>
      <w:r w:rsidRPr="0002056A">
        <w:rPr>
          <w:rFonts w:ascii="Georgia" w:eastAsia="Times New Roman" w:hAnsi="Georgia" w:cs="Times New Roman"/>
          <w:color w:val="000000"/>
          <w:sz w:val="16"/>
          <w:szCs w:val="16"/>
          <w:lang w:val="en-GB" w:eastAsia="hu-HU"/>
        </w:rPr>
        <w:t>.</w:t>
      </w:r>
      <w:r w:rsidR="008B2558"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European Journal of Spatial Development </w:t>
      </w:r>
      <w:r w:rsidR="008B2558" w:rsidRPr="0002056A">
        <w:rPr>
          <w:rFonts w:ascii="Georgia" w:eastAsia="Times New Roman" w:hAnsi="Georgia" w:cs="Times New Roman"/>
          <w:color w:val="000000"/>
          <w:sz w:val="16"/>
          <w:szCs w:val="16"/>
          <w:lang w:val="en-GB" w:eastAsia="hu-HU"/>
        </w:rPr>
        <w:t>No. 57, March 2015, URL: http://www.nordregio.se/Global/EJSD/Refereed articles/refereed57.pdf Online publication date: March 201</w:t>
      </w:r>
    </w:p>
    <w:p w14:paraId="2792224B" w14:textId="47E4E901" w:rsidR="0082461B" w:rsidRPr="0002056A" w:rsidRDefault="0082461B"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hAnsi="Georgia"/>
          <w:b/>
          <w:bCs/>
          <w:iCs/>
          <w:smallCaps/>
          <w:color w:val="000000"/>
          <w:sz w:val="16"/>
          <w:szCs w:val="16"/>
          <w:lang w:val="en-GB"/>
        </w:rPr>
        <w:t>Davies, A.; Hooks, G.; Knox-hayes, J.;</w:t>
      </w:r>
      <w:r w:rsidR="00050F92" w:rsidRPr="0002056A">
        <w:rPr>
          <w:rFonts w:ascii="Georgia" w:hAnsi="Georgia"/>
          <w:b/>
          <w:bCs/>
          <w:iCs/>
          <w:smallCaps/>
          <w:color w:val="000000"/>
          <w:sz w:val="16"/>
          <w:szCs w:val="16"/>
          <w:lang w:val="en-GB"/>
        </w:rPr>
        <w:t xml:space="preserve"> Liévanos, R.S. (2020):</w:t>
      </w:r>
      <w:r w:rsidR="00050F92" w:rsidRPr="0002056A">
        <w:rPr>
          <w:rFonts w:ascii="Georgia" w:eastAsia="Times New Roman" w:hAnsi="Georgia" w:cs="Helvetica"/>
          <w:color w:val="2A2A2A"/>
          <w:sz w:val="16"/>
          <w:szCs w:val="16"/>
          <w:lang w:val="en-GB" w:eastAsia="hu-HU"/>
        </w:rPr>
        <w:t xml:space="preserve"> </w:t>
      </w:r>
      <w:r w:rsidRPr="0002056A">
        <w:rPr>
          <w:rFonts w:ascii="Georgia" w:eastAsia="Times New Roman" w:hAnsi="Georgia" w:cs="Times New Roman"/>
          <w:color w:val="000000"/>
          <w:sz w:val="16"/>
          <w:szCs w:val="16"/>
          <w:lang w:val="en-GB" w:eastAsia="hu-HU"/>
        </w:rPr>
        <w:t>Riskscapes and the socio-spatial challenges of climate change</w:t>
      </w:r>
      <w:r w:rsidR="00050F92"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Cambridge Journal of Regions, Economy and Society, Volume 13, Issue 2, July 2020, Pages 197–213</w:t>
      </w:r>
      <w:r w:rsidR="00050F92" w:rsidRPr="0002056A">
        <w:rPr>
          <w:rFonts w:ascii="Georgia" w:eastAsia="Times New Roman" w:hAnsi="Georgia" w:cs="Times New Roman"/>
          <w:color w:val="000000"/>
          <w:sz w:val="16"/>
          <w:szCs w:val="16"/>
          <w:lang w:val="en-GB" w:eastAsia="hu-HU"/>
        </w:rPr>
        <w:t xml:space="preserve">. </w:t>
      </w:r>
      <w:hyperlink r:id="rId64" w:history="1">
        <w:r w:rsidR="00050F92" w:rsidRPr="0002056A">
          <w:rPr>
            <w:rFonts w:ascii="Georgia" w:hAnsi="Georgia" w:cs="Times New Roman"/>
            <w:color w:val="000000"/>
            <w:sz w:val="16"/>
            <w:szCs w:val="16"/>
            <w:lang w:val="en-GB" w:eastAsia="hu-HU"/>
          </w:rPr>
          <w:t>https://doi.org/10.1093/cjres/rsaa016</w:t>
        </w:r>
      </w:hyperlink>
    </w:p>
    <w:p w14:paraId="7B76A2FE" w14:textId="77777777" w:rsidR="00F73793" w:rsidRPr="0002056A" w:rsidRDefault="003F5A55" w:rsidP="00214BD9">
      <w:pPr>
        <w:pStyle w:val="Listaszerbekezds"/>
        <w:numPr>
          <w:ilvl w:val="0"/>
          <w:numId w:val="3"/>
        </w:numPr>
        <w:autoSpaceDE w:val="0"/>
        <w:autoSpaceDN w:val="0"/>
        <w:adjustRightInd w:val="0"/>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Devine-Wright, P. (2012): </w:t>
      </w:r>
      <w:r w:rsidRPr="0002056A">
        <w:rPr>
          <w:rFonts w:ascii="Georgia" w:eastAsia="Times New Roman" w:hAnsi="Georgia" w:cs="Times New Roman"/>
          <w:color w:val="000000"/>
          <w:sz w:val="16"/>
          <w:szCs w:val="16"/>
          <w:lang w:val="en-GB" w:eastAsia="hu-HU"/>
        </w:rPr>
        <w:t xml:space="preserve">Think global, act local? The relevance of place attachments and place identities in a climate changed world. Global Environmental Change, Volume 23, Issue 1, February 2013, Pages 61-69. </w:t>
      </w:r>
      <w:hyperlink r:id="rId65" w:history="1">
        <w:r w:rsidRPr="0002056A">
          <w:rPr>
            <w:rFonts w:ascii="Georgia" w:eastAsia="Times New Roman" w:hAnsi="Georgia" w:cs="Times New Roman"/>
            <w:color w:val="000000"/>
            <w:sz w:val="16"/>
            <w:szCs w:val="16"/>
            <w:lang w:val="en-GB" w:eastAsia="hu-HU"/>
          </w:rPr>
          <w:t>https://doi.org/10.1016/j.gloenvcha.2012.08.003</w:t>
        </w:r>
      </w:hyperlink>
      <w:r w:rsidRPr="0002056A">
        <w:rPr>
          <w:rFonts w:ascii="Georgia" w:eastAsia="Times New Roman" w:hAnsi="Georgia" w:cs="Times New Roman"/>
          <w:color w:val="000000"/>
          <w:sz w:val="16"/>
          <w:szCs w:val="16"/>
          <w:lang w:val="en-GB" w:eastAsia="hu-HU"/>
        </w:rPr>
        <w:t>. Science Direct</w:t>
      </w:r>
      <w:r w:rsidR="00F73793" w:rsidRPr="0002056A">
        <w:rPr>
          <w:rFonts w:ascii="Georgia" w:eastAsia="Times New Roman" w:hAnsi="Georgia" w:cs="Times New Roman"/>
          <w:color w:val="000000"/>
          <w:sz w:val="16"/>
          <w:szCs w:val="16"/>
          <w:lang w:val="en-GB" w:eastAsia="hu-HU"/>
        </w:rPr>
        <w:t>.</w:t>
      </w:r>
    </w:p>
    <w:p w14:paraId="623B1F91" w14:textId="76726627" w:rsidR="00DB107A" w:rsidRPr="0002056A" w:rsidRDefault="00D50C33" w:rsidP="00214BD9">
      <w:pPr>
        <w:pStyle w:val="Listaszerbekezds"/>
        <w:numPr>
          <w:ilvl w:val="0"/>
          <w:numId w:val="3"/>
        </w:numPr>
        <w:autoSpaceDE w:val="0"/>
        <w:autoSpaceDN w:val="0"/>
        <w:adjustRightInd w:val="0"/>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DG Regio</w:t>
      </w:r>
      <w:r w:rsidR="00DB107A"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bCs/>
          <w:iCs/>
          <w:smallCaps/>
          <w:color w:val="000000"/>
          <w:sz w:val="16"/>
          <w:szCs w:val="16"/>
          <w:lang w:val="en-GB" w:eastAsia="hu-HU"/>
        </w:rPr>
        <w:t>Directorate General for Regional Policy</w:t>
      </w:r>
      <w:r w:rsidR="00DB107A" w:rsidRPr="0002056A">
        <w:rPr>
          <w:rFonts w:ascii="Georgia" w:eastAsia="Times New Roman" w:hAnsi="Georgia" w:cs="Times New Roman"/>
          <w:b/>
          <w:bCs/>
          <w:iCs/>
          <w:smallCaps/>
          <w:color w:val="000000"/>
          <w:sz w:val="16"/>
          <w:szCs w:val="16"/>
          <w:lang w:val="en-GB" w:eastAsia="hu-HU"/>
        </w:rPr>
        <w:t>)</w:t>
      </w:r>
      <w:r w:rsidR="00F14073" w:rsidRPr="0002056A">
        <w:rPr>
          <w:rFonts w:ascii="Georgia" w:eastAsia="Times New Roman" w:hAnsi="Georgia" w:cs="Times New Roman"/>
          <w:b/>
          <w:bCs/>
          <w:iCs/>
          <w:smallCaps/>
          <w:color w:val="000000"/>
          <w:sz w:val="16"/>
          <w:szCs w:val="16"/>
          <w:lang w:val="en-GB" w:eastAsia="hu-HU"/>
        </w:rPr>
        <w:t xml:space="preserve"> (2009)</w:t>
      </w:r>
      <w:r w:rsidR="00DB107A" w:rsidRPr="0002056A">
        <w:rPr>
          <w:rFonts w:ascii="Georgia" w:eastAsia="Times New Roman" w:hAnsi="Georgia" w:cs="Times New Roman"/>
          <w:b/>
          <w:bCs/>
          <w:iCs/>
          <w:smallCaps/>
          <w:color w:val="000000"/>
          <w:sz w:val="16"/>
          <w:szCs w:val="16"/>
          <w:lang w:val="en-GB" w:eastAsia="hu-HU"/>
        </w:rPr>
        <w:t>:</w:t>
      </w:r>
      <w:r w:rsidR="00DB107A" w:rsidRPr="0002056A">
        <w:rPr>
          <w:rFonts w:ascii="Georgia" w:hAnsi="Georgia" w:cs="Verdana"/>
          <w:color w:val="000000"/>
          <w:sz w:val="16"/>
          <w:szCs w:val="16"/>
          <w:lang w:val="en-GB"/>
          <w14:ligatures w14:val="standardContextual"/>
        </w:rPr>
        <w:t xml:space="preserve"> </w:t>
      </w:r>
      <w:r w:rsidR="00DB107A" w:rsidRPr="0002056A">
        <w:rPr>
          <w:rFonts w:ascii="Georgia" w:eastAsia="Times New Roman" w:hAnsi="Georgia" w:cs="Times New Roman"/>
          <w:color w:val="000000"/>
          <w:sz w:val="16"/>
          <w:szCs w:val="16"/>
          <w:lang w:val="en-GB" w:eastAsia="hu-HU"/>
        </w:rPr>
        <w:t>Regions 2020 – The Climate Change Challenge for European Regions. Br</w:t>
      </w:r>
      <w:r w:rsidR="00332519" w:rsidRPr="0002056A">
        <w:rPr>
          <w:rFonts w:ascii="Georgia" w:eastAsia="Times New Roman" w:hAnsi="Georgia" w:cs="Times New Roman"/>
          <w:color w:val="000000"/>
          <w:sz w:val="16"/>
          <w:szCs w:val="16"/>
          <w:lang w:val="en-GB" w:eastAsia="hu-HU"/>
        </w:rPr>
        <w:t>u</w:t>
      </w:r>
      <w:r w:rsidR="00DB107A" w:rsidRPr="0002056A">
        <w:rPr>
          <w:rFonts w:ascii="Georgia" w:eastAsia="Times New Roman" w:hAnsi="Georgia" w:cs="Times New Roman"/>
          <w:color w:val="000000"/>
          <w:sz w:val="16"/>
          <w:szCs w:val="16"/>
          <w:lang w:val="en-GB" w:eastAsia="hu-HU"/>
        </w:rPr>
        <w:t>ssel</w:t>
      </w:r>
      <w:r w:rsidR="00332519" w:rsidRPr="0002056A">
        <w:rPr>
          <w:rFonts w:ascii="Georgia" w:eastAsia="Times New Roman" w:hAnsi="Georgia" w:cs="Times New Roman"/>
          <w:color w:val="000000"/>
          <w:sz w:val="16"/>
          <w:szCs w:val="16"/>
          <w:lang w:val="en-GB" w:eastAsia="hu-HU"/>
        </w:rPr>
        <w:t>s</w:t>
      </w:r>
      <w:r w:rsidR="00DB107A" w:rsidRPr="0002056A">
        <w:rPr>
          <w:rFonts w:ascii="Georgia" w:eastAsia="Times New Roman" w:hAnsi="Georgia" w:cs="Times New Roman"/>
          <w:color w:val="000000"/>
          <w:sz w:val="16"/>
          <w:szCs w:val="16"/>
          <w:lang w:val="en-GB" w:eastAsia="hu-HU"/>
        </w:rPr>
        <w:t xml:space="preserve"> 2009. </w:t>
      </w:r>
      <w:hyperlink r:id="rId66" w:history="1">
        <w:r w:rsidR="00332519" w:rsidRPr="0002056A">
          <w:rPr>
            <w:rStyle w:val="Hiperhivatkozs"/>
            <w:rFonts w:ascii="Georgia" w:eastAsia="Times New Roman" w:hAnsi="Georgia" w:cs="Times New Roman"/>
            <w:sz w:val="16"/>
            <w:szCs w:val="16"/>
            <w:lang w:val="en-GB" w:eastAsia="hu-HU"/>
          </w:rPr>
          <w:t>http://ec.europa.eu/regional_policy/sources/docoffic/working/regions2020/pdf/regions2020_climat.pdf</w:t>
        </w:r>
      </w:hyperlink>
      <w:r w:rsidR="00332519" w:rsidRPr="0002056A">
        <w:rPr>
          <w:rFonts w:ascii="Georgia" w:eastAsia="Times New Roman" w:hAnsi="Georgia" w:cs="Times New Roman"/>
          <w:color w:val="000000"/>
          <w:sz w:val="16"/>
          <w:szCs w:val="16"/>
          <w:lang w:val="en-GB" w:eastAsia="hu-HU"/>
        </w:rPr>
        <w:t xml:space="preserve"> </w:t>
      </w:r>
      <w:r w:rsidR="00DB107A" w:rsidRPr="0002056A">
        <w:rPr>
          <w:rFonts w:ascii="Georgia" w:eastAsia="Times New Roman" w:hAnsi="Georgia" w:cs="Times New Roman"/>
          <w:color w:val="000000"/>
          <w:sz w:val="16"/>
          <w:szCs w:val="16"/>
          <w:lang w:val="en-GB" w:eastAsia="hu-HU"/>
        </w:rPr>
        <w:t>(17.9.2010)</w:t>
      </w:r>
      <w:r w:rsidR="00332519" w:rsidRPr="0002056A">
        <w:rPr>
          <w:rFonts w:ascii="Georgia" w:eastAsia="Times New Roman" w:hAnsi="Georgia" w:cs="Times New Roman"/>
          <w:color w:val="000000"/>
          <w:sz w:val="16"/>
          <w:szCs w:val="16"/>
          <w:lang w:val="en-GB" w:eastAsia="hu-HU"/>
        </w:rPr>
        <w:t>. Downloaded on 12.07.25.</w:t>
      </w:r>
    </w:p>
    <w:p w14:paraId="32B3969F" w14:textId="16DE1E3F"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Di Gregorio, M.; Nurrochmatc, D.R.; Paavolaa, J.; Sarib, I.M.; Fatorellia, L.; Pramovab, E.; Locatellib, B.; Brockhausb, M.; Kusumadewia, S.D.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Climate policy integration in the land use sector: Mitigation, adaptation and sustainable development linkages</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Environmental Science &amp; Policy 67 (2017) pp. 35–43</w:t>
      </w:r>
    </w:p>
    <w:p w14:paraId="5F89DE13" w14:textId="02702436" w:rsidR="00BA7A02" w:rsidRPr="0002056A" w:rsidRDefault="003D6444"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Dosch, F., Porsche, L., Schuster, P. (2008) </w:t>
      </w:r>
      <w:r w:rsidRPr="0002056A">
        <w:rPr>
          <w:rFonts w:ascii="Georgia" w:eastAsia="Times New Roman" w:hAnsi="Georgia" w:cs="Times New Roman"/>
          <w:color w:val="000000"/>
          <w:sz w:val="16"/>
          <w:szCs w:val="16"/>
          <w:lang w:val="en-GB" w:eastAsia="hu-HU"/>
        </w:rPr>
        <w:t>Anpassung an den Klimawandel aus europäischer Perspektive. Informationen zur Raumentwicklung, No 6/7. 2008, pp.381-394.</w:t>
      </w:r>
    </w:p>
    <w:p w14:paraId="3B648B03" w14:textId="68DE7265" w:rsidR="007C39E1" w:rsidRPr="0002056A" w:rsidRDefault="007C39E1"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Dombi, M. (</w:t>
      </w:r>
      <w:r w:rsidR="007720AC" w:rsidRPr="0002056A">
        <w:rPr>
          <w:rFonts w:ascii="Georgia" w:eastAsia="Times New Roman" w:hAnsi="Georgia" w:cs="Times New Roman"/>
          <w:b/>
          <w:bCs/>
          <w:iCs/>
          <w:smallCaps/>
          <w:color w:val="000000"/>
          <w:sz w:val="16"/>
          <w:szCs w:val="16"/>
          <w:lang w:val="en-GB" w:eastAsia="hu-HU"/>
        </w:rPr>
        <w:t>2021</w:t>
      </w:r>
      <w:r w:rsidR="00367D27" w:rsidRPr="0002056A">
        <w:rPr>
          <w:rFonts w:ascii="Georgia" w:eastAsia="Times New Roman" w:hAnsi="Georgia" w:cs="Times New Roman"/>
          <w:b/>
          <w:bCs/>
          <w:iCs/>
          <w:smallCaps/>
          <w:color w:val="000000"/>
          <w:sz w:val="16"/>
          <w:szCs w:val="16"/>
          <w:lang w:val="en-GB" w:eastAsia="hu-HU"/>
        </w:rPr>
        <w:t>):</w:t>
      </w:r>
      <w:r w:rsidR="00367D27" w:rsidRPr="0002056A">
        <w:rPr>
          <w:rFonts w:ascii="Georgia" w:eastAsia="Times New Roman" w:hAnsi="Georgia" w:cs="Times New Roman"/>
          <w:color w:val="000000"/>
          <w:sz w:val="16"/>
          <w:szCs w:val="16"/>
          <w:lang w:val="en-GB" w:eastAsia="hu-HU"/>
        </w:rPr>
        <w:t xml:space="preserve"> Types</w:t>
      </w:r>
      <w:r w:rsidR="007720AC" w:rsidRPr="0002056A">
        <w:rPr>
          <w:rFonts w:ascii="Georgia" w:eastAsia="Times New Roman" w:hAnsi="Georgia" w:cs="Times New Roman"/>
          <w:color w:val="000000"/>
          <w:sz w:val="16"/>
          <w:szCs w:val="16"/>
          <w:lang w:val="en-GB" w:eastAsia="hu-HU"/>
        </w:rPr>
        <w:t xml:space="preserve"> of planning systems and effects on construction material volumes: An explanatory analysis in Europe. </w:t>
      </w:r>
      <w:r w:rsidRPr="0002056A">
        <w:rPr>
          <w:rFonts w:ascii="Georgia" w:eastAsia="Times New Roman" w:hAnsi="Georgia" w:cs="Times New Roman"/>
          <w:color w:val="000000"/>
          <w:sz w:val="16"/>
          <w:szCs w:val="16"/>
          <w:lang w:val="en-GB" w:eastAsia="hu-HU"/>
        </w:rPr>
        <w:t xml:space="preserve">Land Use Policy 109 (2021) 105682. Published by Elsevier </w:t>
      </w:r>
      <w:r w:rsidR="00367D27" w:rsidRPr="0002056A">
        <w:rPr>
          <w:rFonts w:ascii="Georgia" w:eastAsia="Times New Roman" w:hAnsi="Georgia" w:cs="Times New Roman"/>
          <w:color w:val="000000"/>
          <w:sz w:val="16"/>
          <w:szCs w:val="16"/>
          <w:lang w:val="en-GB" w:eastAsia="hu-HU"/>
        </w:rPr>
        <w:t>Ltd.</w:t>
      </w:r>
    </w:p>
    <w:p w14:paraId="2EA61BB8" w14:textId="0C06530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Dunn, W.N. (</w:t>
      </w:r>
      <w:r w:rsidRPr="0002056A">
        <w:rPr>
          <w:rFonts w:ascii="Georgia" w:eastAsia="Times New Roman" w:hAnsi="Georgia" w:cs="Times New Roman"/>
          <w:b/>
          <w:smallCaps/>
          <w:color w:val="000000"/>
          <w:sz w:val="16"/>
          <w:szCs w:val="16"/>
          <w:lang w:val="en-GB" w:eastAsia="hu-HU"/>
        </w:rPr>
        <w:t>2004):</w:t>
      </w:r>
      <w:r w:rsidRPr="0002056A">
        <w:rPr>
          <w:rFonts w:ascii="Georgia" w:eastAsia="Times New Roman" w:hAnsi="Georgia" w:cs="Times New Roman"/>
          <w:color w:val="000000"/>
          <w:sz w:val="16"/>
          <w:szCs w:val="16"/>
          <w:lang w:val="en-GB" w:eastAsia="hu-HU"/>
        </w:rPr>
        <w:t xml:space="preserve"> Public Policy Analysis. An Introduction. Taylor &amp; Francis Online ISBN 100130976393</w:t>
      </w:r>
    </w:p>
    <w:p w14:paraId="3582200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Dusek, T. (</w:t>
      </w:r>
      <w:r w:rsidRPr="0002056A">
        <w:rPr>
          <w:rFonts w:ascii="Georgia" w:eastAsia="Times New Roman" w:hAnsi="Georgia" w:cs="Times New Roman"/>
          <w:b/>
          <w:smallCaps/>
          <w:color w:val="000000"/>
          <w:sz w:val="16"/>
          <w:szCs w:val="16"/>
          <w:lang w:val="en-GB" w:eastAsia="hu-HU"/>
        </w:rPr>
        <w:t>2004):</w:t>
      </w:r>
      <w:r w:rsidRPr="0002056A">
        <w:rPr>
          <w:rFonts w:ascii="Georgia" w:eastAsia="Times New Roman" w:hAnsi="Georgia" w:cs="Times New Roman"/>
          <w:color w:val="000000"/>
          <w:sz w:val="16"/>
          <w:szCs w:val="16"/>
          <w:lang w:val="en-GB" w:eastAsia="hu-HU"/>
        </w:rPr>
        <w:t xml:space="preserve"> A területi elemzések alapjai.  Regionális tudományi tanulmányok 10.  ELTE-TTK, Regionális Földrajzi Tanszék, Budapest.</w:t>
      </w:r>
    </w:p>
    <w:p w14:paraId="5C13C9F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67" w:history="1">
        <w:r w:rsidRPr="0002056A">
          <w:rPr>
            <w:rFonts w:ascii="Georgia" w:eastAsia="Times New Roman" w:hAnsi="Georgia" w:cs="Times New Roman"/>
            <w:b/>
            <w:bCs/>
            <w:iCs/>
            <w:smallCaps/>
            <w:color w:val="000000"/>
            <w:sz w:val="16"/>
            <w:szCs w:val="16"/>
            <w:lang w:val="en-GB" w:eastAsia="hu-HU"/>
          </w:rPr>
          <w:t xml:space="preserve">Edmunds, R., Marchant, T. </w:t>
        </w:r>
      </w:hyperlink>
      <w:r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smallCaps/>
          <w:color w:val="000000"/>
          <w:sz w:val="16"/>
          <w:szCs w:val="16"/>
          <w:lang w:val="en-GB" w:eastAsia="hu-HU"/>
        </w:rPr>
        <w:t>2008):</w:t>
      </w:r>
      <w:r w:rsidRPr="0002056A">
        <w:rPr>
          <w:rFonts w:ascii="Georgia" w:eastAsia="Times New Roman" w:hAnsi="Georgia" w:cs="Times New Roman"/>
          <w:color w:val="000000"/>
          <w:sz w:val="16"/>
          <w:szCs w:val="16"/>
          <w:lang w:val="en-GB" w:eastAsia="hu-HU"/>
        </w:rPr>
        <w:t xml:space="preserve"> Partnership in Statistics for Development in the 21</w:t>
      </w:r>
      <w:r w:rsidRPr="0002056A">
        <w:rPr>
          <w:rFonts w:ascii="Georgia" w:eastAsia="Times New Roman" w:hAnsi="Georgia" w:cs="Times New Roman"/>
          <w:color w:val="000000"/>
          <w:sz w:val="16"/>
          <w:szCs w:val="16"/>
          <w:vertAlign w:val="superscript"/>
          <w:lang w:val="en-GB" w:eastAsia="hu-HU"/>
        </w:rPr>
        <w:t>st</w:t>
      </w:r>
      <w:r w:rsidRPr="0002056A">
        <w:rPr>
          <w:rFonts w:ascii="Georgia" w:eastAsia="Times New Roman" w:hAnsi="Georgia" w:cs="Times New Roman"/>
          <w:color w:val="000000"/>
          <w:sz w:val="16"/>
          <w:szCs w:val="16"/>
          <w:lang w:val="en-GB" w:eastAsia="hu-HU"/>
        </w:rPr>
        <w:t xml:space="preserve"> Century (PARIS21).  Retrieved from </w:t>
      </w:r>
      <w:hyperlink r:id="rId68" w:history="1">
        <w:r w:rsidRPr="0002056A">
          <w:rPr>
            <w:rStyle w:val="Hiperhivatkozs"/>
            <w:rFonts w:ascii="Georgia" w:eastAsia="Times New Roman" w:hAnsi="Georgia" w:cs="Times New Roman"/>
            <w:sz w:val="16"/>
            <w:szCs w:val="16"/>
            <w:lang w:val="en-GB" w:eastAsia="hu-HU"/>
          </w:rPr>
          <w:t>https://paris21.org/sites/default/files/3638.pdf</w:t>
        </w:r>
      </w:hyperlink>
    </w:p>
    <w:p w14:paraId="1A5FF8F6" w14:textId="78A2D19D" w:rsidR="00AB5438" w:rsidRPr="0002056A" w:rsidRDefault="00AB5438"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Elden, S. (2013): </w:t>
      </w:r>
      <w:r w:rsidRPr="0002056A">
        <w:rPr>
          <w:rFonts w:ascii="Georgia" w:eastAsia="Times New Roman" w:hAnsi="Georgia" w:cs="Times New Roman"/>
          <w:color w:val="000000"/>
          <w:sz w:val="16"/>
          <w:szCs w:val="16"/>
          <w:lang w:val="en-GB" w:eastAsia="hu-HU"/>
        </w:rPr>
        <w:t>How Should We Do the History of Territory? Territory, Politics, Governance 1, no.1: 5-20.</w:t>
      </w:r>
    </w:p>
    <w:p w14:paraId="594F36A1" w14:textId="77777777" w:rsidR="006D337D" w:rsidRPr="0002056A" w:rsidRDefault="006D337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1999):</w:t>
      </w:r>
      <w:r w:rsidRPr="0002056A">
        <w:rPr>
          <w:rFonts w:ascii="Georgia" w:eastAsia="Times New Roman" w:hAnsi="Georgia" w:cs="Times New Roman"/>
          <w:color w:val="000000"/>
          <w:sz w:val="16"/>
          <w:szCs w:val="16"/>
          <w:lang w:val="en-GB" w:eastAsia="hu-HU"/>
        </w:rPr>
        <w:t xml:space="preserve"> European Spatial Development Perspective Towards Balanced and Sustainable Development of the Territory of the European Union (ESDP). Agreed at the Informal Council of Ministers responsible for Spatial Planning in Potsdam, May 1999</w:t>
      </w:r>
    </w:p>
    <w:p w14:paraId="6677D331" w14:textId="77777777" w:rsidR="003A0395" w:rsidRPr="0002056A" w:rsidRDefault="009E1E8E"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sz w:val="16"/>
          <w:szCs w:val="16"/>
          <w:lang w:val="en-GB"/>
        </w:rPr>
        <w:t xml:space="preserve">ESPON </w:t>
      </w:r>
      <w:r w:rsidRPr="0002056A">
        <w:rPr>
          <w:rFonts w:ascii="Georgia" w:eastAsia="Times New Roman" w:hAnsi="Georgia" w:cs="Times New Roman"/>
          <w:b/>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ESPON Climate&gt; Climate Change and Territorial Effects on Regions and Local Economies Applied Research 2013/1/4 Final Report Version 31/5/2011. Executive Summary. ESPON &amp; IRPUD, TU Dortmund, 2011. ISBN 978-2-919777-04-4.</w:t>
      </w:r>
    </w:p>
    <w:p w14:paraId="7E37FA9E" w14:textId="649941A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2005):</w:t>
      </w:r>
      <w:r w:rsidRPr="0002056A">
        <w:rPr>
          <w:rFonts w:ascii="Georgia" w:eastAsia="Times New Roman" w:hAnsi="Georgia" w:cs="Times New Roman"/>
          <w:color w:val="000000"/>
          <w:sz w:val="16"/>
          <w:szCs w:val="16"/>
          <w:lang w:val="en-GB" w:eastAsia="hu-HU"/>
        </w:rPr>
        <w:t xml:space="preserve"> COMMUNICATION TO THE SPRING EUROPEAN COUNCIL. Working together for growth and jobs A new start for the Lisbon Strategy. </w:t>
      </w:r>
    </w:p>
    <w:p w14:paraId="44968333" w14:textId="055D31FD"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 Commission (</w:t>
      </w:r>
      <w:r w:rsidRPr="0002056A">
        <w:rPr>
          <w:rFonts w:ascii="Georgia" w:eastAsia="Times New Roman" w:hAnsi="Georgia" w:cs="Times New Roman"/>
          <w:b/>
          <w:smallCaps/>
          <w:color w:val="000000"/>
          <w:sz w:val="16"/>
          <w:szCs w:val="16"/>
          <w:lang w:val="en-GB" w:eastAsia="hu-HU"/>
        </w:rPr>
        <w:t>2008):</w:t>
      </w:r>
      <w:r w:rsidRPr="0002056A">
        <w:rPr>
          <w:rFonts w:ascii="Georgia" w:eastAsia="Times New Roman" w:hAnsi="Georgia" w:cs="Times New Roman"/>
          <w:color w:val="000000"/>
          <w:sz w:val="16"/>
          <w:szCs w:val="16"/>
          <w:lang w:val="en-GB" w:eastAsia="hu-HU"/>
        </w:rPr>
        <w:t xml:space="preserve"> 20 20 by 2020 Europe’s climate change opportunity. Communication from the Commission to the European Parliament, the Council, the European Economic and Social Committee and the Committee of the Regions. COM (2008) 30 final Brussels, 23.1.2008</w:t>
      </w:r>
    </w:p>
    <w:p w14:paraId="63537360" w14:textId="00782DA3" w:rsidR="00FB3E0E" w:rsidRPr="0002056A" w:rsidRDefault="00FB3E0E"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cstheme="minorHAnsi"/>
          <w:b/>
          <w:smallCaps/>
          <w:sz w:val="16"/>
          <w:szCs w:val="16"/>
          <w:lang w:val="en-GB"/>
        </w:rPr>
        <w:t>European Commission (2009):</w:t>
      </w:r>
      <w:r w:rsidRPr="0002056A">
        <w:rPr>
          <w:rFonts w:ascii="Georgia" w:hAnsi="Georgia" w:cs="Verdana"/>
          <w:color w:val="000000"/>
          <w:sz w:val="16"/>
          <w:szCs w:val="16"/>
          <w:lang w:val="en-GB"/>
          <w14:ligatures w14:val="standardContextual"/>
        </w:rPr>
        <w:t xml:space="preserve"> </w:t>
      </w:r>
      <w:r w:rsidRPr="0002056A">
        <w:rPr>
          <w:rFonts w:ascii="Georgia" w:eastAsia="Times New Roman" w:hAnsi="Georgia" w:cs="Times New Roman"/>
          <w:color w:val="000000"/>
          <w:sz w:val="16"/>
          <w:szCs w:val="16"/>
          <w:lang w:val="en-GB" w:eastAsia="hu-HU"/>
        </w:rPr>
        <w:t>Adapting to climate change: towards a European framework for action. White paper. Online at: http://eur-lex.europa.eu/LexUriServ/LexUriServ.do? uri=COM:2009:0147:FIN:EN:PDF (17.9.2010). European Commission: STAFF WORKING DOCUMENT</w:t>
      </w:r>
    </w:p>
    <w:p w14:paraId="581B39BF" w14:textId="284FB32B" w:rsidR="00FB3E0E" w:rsidRPr="0002056A" w:rsidRDefault="001B2E30"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hAnsi="Georgia" w:cstheme="minorHAnsi"/>
          <w:b/>
          <w:smallCaps/>
          <w:sz w:val="16"/>
          <w:szCs w:val="16"/>
          <w:lang w:val="en-GB"/>
        </w:rPr>
        <w:t>EU Commission</w:t>
      </w:r>
      <w:r w:rsidR="00841494" w:rsidRPr="0002056A">
        <w:rPr>
          <w:rFonts w:ascii="Georgia" w:hAnsi="Georgia" w:cstheme="minorHAnsi"/>
          <w:b/>
          <w:smallCaps/>
          <w:sz w:val="16"/>
          <w:szCs w:val="16"/>
          <w:lang w:val="en-GB"/>
        </w:rPr>
        <w:t xml:space="preserve"> (</w:t>
      </w:r>
      <w:r w:rsidR="00841494" w:rsidRPr="0002056A">
        <w:rPr>
          <w:rFonts w:ascii="Georgia" w:eastAsia="Times New Roman" w:hAnsi="Georgia" w:cs="Times New Roman"/>
          <w:b/>
          <w:color w:val="000000"/>
          <w:sz w:val="16"/>
          <w:szCs w:val="16"/>
          <w:lang w:val="en-GB" w:eastAsia="hu-HU"/>
        </w:rPr>
        <w:t>2005</w:t>
      </w:r>
      <w:r w:rsidR="00C70AEB" w:rsidRPr="0002056A">
        <w:rPr>
          <w:rFonts w:ascii="Georgia" w:eastAsia="Times New Roman" w:hAnsi="Georgia" w:cs="Times New Roman"/>
          <w:b/>
          <w:color w:val="000000"/>
          <w:sz w:val="16"/>
          <w:szCs w:val="16"/>
          <w:lang w:val="en-GB" w:eastAsia="hu-HU"/>
        </w:rPr>
        <w:t>):</w:t>
      </w:r>
      <w:r w:rsidR="00C70AEB" w:rsidRPr="0002056A">
        <w:rPr>
          <w:rFonts w:ascii="Georgia" w:eastAsia="Times New Roman" w:hAnsi="Georgia" w:cs="Times New Roman"/>
          <w:color w:val="000000"/>
          <w:sz w:val="16"/>
          <w:szCs w:val="16"/>
          <w:lang w:val="en-GB" w:eastAsia="hu-HU"/>
        </w:rPr>
        <w:t xml:space="preserve"> Winning the Battle Against Global Climate Change </w:t>
      </w:r>
      <w:r w:rsidRPr="0002056A">
        <w:rPr>
          <w:rFonts w:ascii="Georgia" w:eastAsia="Times New Roman" w:hAnsi="Georgia" w:cs="Times New Roman"/>
          <w:color w:val="000000"/>
          <w:sz w:val="16"/>
          <w:szCs w:val="16"/>
          <w:lang w:val="en-GB" w:eastAsia="hu-HU"/>
        </w:rPr>
        <w:t>COMMUNICATION FROM THE COMMISSION TO THE COUNCIL, THE</w:t>
      </w:r>
      <w:r w:rsidR="00C70AEB"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EUROPEAN PARLIAMENT, THE EUROPEAN ECONOMIC AND SOCIAL</w:t>
      </w:r>
      <w:r w:rsidR="00C70AEB"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COMMITTEE AND THE COMMITTEE OF THE REGIONS</w:t>
      </w:r>
      <w:r w:rsidR="00C70AEB"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Brussels, 9.2.2005</w:t>
      </w:r>
      <w:r w:rsidR="00C70AEB"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COM(2005) 35 final</w:t>
      </w:r>
      <w:r w:rsidR="00A42811"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{SEC(2005) 180}</w:t>
      </w:r>
      <w:r w:rsidR="00A42811" w:rsidRPr="0002056A">
        <w:rPr>
          <w:rFonts w:ascii="Georgia" w:eastAsia="Times New Roman" w:hAnsi="Georgia" w:cs="Times New Roman"/>
          <w:color w:val="000000"/>
          <w:sz w:val="16"/>
          <w:szCs w:val="16"/>
          <w:lang w:val="en-GB" w:eastAsia="hu-HU"/>
        </w:rPr>
        <w:t xml:space="preserve">. </w:t>
      </w:r>
      <w:r w:rsidR="00841494" w:rsidRPr="0002056A">
        <w:rPr>
          <w:rFonts w:ascii="Georgia" w:eastAsia="Times New Roman" w:hAnsi="Georgia" w:cs="Times New Roman"/>
          <w:color w:val="000000"/>
          <w:sz w:val="16"/>
          <w:szCs w:val="16"/>
          <w:lang w:val="en-GB" w:eastAsia="hu-HU"/>
        </w:rPr>
        <w:t>published in February 2005</w:t>
      </w:r>
      <w:r w:rsidR="00A42811" w:rsidRPr="0002056A">
        <w:rPr>
          <w:rFonts w:ascii="Georgia" w:eastAsia="Times New Roman" w:hAnsi="Georgia" w:cs="Times New Roman"/>
          <w:color w:val="000000"/>
          <w:sz w:val="16"/>
          <w:szCs w:val="16"/>
          <w:lang w:val="en-GB" w:eastAsia="hu-HU"/>
        </w:rPr>
        <w:t>.</w:t>
      </w:r>
    </w:p>
    <w:p w14:paraId="5D34027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 Commission (</w:t>
      </w:r>
      <w:r w:rsidRPr="0002056A">
        <w:rPr>
          <w:rFonts w:ascii="Georgia" w:eastAsia="Times New Roman" w:hAnsi="Georgia" w:cs="Times New Roman"/>
          <w:b/>
          <w:smallCaps/>
          <w:color w:val="000000"/>
          <w:sz w:val="16"/>
          <w:szCs w:val="16"/>
          <w:lang w:val="en-GB" w:eastAsia="hu-HU"/>
        </w:rPr>
        <w:t>2010):</w:t>
      </w:r>
      <w:r w:rsidRPr="0002056A">
        <w:rPr>
          <w:rFonts w:ascii="Georgia" w:eastAsia="Times New Roman" w:hAnsi="Georgia" w:cs="Times New Roman"/>
          <w:color w:val="000000"/>
          <w:sz w:val="16"/>
          <w:szCs w:val="16"/>
          <w:lang w:val="en-GB" w:eastAsia="hu-HU"/>
        </w:rPr>
        <w:t xml:space="preserve"> EU2020 – Az intelligens, fenntartható és inkluzív növekedés stratégiája. Európai Bizottság, Brüsszel, 2010.3.3. COM(2010).</w:t>
      </w:r>
    </w:p>
    <w:p w14:paraId="31517D3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Communication: “An EU Strategy on Adaptation to CC», COM (2013) 216. Brussel/Strasbourg, 2013.</w:t>
      </w:r>
    </w:p>
    <w:p w14:paraId="1E3E235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 Commission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2030 Climate and Energy Policy Framework.  EUCO 169/14 CO EUR 13 CONCL 5. Brussels, 24 October 2014</w:t>
      </w:r>
    </w:p>
    <w:p w14:paraId="50DE9174" w14:textId="38D78EC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 Commission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Communication from the Commission</w:t>
      </w:r>
      <w:r w:rsidR="00367D27">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A Sustainable Europe for a Better World: A European Union Strategy for Sustainable Development. Commission’s proposal to the Gothenburg European Council) /* COM/2001/0264 final */</w:t>
      </w:r>
    </w:p>
    <w:p w14:paraId="057EE89C" w14:textId="659900D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 Commission (20</w:t>
      </w:r>
      <w:r w:rsidRPr="0002056A">
        <w:rPr>
          <w:rFonts w:ascii="Georgia" w:eastAsia="Times New Roman" w:hAnsi="Georgia" w:cs="Times New Roman"/>
          <w:b/>
          <w:smallCaps/>
          <w:color w:val="000000"/>
          <w:sz w:val="16"/>
          <w:szCs w:val="16"/>
          <w:lang w:val="en-GB" w:eastAsia="hu-HU"/>
        </w:rPr>
        <w:t>19):</w:t>
      </w:r>
      <w:r w:rsidRPr="0002056A">
        <w:rPr>
          <w:rFonts w:ascii="Georgia" w:eastAsia="Times New Roman" w:hAnsi="Georgia" w:cs="Times New Roman"/>
          <w:color w:val="000000"/>
          <w:sz w:val="16"/>
          <w:szCs w:val="16"/>
          <w:lang w:val="en-GB" w:eastAsia="hu-HU"/>
        </w:rPr>
        <w:t xml:space="preserve"> REFLECTION PAPER TOWARDS A SUSTAINABLE EUROPE BY 2030. European Commission COM (2019)22 of 30 January 2019, Brussels.</w:t>
      </w:r>
    </w:p>
    <w:p w14:paraId="70AE5780" w14:textId="53B3CD04"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2010):</w:t>
      </w:r>
      <w:r w:rsidRPr="0002056A">
        <w:rPr>
          <w:rFonts w:ascii="Georgia" w:eastAsia="Times New Roman" w:hAnsi="Georgia" w:cs="Times New Roman"/>
          <w:color w:val="000000"/>
          <w:sz w:val="16"/>
          <w:szCs w:val="16"/>
          <w:lang w:val="en-GB" w:eastAsia="hu-HU"/>
        </w:rPr>
        <w:t xml:space="preserve"> Communication from the Commission on A strategy for smart, sustainable and inclusive growth: EUROPE 2020 – A European strategy for smart, sustainable and inclusive growth. Brussels, 3.3.2010 COM(2010) 2020</w:t>
      </w:r>
    </w:p>
    <w:p w14:paraId="33CD0219" w14:textId="5DF4851A" w:rsidR="00694E45" w:rsidRPr="0002056A" w:rsidRDefault="00694E45"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European Commission (2018). </w:t>
      </w:r>
      <w:r w:rsidRPr="0002056A">
        <w:rPr>
          <w:rFonts w:ascii="Georgia" w:eastAsia="Times New Roman" w:hAnsi="Georgia" w:cs="Times New Roman"/>
          <w:color w:val="000000"/>
          <w:sz w:val="16"/>
          <w:szCs w:val="16"/>
          <w:lang w:val="en-GB" w:eastAsia="hu-HU"/>
        </w:rPr>
        <w:t>Annex IX: Horizontal assessment of the adaptation preparedness country fiches. https://ec.europa.eu/clima/sites/clima/files/adaptation/what/docs/horizontal_assessment_en.pdf</w:t>
      </w:r>
    </w:p>
    <w:p w14:paraId="3B11BBE1" w14:textId="703A99C0" w:rsidR="00F10F35" w:rsidRPr="0002056A" w:rsidRDefault="00F10F35" w:rsidP="00214BD9">
      <w:pPr>
        <w:pStyle w:val="Listaszerbekezds"/>
        <w:numPr>
          <w:ilvl w:val="0"/>
          <w:numId w:val="3"/>
        </w:numPr>
        <w:shd w:val="clear" w:color="auto" w:fill="FFFFFF"/>
        <w:spacing w:after="0" w:line="240" w:lineRule="auto"/>
        <w:ind w:left="714" w:hanging="357"/>
        <w:contextualSpacing w:val="0"/>
        <w:jc w:val="both"/>
        <w:rPr>
          <w:b/>
          <w:bCs/>
          <w:color w:val="000000"/>
          <w:lang w:val="en-GB"/>
        </w:rPr>
      </w:pPr>
      <w:r w:rsidRPr="0002056A">
        <w:rPr>
          <w:rFonts w:ascii="Georgia" w:eastAsia="Times New Roman" w:hAnsi="Georgia" w:cs="Times New Roman"/>
          <w:b/>
          <w:bCs/>
          <w:iCs/>
          <w:smallCaps/>
          <w:color w:val="000000"/>
          <w:sz w:val="16"/>
          <w:szCs w:val="16"/>
          <w:lang w:val="en-GB" w:eastAsia="hu-HU"/>
        </w:rPr>
        <w:t>European Commission (2018):</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 xml:space="preserve">REGULATION (EU) 2018/1999 OF THE EUROPEAN PARLIAMENT AND OF THE COUNCIL of 11 December 2018 on the Governance of the Energy Union and Climate Action, amending Regulations (EC) No 663/2009 and (EC) No 715/2009 of the European Parliament and of the Council, Directives 94/22/EC, 98/70/EC, 2009/31/EC, 2009/73/EC, 2010/31/EU, 2012/27/EU and 2013/30/EU of the European Parliament and of </w:t>
      </w:r>
      <w:r w:rsidRPr="0002056A">
        <w:rPr>
          <w:rFonts w:ascii="Georgia" w:eastAsia="Times New Roman" w:hAnsi="Georgia" w:cs="Times New Roman"/>
          <w:color w:val="000000"/>
          <w:sz w:val="16"/>
          <w:szCs w:val="16"/>
          <w:lang w:val="en-GB" w:eastAsia="hu-HU"/>
        </w:rPr>
        <w:lastRenderedPageBreak/>
        <w:t>the Council, Council Directives 2009/119/EC and (EU) 2015/652 and repealing Regulation (EU) No 525/2013 of the European Parliament and of the Council</w:t>
      </w:r>
    </w:p>
    <w:p w14:paraId="6B5FB77E" w14:textId="0604091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Európai Zöld Megállapodás. Célkitűzéseink megvalósítása. 2011.</w:t>
      </w:r>
      <w:r w:rsidR="00216AD0">
        <w:rPr>
          <w:rFonts w:ascii="Georgia" w:eastAsia="Times New Roman" w:hAnsi="Georgia" w:cs="Times New Roman"/>
          <w:color w:val="000000"/>
          <w:sz w:val="16"/>
          <w:szCs w:val="16"/>
          <w:lang w:val="en-GB" w:eastAsia="hu-HU"/>
        </w:rPr>
        <w:t xml:space="preserve"> d</w:t>
      </w:r>
      <w:r w:rsidRPr="0002056A">
        <w:rPr>
          <w:rFonts w:ascii="Georgia" w:eastAsia="Times New Roman" w:hAnsi="Georgia" w:cs="Times New Roman"/>
          <w:color w:val="000000"/>
          <w:sz w:val="16"/>
          <w:szCs w:val="16"/>
          <w:lang w:val="en-GB" w:eastAsia="hu-HU"/>
        </w:rPr>
        <w:t>ecember 12-i 2011/833/EU bizottsági határozat által került végrehajtásra (HL L 330., 2011.12.14., 39. o.). Luxemburg: Az Európai Unió Kiadóhivatala, 2021. PDF ISBN 978-92-76-39501-0 doi:10.2775/955699 NA-02-21-151-HU-</w:t>
      </w:r>
    </w:p>
    <w:p w14:paraId="520F4F7D"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‘Fit for 55’: delivering the EU’s 2030 Climate Target on the Way to Climate Neutrality.  Communication from the Commission to the European Parliament, the Council, The European Economic and Social Committee and the Committee of the Regions. Brussels, 14.7.2021. COM(2021) 550 final.</w:t>
      </w:r>
    </w:p>
    <w:p w14:paraId="30694BD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Commission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Communication from the Commission to the European Parliament, the Council; the European Economic and Social Committee and the Committee of the Regions on Forging a climate-resilient Europe – the new EU Strategy on Adaptation to CC. COM/2021/82 final. Brussel/Strasbourg, 2021.</w:t>
      </w:r>
    </w:p>
    <w:p w14:paraId="5EA817F5" w14:textId="349068A7" w:rsidR="002A309C" w:rsidRPr="0002056A" w:rsidRDefault="009B0DF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Parliament and of the Council (2021):</w:t>
      </w:r>
      <w:r w:rsidRPr="0002056A">
        <w:rPr>
          <w:rFonts w:ascii="Georgia" w:eastAsia="Times New Roman" w:hAnsi="Georgia" w:cs="Times New Roman"/>
          <w:color w:val="000000"/>
          <w:sz w:val="16"/>
          <w:szCs w:val="16"/>
          <w:lang w:val="en-GB" w:eastAsia="hu-HU"/>
        </w:rPr>
        <w:t xml:space="preserve"> </w:t>
      </w:r>
      <w:r w:rsidR="002A309C" w:rsidRPr="0002056A">
        <w:rPr>
          <w:rFonts w:ascii="Georgia" w:eastAsia="Times New Roman" w:hAnsi="Georgia" w:cs="Times New Roman"/>
          <w:color w:val="000000"/>
          <w:sz w:val="16"/>
          <w:szCs w:val="16"/>
          <w:lang w:val="en-GB" w:eastAsia="hu-HU"/>
        </w:rPr>
        <w:t>Regulation (EU) 2021/1119 of the European Parliament and of the Council of 30 June 2021</w:t>
      </w:r>
      <w:r w:rsidRPr="0002056A">
        <w:rPr>
          <w:rFonts w:ascii="Georgia" w:eastAsia="Times New Roman" w:hAnsi="Georgia" w:cs="Times New Roman"/>
          <w:color w:val="000000"/>
          <w:sz w:val="16"/>
          <w:szCs w:val="16"/>
          <w:lang w:val="en-GB" w:eastAsia="hu-HU"/>
        </w:rPr>
        <w:t>.</w:t>
      </w:r>
    </w:p>
    <w:p w14:paraId="528F8AB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Council (</w:t>
      </w:r>
      <w:r w:rsidRPr="0002056A">
        <w:rPr>
          <w:rFonts w:ascii="Georgia" w:eastAsia="Times New Roman" w:hAnsi="Georgia" w:cs="Times New Roman"/>
          <w:b/>
          <w:smallCaps/>
          <w:color w:val="000000"/>
          <w:sz w:val="16"/>
          <w:szCs w:val="16"/>
          <w:lang w:val="en-GB" w:eastAsia="hu-HU"/>
        </w:rPr>
        <w:t>2000):</w:t>
      </w:r>
      <w:r w:rsidRPr="0002056A">
        <w:rPr>
          <w:rFonts w:ascii="Georgia" w:eastAsia="Times New Roman" w:hAnsi="Georgia" w:cs="Times New Roman"/>
          <w:color w:val="000000"/>
          <w:sz w:val="16"/>
          <w:szCs w:val="16"/>
          <w:lang w:val="en-GB" w:eastAsia="hu-HU"/>
        </w:rPr>
        <w:t xml:space="preserve"> LISBON EUROPEAN COUNCIL PRESIDENCY CONCLUSIONS. </w:t>
      </w:r>
      <w:r w:rsidRPr="0002056A">
        <w:rPr>
          <w:rFonts w:ascii="Georgia" w:hAnsi="Georgia"/>
          <w:sz w:val="16"/>
          <w:szCs w:val="16"/>
          <w:lang w:val="en-GB"/>
        </w:rPr>
        <w:t>Lisbon, 23. and 24. March 2000.</w:t>
      </w:r>
    </w:p>
    <w:p w14:paraId="67C961E0" w14:textId="7456E4A8"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Environmental Agency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w:t>
      </w:r>
      <w:r w:rsidRPr="0002056A">
        <w:rPr>
          <w:rFonts w:ascii="Georgia" w:eastAsia="Times New Roman" w:hAnsi="Georgia" w:cs="Times New Roman"/>
          <w:b/>
          <w:smallCaps/>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C</w:t>
      </w:r>
      <w:r w:rsidR="00126B30" w:rsidRPr="0002056A">
        <w:rPr>
          <w:rFonts w:ascii="Georgia" w:eastAsia="Times New Roman" w:hAnsi="Georgia" w:cs="Times New Roman"/>
          <w:color w:val="000000"/>
          <w:sz w:val="16"/>
          <w:szCs w:val="16"/>
          <w:lang w:val="en-GB" w:eastAsia="hu-HU"/>
        </w:rPr>
        <w:t>limate Change</w:t>
      </w:r>
      <w:r w:rsidRPr="0002056A">
        <w:rPr>
          <w:rFonts w:ascii="Georgia" w:eastAsia="Times New Roman" w:hAnsi="Georgia" w:cs="Times New Roman"/>
          <w:color w:val="000000"/>
          <w:sz w:val="16"/>
          <w:szCs w:val="16"/>
          <w:lang w:val="en-GB" w:eastAsia="hu-HU"/>
        </w:rPr>
        <w:t xml:space="preserve"> Impacts and Vulnerability in Europe. EEA report No 12/2012 Downloaded from: </w:t>
      </w:r>
      <w:hyperlink r:id="rId69" w:history="1">
        <w:r w:rsidRPr="0002056A">
          <w:rPr>
            <w:rStyle w:val="Hiperhivatkozs"/>
            <w:rFonts w:ascii="Georgia" w:eastAsia="Times New Roman" w:hAnsi="Georgia" w:cs="Times New Roman"/>
            <w:sz w:val="16"/>
            <w:szCs w:val="16"/>
            <w:lang w:val="en-GB" w:eastAsia="hu-HU"/>
          </w:rPr>
          <w:t>http://www.eea.europa.eu/publications/climate-impacts-and-vulnerability-2012</w:t>
        </w:r>
      </w:hyperlink>
    </w:p>
    <w:p w14:paraId="33BCAE96"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Environmental Agency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National monitoring, reporting and evaluation of climate change adaptation in Europe. European Environment Agency, 2015. Publications Office of the European Union, 2015. ISBN 978-92-9213-705-2. ISSN 1725-2237. doi:10.2800/629559</w:t>
      </w:r>
    </w:p>
    <w:p w14:paraId="68826CA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European Environmental Agency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Environment and climate policy evaluation.  EEA Report No 18/2016. European Environmental Agency, Luxembourg</w:t>
      </w:r>
    </w:p>
    <w:p w14:paraId="6E8F63C3"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European Environmental Agency (</w:t>
      </w:r>
      <w:r w:rsidRPr="0002056A">
        <w:rPr>
          <w:rFonts w:ascii="Georgia" w:eastAsia="Times New Roman" w:hAnsi="Georgia" w:cs="Times New Roman"/>
          <w:b/>
          <w:smallCaps/>
          <w:color w:val="000000"/>
          <w:sz w:val="16"/>
          <w:szCs w:val="16"/>
          <w:lang w:val="en-GB" w:eastAsia="hu-HU"/>
        </w:rPr>
        <w:t>2020):</w:t>
      </w:r>
      <w:r w:rsidRPr="0002056A">
        <w:rPr>
          <w:rFonts w:ascii="Georgia" w:eastAsia="Times New Roman" w:hAnsi="Georgia" w:cs="Times New Roman"/>
          <w:color w:val="000000"/>
          <w:sz w:val="16"/>
          <w:szCs w:val="16"/>
          <w:lang w:val="en-GB" w:eastAsia="hu-HU"/>
        </w:rPr>
        <w:t xml:space="preserve"> Monitoring and evaluation of national adaptation policies throughout the policy cycle. EEA Report No06/2020. European Environmental Agency, Luxembourg.</w:t>
      </w:r>
    </w:p>
    <w:p w14:paraId="0DF31DEA" w14:textId="1968023F"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European Environmental Agency </w:t>
      </w:r>
      <w:r w:rsidRPr="0002056A">
        <w:rPr>
          <w:rFonts w:ascii="Georgia" w:eastAsia="Times New Roman" w:hAnsi="Georgia" w:cs="Times New Roman"/>
          <w:b/>
          <w:smallCaps/>
          <w:color w:val="000000"/>
          <w:sz w:val="16"/>
          <w:szCs w:val="16"/>
          <w:lang w:val="en-GB" w:eastAsia="hu-HU"/>
        </w:rPr>
        <w:t>(2022):</w:t>
      </w:r>
      <w:r w:rsidRPr="0002056A">
        <w:rPr>
          <w:rFonts w:ascii="Georgia" w:eastAsia="Times New Roman" w:hAnsi="Georgia" w:cs="Times New Roman"/>
          <w:color w:val="000000"/>
          <w:sz w:val="16"/>
          <w:szCs w:val="16"/>
          <w:lang w:val="en-GB" w:eastAsia="hu-HU"/>
        </w:rPr>
        <w:t xml:space="preserve"> Advancing towards climate resilience in Europe – Status of reported </w:t>
      </w:r>
      <w:r w:rsidR="00D63128" w:rsidRPr="0002056A">
        <w:rPr>
          <w:rFonts w:ascii="Georgia" w:eastAsia="Times New Roman" w:hAnsi="Georgia" w:cs="Times New Roman"/>
          <w:color w:val="000000"/>
          <w:sz w:val="16"/>
          <w:szCs w:val="16"/>
          <w:lang w:val="en-GB" w:eastAsia="hu-HU"/>
        </w:rPr>
        <w:t>n</w:t>
      </w:r>
      <w:r w:rsidRPr="0002056A">
        <w:rPr>
          <w:rFonts w:ascii="Georgia" w:eastAsia="Times New Roman" w:hAnsi="Georgia" w:cs="Times New Roman"/>
          <w:color w:val="000000"/>
          <w:sz w:val="16"/>
          <w:szCs w:val="16"/>
          <w:lang w:val="en-GB" w:eastAsia="hu-HU"/>
        </w:rPr>
        <w:t>ational adaptation actions in 2021. EEA Report No11/2022. European Environmental Agency, Luxembourg</w:t>
      </w:r>
    </w:p>
    <w:p w14:paraId="41BF5951" w14:textId="42D96B1E" w:rsidR="0095283D" w:rsidRPr="0002056A" w:rsidRDefault="00126B30"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European Environmental Agency (2024): </w:t>
      </w:r>
      <w:r w:rsidR="0095283D" w:rsidRPr="0002056A">
        <w:rPr>
          <w:rFonts w:ascii="Georgia" w:eastAsia="Times New Roman" w:hAnsi="Georgia" w:cs="Times New Roman"/>
          <w:color w:val="000000"/>
          <w:sz w:val="16"/>
          <w:szCs w:val="16"/>
          <w:lang w:val="en-GB" w:eastAsia="hu-HU"/>
        </w:rPr>
        <w:t xml:space="preserve">European Climate Risk </w:t>
      </w:r>
      <w:r w:rsidR="00216AD0" w:rsidRPr="0002056A">
        <w:rPr>
          <w:rFonts w:ascii="Georgia" w:eastAsia="Times New Roman" w:hAnsi="Georgia" w:cs="Times New Roman"/>
          <w:color w:val="000000"/>
          <w:sz w:val="16"/>
          <w:szCs w:val="16"/>
          <w:lang w:val="en-GB" w:eastAsia="hu-HU"/>
        </w:rPr>
        <w:t>Assessment Executive</w:t>
      </w:r>
      <w:r w:rsidR="0095283D" w:rsidRPr="0002056A">
        <w:rPr>
          <w:rFonts w:ascii="Georgia" w:eastAsia="Times New Roman" w:hAnsi="Georgia" w:cs="Times New Roman"/>
          <w:color w:val="000000"/>
          <w:sz w:val="16"/>
          <w:szCs w:val="16"/>
          <w:lang w:val="en-GB" w:eastAsia="hu-HU"/>
        </w:rPr>
        <w:t xml:space="preserve"> summary. EEA Report 01/2024. Luxembourg: Publications Office of the European Union, 2024. ISBN 978-92-9480-627-7. ISSN 1977-8449. doi:10.2800/204249</w:t>
      </w:r>
    </w:p>
    <w:p w14:paraId="10983F97" w14:textId="1E89997C" w:rsidR="00CB1009" w:rsidRPr="0002056A" w:rsidRDefault="00CB1009"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Faludi, A. (2012):</w:t>
      </w:r>
      <w:r w:rsidRPr="0002056A">
        <w:rPr>
          <w:rFonts w:ascii="Georgia" w:eastAsia="Times New Roman" w:hAnsi="Georgia" w:cs="Times New Roman"/>
          <w:color w:val="000000"/>
          <w:sz w:val="16"/>
          <w:szCs w:val="16"/>
          <w:lang w:val="en-GB" w:eastAsia="hu-HU"/>
        </w:rPr>
        <w:t xml:space="preserve"> Territorial cohesion, territorialism, territoriality and soft planning: a critical review. Environment and Planning A, 2013, Volume 14, pp 1302-1317. doi: 10.1068a45299. Sage Publications, 2012.</w:t>
      </w:r>
    </w:p>
    <w:p w14:paraId="0491AE50" w14:textId="1D7AFDD7" w:rsidR="009E47D0" w:rsidRPr="0002056A" w:rsidRDefault="009E47D0"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Faludi, A. (2016):</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The Poverty of Territorialism: Revisiting European Spatial Planning. The Planning Review 52, no.3: 73-81.</w:t>
      </w:r>
    </w:p>
    <w:p w14:paraId="42CF470A" w14:textId="487D28C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Faragó, L.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Térértelmezések – Interpretations of space. Tér és Társadalom / Space and Society 26. évf., 1. szám, 2012</w:t>
      </w:r>
    </w:p>
    <w:p w14:paraId="24E52AD8" w14:textId="77777777" w:rsidR="00E723CD" w:rsidRPr="0002056A" w:rsidRDefault="00E723CD" w:rsidP="00486DBB">
      <w:pPr>
        <w:pStyle w:val="Listaszerbekezds"/>
        <w:numPr>
          <w:ilvl w:val="0"/>
          <w:numId w:val="3"/>
        </w:numPr>
        <w:spacing w:after="0" w:line="240" w:lineRule="auto"/>
        <w:contextualSpacing w:val="0"/>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Faragó, T.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Új nemzetközi éghajlatvédelmi megállapodás. Magyar Energetika, 2015/5-6, pp. 58-61.</w:t>
      </w:r>
    </w:p>
    <w:p w14:paraId="03760A9B" w14:textId="0E3CAC8A" w:rsidR="0015702D" w:rsidRPr="0002056A" w:rsidRDefault="0015702D" w:rsidP="00486DBB">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Farbotko, C. (</w:t>
      </w:r>
      <w:r w:rsidR="00205C82" w:rsidRPr="0002056A">
        <w:rPr>
          <w:rFonts w:ascii="Georgia" w:eastAsia="Times New Roman" w:hAnsi="Georgia" w:cs="Times New Roman"/>
          <w:b/>
          <w:bCs/>
          <w:iCs/>
          <w:smallCaps/>
          <w:color w:val="000000"/>
          <w:sz w:val="16"/>
          <w:szCs w:val="16"/>
          <w:lang w:val="en-GB" w:eastAsia="hu-HU"/>
        </w:rPr>
        <w:t>2018</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Climate change and national security: an agenda for geography. </w:t>
      </w:r>
      <w:hyperlink r:id="rId70" w:history="1">
        <w:r w:rsidRPr="0002056A">
          <w:rPr>
            <w:rFonts w:ascii="Georgia" w:eastAsia="Times New Roman" w:hAnsi="Georgia" w:cs="Times New Roman"/>
            <w:color w:val="000000"/>
            <w:sz w:val="16"/>
            <w:szCs w:val="16"/>
            <w:lang w:val="en-GB" w:eastAsia="hu-HU"/>
          </w:rPr>
          <w:t>Australian Geographer</w:t>
        </w:r>
      </w:hyperlink>
      <w:r w:rsidRPr="0002056A">
        <w:rPr>
          <w:rFonts w:ascii="Georgia" w:eastAsia="Times New Roman" w:hAnsi="Georgia" w:cs="Times New Roman"/>
          <w:color w:val="000000"/>
          <w:sz w:val="16"/>
          <w:szCs w:val="16"/>
          <w:lang w:val="en-GB" w:eastAsia="hu-HU"/>
        </w:rPr>
        <w:t xml:space="preserve">, Volume 49, </w:t>
      </w:r>
      <w:hyperlink r:id="rId71" w:history="1">
        <w:r w:rsidRPr="0002056A">
          <w:rPr>
            <w:rFonts w:ascii="Georgia" w:eastAsia="Times New Roman" w:hAnsi="Georgia" w:cs="Times New Roman"/>
            <w:color w:val="000000"/>
            <w:sz w:val="16"/>
            <w:szCs w:val="16"/>
            <w:lang w:val="en-GB" w:eastAsia="hu-HU"/>
          </w:rPr>
          <w:t>Issue 2</w:t>
        </w:r>
      </w:hyperlink>
      <w:r w:rsidRPr="0002056A">
        <w:rPr>
          <w:rFonts w:ascii="Georgia" w:eastAsia="Times New Roman" w:hAnsi="Georgia" w:cs="Times New Roman"/>
          <w:color w:val="000000"/>
          <w:sz w:val="16"/>
          <w:szCs w:val="16"/>
          <w:lang w:val="en-GB" w:eastAsia="hu-HU"/>
        </w:rPr>
        <w:t>. Taylor&amp;Francis, 2018.</w:t>
      </w:r>
    </w:p>
    <w:p w14:paraId="1C1AFBAC" w14:textId="48D90004" w:rsidR="00FC6725" w:rsidRPr="0002056A" w:rsidRDefault="00FC6725" w:rsidP="00216AD0">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Fayol, H. (</w:t>
      </w:r>
      <w:r w:rsidR="00EB0784" w:rsidRPr="0002056A">
        <w:rPr>
          <w:rFonts w:ascii="Georgia" w:eastAsia="Times New Roman" w:hAnsi="Georgia" w:cs="Times New Roman"/>
          <w:b/>
          <w:bCs/>
          <w:iCs/>
          <w:smallCaps/>
          <w:color w:val="000000"/>
          <w:sz w:val="16"/>
          <w:szCs w:val="16"/>
          <w:lang w:val="en-GB" w:eastAsia="hu-HU"/>
        </w:rPr>
        <w:t>19</w:t>
      </w:r>
      <w:r w:rsidRPr="0002056A">
        <w:rPr>
          <w:rFonts w:ascii="Georgia" w:eastAsia="Times New Roman" w:hAnsi="Georgia" w:cs="Times New Roman"/>
          <w:b/>
          <w:bCs/>
          <w:iCs/>
          <w:smallCaps/>
          <w:color w:val="000000"/>
          <w:sz w:val="16"/>
          <w:szCs w:val="16"/>
          <w:lang w:val="en-GB" w:eastAsia="hu-HU"/>
        </w:rPr>
        <w:t>16):</w:t>
      </w:r>
      <w:r w:rsidR="00EB0784" w:rsidRPr="0002056A">
        <w:rPr>
          <w:rFonts w:ascii="Georgia" w:eastAsia="Times New Roman" w:hAnsi="Georgia" w:cs="Times New Roman"/>
          <w:b/>
          <w:bCs/>
          <w:iCs/>
          <w:smallCaps/>
          <w:color w:val="000000"/>
          <w:sz w:val="16"/>
          <w:szCs w:val="16"/>
          <w:lang w:val="en-GB" w:eastAsia="hu-HU"/>
        </w:rPr>
        <w:t xml:space="preserve"> </w:t>
      </w:r>
      <w:r w:rsidR="00EB0784" w:rsidRPr="0002056A">
        <w:rPr>
          <w:rFonts w:ascii="Georgia" w:eastAsia="Times New Roman" w:hAnsi="Georgia" w:cs="Times New Roman"/>
          <w:color w:val="000000"/>
          <w:sz w:val="16"/>
          <w:szCs w:val="16"/>
          <w:lang w:val="en-GB" w:eastAsia="hu-HU"/>
        </w:rPr>
        <w:t xml:space="preserve">General and Industrial Management.First English Volume.Pitman and Sons Ltd., </w:t>
      </w:r>
      <w:r w:rsidR="007B773E" w:rsidRPr="0002056A">
        <w:rPr>
          <w:rFonts w:ascii="Georgia" w:eastAsia="Times New Roman" w:hAnsi="Georgia" w:cs="Times New Roman"/>
          <w:color w:val="000000"/>
          <w:sz w:val="16"/>
          <w:szCs w:val="16"/>
          <w:lang w:val="en-GB" w:eastAsia="hu-HU"/>
        </w:rPr>
        <w:t xml:space="preserve">110 pages, </w:t>
      </w:r>
      <w:r w:rsidR="00EB0784" w:rsidRPr="0002056A">
        <w:rPr>
          <w:rFonts w:ascii="Georgia" w:eastAsia="Times New Roman" w:hAnsi="Georgia" w:cs="Times New Roman"/>
          <w:color w:val="000000"/>
          <w:sz w:val="16"/>
          <w:szCs w:val="16"/>
          <w:lang w:val="en-GB" w:eastAsia="hu-HU"/>
        </w:rPr>
        <w:t>London, 1946.</w:t>
      </w:r>
    </w:p>
    <w:p w14:paraId="06A95CA4" w14:textId="255BD7ED"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Feldmeyer, D.; Wilden, D.; Kind, Ch.; Kaiser, Th.; Goldschmidt, R.; Diller, Ch.; Birkmann. J.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Indicators for monitoring urban climate change resilience and adaptation. Sustainability, 2019, 11, 2931</w:t>
      </w:r>
    </w:p>
    <w:p w14:paraId="2A53AD96" w14:textId="529ACD10"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Fellmann, T.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The assessment of climate change related vulnerability in the agricultural sector: Reviewing conceptual frameworks. Building resilience for adaptation to climate change in the agriculture sector, 23, 37. Proceedings of a Joint FAO/OECD Workshop. 23–24 April 2012. Edited by Meybeck, Lankoski, Redfern, Azzu and Gitz</w:t>
      </w:r>
    </w:p>
    <w:p w14:paraId="67371B32" w14:textId="3904ECF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Fleischhauer, M., Greiving, S., Wanczura, S.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T</w:t>
      </w:r>
      <w:r w:rsidR="00692975" w:rsidRPr="0002056A">
        <w:rPr>
          <w:rFonts w:ascii="Georgia" w:eastAsia="Times New Roman" w:hAnsi="Georgia" w:cs="Times New Roman"/>
          <w:color w:val="000000"/>
          <w:sz w:val="16"/>
          <w:szCs w:val="16"/>
          <w:lang w:val="en-GB" w:eastAsia="hu-HU"/>
        </w:rPr>
        <w:t>erritorial planning for the management of risk in Europe</w:t>
      </w:r>
      <w:r w:rsidRPr="0002056A">
        <w:rPr>
          <w:rFonts w:ascii="Georgia" w:eastAsia="Times New Roman" w:hAnsi="Georgia" w:cs="Times New Roman"/>
          <w:color w:val="000000"/>
          <w:sz w:val="16"/>
          <w:szCs w:val="16"/>
          <w:lang w:val="en-GB" w:eastAsia="hu-HU"/>
        </w:rPr>
        <w:t>. Boletín de la A.G.E. Nº 45 – 2007, p</w:t>
      </w:r>
      <w:r w:rsidR="00216AD0">
        <w:rPr>
          <w:rFonts w:ascii="Georgia" w:eastAsia="Times New Roman" w:hAnsi="Georgia" w:cs="Times New Roman"/>
          <w:color w:val="000000"/>
          <w:sz w:val="16"/>
          <w:szCs w:val="16"/>
          <w:lang w:val="en-GB" w:eastAsia="hu-HU"/>
        </w:rPr>
        <w:t>p</w:t>
      </w:r>
      <w:r w:rsidRPr="0002056A">
        <w:rPr>
          <w:rFonts w:ascii="Georgia" w:eastAsia="Times New Roman" w:hAnsi="Georgia" w:cs="Times New Roman"/>
          <w:color w:val="000000"/>
          <w:sz w:val="16"/>
          <w:szCs w:val="16"/>
          <w:lang w:val="en-GB" w:eastAsia="hu-HU"/>
        </w:rPr>
        <w:t>. 383-388</w:t>
      </w:r>
    </w:p>
    <w:p w14:paraId="481B46D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Ford, J., Berrang-Ford, L.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The 4Cs of adaptation tracking: consistency, comparability, comprehensiveness, coherency. Mitigation Adaptation Strategies Global Change 1–21. 839–859 (2016). </w:t>
      </w:r>
      <w:hyperlink r:id="rId72" w:history="1">
        <w:r w:rsidRPr="0002056A">
          <w:rPr>
            <w:rStyle w:val="Hiperhivatkozs"/>
            <w:rFonts w:ascii="Georgia" w:eastAsia="Times New Roman" w:hAnsi="Georgia" w:cs="Times New Roman"/>
            <w:sz w:val="16"/>
            <w:szCs w:val="16"/>
            <w:lang w:val="en-GB" w:eastAsia="hu-HU"/>
          </w:rPr>
          <w:t>https://doi.org/10.1007/s11027-014-9627-7</w:t>
        </w:r>
      </w:hyperlink>
    </w:p>
    <w:p w14:paraId="61AD4C23" w14:textId="7651DEAD" w:rsidR="00FB3C47" w:rsidRPr="0002056A" w:rsidRDefault="00FB3C47"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Foucault, M. (2007):</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Security, territory, population. St Martins Press, 2007.</w:t>
      </w:r>
    </w:p>
    <w:p w14:paraId="546B1520" w14:textId="12400727" w:rsidR="00861200" w:rsidRPr="0002056A" w:rsidRDefault="00861200"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Fr</w:t>
      </w:r>
      <w:r w:rsidR="00F87D4E" w:rsidRPr="0002056A">
        <w:rPr>
          <w:rFonts w:ascii="Georgia" w:eastAsia="Times New Roman" w:hAnsi="Georgia" w:cs="Times New Roman"/>
          <w:b/>
          <w:bCs/>
          <w:iCs/>
          <w:smallCaps/>
          <w:color w:val="000000"/>
          <w:sz w:val="16"/>
          <w:szCs w:val="16"/>
          <w:lang w:val="en-GB" w:eastAsia="hu-HU"/>
        </w:rPr>
        <w:t>ö</w:t>
      </w:r>
      <w:r w:rsidRPr="0002056A">
        <w:rPr>
          <w:rFonts w:ascii="Georgia" w:eastAsia="Times New Roman" w:hAnsi="Georgia" w:cs="Times New Roman"/>
          <w:b/>
          <w:bCs/>
          <w:iCs/>
          <w:smallCaps/>
          <w:color w:val="000000"/>
          <w:sz w:val="16"/>
          <w:szCs w:val="16"/>
          <w:lang w:val="en-GB" w:eastAsia="hu-HU"/>
        </w:rPr>
        <w:t xml:space="preserve">hlich, C., Selby, J., Dahi, O., &amp; Hulme, M. (2017). </w:t>
      </w:r>
      <w:r w:rsidRPr="0002056A">
        <w:rPr>
          <w:rFonts w:ascii="Georgia" w:eastAsia="Times New Roman" w:hAnsi="Georgia" w:cs="Times New Roman"/>
          <w:color w:val="000000"/>
          <w:sz w:val="16"/>
          <w:szCs w:val="16"/>
          <w:lang w:val="en-GB" w:eastAsia="hu-HU"/>
        </w:rPr>
        <w:t>Climate change and the Syrian civil war revisited. Political Geography, 60, 232–244.</w:t>
      </w:r>
      <w:r w:rsidR="00F87D4E" w:rsidRPr="0002056A">
        <w:rPr>
          <w:rFonts w:ascii="Georgia" w:eastAsia="Times New Roman" w:hAnsi="Georgia" w:cs="Times New Roman"/>
          <w:color w:val="000000"/>
          <w:sz w:val="16"/>
          <w:szCs w:val="16"/>
          <w:lang w:val="en-GB" w:eastAsia="hu-HU"/>
        </w:rPr>
        <w:t xml:space="preserve"> </w:t>
      </w:r>
      <w:hyperlink r:id="rId73" w:tgtFrame="_blank" w:tooltip="Persistent link using digital object identifier" w:history="1">
        <w:r w:rsidR="00F87D4E" w:rsidRPr="0002056A">
          <w:rPr>
            <w:rFonts w:ascii="Georgia" w:eastAsia="Times New Roman" w:hAnsi="Georgia" w:cs="Times New Roman"/>
            <w:color w:val="000000"/>
            <w:sz w:val="16"/>
            <w:szCs w:val="16"/>
            <w:lang w:val="en-GB" w:eastAsia="hu-HU"/>
          </w:rPr>
          <w:t>doi.org/10.1016/j.polgeo.2017.05.007</w:t>
        </w:r>
      </w:hyperlink>
    </w:p>
    <w:p w14:paraId="5979CC12" w14:textId="411CAC6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Fuldauer, L.I.; Adshead, D., Thacker, S.; Gall, S.; Hall, J.W (</w:t>
      </w:r>
      <w:r w:rsidRPr="0002056A">
        <w:rPr>
          <w:rFonts w:ascii="Georgia" w:eastAsia="Times New Roman" w:hAnsi="Georgia" w:cs="Times New Roman"/>
          <w:b/>
          <w:smallCaps/>
          <w:color w:val="000000"/>
          <w:sz w:val="16"/>
          <w:szCs w:val="16"/>
          <w:lang w:val="en-GB" w:eastAsia="hu-HU"/>
        </w:rPr>
        <w:t>202</w:t>
      </w:r>
      <w:r w:rsidR="006A415E" w:rsidRPr="0002056A">
        <w:rPr>
          <w:rFonts w:ascii="Georgia" w:eastAsia="Times New Roman" w:hAnsi="Georgia" w:cs="Times New Roman"/>
          <w:b/>
          <w:smallCaps/>
          <w:color w:val="000000"/>
          <w:sz w:val="16"/>
          <w:szCs w:val="16"/>
          <w:lang w:val="en-GB" w:eastAsia="hu-HU"/>
        </w:rPr>
        <w:t>2</w:t>
      </w:r>
      <w:r w:rsidRPr="0002056A">
        <w:rPr>
          <w:rFonts w:ascii="Georgia" w:eastAsia="Times New Roman" w:hAnsi="Georgia" w:cs="Times New Roman"/>
          <w:b/>
          <w:smallCaps/>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Evaluating the benefits of national adaptation to reduce climate risks and contribute to the Sustainable Development Goals. Global Environmental Change 76 (2022)</w:t>
      </w:r>
    </w:p>
    <w:p w14:paraId="3096B531"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Füssel H.M.; Klein R.J.T. (</w:t>
      </w:r>
      <w:r w:rsidRPr="0002056A">
        <w:rPr>
          <w:rFonts w:ascii="Georgia" w:eastAsia="Times New Roman" w:hAnsi="Georgia" w:cs="Times New Roman"/>
          <w:b/>
          <w:smallCaps/>
          <w:color w:val="000000"/>
          <w:sz w:val="16"/>
          <w:szCs w:val="16"/>
          <w:lang w:val="en-GB" w:eastAsia="hu-HU"/>
        </w:rPr>
        <w:t>2006):</w:t>
      </w:r>
      <w:r w:rsidRPr="0002056A">
        <w:rPr>
          <w:rFonts w:ascii="Georgia" w:eastAsia="Times New Roman" w:hAnsi="Georgia" w:cs="Times New Roman"/>
          <w:color w:val="000000"/>
          <w:sz w:val="16"/>
          <w:szCs w:val="16"/>
          <w:lang w:val="en-GB" w:eastAsia="hu-HU"/>
        </w:rPr>
        <w:t xml:space="preserve"> Climate change vulnerability assessments: an evolution of conceptual thinking. Climatic Change 75, 301–329 (2006). </w:t>
      </w:r>
      <w:hyperlink r:id="rId74" w:history="1">
        <w:r w:rsidRPr="0002056A">
          <w:rPr>
            <w:rStyle w:val="Hiperhivatkozs"/>
            <w:rFonts w:ascii="Georgia" w:eastAsia="Times New Roman" w:hAnsi="Georgia" w:cs="Times New Roman"/>
            <w:sz w:val="16"/>
            <w:szCs w:val="16"/>
            <w:lang w:val="en-GB" w:eastAsia="hu-HU"/>
          </w:rPr>
          <w:t>https://doi.org/10.1007/s10584-006-0329-3</w:t>
        </w:r>
      </w:hyperlink>
    </w:p>
    <w:p w14:paraId="20B1ECC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Geneletti, D.; Zardo, L.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Ecosystem-based adaptation in cities: An analysis of European urban climate adaptation plans. Land Use Policy 50 (2016) pp. 38–47</w:t>
      </w:r>
    </w:p>
    <w:p w14:paraId="64D61956"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GIZ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Recommendation for Adaptation M&amp;E in Practice. Experiences from the project ‘Inventory of Methods for Adaptation to Climate Change (IMACC)’ on behalf of the. German Federal Ministry for the Environment, Nature Conservation and Nuclear Safety (BMU), the project ‘Effective Adaptation Finance (M+E Adapt)’ as well as the ‘Climate protection programme for developing countries’ on behalf of the German Federal Ministry for Economic Cooperation and Development (BMZ).</w:t>
      </w:r>
    </w:p>
    <w:p w14:paraId="0496E02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Goonesekera, S.M.; Olazabal. M.</w:t>
      </w:r>
      <w:r w:rsidRPr="0002056A">
        <w:rPr>
          <w:rFonts w:ascii="Georgia" w:hAnsi="Georgia"/>
          <w:b/>
          <w:smallCaps/>
          <w:sz w:val="16"/>
          <w:szCs w:val="16"/>
          <w:lang w:val="en-GB"/>
        </w:rPr>
        <w:t xml:space="preserve"> (</w:t>
      </w:r>
      <w:r w:rsidRPr="0002056A">
        <w:rPr>
          <w:rFonts w:ascii="Georgia" w:eastAsia="Times New Roman" w:hAnsi="Georgia" w:cs="Times New Roman"/>
          <w:b/>
          <w:smallCaps/>
          <w:color w:val="000000"/>
          <w:sz w:val="16"/>
          <w:szCs w:val="16"/>
          <w:lang w:val="en-GB" w:eastAsia="hu-HU"/>
        </w:rPr>
        <w:t>2022):</w:t>
      </w:r>
      <w:r w:rsidRPr="0002056A">
        <w:rPr>
          <w:rFonts w:ascii="Georgia" w:eastAsia="Times New Roman" w:hAnsi="Georgia" w:cs="Times New Roman"/>
          <w:color w:val="000000"/>
          <w:sz w:val="16"/>
          <w:szCs w:val="16"/>
          <w:lang w:val="en-GB" w:eastAsia="hu-HU"/>
        </w:rPr>
        <w:t xml:space="preserve"> Climate Adaptation Indicators and Metrics: State of Local Policy Practice. Ecological Indicators 145 (2022)</w:t>
      </w:r>
    </w:p>
    <w:p w14:paraId="57F24FB7" w14:textId="3561A2FD" w:rsidR="00D8357F" w:rsidRPr="0002056A" w:rsidRDefault="00D8357F"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Greiving, S.; Fleischhauer, M.; Wanczura, S. (2007):</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Management of natural hazards in Europe: The role of spatial planning in selected EU member states. Journal of Environmental Planning and Management. Volume 49, 2006 - Issue 5 doi.org/10.1080/09640560600850044</w:t>
      </w:r>
    </w:p>
    <w:p w14:paraId="2B22A8FD" w14:textId="0D085FF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Greiving, S. – Fleischhauer, M. (</w:t>
      </w:r>
      <w:r w:rsidRPr="0002056A">
        <w:rPr>
          <w:rFonts w:ascii="Georgia" w:eastAsia="Times New Roman" w:hAnsi="Georgia" w:cs="Times New Roman"/>
          <w:b/>
          <w:smallCaps/>
          <w:color w:val="000000"/>
          <w:sz w:val="16"/>
          <w:szCs w:val="16"/>
          <w:lang w:val="en-GB" w:eastAsia="hu-HU"/>
        </w:rPr>
        <w:t>2010):</w:t>
      </w:r>
      <w:r w:rsidRPr="0002056A">
        <w:rPr>
          <w:rFonts w:ascii="Georgia" w:eastAsia="Times New Roman" w:hAnsi="Georgia" w:cs="Times New Roman"/>
          <w:color w:val="000000"/>
          <w:sz w:val="16"/>
          <w:szCs w:val="16"/>
          <w:lang w:val="en-GB" w:eastAsia="hu-HU"/>
        </w:rPr>
        <w:t xml:space="preserve"> National strategies of European countries for climate change adaptation: A review from a spatial planning and territorial development perspective. BMVBS-Online-Publikation, No. 21/2010</w:t>
      </w:r>
    </w:p>
    <w:p w14:paraId="1BAA9D28" w14:textId="77777777" w:rsidR="003857EF" w:rsidRPr="0002056A" w:rsidRDefault="003857E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lastRenderedPageBreak/>
        <w:t>Greiving, S., Fleischhauer, M.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National Climate Change Adaptation Strategies of European States from a Spatial Planning and Development Perspective. European Planning Studies. Climate Change and Sustainable Cities Volume 20, 2012 – Issue 1 pp 27-48</w:t>
      </w:r>
    </w:p>
    <w:p w14:paraId="6BB9C3CE" w14:textId="36718E2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Greiving, S. – Schmidt-Thome, P.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European climate vulnerabilities and adaptation: a spatial planning perspective. European Planning Studies </w:t>
      </w:r>
      <w:r w:rsidRPr="0002056A">
        <w:rPr>
          <w:rFonts w:ascii="Georgia" w:eastAsia="Times New Roman" w:hAnsi="Georgia" w:cs="Times New Roman"/>
          <w:color w:val="000000"/>
          <w:sz w:val="16"/>
          <w:szCs w:val="16"/>
          <w:lang w:val="en-GB" w:eastAsia="hu-HU"/>
        </w:rPr>
        <w:br/>
        <w:t>Volume 20, 2012 – Issue 1: Climate Change and Sustainable Cities Pages 27-48  Published online: 24 Jan 2012</w:t>
      </w:r>
      <w:r w:rsidRPr="0002056A">
        <w:rPr>
          <w:rFonts w:ascii="Georgia" w:eastAsia="Times New Roman" w:hAnsi="Georgia" w:cs="Times New Roman"/>
          <w:color w:val="000000"/>
          <w:sz w:val="16"/>
          <w:szCs w:val="16"/>
          <w:lang w:val="en-GB" w:eastAsia="hu-HU"/>
        </w:rPr>
        <w:br/>
      </w:r>
      <w:hyperlink r:id="rId75" w:history="1">
        <w:r w:rsidRPr="0002056A">
          <w:rPr>
            <w:rStyle w:val="Hiperhivatkozs"/>
            <w:rFonts w:ascii="Georgia" w:eastAsia="Times New Roman" w:hAnsi="Georgia" w:cs="Times New Roman"/>
            <w:sz w:val="16"/>
            <w:szCs w:val="16"/>
            <w:lang w:val="en-GB" w:eastAsia="hu-HU"/>
          </w:rPr>
          <w:t>https://doi.org/10.1080/09654313.2011.638493</w:t>
        </w:r>
      </w:hyperlink>
    </w:p>
    <w:p w14:paraId="313A6E3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Guskey, T. R.  (</w:t>
      </w:r>
      <w:r w:rsidRPr="0002056A">
        <w:rPr>
          <w:rFonts w:ascii="Georgia" w:eastAsia="Times New Roman" w:hAnsi="Georgia" w:cs="Times New Roman"/>
          <w:b/>
          <w:smallCaps/>
          <w:color w:val="000000"/>
          <w:sz w:val="16"/>
          <w:szCs w:val="16"/>
          <w:lang w:val="en-GB" w:eastAsia="hu-HU"/>
        </w:rPr>
        <w:t>2000):</w:t>
      </w:r>
      <w:r w:rsidRPr="0002056A">
        <w:rPr>
          <w:rFonts w:ascii="Georgia" w:eastAsia="Times New Roman" w:hAnsi="Georgia" w:cs="Times New Roman"/>
          <w:color w:val="000000"/>
          <w:sz w:val="16"/>
          <w:szCs w:val="16"/>
          <w:lang w:val="en-GB" w:eastAsia="hu-HU"/>
        </w:rPr>
        <w:t xml:space="preserve"> Evaluating professional development. Corwin Press. Thousand Oaks, CA</w:t>
      </w:r>
    </w:p>
    <w:p w14:paraId="4E77EEC5" w14:textId="5EFEDE03" w:rsidR="0047753F" w:rsidRPr="0002056A" w:rsidRDefault="0047753F"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Gustavsson, E.</w:t>
      </w:r>
      <w:r w:rsidR="00394C31" w:rsidRPr="0002056A">
        <w:rPr>
          <w:rFonts w:ascii="Georgia" w:eastAsia="Times New Roman" w:hAnsi="Georgia" w:cs="Times New Roman"/>
          <w:b/>
          <w:bCs/>
          <w:iCs/>
          <w:smallCaps/>
          <w:color w:val="000000"/>
          <w:sz w:val="16"/>
          <w:szCs w:val="16"/>
          <w:lang w:val="en-GB" w:eastAsia="hu-HU"/>
        </w:rPr>
        <w:t>; ELANDER</w:t>
      </w:r>
      <w:r w:rsidRPr="0002056A">
        <w:rPr>
          <w:rFonts w:ascii="Georgia" w:eastAsia="Times New Roman" w:hAnsi="Georgia" w:cs="Times New Roman"/>
          <w:b/>
          <w:bCs/>
          <w:iCs/>
          <w:smallCaps/>
          <w:color w:val="000000"/>
          <w:sz w:val="16"/>
          <w:szCs w:val="16"/>
          <w:lang w:val="en-GB" w:eastAsia="hu-HU"/>
        </w:rPr>
        <w:t>, I.; Lundmark, M. (2009):</w:t>
      </w:r>
      <w:r w:rsidRPr="0002056A">
        <w:rPr>
          <w:rFonts w:ascii="Georgia" w:eastAsia="Times New Roman" w:hAnsi="Georgia" w:cs="Times New Roman"/>
          <w:color w:val="000000"/>
          <w:sz w:val="16"/>
          <w:szCs w:val="16"/>
          <w:lang w:val="en-GB" w:eastAsia="hu-HU"/>
        </w:rPr>
        <w:t xml:space="preserve"> Multilevel Governance, Networking Cities, and the Geography of Climate-Change Mitigation: Two Swedish Examples. Environment and Planning C: Politics and Space Volume 27, Issue 1. </w:t>
      </w:r>
      <w:hyperlink r:id="rId76" w:history="1">
        <w:r w:rsidRPr="0002056A">
          <w:rPr>
            <w:rFonts w:ascii="Georgia" w:hAnsi="Georgia"/>
            <w:color w:val="000000"/>
            <w:sz w:val="16"/>
            <w:szCs w:val="16"/>
            <w:lang w:val="en-GB"/>
          </w:rPr>
          <w:t>https://doi.org/10.1068/c07109j</w:t>
        </w:r>
      </w:hyperlink>
      <w:r w:rsidRPr="0002056A">
        <w:rPr>
          <w:rFonts w:ascii="Georgia" w:eastAsia="Times New Roman" w:hAnsi="Georgia" w:cs="Times New Roman"/>
          <w:color w:val="000000"/>
          <w:sz w:val="16"/>
          <w:szCs w:val="16"/>
          <w:lang w:val="en-GB" w:eastAsia="hu-HU"/>
        </w:rPr>
        <w:t>. Sage Journals</w:t>
      </w:r>
    </w:p>
    <w:p w14:paraId="36D70BA9" w14:textId="77777777" w:rsidR="00795685" w:rsidRPr="0002056A" w:rsidRDefault="00795685"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Haggard, S. – Simmons B.A. (</w:t>
      </w:r>
      <w:r w:rsidRPr="0002056A">
        <w:rPr>
          <w:rFonts w:ascii="Georgia" w:eastAsia="Times New Roman" w:hAnsi="Georgia" w:cs="Times New Roman"/>
          <w:b/>
          <w:smallCaps/>
          <w:color w:val="000000"/>
          <w:sz w:val="16"/>
          <w:szCs w:val="16"/>
          <w:lang w:val="en-GB" w:eastAsia="hu-HU"/>
        </w:rPr>
        <w:t>1987):</w:t>
      </w:r>
      <w:r w:rsidRPr="0002056A">
        <w:rPr>
          <w:rFonts w:ascii="Georgia" w:eastAsia="Times New Roman" w:hAnsi="Georgia" w:cs="Times New Roman"/>
          <w:color w:val="000000"/>
          <w:sz w:val="16"/>
          <w:szCs w:val="16"/>
          <w:lang w:val="en-GB" w:eastAsia="hu-HU"/>
        </w:rPr>
        <w:t xml:space="preserve"> Theories of International regimes. International Organization, Vol. 41, No 3: 491-517</w:t>
      </w:r>
    </w:p>
    <w:p w14:paraId="72E72DBB" w14:textId="77777777" w:rsidR="00795685" w:rsidRPr="0002056A" w:rsidRDefault="00795685"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Haggett, P. (</w:t>
      </w:r>
      <w:r w:rsidRPr="0002056A">
        <w:rPr>
          <w:rFonts w:ascii="Georgia" w:eastAsia="Times New Roman" w:hAnsi="Georgia" w:cs="Times New Roman"/>
          <w:b/>
          <w:smallCaps/>
          <w:color w:val="000000"/>
          <w:sz w:val="16"/>
          <w:szCs w:val="16"/>
          <w:lang w:val="en-GB" w:eastAsia="hu-HU"/>
        </w:rPr>
        <w:t>2001):</w:t>
      </w:r>
      <w:r w:rsidRPr="0002056A">
        <w:rPr>
          <w:rFonts w:ascii="Georgia" w:eastAsia="Times New Roman" w:hAnsi="Georgia" w:cs="Times New Roman"/>
          <w:color w:val="000000"/>
          <w:sz w:val="16"/>
          <w:szCs w:val="16"/>
          <w:lang w:val="en-GB" w:eastAsia="hu-HU"/>
        </w:rPr>
        <w:t xml:space="preserve"> Geography. Global synthesis. Typotex, Budapest.</w:t>
      </w:r>
    </w:p>
    <w:p w14:paraId="29A300DC" w14:textId="49EACAA9"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Hallegatte S. (</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Strategies to adapt to an uncertain climate change. Global Environmental Change 19(2): 240–247.</w:t>
      </w:r>
    </w:p>
    <w:p w14:paraId="6CC480BB" w14:textId="76EA4DA7" w:rsidR="00663849" w:rsidRPr="0002056A" w:rsidRDefault="0066384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Hague, R.; Harrop, M.; McCormick, J.</w:t>
      </w:r>
      <w:r w:rsidR="00B03B66" w:rsidRPr="0002056A">
        <w:rPr>
          <w:rFonts w:ascii="Georgia" w:eastAsia="Times New Roman" w:hAnsi="Georgia" w:cs="Times New Roman"/>
          <w:b/>
          <w:bCs/>
          <w:iCs/>
          <w:smallCaps/>
          <w:color w:val="000000"/>
          <w:sz w:val="16"/>
          <w:szCs w:val="16"/>
          <w:lang w:val="en-GB" w:eastAsia="hu-HU"/>
        </w:rPr>
        <w:t xml:space="preserve"> (2019)</w:t>
      </w:r>
      <w:r w:rsidRPr="0002056A">
        <w:rPr>
          <w:rFonts w:ascii="Georgia" w:eastAsia="Times New Roman" w:hAnsi="Georgia" w:cs="Times New Roman"/>
          <w:b/>
          <w:bCs/>
          <w:iCs/>
          <w:smallCaps/>
          <w:color w:val="000000"/>
          <w:sz w:val="16"/>
          <w:szCs w:val="16"/>
          <w:lang w:val="en-GB" w:eastAsia="hu-HU"/>
        </w:rPr>
        <w:t>:</w:t>
      </w:r>
      <w:r w:rsidRPr="0002056A">
        <w:rPr>
          <w:rFonts w:ascii="Georgia" w:hAnsi="Georgia"/>
          <w:sz w:val="16"/>
          <w:szCs w:val="16"/>
          <w:lang w:val="en-GB"/>
        </w:rPr>
        <w:t xml:space="preserve"> Comparative </w:t>
      </w:r>
      <w:r w:rsidR="00B03B66" w:rsidRPr="0002056A">
        <w:rPr>
          <w:rFonts w:ascii="Georgia" w:hAnsi="Georgia"/>
          <w:sz w:val="16"/>
          <w:szCs w:val="16"/>
          <w:lang w:val="en-GB"/>
        </w:rPr>
        <w:t>Government and Politics. An Introduction. 11</w:t>
      </w:r>
      <w:r w:rsidR="00B03B66" w:rsidRPr="0002056A">
        <w:rPr>
          <w:rFonts w:ascii="Georgia" w:hAnsi="Georgia"/>
          <w:sz w:val="16"/>
          <w:szCs w:val="16"/>
          <w:vertAlign w:val="superscript"/>
          <w:lang w:val="en-GB"/>
        </w:rPr>
        <w:t>th</w:t>
      </w:r>
      <w:r w:rsidR="00B03B66" w:rsidRPr="0002056A">
        <w:rPr>
          <w:rFonts w:ascii="Georgia" w:hAnsi="Georgia"/>
          <w:sz w:val="16"/>
          <w:szCs w:val="16"/>
          <w:lang w:val="en-GB"/>
        </w:rPr>
        <w:t xml:space="preserve"> edition. </w:t>
      </w:r>
      <w:r w:rsidR="00216AD0" w:rsidRPr="0002056A">
        <w:rPr>
          <w:rFonts w:ascii="Georgia" w:hAnsi="Georgia"/>
          <w:sz w:val="16"/>
          <w:szCs w:val="16"/>
          <w:lang w:val="en-GB"/>
        </w:rPr>
        <w:t>London</w:t>
      </w:r>
      <w:r w:rsidR="00B03B66" w:rsidRPr="0002056A">
        <w:rPr>
          <w:rFonts w:ascii="Georgia" w:hAnsi="Georgia"/>
          <w:sz w:val="16"/>
          <w:szCs w:val="16"/>
          <w:lang w:val="en-GB"/>
        </w:rPr>
        <w:t>, red Globe Press, 2019.</w:t>
      </w:r>
    </w:p>
    <w:p w14:paraId="0AAC5DA0"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Hansen, L.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Poststructuralism. In.: J Baylis, S. Smith, P. Owens: The Globalization of World Politics. Published in the United States by Oxford University Press Inc., New York Oxford University Press, 2017. ISBN 978–0–19–882554–8.</w:t>
      </w:r>
    </w:p>
    <w:p w14:paraId="11908A4F"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77" w:history="1">
        <w:r w:rsidRPr="0002056A">
          <w:rPr>
            <w:rFonts w:ascii="Georgia" w:eastAsia="Times New Roman" w:hAnsi="Georgia" w:cs="Times New Roman"/>
            <w:b/>
            <w:bCs/>
            <w:iCs/>
            <w:smallCaps/>
            <w:color w:val="000000"/>
            <w:sz w:val="16"/>
            <w:szCs w:val="16"/>
            <w:lang w:val="en-GB" w:eastAsia="hu-HU"/>
          </w:rPr>
          <w:t xml:space="preserve">Harley M.; van Minnen J. </w:t>
        </w:r>
      </w:hyperlink>
      <w:r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Development of adaptation indicators. Climate and Development 3(1), pp. 21-31. </w:t>
      </w:r>
      <w:hyperlink r:id="rId78" w:history="1">
        <w:r w:rsidRPr="0002056A">
          <w:rPr>
            <w:rStyle w:val="Hiperhivatkozs"/>
            <w:rFonts w:ascii="Georgia" w:eastAsia="Times New Roman" w:hAnsi="Georgia" w:cs="Times New Roman"/>
            <w:sz w:val="16"/>
            <w:szCs w:val="16"/>
            <w:lang w:val="en-GB" w:eastAsia="hu-HU"/>
          </w:rPr>
          <w:t>https://doi.org/10.3763/cdev.2010.0062</w:t>
        </w:r>
      </w:hyperlink>
    </w:p>
    <w:p w14:paraId="7116C19A" w14:textId="4F6D85A4"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Haug, C., Rayner, T., Jordan, A., Hildingsson, R., Stripple, J., Monni, S., Huitema, D., Massey, E., van Asselt, H., Berkhout, F. (</w:t>
      </w:r>
      <w:r w:rsidRPr="0002056A">
        <w:rPr>
          <w:rFonts w:ascii="Georgia" w:eastAsia="Times New Roman" w:hAnsi="Georgia" w:cs="Times New Roman"/>
          <w:b/>
          <w:smallCaps/>
          <w:color w:val="000000"/>
          <w:sz w:val="16"/>
          <w:szCs w:val="16"/>
          <w:lang w:val="en-GB" w:eastAsia="hu-HU"/>
        </w:rPr>
        <w:t>2010):</w:t>
      </w:r>
      <w:r w:rsidRPr="0002056A">
        <w:rPr>
          <w:rFonts w:ascii="Georgia" w:eastAsia="Times New Roman" w:hAnsi="Georgia" w:cs="Times New Roman"/>
          <w:color w:val="000000"/>
          <w:sz w:val="16"/>
          <w:szCs w:val="16"/>
          <w:lang w:val="en-GB" w:eastAsia="hu-HU"/>
        </w:rPr>
        <w:t xml:space="preserve"> Navigating the dilemmas of climate policy in Europe: evidence from policy evaluation studies. Climatic Change 101(3–4), 427–445.</w:t>
      </w:r>
    </w:p>
    <w:p w14:paraId="26A24B91" w14:textId="3383CDD2" w:rsidR="00B91E59" w:rsidRPr="0002056A" w:rsidRDefault="00B91E59"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Haughton, G. &amp; Allmendinger </w:t>
      </w:r>
      <w:r w:rsidR="00394C31" w:rsidRPr="0002056A">
        <w:rPr>
          <w:rFonts w:ascii="Georgia" w:eastAsia="Times New Roman" w:hAnsi="Georgia" w:cs="Times New Roman"/>
          <w:b/>
          <w:bCs/>
          <w:iCs/>
          <w:smallCaps/>
          <w:color w:val="000000"/>
          <w:sz w:val="16"/>
          <w:szCs w:val="16"/>
          <w:lang w:val="en-GB" w:eastAsia="hu-HU"/>
        </w:rPr>
        <w:t>PH. (</w:t>
      </w:r>
      <w:r w:rsidRPr="0002056A">
        <w:rPr>
          <w:rFonts w:ascii="Georgia" w:eastAsia="Times New Roman" w:hAnsi="Georgia" w:cs="Times New Roman"/>
          <w:b/>
          <w:bCs/>
          <w:iCs/>
          <w:smallCaps/>
          <w:color w:val="000000"/>
          <w:sz w:val="16"/>
          <w:szCs w:val="16"/>
          <w:lang w:val="en-GB" w:eastAsia="hu-HU"/>
        </w:rPr>
        <w:t xml:space="preserve">2008): </w:t>
      </w:r>
      <w:r w:rsidRPr="0002056A">
        <w:rPr>
          <w:rFonts w:ascii="Georgia" w:eastAsia="Times New Roman" w:hAnsi="Georgia" w:cs="Times New Roman"/>
          <w:color w:val="000000"/>
          <w:sz w:val="16"/>
          <w:szCs w:val="16"/>
          <w:lang w:val="en-GB" w:eastAsia="hu-HU"/>
        </w:rPr>
        <w:t xml:space="preserve">The Soft Spaces of Local Economic Development. </w:t>
      </w:r>
      <w:hyperlink r:id="rId79" w:history="1">
        <w:r w:rsidRPr="0002056A">
          <w:rPr>
            <w:rFonts w:ascii="Georgia" w:eastAsia="Times New Roman" w:hAnsi="Georgia" w:cs="Times New Roman"/>
            <w:color w:val="000000"/>
            <w:sz w:val="16"/>
            <w:szCs w:val="16"/>
            <w:lang w:val="en-GB" w:eastAsia="hu-HU"/>
          </w:rPr>
          <w:t>Local Economy</w:t>
        </w:r>
      </w:hyperlink>
      <w:r w:rsidRPr="0002056A">
        <w:rPr>
          <w:rFonts w:ascii="Georgia" w:eastAsia="Times New Roman" w:hAnsi="Georgia" w:cs="Times New Roman"/>
          <w:color w:val="000000"/>
          <w:sz w:val="16"/>
          <w:szCs w:val="16"/>
          <w:lang w:val="en-GB" w:eastAsia="hu-HU"/>
        </w:rPr>
        <w:t> 23(2):138-148, May 2008. DOI:</w:t>
      </w:r>
      <w:hyperlink r:id="rId80" w:tgtFrame="_blank" w:history="1">
        <w:r w:rsidRPr="0002056A">
          <w:rPr>
            <w:rFonts w:ascii="Georgia" w:eastAsia="Times New Roman" w:hAnsi="Georgia" w:cs="Times New Roman"/>
            <w:color w:val="000000"/>
            <w:sz w:val="16"/>
            <w:szCs w:val="16"/>
            <w:lang w:val="en-GB" w:eastAsia="hu-HU"/>
          </w:rPr>
          <w:t>10.1080/02690940801976216</w:t>
        </w:r>
      </w:hyperlink>
    </w:p>
    <w:p w14:paraId="110E2709" w14:textId="694130FB"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Haynes, P.A. (</w:t>
      </w:r>
      <w:r w:rsidRPr="0002056A">
        <w:rPr>
          <w:rFonts w:ascii="Georgia" w:eastAsia="Times New Roman" w:hAnsi="Georgia" w:cs="Times New Roman"/>
          <w:b/>
          <w:smallCaps/>
          <w:color w:val="000000"/>
          <w:sz w:val="16"/>
          <w:szCs w:val="16"/>
          <w:lang w:val="en-GB" w:eastAsia="hu-HU"/>
        </w:rPr>
        <w:t>1974):</w:t>
      </w:r>
      <w:r w:rsidRPr="0002056A">
        <w:rPr>
          <w:rFonts w:ascii="Georgia" w:eastAsia="Times New Roman" w:hAnsi="Georgia" w:cs="Times New Roman"/>
          <w:color w:val="000000"/>
          <w:sz w:val="16"/>
          <w:szCs w:val="16"/>
          <w:lang w:val="en-GB" w:eastAsia="hu-HU"/>
        </w:rPr>
        <w:t xml:space="preserve"> Towards a Concept of Monitoring</w:t>
      </w:r>
      <w:r w:rsidR="00D066E0">
        <w:rPr>
          <w:rFonts w:ascii="Georgia" w:eastAsia="Times New Roman" w:hAnsi="Georgia" w:cs="Times New Roman"/>
          <w:color w:val="000000"/>
          <w:sz w:val="16"/>
          <w:szCs w:val="16"/>
          <w:lang w:val="en-GB" w:eastAsia="hu-HU"/>
        </w:rPr>
        <w:t>.</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The Town Planning Review Vol. 45, No. 1 (Jan., 4), pp. 5-29 (25 pages)</w:t>
      </w:r>
    </w:p>
    <w:p w14:paraId="02C90A6F" w14:textId="7CAD9CA2" w:rsidR="00EC0384" w:rsidRPr="0002056A" w:rsidRDefault="00EC0384" w:rsidP="00214BD9">
      <w:pPr>
        <w:pStyle w:val="Listaszerbekezds"/>
        <w:numPr>
          <w:ilvl w:val="0"/>
          <w:numId w:val="3"/>
        </w:numPr>
        <w:shd w:val="clear" w:color="auto" w:fill="FFFFFF"/>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Healy, P. (2004):</w:t>
      </w:r>
      <w:r w:rsidRPr="0002056A">
        <w:rPr>
          <w:rFonts w:ascii="Georgia" w:eastAsia="Times New Roman" w:hAnsi="Georgia" w:cs="Times New Roman"/>
          <w:color w:val="000000"/>
          <w:sz w:val="16"/>
          <w:szCs w:val="16"/>
          <w:lang w:val="en-GB" w:eastAsia="hu-HU"/>
        </w:rPr>
        <w:t xml:space="preserve"> The Treatment of Space and Place in the new Strategic Spatial Planning in Europe. International Journal or Urban and Regional research. </w:t>
      </w:r>
      <w:hyperlink r:id="rId81" w:tooltip="View Volume 28, Issue 1" w:history="1">
        <w:r w:rsidRPr="0002056A">
          <w:rPr>
            <w:rFonts w:ascii="Georgia" w:eastAsia="Times New Roman" w:hAnsi="Georgia" w:cs="Times New Roman"/>
            <w:color w:val="000000"/>
            <w:sz w:val="16"/>
            <w:szCs w:val="16"/>
            <w:lang w:val="en-GB" w:eastAsia="hu-HU"/>
          </w:rPr>
          <w:t>Volume28, Issue 1</w:t>
        </w:r>
      </w:hyperlink>
      <w:r w:rsidRPr="0002056A">
        <w:rPr>
          <w:rFonts w:ascii="Georgia" w:eastAsia="Times New Roman" w:hAnsi="Georgia" w:cs="Times New Roman"/>
          <w:color w:val="000000"/>
          <w:sz w:val="16"/>
          <w:szCs w:val="16"/>
          <w:lang w:val="en-GB" w:eastAsia="hu-HU"/>
        </w:rPr>
        <w:t xml:space="preserve">. March 2004. Pp 45-67. </w:t>
      </w:r>
      <w:hyperlink r:id="rId82" w:history="1">
        <w:r w:rsidRPr="0002056A">
          <w:rPr>
            <w:rFonts w:ascii="Georgia" w:eastAsia="Times New Roman" w:hAnsi="Georgia" w:cs="Times New Roman"/>
            <w:color w:val="000000"/>
            <w:sz w:val="16"/>
            <w:szCs w:val="16"/>
            <w:lang w:val="en-GB" w:eastAsia="hu-HU"/>
          </w:rPr>
          <w:t>https://doi.org/10.1111/j.0309-1317.2004.00502.x</w:t>
        </w:r>
      </w:hyperlink>
    </w:p>
    <w:p w14:paraId="461522F3" w14:textId="77777777" w:rsidR="00902E08" w:rsidRPr="0002056A" w:rsidRDefault="00902E08"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Heidrich, O.; Reckien, D.; Olazabal, M.; Foley, A.; Salvia, M.; De Gregorio Hurtando, S.; Orru, H.; Flacke, J.; Geneletti, D.; Pietrapertosa, F.; Hamann, J-J.P.; Tiwary, A.; Feliu, E.; Dawson, R.J.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National climate policies across Europe and their impacts on cities strategies. Journal of Environmental Management. Volume 168, 1 March 2016, Pages 36-45. </w:t>
      </w:r>
      <w:hyperlink r:id="rId83" w:tgtFrame="_blank" w:tooltip="Persistent link using digital object identifier" w:history="1">
        <w:r w:rsidRPr="0002056A">
          <w:rPr>
            <w:rFonts w:ascii="Georgia" w:eastAsia="Times New Roman" w:hAnsi="Georgia" w:cs="Times New Roman"/>
            <w:color w:val="000000"/>
            <w:sz w:val="16"/>
            <w:szCs w:val="16"/>
            <w:lang w:val="en-GB" w:eastAsia="hu-HU"/>
          </w:rPr>
          <w:t>https://doi.org/10.1016/j.jenvman.2015.11.043</w:t>
        </w:r>
      </w:hyperlink>
      <w:hyperlink r:id="rId84" w:tgtFrame="_blank" w:history="1">
        <w:r w:rsidRPr="0002056A">
          <w:rPr>
            <w:rFonts w:ascii="Georgia" w:eastAsia="Times New Roman" w:hAnsi="Georgia" w:cs="Times New Roman"/>
            <w:color w:val="000000"/>
            <w:sz w:val="16"/>
            <w:szCs w:val="16"/>
            <w:lang w:val="en-GB" w:eastAsia="hu-HU"/>
          </w:rPr>
          <w:t>Get rights and content</w:t>
        </w:r>
      </w:hyperlink>
      <w:r w:rsidRPr="0002056A">
        <w:rPr>
          <w:rFonts w:ascii="Georgia" w:eastAsia="Times New Roman" w:hAnsi="Georgia" w:cs="Times New Roman"/>
          <w:color w:val="000000"/>
          <w:sz w:val="16"/>
          <w:szCs w:val="16"/>
          <w:lang w:val="en-GB" w:eastAsia="hu-HU"/>
        </w:rPr>
        <w:t>.</w:t>
      </w:r>
    </w:p>
    <w:p w14:paraId="66FC41EF" w14:textId="4F071526"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Hogan, </w:t>
      </w:r>
      <w:r w:rsidR="00D066E0" w:rsidRPr="0002056A">
        <w:rPr>
          <w:rFonts w:ascii="Georgia" w:eastAsia="Times New Roman" w:hAnsi="Georgia" w:cs="Times New Roman"/>
          <w:b/>
          <w:bCs/>
          <w:iCs/>
          <w:smallCaps/>
          <w:color w:val="000000"/>
          <w:sz w:val="16"/>
          <w:szCs w:val="16"/>
          <w:lang w:val="en-GB" w:eastAsia="hu-HU"/>
        </w:rPr>
        <w:t>R.L.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The Historical Development of Program Evaluation: Exploring the Past and Present. Online Journal of Workforce Education and Development Volume II, Issue 4 – Fall 2007</w:t>
      </w:r>
    </w:p>
    <w:p w14:paraId="4EED95F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Huitema, D. – Jordan, A. – Massey, E. – Rayner, T. – van Asselt, H. – Haug, C. – Hildingsson, R. – Monni, S. – Stripple, J.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The evaluation of climate policy: theory and emerging practice in Europe.  Policy Science (2011) 44: 179. doi:10.1007/s11077-011-9125-7</w:t>
      </w:r>
    </w:p>
    <w:p w14:paraId="0B9F25F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Hurlimann A.C., March A.P.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The role of spatial planning in adapting to climate change. Interdisciplinary Reviews of Climate Change Published in 2012, 3(5) 477-488. Wiley Interdisciplinary Reviews of Climate Change </w:t>
      </w:r>
    </w:p>
    <w:p w14:paraId="7380F4AF"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Illés I. (2002):</w:t>
      </w:r>
      <w:r w:rsidRPr="0002056A">
        <w:rPr>
          <w:rFonts w:ascii="Georgia" w:hAnsi="Georgia"/>
          <w:sz w:val="16"/>
          <w:szCs w:val="16"/>
          <w:lang w:val="en-GB"/>
        </w:rPr>
        <w:t xml:space="preserve"> Közép- és Délkelet-Európa az ezredfordulón. Átalakulás, integráció, régiók. Dialóg Campus szakkönyvek. Studia Regionum. Területi és Települési Kutatások. 19. kötet.</w:t>
      </w:r>
    </w:p>
    <w:p w14:paraId="3537C9FF"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IPCC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Impacts, Adaptation, and Vulnerability. Contribution of Working Group II to the Fourth Assessment Report of the Intergovernmental Panel on Climate Change (ed: Parry, M.L., Canziani, O.F., Palutikof, J.P., van der Linden, P.J. &amp; Hanson, C.E.). Cambridge University Press, Cambridge, UK. 976 pp. https://www.ipcc.ch/pdf/assessment-report/ar4/wg2/ar4_wg2_full_report.pdf </w:t>
      </w:r>
    </w:p>
    <w:p w14:paraId="384D0F2F"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IPCC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Managing the Risks of Extreme Events and Disasters to Advance Climate Change Adaptation. A Special Report of Working Groups I and II of the Intergovernmental Panel on Climate Change [Field, C.B., V. Barros, T.F. Stocker, D. Qin, D.J. Dokken, K.L. Ebi, M.D. Mastrandrea, K.J. Mach, G.-K. Plattner, S.K. Allen, M. Tignor, and P.M. Midgley (eds.)]. Cambridge University Press, Cambridge, UK, and New York, NY, USA, 582 pp.</w:t>
      </w:r>
    </w:p>
    <w:p w14:paraId="3A634F5F" w14:textId="5FFA7D9A" w:rsidR="001D44D4" w:rsidRPr="0002056A" w:rsidRDefault="001D44D4"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IPCC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IPCC –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 2013.</w:t>
      </w:r>
    </w:p>
    <w:p w14:paraId="7F4C45DA"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IPCC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Climate Change –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 White (eds.)].  Cambridge University Press, Cambridge, United Kingdom, and New York, NY, USA, 1132 pp.</w:t>
      </w:r>
    </w:p>
    <w:p w14:paraId="2C20BCD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IPCC (</w:t>
      </w:r>
      <w:r w:rsidRPr="0002056A">
        <w:rPr>
          <w:rFonts w:ascii="Georgia" w:eastAsia="Times New Roman" w:hAnsi="Georgia" w:cs="Times New Roman"/>
          <w:b/>
          <w:smallCaps/>
          <w:color w:val="000000"/>
          <w:sz w:val="16"/>
          <w:szCs w:val="16"/>
          <w:lang w:val="en-GB" w:eastAsia="hu-HU"/>
        </w:rPr>
        <w:t>2022):</w:t>
      </w:r>
      <w:r w:rsidRPr="0002056A">
        <w:rPr>
          <w:rFonts w:ascii="Georgia" w:eastAsia="Times New Roman" w:hAnsi="Georgia" w:cs="Times New Roman"/>
          <w:color w:val="000000"/>
          <w:sz w:val="16"/>
          <w:szCs w:val="16"/>
          <w:lang w:val="en-GB" w:eastAsia="hu-HU"/>
        </w:rPr>
        <w:t xml:space="preserve"> Summary for Policymakers [H.-O. Pörtner, D.C. Roberts, E.S. Poloczanska, K. Mintenbeck, M. Tignor, A. Alegría, M. Craig, S. Langsdorf, S. Löschke, V. Möller, A. Okem (eds.)].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In Press.</w:t>
      </w:r>
    </w:p>
    <w:p w14:paraId="6D46AFD3" w14:textId="2978DF1B" w:rsidR="008348B3" w:rsidRPr="0002056A" w:rsidRDefault="008348B3"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Isthiaque, A.</w:t>
      </w:r>
      <w:r w:rsidR="000E1320" w:rsidRPr="0002056A">
        <w:rPr>
          <w:rFonts w:ascii="Georgia" w:hAnsi="Georgia"/>
          <w:b/>
          <w:smallCaps/>
          <w:sz w:val="16"/>
          <w:szCs w:val="16"/>
          <w:lang w:val="en-GB"/>
        </w:rPr>
        <w:t>;</w:t>
      </w:r>
      <w:r w:rsidRPr="0002056A">
        <w:rPr>
          <w:rFonts w:ascii="Georgia" w:hAnsi="Georgia"/>
          <w:b/>
          <w:smallCaps/>
          <w:sz w:val="16"/>
          <w:szCs w:val="16"/>
          <w:lang w:val="en-GB"/>
        </w:rPr>
        <w:t xml:space="preserve"> Estoque, R.C.;</w:t>
      </w:r>
      <w:r w:rsidR="000E1320" w:rsidRPr="0002056A">
        <w:rPr>
          <w:rFonts w:ascii="Georgia" w:hAnsi="Georgia"/>
          <w:b/>
          <w:smallCaps/>
          <w:sz w:val="16"/>
          <w:szCs w:val="16"/>
          <w:lang w:val="en-GB"/>
        </w:rPr>
        <w:t xml:space="preserve"> Eakin, H.; Parajuli, J.; Rabby, Y.W.</w:t>
      </w:r>
      <w:r w:rsidR="004E3231" w:rsidRPr="0002056A">
        <w:rPr>
          <w:rFonts w:ascii="Georgia" w:hAnsi="Georgia"/>
          <w:b/>
          <w:smallCaps/>
          <w:sz w:val="16"/>
          <w:szCs w:val="16"/>
          <w:lang w:val="en-GB"/>
        </w:rPr>
        <w:t xml:space="preserve"> (2022)</w:t>
      </w:r>
      <w:r w:rsidR="000E1320" w:rsidRPr="0002056A">
        <w:rPr>
          <w:rFonts w:ascii="Georgia" w:hAnsi="Georgia"/>
          <w:b/>
          <w:smallCaps/>
          <w:sz w:val="16"/>
          <w:szCs w:val="16"/>
          <w:lang w:val="en-GB"/>
        </w:rPr>
        <w:t>:</w:t>
      </w:r>
      <w:r w:rsidR="000E1320" w:rsidRPr="0002056A">
        <w:rPr>
          <w:rFonts w:ascii="Georgia" w:hAnsi="Georgia"/>
          <w:sz w:val="16"/>
          <w:szCs w:val="16"/>
          <w:lang w:val="en-GB"/>
        </w:rPr>
        <w:t xml:space="preserve"> IPCC’s currant conceptualization of ‘vulnerability’ needs more clarification for climate change vulnerability assessments</w:t>
      </w:r>
      <w:r w:rsidR="004E3231" w:rsidRPr="0002056A">
        <w:rPr>
          <w:rFonts w:ascii="Georgia" w:hAnsi="Georgia"/>
          <w:sz w:val="16"/>
          <w:szCs w:val="16"/>
          <w:lang w:val="en-GB"/>
        </w:rPr>
        <w:t>. Journal of Environmental Management, 303 (2022).</w:t>
      </w:r>
      <w:r w:rsidR="00652B1E" w:rsidRPr="0002056A">
        <w:rPr>
          <w:rFonts w:ascii="Georgia" w:hAnsi="Georgia"/>
          <w:sz w:val="16"/>
          <w:szCs w:val="16"/>
          <w:lang w:val="en-GB"/>
        </w:rPr>
        <w:t xml:space="preserve"> https://doi.org/10.1016/j.jenvman2021.114246</w:t>
      </w:r>
    </w:p>
    <w:p w14:paraId="4A63222D" w14:textId="219A3AC6"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Jackson, B.; Sörensen, G.; Möller, J.  (ed)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Introduction to International Relations: Theories and </w:t>
      </w:r>
      <w:r w:rsidR="00D066E0" w:rsidRPr="0002056A">
        <w:rPr>
          <w:rFonts w:ascii="Georgia" w:eastAsia="Times New Roman" w:hAnsi="Georgia" w:cs="Times New Roman"/>
          <w:color w:val="000000"/>
          <w:sz w:val="16"/>
          <w:szCs w:val="16"/>
          <w:lang w:val="en-GB" w:eastAsia="hu-HU"/>
        </w:rPr>
        <w:t>Approaches.</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7</w:t>
      </w:r>
      <w:r w:rsidRPr="0002056A">
        <w:rPr>
          <w:rFonts w:ascii="Georgia" w:eastAsia="Times New Roman" w:hAnsi="Georgia" w:cs="Times New Roman"/>
          <w:color w:val="000000"/>
          <w:sz w:val="16"/>
          <w:szCs w:val="16"/>
          <w:vertAlign w:val="superscript"/>
          <w:lang w:val="en-GB" w:eastAsia="hu-HU"/>
        </w:rPr>
        <w:t>th</w:t>
      </w:r>
      <w:r w:rsidRPr="0002056A">
        <w:rPr>
          <w:rFonts w:ascii="Georgia" w:eastAsia="Times New Roman" w:hAnsi="Georgia" w:cs="Times New Roman"/>
          <w:color w:val="000000"/>
          <w:sz w:val="16"/>
          <w:szCs w:val="16"/>
          <w:lang w:val="en-GB" w:eastAsia="hu-HU"/>
        </w:rPr>
        <w:t xml:space="preserve"> Edition Oxford University Press</w:t>
      </w:r>
    </w:p>
    <w:p w14:paraId="4E6A1B2B" w14:textId="6A9E9660" w:rsidR="006A3C6A" w:rsidRPr="0002056A" w:rsidRDefault="006A3C6A"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lastRenderedPageBreak/>
        <w:t>Jensen, A.; Van Bommel, S.; Pedersen, A.B.; Nielsen, H.O., Kuindersma, W. (2013):</w:t>
      </w:r>
      <w:r w:rsidRPr="0002056A">
        <w:rPr>
          <w:rFonts w:ascii="Georgia" w:eastAsia="Times New Roman" w:hAnsi="Georgia" w:cs="Times New Roman"/>
          <w:color w:val="000000"/>
          <w:sz w:val="16"/>
          <w:szCs w:val="16"/>
          <w:lang w:val="en-GB" w:eastAsia="hu-HU"/>
        </w:rPr>
        <w:t xml:space="preserve"> Framing climate change: new directions in Dutch and Danish Planning Strategies. Planning Theory&amp;Practice, Volume 4, Issue 2, 2013. Taylor&amp;Francis, 2019.</w:t>
      </w:r>
    </w:p>
    <w:p w14:paraId="5822E4B3" w14:textId="0BA4C27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Jones, H. P.; D. G. Hole; E. S. Zavaleta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Harnessing nature to help people adapt to climate change. Nature Climate Change 2; pp. 504-509.</w:t>
      </w:r>
    </w:p>
    <w:p w14:paraId="4DAC8463"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Kabeyi, M.J.B.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Evolution of Project Management, Monitoring and Evaluation, with Historical Events and Projects that Have Shaped the Development of Project Management as a Profession. International Journal of Science and Research (IJSR) · December 2019</w:t>
      </w:r>
    </w:p>
    <w:p w14:paraId="6E5FB03D" w14:textId="4BD46E4D"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Kajner, P., Czira, T., Selmeczi, P., Sütő, A.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National Adaptation Geo-</w:t>
      </w:r>
      <w:r w:rsidR="00D066E0" w:rsidRPr="0002056A">
        <w:rPr>
          <w:rFonts w:ascii="Georgia" w:eastAsia="Times New Roman" w:hAnsi="Georgia" w:cs="Times New Roman"/>
          <w:color w:val="000000"/>
          <w:sz w:val="16"/>
          <w:szCs w:val="16"/>
          <w:lang w:val="en-GB" w:eastAsia="hu-HU"/>
        </w:rPr>
        <w:t>Information</w:t>
      </w:r>
      <w:r w:rsidRPr="0002056A">
        <w:rPr>
          <w:rFonts w:ascii="Georgia" w:eastAsia="Times New Roman" w:hAnsi="Georgia" w:cs="Times New Roman"/>
          <w:color w:val="000000"/>
          <w:sz w:val="16"/>
          <w:szCs w:val="16"/>
          <w:lang w:val="en-GB" w:eastAsia="hu-HU"/>
        </w:rPr>
        <w:t xml:space="preserve"> System in climate adaptation planning.  Időjárás, Quarterly Journal of the Hungarian Meteorological Service. Vol. 121, No. 4, October- December 2017, pp. 345–370. </w:t>
      </w:r>
    </w:p>
    <w:p w14:paraId="06055766" w14:textId="77777777" w:rsidR="00A43D6C" w:rsidRPr="0002056A" w:rsidRDefault="00666EF7"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Karanika, M.; Kallioras, D. (</w:t>
      </w:r>
      <w:r w:rsidRPr="0002056A">
        <w:rPr>
          <w:rFonts w:ascii="Georgia" w:eastAsia="Times New Roman" w:hAnsi="Georgia" w:cs="Times New Roman"/>
          <w:color w:val="000000"/>
          <w:sz w:val="16"/>
          <w:szCs w:val="16"/>
          <w:lang w:val="en-GB" w:eastAsia="hu-HU"/>
        </w:rPr>
        <w:t>2018): EU spatiality under question – territorial cohesion in danger. Territories: A Trans-Cultural Journal of regional Studies, 1(1).</w:t>
      </w:r>
    </w:p>
    <w:p w14:paraId="54F7D63A" w14:textId="472588FE" w:rsidR="00666EF7" w:rsidRPr="0002056A" w:rsidRDefault="00666EF7" w:rsidP="0077402F">
      <w:pPr>
        <w:pStyle w:val="Listaszerbekezds"/>
        <w:spacing w:after="0" w:line="240" w:lineRule="auto"/>
        <w:contextualSpacing w:val="0"/>
        <w:jc w:val="both"/>
        <w:rPr>
          <w:rFonts w:ascii="Georgia" w:eastAsia="Times New Roman" w:hAnsi="Georgia" w:cs="Times New Roman"/>
          <w:color w:val="000000"/>
          <w:sz w:val="16"/>
          <w:szCs w:val="16"/>
          <w:lang w:val="en-GB" w:eastAsia="hu-HU"/>
        </w:rPr>
      </w:pPr>
      <w:hyperlink r:id="rId85" w:history="1">
        <w:r w:rsidRPr="0002056A">
          <w:rPr>
            <w:rFonts w:ascii="Georgia" w:hAnsi="Georgia"/>
            <w:color w:val="000000"/>
            <w:sz w:val="16"/>
            <w:szCs w:val="16"/>
            <w:lang w:val="en-GB"/>
          </w:rPr>
          <w:t>https://doi.10.5070/T21141511</w:t>
        </w:r>
      </w:hyperlink>
      <w:r w:rsidRPr="0002056A">
        <w:rPr>
          <w:rFonts w:ascii="Georgia" w:eastAsia="Times New Roman" w:hAnsi="Georgia" w:cs="Times New Roman"/>
          <w:color w:val="000000"/>
          <w:sz w:val="16"/>
          <w:szCs w:val="16"/>
          <w:lang w:val="en-GB" w:eastAsia="hu-HU"/>
        </w:rPr>
        <w:t>. https://escholaship.org/uc/item/6sg0n7gg</w:t>
      </w:r>
    </w:p>
    <w:p w14:paraId="67F9120A" w14:textId="19650EDC"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b/>
          <w:bCs/>
          <w:i/>
          <w:iC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Kelly, Ph.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Classical Geopolitics: A New Analytical Model. Stanford University Press, 2016.  ISBN: 9780804799508. </w:t>
      </w:r>
      <w:hyperlink r:id="rId86" w:history="1">
        <w:r w:rsidRPr="0002056A">
          <w:rPr>
            <w:rStyle w:val="Hiperhivatkozs"/>
            <w:rFonts w:ascii="Georgia" w:eastAsia="Times New Roman" w:hAnsi="Georgia" w:cs="Times New Roman"/>
            <w:sz w:val="16"/>
            <w:szCs w:val="16"/>
            <w:lang w:val="en-GB" w:eastAsia="hu-HU"/>
          </w:rPr>
          <w:t>http://www.sup.org/books/title/?id=25589</w:t>
        </w:r>
      </w:hyperlink>
      <w:r w:rsidRPr="0002056A">
        <w:rPr>
          <w:rFonts w:ascii="Georgia" w:eastAsia="Times New Roman" w:hAnsi="Georgia" w:cs="Times New Roman"/>
          <w:color w:val="000000"/>
          <w:sz w:val="16"/>
          <w:szCs w:val="16"/>
          <w:lang w:val="en-GB" w:eastAsia="hu-HU"/>
        </w:rPr>
        <w:t>.</w:t>
      </w:r>
    </w:p>
    <w:p w14:paraId="5935E977"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b/>
          <w:bCs/>
          <w:i/>
          <w:iC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Kerbler, B. (20</w:t>
      </w:r>
      <w:r w:rsidRPr="0002056A">
        <w:rPr>
          <w:rFonts w:ascii="Georgia" w:eastAsia="Times New Roman" w:hAnsi="Georgia" w:cs="Times New Roman"/>
          <w:b/>
          <w:smallCaps/>
          <w:color w:val="000000"/>
          <w:sz w:val="16"/>
          <w:szCs w:val="16"/>
          <w:lang w:val="en-GB" w:eastAsia="hu-HU"/>
        </w:rPr>
        <w:t>16):</w:t>
      </w:r>
      <w:r w:rsidRPr="0002056A">
        <w:rPr>
          <w:rFonts w:ascii="Georgia" w:eastAsia="Times New Roman" w:hAnsi="Georgia" w:cs="Times New Roman"/>
          <w:color w:val="000000"/>
          <w:sz w:val="16"/>
          <w:szCs w:val="16"/>
          <w:lang w:val="en-GB" w:eastAsia="hu-HU"/>
        </w:rPr>
        <w:t xml:space="preserve"> Revitalisation of open spaces, changing centralities and neighbourhoods, and the importance of spatial planning for climate change adaptation. </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Urbani Izziv. Vol. 27, No. 1 (June 2016), pp. 89-94.</w:t>
      </w:r>
    </w:p>
    <w:p w14:paraId="044A6049" w14:textId="4F2F748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Kerekes, S.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Chasing the Impossible. Sustainable Development Is a Wicked Problem, but It Can Be and Should Be Tamed!” World Futures–12.  Taylor&amp;Francis Online</w:t>
      </w:r>
    </w:p>
    <w:p w14:paraId="34985ABF" w14:textId="6FD9D740" w:rsidR="005372EC" w:rsidRPr="0002056A" w:rsidRDefault="00D47AF6" w:rsidP="00214BD9">
      <w:pPr>
        <w:pStyle w:val="Listaszerbekezds"/>
        <w:numPr>
          <w:ilvl w:val="0"/>
          <w:numId w:val="3"/>
        </w:numPr>
        <w:spacing w:after="0" w:line="240" w:lineRule="auto"/>
        <w:contextualSpacing w:val="0"/>
        <w:jc w:val="both"/>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Kern, K. (2023): </w:t>
      </w:r>
      <w:r w:rsidRPr="0002056A">
        <w:rPr>
          <w:rFonts w:ascii="Georgia" w:eastAsia="Times New Roman" w:hAnsi="Georgia" w:cs="Times New Roman"/>
          <w:color w:val="000000"/>
          <w:sz w:val="16"/>
          <w:szCs w:val="16"/>
          <w:lang w:val="en-GB" w:eastAsia="hu-HU"/>
        </w:rPr>
        <w:t xml:space="preserve">Cities in EU multilevel climate policy: governance capacities, spatial approaches and upscaling of local experiments. In.: </w:t>
      </w:r>
      <w:r w:rsidR="00D066E0" w:rsidRPr="0002056A">
        <w:rPr>
          <w:rFonts w:ascii="Georgia" w:eastAsia="Times New Roman" w:hAnsi="Georgia" w:cs="Times New Roman"/>
          <w:color w:val="000000"/>
          <w:sz w:val="16"/>
          <w:szCs w:val="16"/>
          <w:lang w:val="en-GB" w:eastAsia="hu-HU"/>
        </w:rPr>
        <w:t>Rayner, T.</w:t>
      </w:r>
      <w:r w:rsidR="005372EC" w:rsidRPr="0002056A">
        <w:rPr>
          <w:rFonts w:ascii="Georgia" w:eastAsia="Times New Roman" w:hAnsi="Georgia" w:cs="Times New Roman"/>
          <w:color w:val="000000"/>
          <w:sz w:val="16"/>
          <w:szCs w:val="16"/>
          <w:lang w:val="en-GB" w:eastAsia="hu-HU"/>
        </w:rPr>
        <w:t xml:space="preserve">; Szulecki, </w:t>
      </w:r>
      <w:r w:rsidR="00D066E0" w:rsidRPr="0002056A">
        <w:rPr>
          <w:rFonts w:ascii="Georgia" w:eastAsia="Times New Roman" w:hAnsi="Georgia" w:cs="Times New Roman"/>
          <w:color w:val="000000"/>
          <w:sz w:val="16"/>
          <w:szCs w:val="16"/>
          <w:lang w:val="en-GB" w:eastAsia="hu-HU"/>
        </w:rPr>
        <w:t>K.; Jordan</w:t>
      </w:r>
      <w:r w:rsidR="005372EC" w:rsidRPr="0002056A">
        <w:rPr>
          <w:rFonts w:ascii="Georgia" w:eastAsia="Times New Roman" w:hAnsi="Georgia" w:cs="Times New Roman"/>
          <w:color w:val="000000"/>
          <w:sz w:val="16"/>
          <w:szCs w:val="16"/>
          <w:lang w:val="en-GB" w:eastAsia="hu-HU"/>
        </w:rPr>
        <w:t xml:space="preserve"> A.J.</w:t>
      </w:r>
      <w:r w:rsidR="001B792F" w:rsidRPr="0002056A">
        <w:rPr>
          <w:rFonts w:ascii="Georgia" w:eastAsia="Times New Roman" w:hAnsi="Georgia" w:cs="Times New Roman"/>
          <w:color w:val="000000"/>
          <w:sz w:val="16"/>
          <w:szCs w:val="16"/>
          <w:lang w:val="en-GB" w:eastAsia="hu-HU"/>
        </w:rPr>
        <w:t>; O</w:t>
      </w:r>
      <w:r w:rsidR="005372EC" w:rsidRPr="0002056A">
        <w:rPr>
          <w:rFonts w:ascii="Georgia" w:eastAsia="Times New Roman" w:hAnsi="Georgia" w:cs="Times New Roman"/>
          <w:color w:val="000000"/>
          <w:sz w:val="16"/>
          <w:szCs w:val="16"/>
          <w:lang w:val="en-GB" w:eastAsia="hu-HU"/>
        </w:rPr>
        <w:t>berth</w:t>
      </w:r>
      <w:r w:rsidR="001B792F" w:rsidRPr="0002056A">
        <w:rPr>
          <w:rFonts w:ascii="Georgia" w:eastAsia="Times New Roman" w:hAnsi="Georgia" w:cs="Times New Roman"/>
          <w:color w:val="000000"/>
          <w:sz w:val="16"/>
          <w:szCs w:val="16"/>
          <w:lang w:val="en-GB" w:eastAsia="hu-HU"/>
        </w:rPr>
        <w:t>ü</w:t>
      </w:r>
      <w:r w:rsidR="005372EC" w:rsidRPr="0002056A">
        <w:rPr>
          <w:rFonts w:ascii="Georgia" w:eastAsia="Times New Roman" w:hAnsi="Georgia" w:cs="Times New Roman"/>
          <w:color w:val="000000"/>
          <w:sz w:val="16"/>
          <w:szCs w:val="16"/>
          <w:lang w:val="en-GB" w:eastAsia="hu-HU"/>
        </w:rPr>
        <w:t>r</w:t>
      </w:r>
      <w:r w:rsidR="001B792F" w:rsidRPr="0002056A">
        <w:rPr>
          <w:rFonts w:ascii="Georgia" w:eastAsia="Times New Roman" w:hAnsi="Georgia" w:cs="Times New Roman"/>
          <w:color w:val="000000"/>
          <w:sz w:val="16"/>
          <w:szCs w:val="16"/>
          <w:lang w:val="en-GB" w:eastAsia="hu-HU"/>
        </w:rPr>
        <w:t xml:space="preserve">, S. (Ed.): </w:t>
      </w:r>
      <w:r w:rsidR="005372EC" w:rsidRPr="0002056A">
        <w:rPr>
          <w:rFonts w:ascii="Georgia" w:eastAsia="Times New Roman" w:hAnsi="Georgia" w:cs="Times New Roman"/>
          <w:color w:val="000000"/>
          <w:sz w:val="16"/>
          <w:szCs w:val="16"/>
          <w:lang w:val="en-GB" w:eastAsia="hu-HU"/>
        </w:rPr>
        <w:t>Handbook on European Union Climate Change Policy and Politics</w:t>
      </w:r>
      <w:r w:rsidR="001B792F" w:rsidRPr="0002056A">
        <w:rPr>
          <w:rFonts w:ascii="Georgia" w:eastAsia="Times New Roman" w:hAnsi="Georgia" w:cs="Times New Roman"/>
          <w:color w:val="000000"/>
          <w:sz w:val="16"/>
          <w:szCs w:val="16"/>
          <w:lang w:val="en-GB" w:eastAsia="hu-HU"/>
        </w:rPr>
        <w:t xml:space="preserve">. </w:t>
      </w:r>
      <w:r w:rsidR="005372EC" w:rsidRPr="0002056A">
        <w:rPr>
          <w:rFonts w:ascii="Georgia" w:eastAsia="Times New Roman" w:hAnsi="Georgia" w:cs="Times New Roman"/>
          <w:color w:val="000000"/>
          <w:sz w:val="16"/>
          <w:szCs w:val="16"/>
          <w:lang w:val="en-GB" w:eastAsia="hu-HU"/>
        </w:rPr>
        <w:t>Elgar Handbooks in Energy, the Environment and Climate Change</w:t>
      </w:r>
      <w:r w:rsidR="001B792F" w:rsidRPr="0002056A">
        <w:rPr>
          <w:rFonts w:ascii="Georgia" w:eastAsia="Times New Roman" w:hAnsi="Georgia" w:cs="Times New Roman"/>
          <w:color w:val="000000"/>
          <w:sz w:val="16"/>
          <w:szCs w:val="16"/>
          <w:lang w:val="en-GB" w:eastAsia="hu-HU"/>
        </w:rPr>
        <w:t>.</w:t>
      </w:r>
      <w:r w:rsidR="00B600D3" w:rsidRPr="0002056A">
        <w:rPr>
          <w:rFonts w:ascii="Georgia" w:eastAsia="Times New Roman" w:hAnsi="Georgia" w:cs="Times New Roman"/>
          <w:color w:val="000000"/>
          <w:sz w:val="16"/>
          <w:szCs w:val="16"/>
          <w:lang w:val="en-GB" w:eastAsia="hu-HU"/>
        </w:rPr>
        <w:t xml:space="preserve"> Print ISBN: 9781789906974; eISBN: 9781789906981;  doi.org/10.4337/9781789906981</w:t>
      </w:r>
    </w:p>
    <w:p w14:paraId="345C9322" w14:textId="1D9967DE"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Khajuria, A. and Ravindranath, N.H.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Climate Change Vulnerability Assessment: Approaches DPSIR Framework and Vulnerability Index. Journal of Earth Science &amp; Climatic Change, Vol 3. 2012, pp 1-6. Journal of Earth Science &amp; Climatic Change, Vol 3. 2012, pp 1-6.</w:t>
      </w:r>
    </w:p>
    <w:p w14:paraId="5E85452F" w14:textId="3C37B51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Kind, Ch</w:t>
      </w:r>
      <w:r w:rsidR="00281492">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Kaiser, Th</w:t>
      </w:r>
      <w:r w:rsidR="00281492">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Gaus, H</w:t>
      </w:r>
      <w:r w:rsidR="00281492">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Methodology for the evaluation of the German adaptation strategy. Environmental Research Plan Report.  ENVIRONMENTAL RESEARCH PLAN Project number 3715 41 106 0. Umweltbundesamt [German Environment Agency] Dessau-Roßlau, Germany.</w:t>
      </w:r>
    </w:p>
    <w:p w14:paraId="0F8E9E03" w14:textId="77777777" w:rsidR="003417E0" w:rsidRPr="0002056A" w:rsidRDefault="003417E0" w:rsidP="00214BD9">
      <w:pPr>
        <w:pStyle w:val="Listaszerbekezds"/>
        <w:numPr>
          <w:ilvl w:val="0"/>
          <w:numId w:val="3"/>
        </w:numPr>
        <w:spacing w:after="0" w:line="240" w:lineRule="auto"/>
        <w:ind w:left="714" w:hanging="357"/>
        <w:contextualSpacing w:val="0"/>
        <w:jc w:val="both"/>
        <w:rPr>
          <w:rFonts w:ascii="Georgia" w:eastAsia="Times New Roman" w:hAnsi="Georgia" w:cs="Times New Roman"/>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Kiss, E.; Fazekas, I.; Balla, D. (2021):</w:t>
      </w:r>
      <w:r w:rsidRPr="0002056A">
        <w:rPr>
          <w:rFonts w:ascii="Georgia" w:eastAsia="Times New Roman" w:hAnsi="Georgia" w:cs="Times New Roman"/>
          <w:iCs/>
          <w:smallCaps/>
          <w:color w:val="000000"/>
          <w:sz w:val="16"/>
          <w:szCs w:val="16"/>
          <w:lang w:val="en-GB" w:eastAsia="hu-HU"/>
        </w:rPr>
        <w:t xml:space="preserve"> </w:t>
      </w:r>
      <w:hyperlink r:id="rId87" w:history="1">
        <w:r w:rsidRPr="0002056A">
          <w:rPr>
            <w:rFonts w:ascii="Georgia" w:eastAsia="Times New Roman" w:hAnsi="Georgia" w:cs="Times New Roman"/>
            <w:iCs/>
            <w:color w:val="000000"/>
            <w:sz w:val="16"/>
            <w:szCs w:val="16"/>
            <w:lang w:val="en-GB" w:eastAsia="hu-HU"/>
          </w:rPr>
          <w:t>A klímaváltozással kapcsolatos fogalmi hálók feltárása a kiválasztott Hajdú-Bihar megyei településcsoportokban</w:t>
        </w:r>
      </w:hyperlink>
      <w:r w:rsidRPr="0002056A">
        <w:rPr>
          <w:rFonts w:ascii="Georgia" w:eastAsia="Times New Roman" w:hAnsi="Georgia" w:cs="Times New Roman"/>
          <w:iCs/>
          <w:color w:val="000000"/>
          <w:sz w:val="16"/>
          <w:szCs w:val="16"/>
          <w:lang w:val="en-GB" w:eastAsia="hu-HU"/>
        </w:rPr>
        <w:t xml:space="preserve"> Területi Statisztika, 61(5); https://doi.org10.15196/TS610503</w:t>
      </w:r>
    </w:p>
    <w:p w14:paraId="6D5080A7" w14:textId="77777777" w:rsidR="003417E0" w:rsidRPr="0002056A" w:rsidRDefault="003417E0" w:rsidP="00214BD9">
      <w:pPr>
        <w:pStyle w:val="Listaszerbekezds"/>
        <w:numPr>
          <w:ilvl w:val="0"/>
          <w:numId w:val="3"/>
        </w:numPr>
        <w:spacing w:after="0" w:line="240" w:lineRule="auto"/>
        <w:ind w:left="714" w:hanging="357"/>
        <w:contextualSpacing w:val="0"/>
        <w:jc w:val="both"/>
        <w:rPr>
          <w:rStyle w:val="Hiperhivatkozs"/>
          <w:rFonts w:ascii="Georgia" w:eastAsia="Times New Roman" w:hAnsi="Georgia" w:cs="Times New Roman"/>
          <w:color w:val="000000"/>
          <w:sz w:val="16"/>
          <w:szCs w:val="16"/>
          <w:u w:val="none"/>
          <w:lang w:val="en-GB" w:eastAsia="hu-HU"/>
        </w:rPr>
      </w:pPr>
      <w:r w:rsidRPr="0002056A">
        <w:rPr>
          <w:rFonts w:ascii="Georgia" w:eastAsia="Times New Roman" w:hAnsi="Georgia" w:cs="Times New Roman"/>
          <w:b/>
          <w:bCs/>
          <w:iCs/>
          <w:smallCaps/>
          <w:color w:val="000000"/>
          <w:sz w:val="16"/>
          <w:szCs w:val="16"/>
          <w:lang w:val="en-GB" w:eastAsia="hu-HU"/>
        </w:rPr>
        <w:t>Kiss, E.; Balla, D.; Poszet, Sz.; Kovács, A. D. (2022):</w:t>
      </w:r>
      <w:r w:rsidRPr="0002056A">
        <w:rPr>
          <w:rFonts w:ascii="Georgia" w:eastAsia="Times New Roman" w:hAnsi="Georgia" w:cs="Times New Roman"/>
          <w:iCs/>
          <w:smallCaps/>
          <w:color w:val="000000"/>
          <w:sz w:val="16"/>
          <w:szCs w:val="16"/>
          <w:lang w:val="en-GB" w:eastAsia="hu-HU"/>
        </w:rPr>
        <w:t xml:space="preserve"> </w:t>
      </w:r>
      <w:hyperlink r:id="rId88" w:history="1">
        <w:r w:rsidRPr="0002056A">
          <w:rPr>
            <w:rFonts w:ascii="Georgia" w:eastAsia="Times New Roman" w:hAnsi="Georgia" w:cs="Times New Roman"/>
            <w:iCs/>
            <w:color w:val="000000"/>
            <w:sz w:val="16"/>
            <w:szCs w:val="16"/>
            <w:lang w:val="en-GB" w:eastAsia="hu-HU"/>
          </w:rPr>
          <w:t>A klímaaggodalmak jellemzői és helyi szintű sajátosságai: Esettanulmány Hajdú-Bihar megye választott településeiről, 2020</w:t>
        </w:r>
      </w:hyperlink>
      <w:r w:rsidRPr="0002056A">
        <w:rPr>
          <w:rFonts w:ascii="Georgia" w:eastAsia="Times New Roman" w:hAnsi="Georgia" w:cs="Times New Roman"/>
          <w:iCs/>
          <w:color w:val="000000"/>
          <w:sz w:val="16"/>
          <w:szCs w:val="16"/>
          <w:lang w:val="en-GB" w:eastAsia="hu-HU"/>
        </w:rPr>
        <w:t>. Területi Statisztika, 62 (5); https://doi.org10.15196/TS620505</w:t>
      </w:r>
    </w:p>
    <w:p w14:paraId="39BC0101" w14:textId="1AA33B3A"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Klostermann, J., van de Sandt, K., Harley, M., Hildén, M., Leiter, T. van Minnen, J., Pieterse, N., van Bree, L. (</w:t>
      </w:r>
      <w:r w:rsidRPr="0002056A">
        <w:rPr>
          <w:rFonts w:ascii="Georgia" w:eastAsia="Times New Roman" w:hAnsi="Georgia" w:cs="Times New Roman"/>
          <w:b/>
          <w:smallCap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Towards a framework to assess, compare and develop monitoring and evaluation of climate change adaptation in Europe. Mitigation and Adaptation Strategies for Global Change volume 23, pages187–209 (2018) Feb2018, Vol. 23 Issue 2, p187-209. 23p.</w:t>
      </w:r>
    </w:p>
    <w:p w14:paraId="0116284F" w14:textId="43A2DB06" w:rsidR="00BE3F42" w:rsidRPr="0002056A" w:rsidRDefault="00BE3F42"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bookmarkStart w:id="68" w:name="_Hlk159333933"/>
      <w:r w:rsidRPr="0002056A">
        <w:rPr>
          <w:rFonts w:ascii="Georgia" w:eastAsia="Times New Roman" w:hAnsi="Georgia" w:cs="Times New Roman"/>
          <w:b/>
          <w:bCs/>
          <w:iCs/>
          <w:smallCaps/>
          <w:color w:val="000000"/>
          <w:sz w:val="16"/>
          <w:szCs w:val="16"/>
          <w:lang w:val="en-GB" w:eastAsia="hu-HU"/>
        </w:rPr>
        <w:t>Koks, E. E., Moel, H.; Aerts, J. C. J. H. &amp; Bouwer, L. M. (2014):</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Effect of spatial adaptation measures on flood risk: study of coastal floods in Belgium, Regional Environ Change, 14(1), 413–425. doi: 10.1007/s10113-013-0514-7</w:t>
      </w:r>
    </w:p>
    <w:bookmarkEnd w:id="68"/>
    <w:p w14:paraId="7C7F5089" w14:textId="40A7D15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Korompai, A. (</w:t>
      </w:r>
      <w:r w:rsidRPr="0002056A">
        <w:rPr>
          <w:rFonts w:ascii="Georgia" w:eastAsia="Times New Roman" w:hAnsi="Georgia" w:cs="Times New Roman"/>
          <w:b/>
          <w:smallCaps/>
          <w:color w:val="000000"/>
          <w:sz w:val="16"/>
          <w:szCs w:val="16"/>
          <w:lang w:val="en-GB" w:eastAsia="hu-HU"/>
        </w:rPr>
        <w:t>1995):</w:t>
      </w:r>
      <w:r w:rsidRPr="0002056A">
        <w:rPr>
          <w:rFonts w:ascii="Georgia" w:eastAsia="Times New Roman" w:hAnsi="Georgia" w:cs="Times New Roman"/>
          <w:color w:val="000000"/>
          <w:sz w:val="16"/>
          <w:szCs w:val="16"/>
          <w:lang w:val="en-GB" w:eastAsia="hu-HU"/>
        </w:rPr>
        <w:t xml:space="preserve"> Regionális stratégiák jövőkutatási megalapozása. Regionális tudományi tanulmányok 1. ELTE-TTK, Regionális Földrajzi Tanszék, Budapest</w:t>
      </w:r>
    </w:p>
    <w:p w14:paraId="3B419B6B"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Krasner, S. (ed) (</w:t>
      </w:r>
      <w:r w:rsidRPr="0002056A">
        <w:rPr>
          <w:rFonts w:ascii="Georgia" w:eastAsia="Times New Roman" w:hAnsi="Georgia" w:cs="Times New Roman"/>
          <w:b/>
          <w:smallCaps/>
          <w:color w:val="000000"/>
          <w:sz w:val="16"/>
          <w:szCs w:val="16"/>
          <w:lang w:val="en-GB" w:eastAsia="hu-HU"/>
        </w:rPr>
        <w:t>1983):</w:t>
      </w:r>
      <w:r w:rsidRPr="0002056A">
        <w:rPr>
          <w:rFonts w:ascii="Georgia" w:eastAsia="Times New Roman" w:hAnsi="Georgia" w:cs="Times New Roman"/>
          <w:color w:val="000000"/>
          <w:sz w:val="16"/>
          <w:szCs w:val="16"/>
          <w:lang w:val="en-GB" w:eastAsia="hu-HU"/>
        </w:rPr>
        <w:t xml:space="preserve"> International regimes. Cornel University Press Ithaca</w:t>
      </w:r>
    </w:p>
    <w:p w14:paraId="5EF43741" w14:textId="2565C8E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smallCaps/>
          <w:sz w:val="16"/>
          <w:szCs w:val="16"/>
          <w:lang w:val="en-GB"/>
        </w:rPr>
        <w:t xml:space="preserve">Lamhauge, N.; Lanzi, E.; </w:t>
      </w:r>
      <w:r w:rsidR="00281492" w:rsidRPr="0002056A">
        <w:rPr>
          <w:rFonts w:ascii="Georgia" w:hAnsi="Georgia"/>
          <w:b/>
          <w:smallCaps/>
          <w:sz w:val="16"/>
          <w:szCs w:val="16"/>
          <w:lang w:val="en-GB"/>
        </w:rPr>
        <w:t>AGRAWALA, S.</w:t>
      </w:r>
      <w:r w:rsidRPr="0002056A">
        <w:rPr>
          <w:rFonts w:ascii="Georgia" w:hAnsi="Georgia"/>
          <w:b/>
          <w:smallCaps/>
          <w:sz w:val="16"/>
          <w:szCs w:val="16"/>
          <w:lang w:val="en-GB"/>
        </w:rPr>
        <w:t xml:space="preserve"> (2012</w:t>
      </w:r>
      <w:r w:rsidRPr="0002056A">
        <w:rPr>
          <w:rFonts w:ascii="Georgia" w:hAnsi="Georgia"/>
          <w:b/>
          <w:i/>
          <w:sz w:val="16"/>
          <w:szCs w:val="16"/>
          <w:lang w:val="en-GB"/>
        </w:rPr>
        <w:t>):</w:t>
      </w:r>
      <w:r w:rsidRPr="0002056A">
        <w:rPr>
          <w:rFonts w:ascii="Georgia" w:hAnsi="Georgia"/>
          <w:sz w:val="16"/>
          <w:szCs w:val="16"/>
          <w:lang w:val="en-GB"/>
        </w:rPr>
        <w:t xml:space="preserve"> Monitoring and evaluation for adaptation: lessons from development</w:t>
      </w:r>
      <w:r w:rsidR="00216AD0">
        <w:rPr>
          <w:rFonts w:ascii="Georgia" w:hAnsi="Georgia"/>
          <w:sz w:val="16"/>
          <w:szCs w:val="16"/>
          <w:lang w:val="en-GB"/>
        </w:rPr>
        <w:t xml:space="preserve"> </w:t>
      </w:r>
      <w:r w:rsidRPr="0002056A">
        <w:rPr>
          <w:rFonts w:ascii="Georgia" w:hAnsi="Georgia"/>
          <w:sz w:val="16"/>
          <w:szCs w:val="16"/>
          <w:lang w:val="en-GB"/>
        </w:rPr>
        <w:t>operation agencies. OECD Environment Working Papers No3.</w:t>
      </w:r>
    </w:p>
    <w:p w14:paraId="59F89B3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smallCaps/>
          <w:color w:val="000000"/>
          <w:sz w:val="16"/>
          <w:szCs w:val="16"/>
          <w:lang w:val="en-GB" w:eastAsia="hu-HU"/>
        </w:rPr>
        <w:t>Lange, B.; Hülz, M.; Schmid, B.; Schulz, Ch. (ed.) (2021):</w:t>
      </w:r>
      <w:r w:rsidRPr="0002056A">
        <w:rPr>
          <w:rFonts w:ascii="Georgia" w:eastAsia="Times New Roman" w:hAnsi="Georgia" w:cs="Times New Roman"/>
          <w:color w:val="000000"/>
          <w:sz w:val="16"/>
          <w:szCs w:val="16"/>
          <w:lang w:val="en-GB" w:eastAsia="hu-HU"/>
        </w:rPr>
        <w:t xml:space="preserve"> Post-Growth Geographies: Spatial Relations of Diverse and Alternative Economies (Social and Cultural Geography). 2021. ISBN-10 3837657337</w:t>
      </w:r>
    </w:p>
    <w:p w14:paraId="31678EAF" w14:textId="7A967536"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Laudien, R., Goosen, H., van Nieuwaal, K., Boon, E</w:t>
      </w:r>
      <w:r w:rsidRPr="0002056A">
        <w:rPr>
          <w:rFonts w:ascii="Georgia" w:hAnsi="Georgia"/>
          <w:b/>
          <w:smallCaps/>
          <w:sz w:val="16"/>
          <w:szCs w:val="16"/>
          <w:lang w:val="en-GB"/>
        </w:rPr>
        <w:t xml:space="preserve">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The Dutch</w:t>
      </w:r>
      <w:r w:rsidR="005738D2"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adaptation</w:t>
      </w:r>
      <w:r w:rsidR="005738D2"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web portal: seven lessons learnt from a co-production point of view. Climatic Change Apr2019, Vol. 153 Issue 4, p509-521. 13p</w:t>
      </w:r>
    </w:p>
    <w:p w14:paraId="332FBD1F" w14:textId="59AE46C0" w:rsidR="005738D2"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Ledda A., Di Cesare E.A., Satta G., Cocco G., Calia G., Arras F., Congiu </w:t>
      </w:r>
      <w:r w:rsidR="00281492" w:rsidRPr="0002056A">
        <w:rPr>
          <w:rFonts w:ascii="Georgia" w:eastAsia="Times New Roman" w:hAnsi="Georgia" w:cs="Times New Roman"/>
          <w:b/>
          <w:bCs/>
          <w:iCs/>
          <w:smallCaps/>
          <w:color w:val="000000"/>
          <w:sz w:val="16"/>
          <w:szCs w:val="16"/>
          <w:lang w:val="en-GB" w:eastAsia="hu-HU"/>
        </w:rPr>
        <w:t>A,</w:t>
      </w:r>
      <w:r w:rsidRPr="0002056A">
        <w:rPr>
          <w:rFonts w:ascii="Georgia" w:eastAsia="Times New Roman" w:hAnsi="Georgia" w:cs="Times New Roman"/>
          <w:b/>
          <w:bCs/>
          <w:iCs/>
          <w:smallCaps/>
          <w:color w:val="000000"/>
          <w:sz w:val="16"/>
          <w:szCs w:val="16"/>
          <w:lang w:val="en-GB" w:eastAsia="hu-HU"/>
        </w:rPr>
        <w:t xml:space="preserve"> Manca E., De Montis A. (2015): </w:t>
      </w:r>
      <w:r w:rsidRPr="0002056A">
        <w:rPr>
          <w:rFonts w:ascii="Georgia" w:eastAsia="Times New Roman" w:hAnsi="Georgia" w:cs="Times New Roman"/>
          <w:color w:val="000000"/>
          <w:sz w:val="16"/>
          <w:szCs w:val="16"/>
          <w:lang w:val="en-GB" w:eastAsia="hu-HU"/>
        </w:rPr>
        <w:t>Adaptation to Climate Change and Regional Planning: A Scrutiny of Sectoral Instruments. Sustainability 2020, 12, 3804</w:t>
      </w:r>
      <w:r w:rsidR="00B600D3"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doi:10.3390/su12093804</w:t>
      </w:r>
    </w:p>
    <w:p w14:paraId="71EF5F96" w14:textId="51FD3F0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Leiter, T. (2013):</w:t>
      </w:r>
      <w:r w:rsidRPr="0002056A">
        <w:rPr>
          <w:rFonts w:ascii="Georgia" w:hAnsi="Georgia"/>
          <w:b/>
          <w:bCs/>
          <w:i/>
          <w:iCs/>
          <w:sz w:val="16"/>
          <w:szCs w:val="16"/>
          <w:lang w:val="en-GB"/>
        </w:rPr>
        <w:t xml:space="preserve"> </w:t>
      </w:r>
      <w:r w:rsidRPr="0002056A">
        <w:rPr>
          <w:rFonts w:ascii="Georgia" w:hAnsi="Georgia"/>
          <w:sz w:val="16"/>
          <w:szCs w:val="16"/>
          <w:lang w:val="en-GB"/>
        </w:rPr>
        <w:t>Recommendations for adaptation M&amp;E in practice. Experiences with establishing national adaptation M&amp;E systems. GIZ. Deutsche Gesellschaft für Internationelle Zusammenarbeit GMbH.</w:t>
      </w:r>
    </w:p>
    <w:p w14:paraId="794129F5" w14:textId="160F30C9" w:rsidR="00F7091F" w:rsidRPr="0002056A" w:rsidRDefault="00F7091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Leiter, T.</w:t>
      </w:r>
      <w:r w:rsidRPr="0002056A">
        <w:rPr>
          <w:rFonts w:ascii="Georgia" w:hAnsi="Georgia"/>
          <w:b/>
          <w:bCs/>
          <w:sz w:val="16"/>
          <w:szCs w:val="16"/>
          <w:lang w:val="en-GB"/>
        </w:rPr>
        <w:t xml:space="preserve"> (2015):</w:t>
      </w:r>
      <w:r w:rsidR="00BE52D0" w:rsidRPr="0002056A">
        <w:rPr>
          <w:rFonts w:ascii="Georgia" w:hAnsi="Georgia"/>
          <w:sz w:val="16"/>
          <w:szCs w:val="16"/>
          <w:lang w:val="en-GB"/>
        </w:rPr>
        <w:t xml:space="preserve"> </w:t>
      </w:r>
      <w:r w:rsidR="0017493E" w:rsidRPr="0002056A">
        <w:rPr>
          <w:rFonts w:ascii="Georgia" w:hAnsi="Georgia"/>
          <w:sz w:val="16"/>
          <w:szCs w:val="16"/>
          <w:lang w:val="en-GB"/>
        </w:rPr>
        <w:t xml:space="preserve">Linking Monitoring and Evaluation of Adaptation to Climate Change Across Scales. Avenues and Practical Approaches. New Directions for Evaluation: Volume 2015, Issue 147. Fall 2015. Monitoring and Evaluation of Climate Adaptation: A Review of the </w:t>
      </w:r>
      <w:r w:rsidR="00216AD0" w:rsidRPr="0002056A">
        <w:rPr>
          <w:rFonts w:ascii="Georgia" w:hAnsi="Georgia"/>
          <w:sz w:val="16"/>
          <w:szCs w:val="16"/>
          <w:lang w:val="en-GB"/>
        </w:rPr>
        <w:t>Landscape</w:t>
      </w:r>
      <w:r w:rsidR="0017493E" w:rsidRPr="0002056A">
        <w:rPr>
          <w:rFonts w:ascii="Georgia" w:hAnsi="Georgia"/>
          <w:sz w:val="16"/>
          <w:szCs w:val="16"/>
          <w:lang w:val="en-GB"/>
        </w:rPr>
        <w:t>. Wiley Online Library.  Pp. 117-127. doi.org/10.1002/ev.20135</w:t>
      </w:r>
    </w:p>
    <w:p w14:paraId="160B54A9" w14:textId="3F34E63D" w:rsidR="004314FC" w:rsidRPr="0002056A" w:rsidRDefault="004314FC"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 xml:space="preserve">Leiter, T., Buitrago, M.F., Druta, A., Guiterrez, J.E., Harley, M., Makholela, T., Ponlok, T., Ramarou, T., Vargas, C.R., &amp; Wallin, E. (2017). </w:t>
      </w:r>
      <w:r w:rsidRPr="0002056A">
        <w:rPr>
          <w:rFonts w:ascii="Georgia" w:hAnsi="Georgia"/>
          <w:sz w:val="16"/>
          <w:szCs w:val="16"/>
          <w:lang w:val="en-GB"/>
        </w:rPr>
        <w:t>Country-specific assessments of adaptation progress. In: UNEP: The Adaptation Gap Report 2017: Towards Global Assessment (pp. 23–33). United Nations Environment Programme (UNEP), Nairobi, Kenya.</w:t>
      </w:r>
    </w:p>
    <w:p w14:paraId="0732F9A7" w14:textId="2D112F71"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Leiter, T.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Do governments track the implementation of national climate change </w:t>
      </w:r>
      <w:r w:rsidR="00216AD0" w:rsidRPr="0002056A">
        <w:rPr>
          <w:rFonts w:ascii="Georgia" w:eastAsia="Times New Roman" w:hAnsi="Georgia" w:cs="Times New Roman"/>
          <w:color w:val="000000"/>
          <w:sz w:val="16"/>
          <w:szCs w:val="16"/>
          <w:lang w:val="en-GB" w:eastAsia="hu-HU"/>
        </w:rPr>
        <w:t>adaptation</w:t>
      </w:r>
      <w:r w:rsidRPr="0002056A">
        <w:rPr>
          <w:rFonts w:ascii="Georgia" w:eastAsia="Times New Roman" w:hAnsi="Georgia" w:cs="Times New Roman"/>
          <w:color w:val="000000"/>
          <w:sz w:val="16"/>
          <w:szCs w:val="16"/>
          <w:lang w:val="en-GB" w:eastAsia="hu-HU"/>
        </w:rPr>
        <w:t xml:space="preserve"> plans? An evidence-based global stocktake of monitoring and evaluation systems. Environmental Science and Policy 125 (2021)</w:t>
      </w:r>
    </w:p>
    <w:p w14:paraId="5182324F" w14:textId="77777777" w:rsidR="00255A11" w:rsidRPr="0002056A" w:rsidRDefault="00255A11" w:rsidP="00214BD9">
      <w:pPr>
        <w:pStyle w:val="Listaszerbekezds"/>
        <w:numPr>
          <w:ilvl w:val="0"/>
          <w:numId w:val="3"/>
        </w:numPr>
        <w:autoSpaceDE w:val="0"/>
        <w:autoSpaceDN w:val="0"/>
        <w:adjustRightInd w:val="0"/>
        <w:spacing w:after="0" w:line="240" w:lineRule="auto"/>
        <w:contextualSpacing w:val="0"/>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Leitner M., Johnson K., Lexer W., Munck af Rosenschöld J., Dworak T., Tamásová A., Nikolova A., Vanneuville W., (2024): </w:t>
      </w:r>
      <w:r w:rsidRPr="0002056A">
        <w:rPr>
          <w:rFonts w:ascii="Georgia" w:eastAsia="Times New Roman" w:hAnsi="Georgia" w:cs="Times New Roman"/>
          <w:color w:val="000000"/>
          <w:sz w:val="16"/>
          <w:szCs w:val="16"/>
          <w:lang w:val="en-GB" w:eastAsia="hu-HU"/>
        </w:rPr>
        <w:t>Characteristics and conditions of adaptation policy in European Environment Agency member and cooperating countries. ETC CA. Report published 2024 via European Topic Centre on Climate change adaptation and LULUCF, (ETC CA).</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doi.org/10.25424/cmcc-gppc-8s42</w:t>
      </w:r>
    </w:p>
    <w:p w14:paraId="19943E71" w14:textId="77777777" w:rsidR="00616C45" w:rsidRPr="0002056A" w:rsidRDefault="00616C45"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Lengyel I. (2010):</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A regionális tudomány „térnyerése”: reális esélyek avagy csalfa délibábok.  Tér és Társadalom, 3, 11–40</w:t>
      </w:r>
    </w:p>
    <w:p w14:paraId="49A02E65" w14:textId="77777777"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hyperlink r:id="rId89" w:history="1">
        <w:r w:rsidRPr="0002056A">
          <w:rPr>
            <w:rFonts w:ascii="Georgia" w:eastAsia="Times New Roman" w:hAnsi="Georgia" w:cs="Times New Roman"/>
            <w:b/>
            <w:bCs/>
            <w:iCs/>
            <w:smallCaps/>
            <w:color w:val="000000"/>
            <w:sz w:val="16"/>
            <w:szCs w:val="16"/>
            <w:lang w:val="en-GB" w:eastAsia="hu-HU"/>
          </w:rPr>
          <w:t>Lennox</w:t>
        </w:r>
      </w:hyperlink>
      <w:r w:rsidRPr="0002056A">
        <w:rPr>
          <w:rFonts w:ascii="Georgia" w:eastAsia="Times New Roman" w:hAnsi="Georgia" w:cs="Times New Roman"/>
          <w:b/>
          <w:bCs/>
          <w:iCs/>
          <w:smallCaps/>
          <w:color w:val="000000"/>
          <w:sz w:val="16"/>
          <w:szCs w:val="16"/>
          <w:lang w:val="en-GB" w:eastAsia="hu-HU"/>
        </w:rPr>
        <w:t>, V. (</w:t>
      </w:r>
      <w:r w:rsidRPr="0002056A">
        <w:rPr>
          <w:rFonts w:ascii="Georgia" w:eastAsia="Times New Roman" w:hAnsi="Georgia" w:cs="Times New Roman"/>
          <w:b/>
          <w:smallCaps/>
          <w:color w:val="000000"/>
          <w:sz w:val="16"/>
          <w:szCs w:val="16"/>
          <w:lang w:val="en-GB" w:eastAsia="hu-HU"/>
        </w:rPr>
        <w:t>2008):</w:t>
      </w:r>
      <w:r w:rsidRPr="0002056A">
        <w:rPr>
          <w:rFonts w:ascii="Georgia" w:eastAsia="Times New Roman" w:hAnsi="Georgia" w:cs="Times New Roman"/>
          <w:color w:val="000000"/>
          <w:sz w:val="16"/>
          <w:szCs w:val="16"/>
          <w:lang w:val="en-GB" w:eastAsia="hu-HU"/>
        </w:rPr>
        <w:t xml:space="preserve"> Conceptualizing Global Governance in International Relations.  </w:t>
      </w:r>
      <w:hyperlink r:id="rId90" w:history="1">
        <w:r w:rsidRPr="0002056A">
          <w:rPr>
            <w:rFonts w:ascii="Georgia" w:eastAsia="Times New Roman" w:hAnsi="Georgia" w:cs="Times New Roman"/>
            <w:color w:val="000000"/>
            <w:sz w:val="16"/>
            <w:szCs w:val="16"/>
            <w:lang w:val="en-GB" w:eastAsia="hu-HU"/>
          </w:rPr>
          <w:t>https://www.e-ir.info/2008/10/03/conceptualising-global-governance-in-international-relations/. University of Ottawa, 2008.</w:t>
        </w:r>
      </w:hyperlink>
    </w:p>
    <w:p w14:paraId="7E42BF04" w14:textId="7857A50A"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lastRenderedPageBreak/>
        <w:t>Ligtvoet, W., Franken, R.</w:t>
      </w:r>
      <w:r w:rsidR="00281492" w:rsidRPr="0002056A">
        <w:rPr>
          <w:rFonts w:ascii="Georgia" w:eastAsia="Times New Roman" w:hAnsi="Georgia" w:cs="Times New Roman"/>
          <w:b/>
          <w:bCs/>
          <w:iCs/>
          <w:smallCaps/>
          <w:color w:val="000000"/>
          <w:sz w:val="16"/>
          <w:szCs w:val="16"/>
          <w:lang w:val="en-GB" w:eastAsia="hu-HU"/>
        </w:rPr>
        <w:t>, KUNSELER</w:t>
      </w:r>
      <w:r w:rsidRPr="0002056A">
        <w:rPr>
          <w:rFonts w:ascii="Georgia" w:eastAsia="Times New Roman" w:hAnsi="Georgia" w:cs="Times New Roman"/>
          <w:b/>
          <w:bCs/>
          <w:iCs/>
          <w:smallCaps/>
          <w:color w:val="000000"/>
          <w:sz w:val="16"/>
          <w:szCs w:val="16"/>
          <w:lang w:val="en-GB" w:eastAsia="hu-HU"/>
        </w:rPr>
        <w:t>, E.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Keeping track of adaptation in the Dutch Delta. Design of a reflexive monitoring and evaluation framework for the Delta Programme. PBL Netherlands Environmental Assessment Agency </w:t>
      </w:r>
      <w:r w:rsidR="00281492" w:rsidRPr="0002056A">
        <w:rPr>
          <w:rFonts w:ascii="Georgia" w:eastAsia="Times New Roman" w:hAnsi="Georgia" w:cs="Times New Roman"/>
          <w:color w:val="000000"/>
          <w:sz w:val="16"/>
          <w:szCs w:val="16"/>
          <w:lang w:val="en-GB" w:eastAsia="hu-HU"/>
        </w:rPr>
        <w:t>the</w:t>
      </w:r>
      <w:r w:rsidRPr="0002056A">
        <w:rPr>
          <w:rFonts w:ascii="Georgia" w:eastAsia="Times New Roman" w:hAnsi="Georgia" w:cs="Times New Roman"/>
          <w:color w:val="000000"/>
          <w:sz w:val="16"/>
          <w:szCs w:val="16"/>
          <w:lang w:val="en-GB" w:eastAsia="hu-HU"/>
        </w:rPr>
        <w:t xml:space="preserve"> Hague, 2016 PBL publication number: 2557</w:t>
      </w:r>
    </w:p>
    <w:p w14:paraId="61A6ED4B"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91" w:history="1">
        <w:r w:rsidRPr="0002056A">
          <w:rPr>
            <w:rFonts w:ascii="Georgia" w:eastAsia="Times New Roman" w:hAnsi="Georgia" w:cs="Times New Roman"/>
            <w:b/>
            <w:bCs/>
            <w:iCs/>
            <w:smallCaps/>
            <w:color w:val="000000"/>
            <w:sz w:val="16"/>
            <w:szCs w:val="16"/>
            <w:lang w:val="en-GB" w:eastAsia="hu-HU"/>
          </w:rPr>
          <w:t>Lombardi, D. R., Caserio, M., Donovan, R., Hale, J., Hunt, D. V. L., Weingaertner, C.</w:t>
        </w:r>
      </w:hyperlink>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Elucidating sustainability sequencing, tensions, and trade-offs in development decision making. Environment and Planning B: Planning and Design, 38(6), pp. 1105–1121. </w:t>
      </w:r>
      <w:hyperlink r:id="rId92" w:history="1">
        <w:r w:rsidRPr="0002056A">
          <w:rPr>
            <w:rStyle w:val="Hiperhivatkozs"/>
            <w:rFonts w:ascii="Georgia" w:eastAsia="Times New Roman" w:hAnsi="Georgia" w:cs="Times New Roman"/>
            <w:sz w:val="16"/>
            <w:szCs w:val="16"/>
            <w:lang w:val="en-GB" w:eastAsia="hu-HU"/>
          </w:rPr>
          <w:t>http://dx.doi.org/10.1068/b36161</w:t>
        </w:r>
      </w:hyperlink>
      <w:r w:rsidRPr="0002056A">
        <w:rPr>
          <w:rFonts w:ascii="Georgia" w:eastAsia="Times New Roman" w:hAnsi="Georgia" w:cs="Times New Roman"/>
          <w:color w:val="000000"/>
          <w:sz w:val="16"/>
          <w:szCs w:val="16"/>
          <w:lang w:val="en-GB" w:eastAsia="hu-HU"/>
        </w:rPr>
        <w:t>.</w:t>
      </w:r>
    </w:p>
    <w:p w14:paraId="5BEA455D"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Malekpour, S.; Brown, R.R.; de Haan, F.J.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Strategic planning of urban infrastructure for environmental sustainability: Understanding the past to intervene for the future. Cities 46 (2015) pp. 67–75.</w:t>
      </w:r>
    </w:p>
    <w:p w14:paraId="65EF659A" w14:textId="28A4C88E" w:rsidR="00A07A35" w:rsidRPr="0002056A" w:rsidRDefault="00A07A35"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Magni-Berton, R. (2024):</w:t>
      </w:r>
      <w:r w:rsidRPr="0002056A">
        <w:rPr>
          <w:rFonts w:ascii="Georgia" w:eastAsia="Times New Roman" w:hAnsi="Georgia" w:cs="Times New Roman"/>
          <w:color w:val="000000"/>
          <w:sz w:val="16"/>
          <w:szCs w:val="16"/>
          <w:lang w:val="en-GB" w:eastAsia="hu-HU"/>
        </w:rPr>
        <w:t xml:space="preserve"> Territorial Countervailing Powers Under the Pandemic. In: Egger, C.; Magni-Berton, R.; de Saint-Phalle, E. (ed</w:t>
      </w:r>
      <w:r w:rsidR="00281492" w:rsidRPr="0002056A">
        <w:rPr>
          <w:rFonts w:ascii="Georgia" w:eastAsia="Times New Roman" w:hAnsi="Georgia" w:cs="Times New Roman"/>
          <w:color w:val="000000"/>
          <w:sz w:val="16"/>
          <w:szCs w:val="16"/>
          <w:lang w:val="en-GB" w:eastAsia="hu-HU"/>
        </w:rPr>
        <w:t>) (</w:t>
      </w:r>
      <w:r w:rsidRPr="0002056A">
        <w:rPr>
          <w:rFonts w:ascii="Georgia" w:eastAsia="Times New Roman" w:hAnsi="Georgia" w:cs="Times New Roman"/>
          <w:color w:val="000000"/>
          <w:sz w:val="16"/>
          <w:szCs w:val="16"/>
          <w:lang w:val="en-GB" w:eastAsia="hu-HU"/>
        </w:rPr>
        <w:t xml:space="preserve">2024):  Covid-19 Containment Policies in Europe. International Series on Public Policy. ISSN 2524-7301 ISSN 2524-731X (electronic). ISBN 978-3-031-52095-2 ISBN 978-3-031-52096-9 (eBook). Palgrave and </w:t>
      </w:r>
      <w:r w:rsidR="00216AD0" w:rsidRPr="0002056A">
        <w:rPr>
          <w:rFonts w:ascii="Georgia" w:eastAsia="Times New Roman" w:hAnsi="Georgia" w:cs="Times New Roman"/>
          <w:color w:val="000000"/>
          <w:sz w:val="16"/>
          <w:szCs w:val="16"/>
          <w:lang w:val="en-GB" w:eastAsia="hu-HU"/>
        </w:rPr>
        <w:t>MacMillan</w:t>
      </w:r>
      <w:r w:rsidRPr="0002056A">
        <w:rPr>
          <w:rFonts w:ascii="Georgia" w:eastAsia="Times New Roman" w:hAnsi="Georgia" w:cs="Times New Roman"/>
          <w:color w:val="000000"/>
          <w:sz w:val="16"/>
          <w:szCs w:val="16"/>
          <w:lang w:val="en-GB" w:eastAsia="hu-HU"/>
        </w:rPr>
        <w:t>, 2024.</w:t>
      </w:r>
      <w:hyperlink r:id="rId93" w:history="1">
        <w:r w:rsidRPr="0002056A">
          <w:rPr>
            <w:rFonts w:ascii="Georgia" w:hAnsi="Georgia"/>
            <w:color w:val="000000"/>
            <w:sz w:val="16"/>
            <w:szCs w:val="16"/>
            <w:lang w:val="en-GB" w:eastAsia="hu-HU"/>
          </w:rPr>
          <w:t xml:space="preserve"> </w:t>
        </w:r>
        <w:r w:rsidRPr="0002056A">
          <w:rPr>
            <w:rFonts w:ascii="Georgia" w:hAnsi="Georgia"/>
            <w:color w:val="000000"/>
            <w:sz w:val="16"/>
            <w:szCs w:val="16"/>
            <w:lang w:val="en-GB"/>
          </w:rPr>
          <w:t xml:space="preserve"> </w:t>
        </w:r>
        <w:r w:rsidRPr="0002056A">
          <w:rPr>
            <w:rFonts w:ascii="Georgia" w:hAnsi="Georgia"/>
            <w:color w:val="000000"/>
            <w:sz w:val="16"/>
            <w:szCs w:val="16"/>
            <w:lang w:val="en-GB" w:eastAsia="hu-HU"/>
          </w:rPr>
          <w:t>doi.org/10.1007/978-3-031-52096-9</w:t>
        </w:r>
      </w:hyperlink>
    </w:p>
    <w:p w14:paraId="758EF818" w14:textId="3A7B93FF" w:rsidR="00A560DE" w:rsidRPr="0002056A" w:rsidRDefault="00A560DE"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smallCaps/>
          <w:color w:val="000000"/>
          <w:sz w:val="16"/>
          <w:szCs w:val="16"/>
          <w:lang w:val="en-GB" w:eastAsia="hu-HU"/>
        </w:rPr>
        <w:t xml:space="preserve">Maragno, D.; Federico dall’Omo, C.; Pozzer, G.; Musco, F. (2021): </w:t>
      </w:r>
      <w:r w:rsidRPr="0002056A">
        <w:rPr>
          <w:rFonts w:ascii="Georgia" w:eastAsia="Times New Roman" w:hAnsi="Georgia" w:cs="Times New Roman"/>
          <w:color w:val="000000"/>
          <w:sz w:val="16"/>
          <w:szCs w:val="16"/>
          <w:lang w:val="en-GB" w:eastAsia="hu-HU"/>
        </w:rPr>
        <w:t xml:space="preserve">Multi-Risk Climate Mapping for the Adaptation of the Venice Metropolitan Area. </w:t>
      </w:r>
      <w:hyperlink r:id="rId94" w:history="1">
        <w:r w:rsidRPr="0002056A">
          <w:rPr>
            <w:rFonts w:ascii="Georgia" w:eastAsia="Times New Roman" w:hAnsi="Georgia" w:cs="Times New Roman"/>
            <w:color w:val="000000"/>
            <w:sz w:val="16"/>
            <w:szCs w:val="16"/>
            <w:lang w:val="en-GB" w:eastAsia="hu-HU"/>
          </w:rPr>
          <w:t>Sustainability</w:t>
        </w:r>
      </w:hyperlink>
      <w:r w:rsidRPr="0002056A">
        <w:rPr>
          <w:rFonts w:ascii="Georgia" w:eastAsia="Times New Roman" w:hAnsi="Georgia" w:cs="Times New Roman"/>
          <w:color w:val="000000"/>
          <w:sz w:val="16"/>
          <w:szCs w:val="16"/>
          <w:lang w:val="en-GB" w:eastAsia="hu-HU"/>
        </w:rPr>
        <w:t xml:space="preserve"> 13(Climate Change and Sustainable Urban Environmental Planning)):1334 DOI:</w:t>
      </w:r>
      <w:hyperlink r:id="rId95" w:tgtFrame="_blank" w:history="1">
        <w:r w:rsidRPr="0002056A">
          <w:rPr>
            <w:rFonts w:ascii="Georgia" w:eastAsia="Times New Roman" w:hAnsi="Georgia" w:cs="Times New Roman"/>
            <w:color w:val="000000"/>
            <w:sz w:val="16"/>
            <w:szCs w:val="16"/>
            <w:lang w:val="en-GB" w:eastAsia="hu-HU"/>
          </w:rPr>
          <w:t>10.3390/su13031334</w:t>
        </w:r>
      </w:hyperlink>
    </w:p>
    <w:p w14:paraId="4573E8EF" w14:textId="30683E5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smallCaps/>
          <w:color w:val="000000"/>
          <w:sz w:val="16"/>
          <w:szCs w:val="16"/>
          <w:lang w:val="en-GB" w:eastAsia="hu-HU"/>
        </w:rPr>
        <w:t>Marshall, T. (2015):</w:t>
      </w:r>
      <w:r w:rsidRPr="0002056A">
        <w:rPr>
          <w:rFonts w:ascii="Georgia" w:eastAsia="Times New Roman" w:hAnsi="Georgia" w:cs="Times New Roman"/>
          <w:color w:val="000000"/>
          <w:sz w:val="16"/>
          <w:szCs w:val="16"/>
          <w:lang w:val="en-GB" w:eastAsia="hu-HU"/>
        </w:rPr>
        <w:t xml:space="preserve"> Prisoners of Geography. Ten Maps that tell you Everything You need to know about Global Politics. ISBN 978-1-78396-243- Elliott &amp; Thompson, London, 2015.</w:t>
      </w:r>
    </w:p>
    <w:p w14:paraId="0ABC051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Massey, D. (</w:t>
      </w:r>
      <w:r w:rsidRPr="0002056A">
        <w:rPr>
          <w:rFonts w:ascii="Georgia" w:eastAsia="Times New Roman" w:hAnsi="Georgia" w:cs="Times New Roman"/>
          <w:b/>
          <w:smallCaps/>
          <w:color w:val="000000"/>
          <w:sz w:val="16"/>
          <w:szCs w:val="16"/>
          <w:lang w:val="en-GB" w:eastAsia="hu-HU"/>
        </w:rPr>
        <w:t>1994</w:t>
      </w:r>
      <w:r w:rsidRPr="0002056A">
        <w:rPr>
          <w:rFonts w:ascii="Georgia" w:hAnsi="Georgia"/>
          <w:b/>
          <w:smallCaps/>
          <w:sz w:val="16"/>
          <w:szCs w:val="16"/>
          <w:lang w:val="en-GB"/>
        </w:rPr>
        <w:t>):</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 xml:space="preserve">Space, Place, and Gender. Pages: 288 </w:t>
      </w:r>
      <w:hyperlink r:id="rId96" w:history="1">
        <w:r w:rsidRPr="0002056A">
          <w:rPr>
            <w:rStyle w:val="Hiperhivatkozs"/>
            <w:rFonts w:ascii="Georgia" w:eastAsia="Times New Roman" w:hAnsi="Georgia" w:cs="Times New Roman"/>
            <w:sz w:val="16"/>
            <w:szCs w:val="16"/>
            <w:lang w:val="en-GB" w:eastAsia="hu-HU"/>
          </w:rPr>
          <w:t>https://www.jstor.org/stable/10.5749/j.cttttw2z</w:t>
        </w:r>
      </w:hyperlink>
    </w:p>
    <w:p w14:paraId="0F49B4AB" w14:textId="2A0A7C92" w:rsidR="00FB3C47" w:rsidRPr="0002056A" w:rsidRDefault="00FB3C47"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Massey, D. (2005):</w:t>
      </w:r>
      <w:r w:rsidRPr="0002056A">
        <w:rPr>
          <w:rFonts w:ascii="Georgia" w:eastAsia="Times New Roman" w:hAnsi="Georgia" w:cs="Times New Roman"/>
          <w:color w:val="000000"/>
          <w:sz w:val="16"/>
          <w:szCs w:val="16"/>
          <w:lang w:val="en-GB" w:eastAsia="hu-HU"/>
        </w:rPr>
        <w:t xml:space="preserve"> For Space. Sage, London 2005. 222 pp.</w:t>
      </w:r>
    </w:p>
    <w:p w14:paraId="50C22C8B" w14:textId="0FD8C871" w:rsidR="00CF2A03" w:rsidRPr="0002056A" w:rsidRDefault="00CF2A03"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McGloughlin, J.S.; Sweeney, J. (2011): </w:t>
      </w:r>
      <w:r w:rsidRPr="0002056A">
        <w:rPr>
          <w:rFonts w:ascii="Georgia" w:eastAsia="Times New Roman" w:hAnsi="Georgia" w:cs="Times New Roman"/>
          <w:color w:val="000000"/>
          <w:sz w:val="16"/>
          <w:szCs w:val="16"/>
          <w:lang w:val="en-GB" w:eastAsia="hu-HU"/>
        </w:rPr>
        <w:t>Multi-level climate policies in Ireland. Irish Geography Volume 44, 2011 - Issue 1: Climate change: Positioning Ireland, positioning geography. Taylor&amp;Francis.</w:t>
      </w:r>
    </w:p>
    <w:p w14:paraId="6A1C559D" w14:textId="424FDC08"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97" w:history="1">
        <w:r w:rsidRPr="0002056A">
          <w:rPr>
            <w:rFonts w:ascii="Georgia" w:eastAsia="Times New Roman" w:hAnsi="Georgia" w:cs="Times New Roman"/>
            <w:b/>
            <w:bCs/>
            <w:iCs/>
            <w:smallCaps/>
            <w:color w:val="000000"/>
            <w:sz w:val="16"/>
            <w:szCs w:val="16"/>
            <w:lang w:val="en-GB" w:eastAsia="hu-HU"/>
          </w:rPr>
          <w:t>McGranahan, G.; Balk, D.; Anderson, B.</w:t>
        </w:r>
      </w:hyperlink>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The rising tide: assessing the risks of C</w:t>
      </w:r>
      <w:r w:rsidR="00616C45" w:rsidRPr="0002056A">
        <w:rPr>
          <w:rFonts w:ascii="Georgia" w:eastAsia="Times New Roman" w:hAnsi="Georgia" w:cs="Times New Roman"/>
          <w:color w:val="000000"/>
          <w:sz w:val="16"/>
          <w:szCs w:val="16"/>
          <w:lang w:val="en-GB" w:eastAsia="hu-HU"/>
        </w:rPr>
        <w:t xml:space="preserve">limate Change </w:t>
      </w:r>
      <w:r w:rsidRPr="0002056A">
        <w:rPr>
          <w:rFonts w:ascii="Georgia" w:eastAsia="Times New Roman" w:hAnsi="Georgia" w:cs="Times New Roman"/>
          <w:color w:val="000000"/>
          <w:sz w:val="16"/>
          <w:szCs w:val="16"/>
          <w:lang w:val="en-GB" w:eastAsia="hu-HU"/>
        </w:rPr>
        <w:t xml:space="preserve">and human settlements in low elevation coastal zones. Environment and Urbanization, Vol 19, Issue 1., pp. 17-37. </w:t>
      </w:r>
      <w:hyperlink r:id="rId98" w:history="1">
        <w:r w:rsidRPr="0002056A">
          <w:rPr>
            <w:rStyle w:val="Hiperhivatkozs"/>
            <w:rFonts w:ascii="Georgia" w:eastAsia="Times New Roman" w:hAnsi="Georgia" w:cs="Times New Roman"/>
            <w:sz w:val="16"/>
            <w:szCs w:val="16"/>
            <w:lang w:val="en-GB" w:eastAsia="hu-HU"/>
          </w:rPr>
          <w:t>https://doi.org/10.1177/0956247807076960</w:t>
        </w:r>
      </w:hyperlink>
    </w:p>
    <w:p w14:paraId="5C0D5774" w14:textId="4FA33595" w:rsidR="00E723CD" w:rsidRPr="0002056A" w:rsidRDefault="00E723CD" w:rsidP="00664ECA">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Meijs, S., Arbouw, G., de Graaff R., van Helden-Solleveld, T., Helmer, M., van Hemert, P., Hoorn M., van Nieuwaal, K., Schoute, E., Thijssen, M., Westera, H., van Zeggeren, B. (</w:t>
      </w:r>
      <w:r w:rsidRPr="0002056A">
        <w:rPr>
          <w:rFonts w:ascii="Georgia" w:eastAsia="Times New Roman" w:hAnsi="Georgia" w:cs="Times New Roman"/>
          <w:b/>
          <w:smallCap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Implementing with ambition: Implementation Programme 2018 – 2019 National Climate Adaptation Strategy (NAS) of the Netherlands. Ministry of Infrastructure and Water Management, The Hague. Published by the Ministry of Infrastructure and Water Management P.O. Box 20901 2500 EX The Hague </w:t>
      </w:r>
      <w:r w:rsidR="00281492" w:rsidRPr="0002056A">
        <w:rPr>
          <w:rFonts w:ascii="Georgia" w:eastAsia="Times New Roman" w:hAnsi="Georgia" w:cs="Times New Roman"/>
          <w:color w:val="000000"/>
          <w:sz w:val="16"/>
          <w:szCs w:val="16"/>
          <w:lang w:val="en-GB" w:eastAsia="hu-HU"/>
        </w:rPr>
        <w:t>the</w:t>
      </w:r>
      <w:r w:rsidRPr="0002056A">
        <w:rPr>
          <w:rFonts w:ascii="Georgia" w:eastAsia="Times New Roman" w:hAnsi="Georgia" w:cs="Times New Roman"/>
          <w:color w:val="000000"/>
          <w:sz w:val="16"/>
          <w:szCs w:val="16"/>
          <w:lang w:val="en-GB" w:eastAsia="hu-HU"/>
        </w:rPr>
        <w:t xml:space="preserve"> Netherlands </w:t>
      </w:r>
      <w:hyperlink r:id="rId99" w:history="1">
        <w:r w:rsidRPr="0002056A">
          <w:rPr>
            <w:rStyle w:val="Hiperhivatkozs"/>
            <w:rFonts w:ascii="Georgia" w:eastAsia="Times New Roman" w:hAnsi="Georgia" w:cs="Times New Roman"/>
            <w:sz w:val="16"/>
            <w:szCs w:val="16"/>
            <w:lang w:val="en-GB" w:eastAsia="hu-HU"/>
          </w:rPr>
          <w:t>www.rijksoverheid.nl/ienw March 2018</w:t>
        </w:r>
      </w:hyperlink>
    </w:p>
    <w:p w14:paraId="06E0DACE" w14:textId="77777777" w:rsidR="00E723CD" w:rsidRPr="0002056A" w:rsidRDefault="00E723CD"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Member States’ Ministers responsible for Urban Development and Territorial Cohesion (</w:t>
      </w:r>
      <w:r w:rsidRPr="0002056A">
        <w:rPr>
          <w:rFonts w:ascii="Georgia" w:eastAsia="Times New Roman" w:hAnsi="Georgia" w:cs="Times New Roman"/>
          <w:b/>
          <w:smallCaps/>
          <w:color w:val="000000"/>
          <w:sz w:val="16"/>
          <w:szCs w:val="16"/>
          <w:lang w:val="en-GB" w:eastAsia="hu-HU"/>
        </w:rPr>
        <w:t>2005):</w:t>
      </w:r>
      <w:r w:rsidRPr="0002056A">
        <w:rPr>
          <w:rFonts w:ascii="Georgia" w:eastAsia="Times New Roman" w:hAnsi="Georgia" w:cs="Times New Roman"/>
          <w:color w:val="000000"/>
          <w:sz w:val="16"/>
          <w:szCs w:val="16"/>
          <w:lang w:val="en-GB" w:eastAsia="hu-HU"/>
        </w:rPr>
        <w:t xml:space="preserve"> The Territorial State and Perspectives of the European Union – Towards a Stronger European Territorial Cohesion in the Light of the Lisbon and Gothenburg Ambitions. A Background Document for the Territorial Agenda of the European Union. Luxembourg, 2005.</w:t>
      </w:r>
    </w:p>
    <w:p w14:paraId="7F60BF5E"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Member States’ Ministers responsible for Urban Development and Territorial Cohesion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Territorial Agenda of the European Union. Towards a More Competitive and Sustainable Europe of Diverse Regions. Agreed on the occasion of the Informal Ministerial Meeting on Urban Development and Territorial Cohesion in Leipzig on 24 / 25 May 2007.</w:t>
      </w:r>
    </w:p>
    <w:p w14:paraId="6B4DB682"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Member States’ Ministers responsible for Spatial Planning and Territorial Development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Territorial Agenda of the European Union 2020 Towards an Inclusive, Smart and Sustainable Europe of Diverse Regions agreed at the Informal Ministerial Meeting of Ministers responsible for Spatial Planning and Territorial Development on 19</w:t>
      </w:r>
      <w:r w:rsidRPr="0002056A">
        <w:rPr>
          <w:rFonts w:ascii="Georgia" w:eastAsia="Times New Roman" w:hAnsi="Georgia" w:cs="Times New Roman"/>
          <w:color w:val="000000"/>
          <w:sz w:val="16"/>
          <w:szCs w:val="16"/>
          <w:vertAlign w:val="superscript"/>
          <w:lang w:val="en-GB" w:eastAsia="hu-HU"/>
        </w:rPr>
        <w:t>th</w:t>
      </w:r>
      <w:r w:rsidRPr="0002056A">
        <w:rPr>
          <w:rFonts w:ascii="Georgia" w:eastAsia="Times New Roman" w:hAnsi="Georgia" w:cs="Times New Roman"/>
          <w:color w:val="000000"/>
          <w:sz w:val="16"/>
          <w:szCs w:val="16"/>
          <w:lang w:val="en-GB" w:eastAsia="hu-HU"/>
        </w:rPr>
        <w:t xml:space="preserve"> May 2011 Gödöllő, Hungary.</w:t>
      </w:r>
    </w:p>
    <w:p w14:paraId="2E43A8AD" w14:textId="3E54C421"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Member States’ Ministers responsible for Spatial Planning and Territorial Development and/or Territorial </w:t>
      </w:r>
      <w:r w:rsidR="00281492" w:rsidRPr="0002056A">
        <w:rPr>
          <w:rFonts w:ascii="Georgia" w:eastAsia="Times New Roman" w:hAnsi="Georgia" w:cs="Times New Roman"/>
          <w:b/>
          <w:bCs/>
          <w:iCs/>
          <w:smallCaps/>
          <w:color w:val="000000"/>
          <w:sz w:val="16"/>
          <w:szCs w:val="16"/>
          <w:lang w:val="en-GB" w:eastAsia="hu-HU"/>
        </w:rPr>
        <w:t>COHESION (</w:t>
      </w:r>
      <w:r w:rsidRPr="0002056A">
        <w:rPr>
          <w:rFonts w:ascii="Georgia" w:eastAsia="Times New Roman" w:hAnsi="Georgia" w:cs="Times New Roman"/>
          <w:b/>
          <w:smallCaps/>
          <w:color w:val="000000"/>
          <w:sz w:val="16"/>
          <w:szCs w:val="16"/>
          <w:lang w:val="en-GB" w:eastAsia="hu-HU"/>
        </w:rPr>
        <w:t>2020):</w:t>
      </w:r>
      <w:r w:rsidRPr="0002056A">
        <w:rPr>
          <w:rFonts w:ascii="Georgia" w:eastAsia="Times New Roman" w:hAnsi="Georgia" w:cs="Times New Roman"/>
          <w:color w:val="000000"/>
          <w:sz w:val="16"/>
          <w:szCs w:val="16"/>
          <w:lang w:val="en-GB" w:eastAsia="hu-HU"/>
        </w:rPr>
        <w:t xml:space="preserve"> Territorial Agenda 2030. A future for all places. Informal meeting of Ministers responsible for Spatial Planning and Territorial Development and/or Territorial Cohesion. 1 December 2020, Germany</w:t>
      </w:r>
    </w:p>
    <w:p w14:paraId="597374CF" w14:textId="4D9F6548" w:rsidR="008F6092" w:rsidRPr="0002056A" w:rsidRDefault="008F6092" w:rsidP="00214BD9">
      <w:pPr>
        <w:pStyle w:val="Listaszerbekezds"/>
        <w:numPr>
          <w:ilvl w:val="0"/>
          <w:numId w:val="3"/>
        </w:numPr>
        <w:spacing w:after="0" w:line="240" w:lineRule="auto"/>
        <w:contextualSpacing w:val="0"/>
        <w:jc w:val="both"/>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Mickwitz, P.; Aix, F.; Beck, S.; Carss, D.; Ferrand, N.; Görg, Ch.; Jensen, A.; Kivimaa, P.; Kuhlicke, Ch. ;  Kuindersma, W.; Manez Costa, M.; Melanen, M.; Monni, S.; Pedersen, A.; Reinert, H.; Bommel, S. (2009): </w:t>
      </w:r>
      <w:r w:rsidRPr="0002056A">
        <w:rPr>
          <w:rFonts w:ascii="Georgia" w:eastAsia="Times New Roman" w:hAnsi="Georgia" w:cs="Times New Roman"/>
          <w:color w:val="000000"/>
          <w:sz w:val="16"/>
          <w:szCs w:val="16"/>
          <w:lang w:val="en-GB" w:eastAsia="hu-HU"/>
        </w:rPr>
        <w:t>Climate Policy Integration, Coherence and Governance. PEER Report No. 2. Helsinki 2009 ISBN: 978-952-11-3379-4</w:t>
      </w:r>
    </w:p>
    <w:p w14:paraId="74AAC804" w14:textId="585838C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 xml:space="preserve">Morgado, </w:t>
      </w:r>
      <w:r w:rsidR="00281492" w:rsidRPr="0002056A">
        <w:rPr>
          <w:rFonts w:ascii="Georgia" w:hAnsi="Georgia"/>
          <w:b/>
          <w:bCs/>
          <w:iCs/>
          <w:smallCaps/>
          <w:sz w:val="16"/>
          <w:szCs w:val="16"/>
          <w:lang w:val="en-GB"/>
        </w:rPr>
        <w:t>N. (</w:t>
      </w:r>
      <w:r w:rsidRPr="0002056A">
        <w:rPr>
          <w:rFonts w:ascii="Georgia" w:hAnsi="Georgia"/>
          <w:b/>
          <w:bCs/>
          <w:iCs/>
          <w:smallCaps/>
          <w:sz w:val="16"/>
          <w:szCs w:val="16"/>
          <w:lang w:val="en-GB"/>
        </w:rPr>
        <w:t>2020):</w:t>
      </w:r>
      <w:r w:rsidRPr="0002056A">
        <w:rPr>
          <w:rFonts w:ascii="Georgia" w:eastAsia="Times New Roman" w:hAnsi="Georgia" w:cs="Times New Roman"/>
          <w:color w:val="000000"/>
          <w:sz w:val="16"/>
          <w:szCs w:val="16"/>
          <w:lang w:val="en-GB" w:eastAsia="hu-HU"/>
        </w:rPr>
        <w:t xml:space="preserve"> </w:t>
      </w:r>
      <w:hyperlink r:id="rId100" w:tgtFrame="_blank" w:history="1">
        <w:r w:rsidRPr="0002056A">
          <w:rPr>
            <w:rFonts w:ascii="Georgia" w:eastAsia="Times New Roman" w:hAnsi="Georgia" w:cs="Times New Roman"/>
            <w:color w:val="000000"/>
            <w:sz w:val="16"/>
            <w:szCs w:val="16"/>
            <w:lang w:val="en-GB" w:eastAsia="hu-HU"/>
          </w:rPr>
          <w:t>Neoclassical geopolitics: Preliminary theoretical principles and methodological guidelines</w:t>
        </w:r>
      </w:hyperlink>
      <w:r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sz w:val="16"/>
          <w:szCs w:val="16"/>
          <w:lang w:val="en-GB" w:eastAsia="hu-HU"/>
        </w:rPr>
        <w:t>Medunarodni Problemi72: 1. pp. 129-157. (2020)</w:t>
      </w:r>
    </w:p>
    <w:p w14:paraId="56C8331E"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Morgan, E.A.; Nalan, J.; Mackey, B. (2019):</w:t>
      </w:r>
      <w:r w:rsidRPr="0002056A">
        <w:rPr>
          <w:rFonts w:ascii="Georgia" w:hAnsi="Georgia"/>
          <w:sz w:val="16"/>
          <w:szCs w:val="16"/>
          <w:lang w:val="en-GB"/>
        </w:rPr>
        <w:t xml:space="preserve"> Assessing the alignment of national-level adaptation plans in the Paris Agreement. Environment Science Policy 93 (3) pp. 208-220</w:t>
      </w:r>
    </w:p>
    <w:p w14:paraId="143E6933" w14:textId="3D68B858" w:rsidR="008E013F" w:rsidRPr="0002056A" w:rsidRDefault="008E013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Nawratek, K.</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b/>
          <w:bC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T</w:t>
      </w:r>
      <w:r w:rsidRPr="0002056A">
        <w:rPr>
          <w:rFonts w:ascii="Georgia" w:hAnsi="Georgia"/>
          <w:sz w:val="16"/>
          <w:szCs w:val="16"/>
          <w:lang w:val="en-GB"/>
        </w:rPr>
        <w:t xml:space="preserve">erritory, </w:t>
      </w:r>
      <w:r w:rsidR="00EE3A3C" w:rsidRPr="0002056A">
        <w:rPr>
          <w:rFonts w:ascii="Georgia" w:hAnsi="Georgia"/>
          <w:sz w:val="16"/>
          <w:szCs w:val="16"/>
          <w:lang w:val="en-GB"/>
        </w:rPr>
        <w:t>S</w:t>
      </w:r>
      <w:r w:rsidRPr="0002056A">
        <w:rPr>
          <w:rFonts w:ascii="Georgia" w:hAnsi="Georgia"/>
          <w:sz w:val="16"/>
          <w:szCs w:val="16"/>
          <w:lang w:val="en-GB"/>
        </w:rPr>
        <w:t>pace, Place and Beyond. In.: Nawratek. K.: Total urban mobilisation. Ernst Jünger and the post-capitalist city. Palgrave Pivot, 2018.</w:t>
      </w:r>
    </w:p>
    <w:p w14:paraId="595DF4DE" w14:textId="4D2E2FCA"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Nemes-Nagy, J. (</w:t>
      </w:r>
      <w:r w:rsidRPr="0002056A">
        <w:rPr>
          <w:rFonts w:ascii="Georgia" w:eastAsia="Times New Roman" w:hAnsi="Georgia" w:cs="Times New Roman"/>
          <w:b/>
          <w:smallCaps/>
          <w:color w:val="000000"/>
          <w:sz w:val="16"/>
          <w:szCs w:val="16"/>
          <w:lang w:val="en-GB" w:eastAsia="hu-HU"/>
        </w:rPr>
        <w:t>1998):</w:t>
      </w:r>
      <w:r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bCs/>
          <w:iCs/>
          <w:color w:val="000000"/>
          <w:sz w:val="16"/>
          <w:szCs w:val="16"/>
          <w:lang w:val="en-GB" w:eastAsia="hu-HU"/>
        </w:rPr>
        <w:t xml:space="preserve">A tér a társadalomkutatásban. </w:t>
      </w:r>
      <w:r w:rsidRPr="0002056A">
        <w:rPr>
          <w:rFonts w:ascii="Georgia" w:eastAsia="Times New Roman" w:hAnsi="Georgia" w:cs="Times New Roman"/>
          <w:color w:val="000000"/>
          <w:sz w:val="16"/>
          <w:szCs w:val="16"/>
          <w:lang w:val="en-GB" w:eastAsia="hu-HU"/>
        </w:rPr>
        <w:t>Hilscher Rezső Szociálpolitikai Egyesület. Budapest, 1998.</w:t>
      </w:r>
    </w:p>
    <w:p w14:paraId="0D75C4C7" w14:textId="4A9F9339" w:rsidR="00243AB2" w:rsidRPr="0002056A" w:rsidRDefault="00243AB2"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Nemes-Nagy, J. (ED) (2005):</w:t>
      </w:r>
      <w:r w:rsidRPr="0002056A">
        <w:rPr>
          <w:rFonts w:ascii="Georgia" w:hAnsi="Georgia"/>
          <w:sz w:val="16"/>
          <w:szCs w:val="16"/>
          <w:lang w:val="en-GB"/>
        </w:rPr>
        <w:t xml:space="preserve"> </w:t>
      </w:r>
      <w:r w:rsidR="005B51C1" w:rsidRPr="0002056A">
        <w:rPr>
          <w:rFonts w:ascii="Georgia" w:hAnsi="Georgia"/>
          <w:sz w:val="16"/>
          <w:szCs w:val="16"/>
          <w:lang w:val="en-GB"/>
        </w:rPr>
        <w:t xml:space="preserve">Regionális elemzési módszerek. </w:t>
      </w:r>
      <w:r w:rsidR="00FE016D" w:rsidRPr="0002056A">
        <w:rPr>
          <w:rFonts w:ascii="Georgia" w:hAnsi="Georgia"/>
          <w:sz w:val="16"/>
          <w:szCs w:val="16"/>
          <w:lang w:val="en-GB"/>
        </w:rPr>
        <w:t xml:space="preserve">Kézikönyv. Regionális Tudományi Tanulmányok 1585-1419, 11. </w:t>
      </w:r>
      <w:r w:rsidR="005B51C1" w:rsidRPr="0002056A">
        <w:rPr>
          <w:rFonts w:ascii="Georgia" w:hAnsi="Georgia"/>
          <w:sz w:val="16"/>
          <w:szCs w:val="16"/>
          <w:lang w:val="en-GB"/>
        </w:rPr>
        <w:t>ELTE TTK Regionális Földrajzi Tanszék, MTA-ELTE Regionális Tudományi Kutatócsoport, Budapest, Magyarország, 284 p. 2005</w:t>
      </w:r>
      <w:r w:rsidR="00FE016D" w:rsidRPr="0002056A">
        <w:rPr>
          <w:rFonts w:ascii="Georgia" w:hAnsi="Georgia"/>
          <w:sz w:val="16"/>
          <w:szCs w:val="16"/>
          <w:lang w:val="en-GB"/>
        </w:rPr>
        <w:t>.</w:t>
      </w:r>
      <w:r w:rsidR="005B51C1" w:rsidRPr="0002056A">
        <w:rPr>
          <w:rFonts w:ascii="Georgia" w:hAnsi="Georgia"/>
          <w:sz w:val="16"/>
          <w:szCs w:val="16"/>
          <w:lang w:val="en-GB"/>
        </w:rPr>
        <w:t xml:space="preserve"> </w:t>
      </w:r>
    </w:p>
    <w:p w14:paraId="69C4AE57" w14:textId="77777777" w:rsidR="00F858DF" w:rsidRPr="0002056A" w:rsidRDefault="00F858DF"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Nemes Nagy, J. (</w:t>
      </w:r>
      <w:r w:rsidRPr="0002056A">
        <w:rPr>
          <w:rFonts w:ascii="Georgia" w:eastAsia="Times New Roman" w:hAnsi="Georgia" w:cs="Times New Roman"/>
          <w:b/>
          <w:smallCaps/>
          <w:color w:val="000000"/>
          <w:sz w:val="16"/>
          <w:szCs w:val="16"/>
          <w:lang w:val="en-GB" w:eastAsia="hu-HU"/>
        </w:rPr>
        <w:t>2007):</w:t>
      </w:r>
      <w:r w:rsidRPr="0002056A">
        <w:rPr>
          <w:rFonts w:ascii="Georgia" w:eastAsia="Times New Roman" w:hAnsi="Georgia" w:cs="Times New Roman"/>
          <w:color w:val="000000"/>
          <w:sz w:val="16"/>
          <w:szCs w:val="16"/>
          <w:lang w:val="en-GB" w:eastAsia="hu-HU"/>
        </w:rPr>
        <w:t xml:space="preserve"> Kvantitatív társadalmi térértelmezési eszközök a mai regionális tudományban – Elements of Quantitative Spatial Analysis in the Recent Regional Science. Tér és Társadalom 21. évf. 2007/1. 1-19. p</w:t>
      </w:r>
    </w:p>
    <w:p w14:paraId="0487C2DE"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Nemes Nagy J. (</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Terek, helyek, régiók. A regionális tudomány alapjai. Akadémiai Kiadó, Budapest</w:t>
      </w:r>
    </w:p>
    <w:p w14:paraId="1FB51EA0" w14:textId="77777777" w:rsidR="00B844FD" w:rsidRPr="0002056A" w:rsidRDefault="00B844FD"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Oberthür, S., Roche Kelly, C. (2008): </w:t>
      </w:r>
      <w:r w:rsidRPr="0002056A">
        <w:rPr>
          <w:rFonts w:ascii="Georgia" w:eastAsia="Times New Roman" w:hAnsi="Georgia" w:cs="Times New Roman"/>
          <w:color w:val="000000"/>
          <w:sz w:val="16"/>
          <w:szCs w:val="16"/>
          <w:lang w:val="en-GB" w:eastAsia="hu-HU"/>
        </w:rPr>
        <w:t xml:space="preserve">EU Leadership in International Climate Policy: Achievements and Challenges. The International Spectator, Italian Journal of International Affairs. Vol 43, Issue 3, pp 35-50. </w:t>
      </w:r>
      <w:hyperlink r:id="rId101" w:history="1">
        <w:r w:rsidRPr="0002056A">
          <w:rPr>
            <w:rFonts w:ascii="Georgia" w:hAnsi="Georgia"/>
            <w:color w:val="000000"/>
            <w:sz w:val="16"/>
            <w:szCs w:val="16"/>
            <w:lang w:val="en-GB"/>
          </w:rPr>
          <w:t>https://doi.org/10.1080/03932720802280594</w:t>
        </w:r>
      </w:hyperlink>
      <w:r w:rsidRPr="0002056A">
        <w:rPr>
          <w:rFonts w:ascii="Georgia" w:eastAsia="Times New Roman" w:hAnsi="Georgia" w:cs="Times New Roman"/>
          <w:color w:val="000000"/>
          <w:sz w:val="16"/>
          <w:szCs w:val="16"/>
          <w:lang w:val="en-GB" w:eastAsia="hu-HU"/>
        </w:rPr>
        <w:t>. Taylor&amp;Francis, 2008.</w:t>
      </w:r>
    </w:p>
    <w:p w14:paraId="0264AF07" w14:textId="77777777" w:rsidR="00B844FD" w:rsidRPr="0002056A" w:rsidRDefault="00B844FD" w:rsidP="00214BD9">
      <w:pPr>
        <w:pStyle w:val="Listaszerbekezds"/>
        <w:numPr>
          <w:ilvl w:val="0"/>
          <w:numId w:val="3"/>
        </w:numPr>
        <w:spacing w:after="0" w:line="240" w:lineRule="auto"/>
        <w:contextualSpacing w:val="0"/>
        <w:jc w:val="both"/>
        <w:rPr>
          <w:rFonts w:ascii="Georgia" w:hAnsi="Georgia"/>
          <w:color w:val="000000"/>
          <w:sz w:val="16"/>
          <w:szCs w:val="16"/>
          <w:lang w:val="en-GB"/>
        </w:rPr>
      </w:pPr>
      <w:r w:rsidRPr="0002056A">
        <w:rPr>
          <w:rFonts w:ascii="Georgia" w:eastAsia="Times New Roman" w:hAnsi="Georgia" w:cs="Times New Roman"/>
          <w:b/>
          <w:bCs/>
          <w:iCs/>
          <w:smallCaps/>
          <w:color w:val="000000"/>
          <w:sz w:val="16"/>
          <w:szCs w:val="16"/>
          <w:lang w:val="en-GB" w:eastAsia="hu-HU"/>
        </w:rPr>
        <w:t>O’Donnell, T. (2019):</w:t>
      </w:r>
      <w:r w:rsidRPr="0002056A">
        <w:rPr>
          <w:rFonts w:ascii="Georgia" w:eastAsia="Times New Roman" w:hAnsi="Georgia" w:cs="Times New Roman"/>
          <w:color w:val="000000"/>
          <w:sz w:val="16"/>
          <w:szCs w:val="16"/>
          <w:lang w:val="en-GB" w:eastAsia="hu-HU"/>
        </w:rPr>
        <w:t xml:space="preserve"> </w:t>
      </w:r>
      <w:r w:rsidRPr="0002056A">
        <w:rPr>
          <w:rFonts w:ascii="Georgia" w:hAnsi="Georgia"/>
          <w:color w:val="000000"/>
          <w:sz w:val="16"/>
          <w:szCs w:val="16"/>
          <w:lang w:val="en-GB"/>
        </w:rPr>
        <w:t xml:space="preserve">Contrasting land use policies for climate change adaptation: A case study of political and geo-legal realities for Australian coastal locations. Land Use Policy, Volume 88, November 2019, </w:t>
      </w:r>
      <w:hyperlink r:id="rId102" w:history="1">
        <w:r w:rsidRPr="0002056A">
          <w:rPr>
            <w:rFonts w:ascii="Georgia" w:hAnsi="Georgia"/>
            <w:color w:val="000000"/>
            <w:sz w:val="16"/>
            <w:szCs w:val="16"/>
            <w:lang w:val="en-GB"/>
          </w:rPr>
          <w:t>https://doi.org/10.1016/j.landusepol.2019.104145</w:t>
        </w:r>
      </w:hyperlink>
      <w:r w:rsidRPr="0002056A">
        <w:rPr>
          <w:rFonts w:ascii="Georgia" w:hAnsi="Georgia"/>
          <w:color w:val="000000"/>
          <w:sz w:val="16"/>
          <w:szCs w:val="16"/>
          <w:lang w:val="en-GB"/>
        </w:rPr>
        <w:t>. ScienceDirect, 2019.</w:t>
      </w:r>
    </w:p>
    <w:p w14:paraId="20D89D5B" w14:textId="1EFF6BC3" w:rsidR="00526614" w:rsidRPr="0002056A" w:rsidRDefault="00526614" w:rsidP="00214BD9">
      <w:pPr>
        <w:pStyle w:val="Listaszerbekezds"/>
        <w:numPr>
          <w:ilvl w:val="0"/>
          <w:numId w:val="3"/>
        </w:numPr>
        <w:autoSpaceDE w:val="0"/>
        <w:autoSpaceDN w:val="0"/>
        <w:adjustRightInd w:val="0"/>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hAnsi="Georgia"/>
          <w:b/>
          <w:bCs/>
          <w:iCs/>
          <w:smallCaps/>
          <w:sz w:val="16"/>
          <w:szCs w:val="16"/>
          <w:lang w:val="en-GB"/>
        </w:rPr>
        <w:t xml:space="preserve">OECD (2023): </w:t>
      </w:r>
      <w:r w:rsidRPr="0002056A">
        <w:rPr>
          <w:rFonts w:ascii="Georgia" w:hAnsi="Georgia"/>
          <w:sz w:val="16"/>
          <w:szCs w:val="16"/>
          <w:lang w:val="en-GB"/>
        </w:rPr>
        <w:t xml:space="preserve">A Territorial Approach to Climate Action and Resilience, OECD Regional Development Studies, OECD Publishing, Paris, doi.org/10.1787/1ec42b0a-en. </w:t>
      </w:r>
      <w:r w:rsidRPr="0002056A">
        <w:rPr>
          <w:rFonts w:ascii="Georgia" w:hAnsi="Georgia" w:cs="ArialMT"/>
          <w:color w:val="000000"/>
          <w:sz w:val="16"/>
          <w:szCs w:val="16"/>
          <w:lang w:val="en-GB"/>
          <w14:ligatures w14:val="standardContextual"/>
        </w:rPr>
        <w:t>ISBN 978-92-64-71907-1.</w:t>
      </w:r>
    </w:p>
    <w:p w14:paraId="2B967A1B" w14:textId="77777777" w:rsidR="00B844FD" w:rsidRPr="0002056A" w:rsidRDefault="00B844F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Ottaviani Aalmo, G.O.; Gioli, B.; Rodriguez, D.G.P.; Tuomasjukka, D.; Liu, H.; Pastore, M.C.; Salbitano, F.; Bogetoft, P.; Saebo, A.; Konijnendijk, C.</w:t>
      </w:r>
      <w:r w:rsidRPr="0002056A">
        <w:rPr>
          <w:rFonts w:ascii="Georgia" w:hAnsi="Georgia"/>
          <w:b/>
          <w:smallCaps/>
          <w:sz w:val="16"/>
          <w:szCs w:val="16"/>
          <w:lang w:val="en-GB"/>
        </w:rPr>
        <w:t xml:space="preserve"> </w:t>
      </w:r>
      <w:r w:rsidRPr="0002056A">
        <w:rPr>
          <w:rFonts w:ascii="Georgia" w:eastAsia="Times New Roman" w:hAnsi="Georgia" w:cs="Times New Roman"/>
          <w:b/>
          <w:smallCaps/>
          <w:color w:val="000000"/>
          <w:sz w:val="16"/>
          <w:szCs w:val="16"/>
          <w:lang w:val="en-GB" w:eastAsia="hu-HU"/>
        </w:rPr>
        <w:t>(2022):</w:t>
      </w:r>
      <w:r w:rsidRPr="0002056A">
        <w:rPr>
          <w:rFonts w:ascii="Georgia" w:eastAsia="Times New Roman" w:hAnsi="Georgia" w:cs="Times New Roman"/>
          <w:color w:val="000000"/>
          <w:sz w:val="16"/>
          <w:szCs w:val="16"/>
          <w:lang w:val="en-GB" w:eastAsia="hu-HU"/>
        </w:rPr>
        <w:t xml:space="preserve"> Development of a Novel Framework for the Assessment and Improvement of Climate Adaptation and Mitigation Actions in Europe. Frontiers in Sustainable Cities (4). doi: 10.3389/frsc.2022.833098</w:t>
      </w:r>
    </w:p>
    <w:p w14:paraId="364A410E" w14:textId="282C1F8B"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lastRenderedPageBreak/>
        <w:t>O’Tuathail, G., Dalby, S., Routledge, P. (1998):</w:t>
      </w:r>
      <w:r w:rsidRPr="0002056A">
        <w:rPr>
          <w:rFonts w:ascii="Georgia" w:eastAsia="Times New Roman" w:hAnsi="Georgia" w:cs="Times New Roman"/>
          <w:bCs/>
          <w:iCs/>
          <w:color w:val="000000"/>
          <w:sz w:val="16"/>
          <w:szCs w:val="16"/>
          <w:lang w:val="en-GB" w:eastAsia="hu-HU"/>
        </w:rPr>
        <w:t xml:space="preserve"> The Geopolitics Reader. London, Routedge, 1998.</w:t>
      </w:r>
    </w:p>
    <w:p w14:paraId="60E50494" w14:textId="1063BC52" w:rsidR="002F0541" w:rsidRPr="0002056A" w:rsidRDefault="002F0541" w:rsidP="00214BD9">
      <w:pPr>
        <w:pStyle w:val="volume-issue"/>
        <w:numPr>
          <w:ilvl w:val="0"/>
          <w:numId w:val="3"/>
        </w:numPr>
        <w:shd w:val="clear" w:color="auto" w:fill="FFFFFF"/>
        <w:spacing w:before="0" w:beforeAutospacing="0" w:after="0" w:afterAutospacing="0"/>
        <w:jc w:val="both"/>
        <w:rPr>
          <w:rFonts w:ascii="Georgia" w:hAnsi="Georgia"/>
          <w:color w:val="000000"/>
          <w:sz w:val="16"/>
          <w:szCs w:val="16"/>
          <w:lang w:val="en-GB"/>
        </w:rPr>
      </w:pPr>
      <w:r w:rsidRPr="0002056A">
        <w:rPr>
          <w:rFonts w:ascii="Georgia" w:hAnsi="Georgia"/>
          <w:b/>
          <w:bCs/>
          <w:iCs/>
          <w:smallCaps/>
          <w:color w:val="000000"/>
          <w:sz w:val="16"/>
          <w:szCs w:val="16"/>
          <w:lang w:val="en-GB"/>
        </w:rPr>
        <w:t>Paasi, A. (2023): Regional geographies of climate change.</w:t>
      </w:r>
      <w:r w:rsidRPr="0002056A">
        <w:rPr>
          <w:rFonts w:ascii="Georgia" w:hAnsi="Georgia"/>
          <w:color w:val="000000"/>
          <w:sz w:val="16"/>
          <w:szCs w:val="16"/>
          <w:lang w:val="en-GB"/>
        </w:rPr>
        <w:t>Tijdschrift for Economische and Sozia</w:t>
      </w:r>
      <w:r w:rsidR="00F17CC6">
        <w:rPr>
          <w:rFonts w:ascii="Georgia" w:hAnsi="Georgia"/>
          <w:color w:val="000000"/>
          <w:sz w:val="16"/>
          <w:szCs w:val="16"/>
          <w:lang w:val="en-GB"/>
        </w:rPr>
        <w:t>l</w:t>
      </w:r>
      <w:r w:rsidRPr="0002056A">
        <w:rPr>
          <w:rFonts w:ascii="Georgia" w:hAnsi="Georgia"/>
          <w:color w:val="000000"/>
          <w:sz w:val="16"/>
          <w:szCs w:val="16"/>
          <w:lang w:val="en-GB"/>
        </w:rPr>
        <w:t>e G</w:t>
      </w:r>
      <w:r w:rsidR="00BA0128" w:rsidRPr="0002056A">
        <w:rPr>
          <w:rFonts w:ascii="Georgia" w:hAnsi="Georgia"/>
          <w:color w:val="000000"/>
          <w:sz w:val="16"/>
          <w:szCs w:val="16"/>
          <w:lang w:val="en-GB"/>
        </w:rPr>
        <w:t>eo</w:t>
      </w:r>
      <w:r w:rsidR="00216AD0">
        <w:rPr>
          <w:rFonts w:ascii="Georgia" w:hAnsi="Georgia"/>
          <w:color w:val="000000"/>
          <w:sz w:val="16"/>
          <w:szCs w:val="16"/>
          <w:lang w:val="en-GB"/>
        </w:rPr>
        <w:t>g</w:t>
      </w:r>
      <w:r w:rsidR="00BA0128" w:rsidRPr="0002056A">
        <w:rPr>
          <w:rFonts w:ascii="Georgia" w:hAnsi="Georgia"/>
          <w:color w:val="000000"/>
          <w:sz w:val="16"/>
          <w:szCs w:val="16"/>
          <w:lang w:val="en-GB"/>
        </w:rPr>
        <w:t xml:space="preserve">raphie. </w:t>
      </w:r>
      <w:hyperlink r:id="rId103" w:tooltip="View Volume 114, Issue 2" w:history="1">
        <w:r w:rsidR="00BA0128" w:rsidRPr="0002056A">
          <w:rPr>
            <w:rFonts w:ascii="Georgia" w:hAnsi="Georgia"/>
            <w:color w:val="000000"/>
            <w:sz w:val="16"/>
            <w:szCs w:val="16"/>
            <w:lang w:val="en-GB"/>
          </w:rPr>
          <w:t>Volume114, Issue2</w:t>
        </w:r>
      </w:hyperlink>
      <w:r w:rsidR="0066190C" w:rsidRPr="0002056A">
        <w:rPr>
          <w:rFonts w:ascii="Georgia" w:hAnsi="Georgia"/>
          <w:color w:val="000000"/>
          <w:sz w:val="16"/>
          <w:szCs w:val="16"/>
          <w:lang w:val="en-GB"/>
        </w:rPr>
        <w:t xml:space="preserve">. </w:t>
      </w:r>
      <w:r w:rsidR="00BA0128" w:rsidRPr="0002056A">
        <w:rPr>
          <w:rFonts w:ascii="Georgia" w:hAnsi="Georgia"/>
          <w:color w:val="000000"/>
          <w:sz w:val="16"/>
          <w:szCs w:val="16"/>
          <w:lang w:val="en-GB"/>
        </w:rPr>
        <w:t>April 2023</w:t>
      </w:r>
      <w:r w:rsidR="0066190C" w:rsidRPr="0002056A">
        <w:rPr>
          <w:rFonts w:ascii="Georgia" w:hAnsi="Georgia"/>
          <w:color w:val="000000"/>
          <w:sz w:val="16"/>
          <w:szCs w:val="16"/>
          <w:lang w:val="en-GB"/>
        </w:rPr>
        <w:t xml:space="preserve">. Pp </w:t>
      </w:r>
      <w:r w:rsidR="00BA0128" w:rsidRPr="0002056A">
        <w:rPr>
          <w:rFonts w:ascii="Georgia" w:hAnsi="Georgia"/>
          <w:color w:val="000000"/>
          <w:sz w:val="16"/>
          <w:szCs w:val="16"/>
          <w:lang w:val="en-GB"/>
        </w:rPr>
        <w:t>71-78</w:t>
      </w:r>
      <w:r w:rsidR="0066190C" w:rsidRPr="0002056A">
        <w:rPr>
          <w:rFonts w:ascii="Georgia" w:hAnsi="Georgia"/>
          <w:color w:val="000000"/>
          <w:sz w:val="16"/>
          <w:szCs w:val="16"/>
          <w:lang w:val="en-GB"/>
        </w:rPr>
        <w:t xml:space="preserve">. </w:t>
      </w:r>
      <w:hyperlink r:id="rId104" w:history="1">
        <w:r w:rsidRPr="0002056A">
          <w:rPr>
            <w:rFonts w:ascii="Georgia" w:hAnsi="Georgia"/>
            <w:color w:val="000000"/>
            <w:sz w:val="16"/>
            <w:szCs w:val="16"/>
            <w:lang w:val="en-GB"/>
          </w:rPr>
          <w:t>https://doi.org/10.1111/tesg.12553</w:t>
        </w:r>
      </w:hyperlink>
    </w:p>
    <w:p w14:paraId="3E47FFCE" w14:textId="490F4715" w:rsidR="009B39DF" w:rsidRPr="0002056A" w:rsidRDefault="009B39DF"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Painter, J. (2010):</w:t>
      </w:r>
      <w:r w:rsidRPr="0002056A">
        <w:rPr>
          <w:rFonts w:ascii="Georgia" w:eastAsia="Times New Roman" w:hAnsi="Georgia" w:cs="Times New Roman"/>
          <w:color w:val="000000"/>
          <w:sz w:val="16"/>
          <w:szCs w:val="16"/>
          <w:lang w:val="en-GB" w:eastAsia="hu-HU"/>
        </w:rPr>
        <w:t xml:space="preserve"> Rethinking Territory. Antipode. A radical journal of Geography, </w:t>
      </w:r>
      <w:hyperlink r:id="rId105" w:tooltip="View Volume 42, Issue 5" w:history="1">
        <w:r w:rsidRPr="0002056A">
          <w:rPr>
            <w:rFonts w:ascii="Georgia" w:eastAsia="Times New Roman" w:hAnsi="Georgia" w:cs="Times New Roman"/>
            <w:color w:val="000000"/>
            <w:sz w:val="16"/>
            <w:szCs w:val="16"/>
            <w:lang w:val="en-GB" w:eastAsia="hu-HU"/>
          </w:rPr>
          <w:t>Volume 42, Issue 5</w:t>
        </w:r>
      </w:hyperlink>
      <w:r w:rsidRPr="0002056A">
        <w:rPr>
          <w:rFonts w:ascii="Georgia" w:eastAsia="Times New Roman" w:hAnsi="Georgia" w:cs="Times New Roman"/>
          <w:color w:val="000000"/>
          <w:sz w:val="16"/>
          <w:szCs w:val="16"/>
          <w:lang w:val="en-GB" w:eastAsia="hu-HU"/>
        </w:rPr>
        <w:t xml:space="preserve">. November 2010. Pp 1090-1118. Antipode Foundation Ltd. </w:t>
      </w:r>
      <w:hyperlink r:id="rId106" w:history="1">
        <w:r w:rsidR="00FF3228" w:rsidRPr="0002056A">
          <w:rPr>
            <w:rStyle w:val="Hiperhivatkozs"/>
            <w:rFonts w:ascii="Georgia" w:eastAsia="Times New Roman" w:hAnsi="Georgia" w:cs="Times New Roman"/>
            <w:sz w:val="16"/>
            <w:szCs w:val="16"/>
            <w:lang w:val="en-GB" w:eastAsia="hu-HU"/>
          </w:rPr>
          <w:t>https://doi.org/10.1111/j.1467-8330.2010.00795.x</w:t>
        </w:r>
      </w:hyperlink>
    </w:p>
    <w:p w14:paraId="1FEA28D7" w14:textId="4B6F0049" w:rsidR="00FF3228" w:rsidRPr="0002056A" w:rsidRDefault="00FF3228"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P</w:t>
      </w:r>
      <w:r w:rsidR="00873A51" w:rsidRPr="0002056A">
        <w:rPr>
          <w:rFonts w:ascii="Georgia" w:eastAsia="Times New Roman" w:hAnsi="Georgia" w:cs="Times New Roman"/>
          <w:b/>
          <w:bCs/>
          <w:iCs/>
          <w:smallCaps/>
          <w:color w:val="000000"/>
          <w:sz w:val="16"/>
          <w:szCs w:val="16"/>
          <w:lang w:val="en-GB" w:eastAsia="hu-HU"/>
        </w:rPr>
        <w:t>álvölgyi</w:t>
      </w:r>
      <w:r w:rsidRPr="0002056A">
        <w:rPr>
          <w:rFonts w:ascii="Georgia" w:eastAsia="Times New Roman" w:hAnsi="Georgia" w:cs="Times New Roman"/>
          <w:b/>
          <w:bCs/>
          <w:iCs/>
          <w:smallCaps/>
          <w:color w:val="000000"/>
          <w:sz w:val="16"/>
          <w:szCs w:val="16"/>
          <w:lang w:val="en-GB" w:eastAsia="hu-HU"/>
        </w:rPr>
        <w:t>, T., C</w:t>
      </w:r>
      <w:r w:rsidR="00873A51" w:rsidRPr="0002056A">
        <w:rPr>
          <w:rFonts w:ascii="Georgia" w:eastAsia="Times New Roman" w:hAnsi="Georgia" w:cs="Times New Roman"/>
          <w:b/>
          <w:bCs/>
          <w:iCs/>
          <w:smallCaps/>
          <w:color w:val="000000"/>
          <w:sz w:val="16"/>
          <w:szCs w:val="16"/>
          <w:lang w:val="en-GB" w:eastAsia="hu-HU"/>
        </w:rPr>
        <w:t>zira</w:t>
      </w:r>
      <w:r w:rsidRPr="0002056A">
        <w:rPr>
          <w:rFonts w:ascii="Georgia" w:eastAsia="Times New Roman" w:hAnsi="Georgia" w:cs="Times New Roman"/>
          <w:b/>
          <w:bCs/>
          <w:iCs/>
          <w:smallCaps/>
          <w:color w:val="000000"/>
          <w:sz w:val="16"/>
          <w:szCs w:val="16"/>
          <w:lang w:val="en-GB" w:eastAsia="hu-HU"/>
        </w:rPr>
        <w:t>, T., D</w:t>
      </w:r>
      <w:r w:rsidR="00873A51" w:rsidRPr="0002056A">
        <w:rPr>
          <w:rFonts w:ascii="Georgia" w:eastAsia="Times New Roman" w:hAnsi="Georgia" w:cs="Times New Roman"/>
          <w:b/>
          <w:bCs/>
          <w:iCs/>
          <w:smallCaps/>
          <w:color w:val="000000"/>
          <w:sz w:val="16"/>
          <w:szCs w:val="16"/>
          <w:lang w:val="en-GB" w:eastAsia="hu-HU"/>
        </w:rPr>
        <w:t>obozi</w:t>
      </w:r>
      <w:r w:rsidRPr="0002056A">
        <w:rPr>
          <w:rFonts w:ascii="Georgia" w:eastAsia="Times New Roman" w:hAnsi="Georgia" w:cs="Times New Roman"/>
          <w:b/>
          <w:bCs/>
          <w:iCs/>
          <w:smallCaps/>
          <w:color w:val="000000"/>
          <w:sz w:val="16"/>
          <w:szCs w:val="16"/>
          <w:lang w:val="en-GB" w:eastAsia="hu-HU"/>
        </w:rPr>
        <w:t>, E., R</w:t>
      </w:r>
      <w:r w:rsidR="00873A51" w:rsidRPr="0002056A">
        <w:rPr>
          <w:rFonts w:ascii="Georgia" w:eastAsia="Times New Roman" w:hAnsi="Georgia" w:cs="Times New Roman"/>
          <w:b/>
          <w:bCs/>
          <w:iCs/>
          <w:smallCaps/>
          <w:color w:val="000000"/>
          <w:sz w:val="16"/>
          <w:szCs w:val="16"/>
          <w:lang w:val="en-GB" w:eastAsia="hu-HU"/>
        </w:rPr>
        <w:t>ideg</w:t>
      </w:r>
      <w:r w:rsidRPr="0002056A">
        <w:rPr>
          <w:rFonts w:ascii="Georgia" w:eastAsia="Times New Roman" w:hAnsi="Georgia" w:cs="Times New Roman"/>
          <w:b/>
          <w:bCs/>
          <w:iCs/>
          <w:smallCaps/>
          <w:color w:val="000000"/>
          <w:sz w:val="16"/>
          <w:szCs w:val="16"/>
          <w:lang w:val="en-GB" w:eastAsia="hu-HU"/>
        </w:rPr>
        <w:t>, A., S</w:t>
      </w:r>
      <w:r w:rsidR="00873A51" w:rsidRPr="0002056A">
        <w:rPr>
          <w:rFonts w:ascii="Georgia" w:eastAsia="Times New Roman" w:hAnsi="Georgia" w:cs="Times New Roman"/>
          <w:b/>
          <w:bCs/>
          <w:iCs/>
          <w:smallCaps/>
          <w:color w:val="000000"/>
          <w:sz w:val="16"/>
          <w:szCs w:val="16"/>
          <w:lang w:val="en-GB" w:eastAsia="hu-HU"/>
        </w:rPr>
        <w:t>chneller</w:t>
      </w:r>
      <w:r w:rsidRPr="0002056A">
        <w:rPr>
          <w:rFonts w:ascii="Georgia" w:eastAsia="Times New Roman" w:hAnsi="Georgia" w:cs="Times New Roman"/>
          <w:b/>
          <w:bCs/>
          <w:iCs/>
          <w:smallCaps/>
          <w:color w:val="000000"/>
          <w:sz w:val="16"/>
          <w:szCs w:val="16"/>
          <w:lang w:val="en-GB" w:eastAsia="hu-HU"/>
        </w:rPr>
        <w:t xml:space="preserve">, K. (2010): </w:t>
      </w:r>
      <w:r w:rsidRPr="0002056A">
        <w:rPr>
          <w:rFonts w:ascii="Georgia" w:eastAsia="Times New Roman" w:hAnsi="Georgia" w:cs="Times New Roman"/>
          <w:color w:val="000000"/>
          <w:sz w:val="16"/>
          <w:szCs w:val="16"/>
          <w:lang w:val="en-GB" w:eastAsia="hu-HU"/>
        </w:rPr>
        <w:t>A kistérségi szintű éghajlat-változási sérülékenység-vizsgálat módszere és eredményei. — Klíma-21” Füzetek: Klímaváltozás—Hatások —Válaszok, 2010/62, 88–102.</w:t>
      </w:r>
    </w:p>
    <w:p w14:paraId="7FC0BB7A" w14:textId="77777777" w:rsidR="00285CE1" w:rsidRPr="0002056A" w:rsidRDefault="00285CE1" w:rsidP="00214BD9">
      <w:pPr>
        <w:pStyle w:val="volume-issue"/>
        <w:numPr>
          <w:ilvl w:val="0"/>
          <w:numId w:val="3"/>
        </w:numPr>
        <w:shd w:val="clear" w:color="auto" w:fill="FFFFFF"/>
        <w:spacing w:before="0" w:beforeAutospacing="0" w:after="0" w:afterAutospacing="0"/>
        <w:jc w:val="both"/>
        <w:rPr>
          <w:rFonts w:ascii="Georgia" w:hAnsi="Georgia"/>
          <w:color w:val="000000"/>
          <w:sz w:val="16"/>
          <w:szCs w:val="16"/>
          <w:lang w:val="en-GB"/>
        </w:rPr>
      </w:pPr>
      <w:r w:rsidRPr="0002056A">
        <w:rPr>
          <w:rFonts w:ascii="Georgia" w:hAnsi="Georgia"/>
          <w:b/>
          <w:bCs/>
          <w:iCs/>
          <w:smallCaps/>
          <w:color w:val="000000"/>
          <w:sz w:val="16"/>
          <w:szCs w:val="16"/>
          <w:lang w:val="en-GB"/>
        </w:rPr>
        <w:t xml:space="preserve">Péti M (2011): </w:t>
      </w:r>
      <w:r w:rsidRPr="0002056A">
        <w:rPr>
          <w:rFonts w:ascii="Georgia" w:hAnsi="Georgia"/>
          <w:color w:val="000000"/>
          <w:sz w:val="16"/>
          <w:szCs w:val="16"/>
          <w:lang w:val="en-GB"/>
        </w:rPr>
        <w:t>A területi tervezés és fejlesztés a fenntarthatóság jegyében &amp; Stratégiai környezeti vizsgálatok földrajzi szemlélettel. Szeged: JATEPress.</w:t>
      </w:r>
    </w:p>
    <w:p w14:paraId="1FE53401" w14:textId="09AFC889" w:rsidR="00285CE1" w:rsidRPr="0002056A" w:rsidRDefault="00285CE1" w:rsidP="00214BD9">
      <w:pPr>
        <w:pStyle w:val="volume-issue"/>
        <w:numPr>
          <w:ilvl w:val="0"/>
          <w:numId w:val="3"/>
        </w:numPr>
        <w:shd w:val="clear" w:color="auto" w:fill="FFFFFF"/>
        <w:spacing w:before="0" w:beforeAutospacing="0" w:after="0" w:afterAutospacing="0"/>
        <w:jc w:val="both"/>
        <w:rPr>
          <w:rFonts w:ascii="Georgia" w:hAnsi="Georgia"/>
          <w:color w:val="000000"/>
          <w:sz w:val="16"/>
          <w:szCs w:val="16"/>
          <w:lang w:val="en-GB"/>
        </w:rPr>
      </w:pPr>
      <w:r w:rsidRPr="0002056A">
        <w:rPr>
          <w:rFonts w:ascii="Georgia" w:hAnsi="Georgia"/>
          <w:b/>
          <w:bCs/>
          <w:iCs/>
          <w:smallCaps/>
          <w:color w:val="000000"/>
          <w:sz w:val="16"/>
          <w:szCs w:val="16"/>
          <w:lang w:val="en-GB"/>
        </w:rPr>
        <w:t xml:space="preserve">Péti M. (2012): </w:t>
      </w:r>
      <w:r w:rsidRPr="0002056A">
        <w:rPr>
          <w:rFonts w:ascii="Georgia" w:hAnsi="Georgia"/>
          <w:color w:val="000000"/>
          <w:sz w:val="16"/>
          <w:szCs w:val="16"/>
          <w:lang w:val="en-GB"/>
        </w:rPr>
        <w:t xml:space="preserve">A territorial understanding of sustainability in public development. Environmental Impact Assessment Review </w:t>
      </w:r>
      <w:r w:rsidR="00281492" w:rsidRPr="0002056A">
        <w:rPr>
          <w:rFonts w:ascii="Georgia" w:hAnsi="Georgia"/>
          <w:color w:val="000000"/>
          <w:sz w:val="16"/>
          <w:szCs w:val="16"/>
          <w:lang w:val="en-GB"/>
        </w:rPr>
        <w:t>32:</w:t>
      </w:r>
      <w:r w:rsidRPr="0002056A">
        <w:rPr>
          <w:rFonts w:ascii="Georgia" w:hAnsi="Georgia"/>
          <w:color w:val="000000"/>
          <w:sz w:val="16"/>
          <w:szCs w:val="16"/>
          <w:lang w:val="en-GB"/>
        </w:rPr>
        <w:t xml:space="preserve"> 1 pp. 61-73. , 13 p. (2012)</w:t>
      </w:r>
    </w:p>
    <w:p w14:paraId="3708C76E" w14:textId="77777777" w:rsidR="00285CE1" w:rsidRPr="0002056A" w:rsidRDefault="00285CE1" w:rsidP="00214BD9">
      <w:pPr>
        <w:pStyle w:val="volume-issue"/>
        <w:numPr>
          <w:ilvl w:val="0"/>
          <w:numId w:val="3"/>
        </w:numPr>
        <w:shd w:val="clear" w:color="auto" w:fill="FFFFFF"/>
        <w:spacing w:before="0" w:beforeAutospacing="0" w:after="0" w:afterAutospacing="0"/>
        <w:jc w:val="both"/>
        <w:rPr>
          <w:rFonts w:ascii="Georgia" w:hAnsi="Georgia"/>
          <w:color w:val="000000"/>
          <w:sz w:val="16"/>
          <w:szCs w:val="16"/>
          <w:lang w:val="en-GB"/>
        </w:rPr>
      </w:pPr>
      <w:r w:rsidRPr="0002056A">
        <w:rPr>
          <w:rFonts w:ascii="Georgia" w:hAnsi="Georgia"/>
          <w:b/>
          <w:bCs/>
          <w:iCs/>
          <w:smallCaps/>
          <w:color w:val="000000"/>
          <w:sz w:val="16"/>
          <w:szCs w:val="16"/>
          <w:lang w:val="en-GB"/>
        </w:rPr>
        <w:t xml:space="preserve">Péti, M., Botka, M., Szilágyi, G., Salamin, G., &amp; Radvánszki, Á. (2009). </w:t>
      </w:r>
      <w:r w:rsidRPr="0002056A">
        <w:rPr>
          <w:rFonts w:ascii="Georgia" w:hAnsi="Georgia"/>
          <w:color w:val="000000"/>
          <w:sz w:val="16"/>
          <w:szCs w:val="16"/>
          <w:lang w:val="en-GB"/>
        </w:rPr>
        <w:t>Kézikönyv a területi kohézióról: Területi megközelítés alkalmazása a közszféra által támogatott fejlesztésekben. VÁTI, Nemzeti Fejlesztési és Gazdasági Minisztérium, Budapest.</w:t>
      </w:r>
    </w:p>
    <w:p w14:paraId="19D41D43" w14:textId="6B2CA83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Peltonen, L., Haanpää, S. and Lehtonen, S. (</w:t>
      </w:r>
      <w:r w:rsidRPr="0002056A">
        <w:rPr>
          <w:rFonts w:ascii="Georgia" w:eastAsia="Times New Roman" w:hAnsi="Georgia" w:cs="Times New Roman"/>
          <w:b/>
          <w:smallCaps/>
          <w:color w:val="000000"/>
          <w:sz w:val="16"/>
          <w:szCs w:val="16"/>
          <w:lang w:val="en-GB" w:eastAsia="hu-HU"/>
        </w:rPr>
        <w:t>2005):</w:t>
      </w:r>
      <w:r w:rsidRPr="0002056A">
        <w:rPr>
          <w:rFonts w:ascii="Georgia" w:eastAsia="Times New Roman" w:hAnsi="Georgia" w:cs="Times New Roman"/>
          <w:color w:val="000000"/>
          <w:sz w:val="16"/>
          <w:szCs w:val="16"/>
          <w:lang w:val="en-GB" w:eastAsia="hu-HU"/>
        </w:rPr>
        <w:t xml:space="preserve"> The challenge of climate change adaptation in urban planning. FinAdAPT Working Paper 13, 343, Helsinki, 44 p</w:t>
      </w:r>
    </w:p>
    <w:p w14:paraId="79735739"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Phadke, R.; Manning Ch.; Burlager S.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Making it personal: Diversity and deliberation in climate adaptation planning. Climate Risk Management 9 (2015) pp. 62–76.</w:t>
      </w:r>
    </w:p>
    <w:p w14:paraId="58E61546"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Picketts, I.M., Déry, S.J., Curry, J.A.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Incorporating Climate Change adaptation into local plans. Journal of Environmental Planning and Management 57(7). DOI:10.1080/09640568.2013.776951</w:t>
      </w:r>
    </w:p>
    <w:p w14:paraId="3318A058" w14:textId="77777777" w:rsidR="006E4866" w:rsidRPr="0002056A" w:rsidRDefault="006E4866"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Pieterse, A., van Niekerk, W. &amp; du Toit, J. (2018): </w:t>
      </w:r>
      <w:r w:rsidRPr="0002056A">
        <w:rPr>
          <w:rFonts w:ascii="Georgia" w:eastAsia="Times New Roman" w:hAnsi="Georgia" w:cs="Times New Roman"/>
          <w:color w:val="000000"/>
          <w:sz w:val="16"/>
          <w:szCs w:val="16"/>
          <w:lang w:val="en-GB" w:eastAsia="hu-HU"/>
        </w:rPr>
        <w:t>Creating resilient settlements through climate change adaptation planning. Conference Study. Planning Africa Conference 2018, South African Planning Institute. 15 – 17 October 2018, Cape Town.</w:t>
      </w:r>
    </w:p>
    <w:p w14:paraId="77FB225D" w14:textId="7B8BC091" w:rsidR="007D718E" w:rsidRPr="0002056A" w:rsidRDefault="007D718E"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Pietta</w:t>
      </w:r>
      <w:r w:rsidR="00484CD2" w:rsidRPr="0002056A">
        <w:rPr>
          <w:rFonts w:ascii="Georgia" w:eastAsia="Times New Roman" w:hAnsi="Georgia" w:cs="Times New Roman"/>
          <w:b/>
          <w:bCs/>
          <w:iCs/>
          <w:smallCaps/>
          <w:color w:val="000000"/>
          <w:sz w:val="16"/>
          <w:szCs w:val="16"/>
          <w:lang w:val="en-GB" w:eastAsia="hu-HU"/>
        </w:rPr>
        <w:t>, A.</w:t>
      </w:r>
      <w:r w:rsidR="00295139"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bCs/>
          <w:iCs/>
          <w:smallCaps/>
          <w:color w:val="000000"/>
          <w:sz w:val="16"/>
          <w:szCs w:val="16"/>
          <w:lang w:val="en-GB" w:eastAsia="hu-HU"/>
        </w:rPr>
        <w:t>2023</w:t>
      </w:r>
      <w:r w:rsidR="00295139" w:rsidRPr="0002056A">
        <w:rPr>
          <w:rFonts w:ascii="Georgia" w:eastAsia="Times New Roman" w:hAnsi="Georgia" w:cs="Times New Roman"/>
          <w:b/>
          <w:bCs/>
          <w:iCs/>
          <w:smallCaps/>
          <w:color w:val="000000"/>
          <w:sz w:val="16"/>
          <w:szCs w:val="16"/>
          <w:lang w:val="en-GB" w:eastAsia="hu-HU"/>
        </w:rPr>
        <w:t xml:space="preserve">): </w:t>
      </w:r>
      <w:r w:rsidR="00505312" w:rsidRPr="0002056A">
        <w:rPr>
          <w:rFonts w:ascii="Georgia" w:eastAsia="Times New Roman" w:hAnsi="Georgia" w:cs="Times New Roman"/>
          <w:color w:val="000000"/>
          <w:sz w:val="16"/>
          <w:szCs w:val="16"/>
          <w:lang w:val="en-GB" w:eastAsia="hu-HU"/>
        </w:rPr>
        <w:t>Climate Change and Geography</w:t>
      </w:r>
      <w:r w:rsidR="00484CD2" w:rsidRPr="0002056A">
        <w:rPr>
          <w:rFonts w:ascii="Georgia" w:eastAsia="Times New Roman" w:hAnsi="Georgia" w:cs="Times New Roman"/>
          <w:color w:val="000000"/>
          <w:sz w:val="16"/>
          <w:szCs w:val="16"/>
          <w:lang w:val="en-GB" w:eastAsia="hu-HU"/>
        </w:rPr>
        <w:t xml:space="preserve">. </w:t>
      </w:r>
      <w:r w:rsidR="00505312" w:rsidRPr="0002056A">
        <w:rPr>
          <w:rFonts w:ascii="Georgia" w:eastAsia="Times New Roman" w:hAnsi="Georgia" w:cs="Times New Roman"/>
          <w:color w:val="000000"/>
          <w:sz w:val="16"/>
          <w:szCs w:val="16"/>
          <w:lang w:val="en-GB" w:eastAsia="hu-HU"/>
        </w:rPr>
        <w:t>In.: Pellegrino Gianfranco &amp; Marcello Di Paola (ed.) Handbook of Philosophy of Climate Change. Springer Nature. pp. 205-225 (2023)</w:t>
      </w:r>
      <w:r w:rsidR="00295139" w:rsidRPr="0002056A">
        <w:rPr>
          <w:rFonts w:ascii="Georgia" w:eastAsia="Times New Roman" w:hAnsi="Georgia" w:cs="Times New Roman"/>
          <w:color w:val="000000"/>
          <w:sz w:val="16"/>
          <w:szCs w:val="16"/>
          <w:lang w:val="en-GB" w:eastAsia="hu-HU"/>
        </w:rPr>
        <w:t>.</w:t>
      </w:r>
      <w:r w:rsidR="007D69C9" w:rsidRPr="0002056A">
        <w:rPr>
          <w:rFonts w:ascii="Georgia" w:eastAsia="Times New Roman" w:hAnsi="Georgia" w:cs="Times New Roman"/>
          <w:color w:val="000000"/>
          <w:sz w:val="16"/>
          <w:szCs w:val="16"/>
          <w:lang w:val="en-GB" w:eastAsia="hu-HU"/>
        </w:rPr>
        <w:t xml:space="preserve"> </w:t>
      </w:r>
      <w:r w:rsidR="00505312" w:rsidRPr="0002056A">
        <w:rPr>
          <w:rFonts w:ascii="Georgia" w:eastAsia="Times New Roman" w:hAnsi="Georgia" w:cs="Times New Roman"/>
          <w:color w:val="000000"/>
          <w:sz w:val="16"/>
          <w:szCs w:val="16"/>
          <w:lang w:val="en-GB" w:eastAsia="hu-HU"/>
        </w:rPr>
        <w:t>Springer, 2023.</w:t>
      </w:r>
    </w:p>
    <w:p w14:paraId="0DCB0A1B" w14:textId="2F8D9E73"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Pringle, P.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Adapt ME: Adaptation monitoring and evaluation. UKCIP, Oxford, UK. School of Geography and the Environment, </w:t>
      </w:r>
      <w:hyperlink r:id="rId107" w:history="1">
        <w:r w:rsidRPr="0002056A">
          <w:rPr>
            <w:rStyle w:val="Hiperhivatkozs"/>
            <w:rFonts w:ascii="Georgia" w:eastAsia="Times New Roman" w:hAnsi="Georgia" w:cs="Times New Roman"/>
            <w:sz w:val="16"/>
            <w:szCs w:val="16"/>
            <w:lang w:val="en-GB" w:eastAsia="hu-HU"/>
          </w:rPr>
          <w:t>www.ukcip.org.uk</w:t>
        </w:r>
      </w:hyperlink>
    </w:p>
    <w:p w14:paraId="414F61F5"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Pringle, P.; Prutsch, A.; Mäkinen, K.; Karali, E.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Monitoring, reporting and evaluation of national level adaptation in Europe: Lessons and experiences from other policy domains. European Environmental Agency, European Topic Centre on Climate Change Impacts, Vulnerability and Adaptation. Luxembourg, 2017.</w:t>
      </w:r>
    </w:p>
    <w:p w14:paraId="1D6DDE0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Probáld F. (ed) (2000):</w:t>
      </w:r>
      <w:r w:rsidRPr="0002056A">
        <w:rPr>
          <w:rFonts w:ascii="Georgia" w:hAnsi="Georgia"/>
          <w:sz w:val="16"/>
          <w:szCs w:val="16"/>
          <w:lang w:val="en-GB"/>
        </w:rPr>
        <w:t xml:space="preserve"> Európa regionális földrajza. ELTE Eötvös Kiadó, Budapest. ISBN 963 463 319 6</w:t>
      </w:r>
    </w:p>
    <w:p w14:paraId="1AEB8D35"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Qureshi, S.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Climate change adaptation for sustainable development: the information and communication technology (ICT) paradox. Information Technology for Development, 25:4, pp. 625-629, DOI: 10.1080/02681102.2019.1680164</w:t>
      </w:r>
    </w:p>
    <w:p w14:paraId="69BFEAFA" w14:textId="066383A7" w:rsidR="00627CDC" w:rsidRPr="0002056A" w:rsidRDefault="00627CDC"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Randalls, S. (2017):</w:t>
      </w:r>
      <w:r w:rsidRPr="0002056A">
        <w:rPr>
          <w:rFonts w:ascii="Georgia" w:eastAsia="Times New Roman" w:hAnsi="Georgia" w:cs="Times New Roman"/>
          <w:color w:val="000000"/>
          <w:sz w:val="16"/>
          <w:szCs w:val="16"/>
          <w:lang w:val="en-GB" w:eastAsia="hu-HU"/>
        </w:rPr>
        <w:t xml:space="preserve"> Contributions and perspectives from geography to the study of climate. WIRE’s Climate Change, </w:t>
      </w:r>
      <w:hyperlink r:id="rId108" w:tooltip="View Volume 8, Issue 4" w:history="1">
        <w:r w:rsidRPr="0002056A">
          <w:rPr>
            <w:rFonts w:ascii="Georgia" w:eastAsia="Times New Roman" w:hAnsi="Georgia" w:cs="Times New Roman"/>
            <w:color w:val="000000"/>
            <w:sz w:val="16"/>
            <w:szCs w:val="16"/>
            <w:lang w:val="en-GB" w:eastAsia="hu-HU"/>
          </w:rPr>
          <w:t>Volume 8, Issue 4</w:t>
        </w:r>
      </w:hyperlink>
      <w:r w:rsidRPr="0002056A">
        <w:rPr>
          <w:rFonts w:ascii="Georgia" w:eastAsia="Times New Roman" w:hAnsi="Georgia" w:cs="Times New Roman"/>
          <w:color w:val="000000"/>
          <w:sz w:val="16"/>
          <w:szCs w:val="16"/>
          <w:lang w:val="en-GB" w:eastAsia="hu-HU"/>
        </w:rPr>
        <w:t xml:space="preserve">, July/August 2017. </w:t>
      </w:r>
      <w:hyperlink r:id="rId109" w:history="1">
        <w:r w:rsidRPr="0002056A">
          <w:rPr>
            <w:rFonts w:ascii="Georgia" w:eastAsia="Times New Roman" w:hAnsi="Georgia" w:cs="Times New Roman"/>
            <w:color w:val="000000"/>
            <w:sz w:val="16"/>
            <w:szCs w:val="16"/>
            <w:lang w:val="en-GB" w:eastAsia="hu-HU"/>
          </w:rPr>
          <w:t>https://doi.org/10.1002/wcc.466</w:t>
        </w:r>
      </w:hyperlink>
      <w:r w:rsidRPr="0002056A">
        <w:rPr>
          <w:rFonts w:ascii="Georgia" w:eastAsia="Times New Roman" w:hAnsi="Georgia" w:cs="Times New Roman"/>
          <w:color w:val="000000"/>
          <w:sz w:val="16"/>
          <w:szCs w:val="16"/>
          <w:lang w:val="en-GB" w:eastAsia="hu-HU"/>
        </w:rPr>
        <w:t>. Royal Geographical Society, 2017.</w:t>
      </w:r>
    </w:p>
    <w:p w14:paraId="704B1630" w14:textId="31DC72C9" w:rsidR="005B0550" w:rsidRPr="0002056A" w:rsidRDefault="005B0550" w:rsidP="00214BD9">
      <w:pPr>
        <w:pStyle w:val="Listaszerbekezds"/>
        <w:numPr>
          <w:ilvl w:val="0"/>
          <w:numId w:val="3"/>
        </w:numPr>
        <w:spacing w:after="0" w:line="240" w:lineRule="auto"/>
        <w:contextualSpacing w:val="0"/>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Rannow, S.; </w:t>
      </w:r>
      <w:r w:rsidR="00281492" w:rsidRPr="0002056A">
        <w:rPr>
          <w:rFonts w:ascii="Georgia" w:eastAsia="Times New Roman" w:hAnsi="Georgia" w:cs="Times New Roman"/>
          <w:b/>
          <w:bCs/>
          <w:iCs/>
          <w:smallCaps/>
          <w:color w:val="000000"/>
          <w:sz w:val="16"/>
          <w:szCs w:val="16"/>
          <w:lang w:val="en-GB" w:eastAsia="hu-HU"/>
        </w:rPr>
        <w:t>L</w:t>
      </w:r>
      <w:r w:rsidR="007C56EB">
        <w:rPr>
          <w:rFonts w:ascii="Georgia" w:eastAsia="Times New Roman" w:hAnsi="Georgia" w:cs="Times New Roman"/>
          <w:b/>
          <w:bCs/>
          <w:iCs/>
          <w:smallCaps/>
          <w:color w:val="000000"/>
          <w:sz w:val="16"/>
          <w:szCs w:val="16"/>
          <w:lang w:val="en-GB" w:eastAsia="hu-HU"/>
        </w:rPr>
        <w:t>oibl</w:t>
      </w:r>
      <w:r w:rsidR="00281492" w:rsidRPr="0002056A">
        <w:rPr>
          <w:rFonts w:ascii="Georgia" w:eastAsia="Times New Roman" w:hAnsi="Georgia" w:cs="Times New Roman"/>
          <w:b/>
          <w:bCs/>
          <w:iCs/>
          <w:smallCaps/>
          <w:color w:val="000000"/>
          <w:sz w:val="16"/>
          <w:szCs w:val="16"/>
          <w:lang w:val="en-GB" w:eastAsia="hu-HU"/>
        </w:rPr>
        <w:t>, W.</w:t>
      </w:r>
      <w:r w:rsidRPr="0002056A">
        <w:rPr>
          <w:rFonts w:ascii="Georgia" w:eastAsia="Times New Roman" w:hAnsi="Georgia" w:cs="Times New Roman"/>
          <w:b/>
          <w:bCs/>
          <w:iCs/>
          <w:smallCaps/>
          <w:color w:val="000000"/>
          <w:sz w:val="16"/>
          <w:szCs w:val="16"/>
          <w:lang w:val="en-GB" w:eastAsia="hu-HU"/>
        </w:rPr>
        <w:t xml:space="preserve">; Greiving, S.; Gruehn, D.; Meyer, B.C. (2010): </w:t>
      </w:r>
      <w:r w:rsidRPr="0002056A">
        <w:rPr>
          <w:rFonts w:ascii="Georgia" w:eastAsia="Times New Roman" w:hAnsi="Georgia" w:cs="Times New Roman"/>
          <w:color w:val="000000"/>
          <w:sz w:val="16"/>
          <w:szCs w:val="16"/>
          <w:lang w:val="en-GB" w:eastAsia="hu-HU"/>
        </w:rPr>
        <w:t>Potential impacts of climate change in Germany – Identifying regional priorities for adaptation activities in spatial planning. Landscape and Urban Planning, Vol 98, Issues 3-4, December 2010, pp 160-171.</w:t>
      </w:r>
    </w:p>
    <w:p w14:paraId="392C57F3" w14:textId="18455821" w:rsidR="00254C62" w:rsidRPr="0002056A" w:rsidRDefault="00B60C8F" w:rsidP="00214BD9">
      <w:pPr>
        <w:pStyle w:val="Listaszerbekezds"/>
        <w:numPr>
          <w:ilvl w:val="0"/>
          <w:numId w:val="3"/>
        </w:numPr>
        <w:shd w:val="clear" w:color="auto" w:fill="FFFFFF"/>
        <w:spacing w:after="0" w:line="240" w:lineRule="auto"/>
        <w:ind w:right="-135"/>
        <w:contextualSpacing w:val="0"/>
        <w:jc w:val="both"/>
        <w:rPr>
          <w:rFonts w:ascii="Georgia" w:eastAsia="Times New Roman" w:hAnsi="Georgia" w:cs="Segoe UI"/>
          <w:color w:val="212529"/>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Ricci, L.; Mariano, C. (2023): </w:t>
      </w:r>
      <w:r w:rsidRPr="0002056A">
        <w:rPr>
          <w:rFonts w:ascii="Georgia" w:eastAsia="Times New Roman" w:hAnsi="Georgia" w:cs="Times New Roman"/>
          <w:color w:val="000000"/>
          <w:sz w:val="16"/>
          <w:szCs w:val="16"/>
          <w:lang w:val="en-GB" w:eastAsia="hu-HU"/>
        </w:rPr>
        <w:t>Territorial governance and climate adaptation. Towards an environmental perspective of urban regeneration</w:t>
      </w:r>
      <w:r w:rsidR="00BB6043" w:rsidRPr="0002056A">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In.: </w:t>
      </w:r>
      <w:r w:rsidR="00254C62" w:rsidRPr="0002056A">
        <w:rPr>
          <w:rFonts w:ascii="Georgia" w:eastAsia="Times New Roman" w:hAnsi="Georgia" w:cs="Times New Roman"/>
          <w:color w:val="000000"/>
          <w:sz w:val="16"/>
          <w:szCs w:val="16"/>
          <w:lang w:val="en-GB" w:eastAsia="hu-HU"/>
        </w:rPr>
        <w:t>WORLD</w:t>
      </w:r>
      <w:r w:rsidR="00254C62" w:rsidRPr="0002056A">
        <w:rPr>
          <w:rFonts w:ascii="Times New Roman" w:eastAsia="Times New Roman" w:hAnsi="Times New Roman" w:cs="Times New Roman"/>
          <w:color w:val="000000"/>
          <w:sz w:val="16"/>
          <w:szCs w:val="16"/>
          <w:lang w:val="en-GB" w:eastAsia="hu-HU"/>
        </w:rPr>
        <w:t> </w:t>
      </w:r>
      <w:r w:rsidR="00254C62" w:rsidRPr="0002056A">
        <w:rPr>
          <w:rFonts w:ascii="Georgia" w:eastAsia="Times New Roman" w:hAnsi="Georgia" w:cs="Times New Roman"/>
          <w:color w:val="000000"/>
          <w:sz w:val="16"/>
          <w:szCs w:val="16"/>
          <w:lang w:val="en-GB" w:eastAsia="hu-HU"/>
        </w:rPr>
        <w:t xml:space="preserve">HERITAGE and DWELLING ON EARTH </w:t>
      </w:r>
      <w:r w:rsidR="00BB6043" w:rsidRPr="0002056A">
        <w:rPr>
          <w:rFonts w:ascii="Georgia" w:eastAsia="Times New Roman" w:hAnsi="Georgia" w:cs="Times New Roman"/>
          <w:color w:val="000000"/>
          <w:sz w:val="16"/>
          <w:szCs w:val="16"/>
          <w:lang w:val="en-GB" w:eastAsia="hu-HU"/>
        </w:rPr>
        <w:t>pp. 439-449.</w:t>
      </w:r>
      <w:r w:rsidRPr="0002056A">
        <w:rPr>
          <w:rFonts w:ascii="Georgia" w:eastAsia="Times New Roman" w:hAnsi="Georgia" w:cs="Times New Roman"/>
          <w:color w:val="000000"/>
          <w:sz w:val="16"/>
          <w:szCs w:val="16"/>
          <w:lang w:val="en-GB" w:eastAsia="hu-HU"/>
        </w:rPr>
        <w:t>02 Pubblicazione su volume:</w:t>
      </w:r>
      <w:r w:rsidR="007D69C9"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02a Capitolo o Articolo. </w:t>
      </w:r>
      <w:r w:rsidR="00254C62" w:rsidRPr="0002056A">
        <w:rPr>
          <w:rFonts w:ascii="Georgia" w:eastAsia="Times New Roman" w:hAnsi="Georgia" w:cs="Times New Roman"/>
          <w:color w:val="000000"/>
          <w:sz w:val="16"/>
          <w:szCs w:val="16"/>
          <w:lang w:val="en-GB" w:eastAsia="hu-HU"/>
        </w:rPr>
        <w:t>ISB</w:t>
      </w:r>
      <w:r w:rsidRPr="0002056A">
        <w:rPr>
          <w:rFonts w:ascii="Georgia" w:eastAsia="Times New Roman" w:hAnsi="Georgia" w:cs="Times New Roman"/>
          <w:color w:val="000000"/>
          <w:sz w:val="16"/>
          <w:szCs w:val="16"/>
          <w:lang w:val="en-GB" w:eastAsia="hu-HU"/>
        </w:rPr>
        <w:t xml:space="preserve">N </w:t>
      </w:r>
      <w:r w:rsidR="00254C62" w:rsidRPr="0002056A">
        <w:rPr>
          <w:rFonts w:ascii="Georgia" w:eastAsia="Times New Roman" w:hAnsi="Georgia" w:cs="Times New Roman"/>
          <w:color w:val="000000"/>
          <w:sz w:val="16"/>
          <w:szCs w:val="16"/>
          <w:lang w:val="en-GB" w:eastAsia="hu-HU"/>
        </w:rPr>
        <w:t>978-88-492-4647-6</w:t>
      </w:r>
    </w:p>
    <w:p w14:paraId="5994FBD9" w14:textId="5BB739F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Rittel, H.; Melvin, W. (1973):</w:t>
      </w:r>
      <w:r w:rsidRPr="0002056A">
        <w:rPr>
          <w:rFonts w:ascii="Georgia" w:eastAsia="Times New Roman" w:hAnsi="Georgia" w:cs="Times New Roman"/>
          <w:color w:val="000000"/>
          <w:sz w:val="16"/>
          <w:szCs w:val="16"/>
          <w:lang w:val="en-GB" w:eastAsia="hu-HU"/>
        </w:rPr>
        <w:t xml:space="preserve"> Dilemmas in a general theory of planning. Policy sciences 4(2); pp.155–69.</w:t>
      </w:r>
    </w:p>
    <w:p w14:paraId="7B60F639" w14:textId="3583DEB8" w:rsidR="00723306" w:rsidRPr="0002056A" w:rsidRDefault="00723306"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Roggema, R. (</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Adaptation to Climate Change: A Spatial Challenge. ISBN 978-1-4020-9358-6 e-ISBN 978-1-4020-9359-3. DOI 10.1007/978-1-4020-9359-3. Library of Congress Control Number: 2009929308. © Springer Science+Business Media B.V. 2009</w:t>
      </w:r>
    </w:p>
    <w:p w14:paraId="438EAC9E"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Roggema R.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Adaptation to climate change: does spatial planning help? Swarm planning does! WIT Transactions on Ecology and the Environment, Vol 127, © 2009 WIT Press doi:10.2495/RAV090141</w:t>
      </w:r>
    </w:p>
    <w:p w14:paraId="01FD8BE1" w14:textId="11382A25" w:rsidR="003A1C4E" w:rsidRPr="0002056A" w:rsidRDefault="003A1C4E"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Roggema, R. (ed) (2012): </w:t>
      </w:r>
      <w:r w:rsidRPr="0002056A">
        <w:rPr>
          <w:rFonts w:ascii="Georgia" w:eastAsia="Times New Roman" w:hAnsi="Georgia" w:cs="Times New Roman"/>
          <w:color w:val="000000"/>
          <w:sz w:val="16"/>
          <w:szCs w:val="16"/>
          <w:lang w:val="en-GB" w:eastAsia="hu-HU"/>
        </w:rPr>
        <w:t xml:space="preserve">Swarming Landscapes – The Art of Designing </w:t>
      </w:r>
      <w:r w:rsidR="00281492" w:rsidRPr="0002056A">
        <w:rPr>
          <w:rFonts w:ascii="Georgia" w:eastAsia="Times New Roman" w:hAnsi="Georgia" w:cs="Times New Roman"/>
          <w:color w:val="000000"/>
          <w:sz w:val="16"/>
          <w:szCs w:val="16"/>
          <w:lang w:val="en-GB" w:eastAsia="hu-HU"/>
        </w:rPr>
        <w:t>for</w:t>
      </w:r>
      <w:r w:rsidRPr="0002056A">
        <w:rPr>
          <w:rFonts w:ascii="Georgia" w:eastAsia="Times New Roman" w:hAnsi="Georgia" w:cs="Times New Roman"/>
          <w:color w:val="000000"/>
          <w:sz w:val="16"/>
          <w:szCs w:val="16"/>
          <w:lang w:val="en-GB" w:eastAsia="hu-HU"/>
        </w:rPr>
        <w:t xml:space="preserve"> Climate adaptation. </w:t>
      </w:r>
      <w:r w:rsidR="00723306"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Advances in Global change Research Vol 48</w:t>
      </w:r>
      <w:r w:rsidR="008D03CD" w:rsidRPr="0002056A">
        <w:rPr>
          <w:rFonts w:ascii="Georgia" w:eastAsia="Times New Roman" w:hAnsi="Georgia" w:cs="Times New Roman"/>
          <w:color w:val="000000"/>
          <w:sz w:val="16"/>
          <w:szCs w:val="16"/>
          <w:lang w:val="en-GB" w:eastAsia="hu-HU"/>
        </w:rPr>
        <w:t>.</w:t>
      </w:r>
    </w:p>
    <w:p w14:paraId="5380FBBE"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Roggema R., Vermeend T., van den Dobbelsteen, A.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Incremental Change, Transition or Transformation? Optimising Change Pathways for Climate Adaptation in Spatial Planning. Sustainability 2012, 4, 2525-2549; doi:10.3390/su4102525 sustainability ISSN 2071-1050 </w:t>
      </w:r>
      <w:hyperlink r:id="rId110" w:history="1">
        <w:r w:rsidRPr="0002056A">
          <w:rPr>
            <w:rStyle w:val="Hiperhivatkozs"/>
            <w:rFonts w:ascii="Georgia" w:eastAsia="Times New Roman" w:hAnsi="Georgia" w:cs="Times New Roman"/>
            <w:sz w:val="16"/>
            <w:szCs w:val="16"/>
            <w:lang w:val="en-GB" w:eastAsia="hu-HU"/>
          </w:rPr>
          <w:t>www.mdpi.com/journal/sustainability</w:t>
        </w:r>
      </w:hyperlink>
    </w:p>
    <w:p w14:paraId="2D85C3B4" w14:textId="480E8B6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Romero Lankao, P., Dodman D.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Cities in transition: transforming urban </w:t>
      </w:r>
      <w:r w:rsidR="00216AD0" w:rsidRPr="0002056A">
        <w:rPr>
          <w:rFonts w:ascii="Georgia" w:eastAsia="Times New Roman" w:hAnsi="Georgia" w:cs="Times New Roman"/>
          <w:color w:val="000000"/>
          <w:sz w:val="16"/>
          <w:szCs w:val="16"/>
          <w:lang w:val="en-GB" w:eastAsia="hu-HU"/>
        </w:rPr>
        <w:t>centres</w:t>
      </w:r>
      <w:r w:rsidRPr="0002056A">
        <w:rPr>
          <w:rFonts w:ascii="Georgia" w:eastAsia="Times New Roman" w:hAnsi="Georgia" w:cs="Times New Roman"/>
          <w:color w:val="000000"/>
          <w:sz w:val="16"/>
          <w:szCs w:val="16"/>
          <w:lang w:val="en-GB" w:eastAsia="hu-HU"/>
        </w:rPr>
        <w:t xml:space="preserve"> from hotbeds of GHG emission and vulnerability to seedbeds of sustainability and resilience. Current Opinion in Environmental Sustainability Vol 3 Issue 3: 113–120.</w:t>
      </w:r>
    </w:p>
    <w:p w14:paraId="7FB19F83" w14:textId="7AA36C1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Rosenau, J.N. (</w:t>
      </w:r>
      <w:r w:rsidRPr="0002056A">
        <w:rPr>
          <w:rFonts w:ascii="Georgia" w:eastAsia="Times New Roman" w:hAnsi="Georgia" w:cs="Times New Roman"/>
          <w:b/>
          <w:smallCaps/>
          <w:color w:val="000000"/>
          <w:sz w:val="16"/>
          <w:szCs w:val="16"/>
          <w:lang w:val="en-GB" w:eastAsia="hu-HU"/>
        </w:rPr>
        <w:t>1995):</w:t>
      </w:r>
      <w:r w:rsidRPr="0002056A">
        <w:rPr>
          <w:rFonts w:ascii="Georgia" w:eastAsia="Times New Roman" w:hAnsi="Georgia" w:cs="Times New Roman"/>
          <w:color w:val="000000"/>
          <w:sz w:val="16"/>
          <w:szCs w:val="16"/>
          <w:lang w:val="en-GB" w:eastAsia="hu-HU"/>
        </w:rPr>
        <w:t xml:space="preserve"> Governance in the Twenty-first century. Global </w:t>
      </w:r>
      <w:r w:rsidR="00281492" w:rsidRPr="0002056A">
        <w:rPr>
          <w:rFonts w:ascii="Georgia" w:eastAsia="Times New Roman" w:hAnsi="Georgia" w:cs="Times New Roman"/>
          <w:color w:val="000000"/>
          <w:sz w:val="16"/>
          <w:szCs w:val="16"/>
          <w:lang w:val="en-GB" w:eastAsia="hu-HU"/>
        </w:rPr>
        <w:t>Governance Vol.</w:t>
      </w:r>
      <w:r w:rsidRPr="0002056A">
        <w:rPr>
          <w:rFonts w:ascii="Georgia" w:eastAsia="Times New Roman" w:hAnsi="Georgia" w:cs="Times New Roman"/>
          <w:color w:val="000000"/>
          <w:sz w:val="16"/>
          <w:szCs w:val="16"/>
          <w:lang w:val="en-GB" w:eastAsia="hu-HU"/>
        </w:rPr>
        <w:t xml:space="preserve"> 1, No. 1 (Winter 1995), pp. 13-43 (31 pages)</w:t>
      </w:r>
    </w:p>
    <w:p w14:paraId="5C415D99" w14:textId="57450724"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Rosenau, J.N. (</w:t>
      </w:r>
      <w:r w:rsidRPr="0002056A">
        <w:rPr>
          <w:rFonts w:ascii="Georgia" w:eastAsia="Times New Roman" w:hAnsi="Georgia" w:cs="Times New Roman"/>
          <w:b/>
          <w:smallCaps/>
          <w:color w:val="000000"/>
          <w:sz w:val="16"/>
          <w:szCs w:val="16"/>
          <w:lang w:val="en-GB" w:eastAsia="hu-HU"/>
        </w:rPr>
        <w:t>1992):</w:t>
      </w:r>
      <w:r w:rsidRPr="0002056A">
        <w:rPr>
          <w:rFonts w:ascii="Georgia" w:eastAsia="Times New Roman" w:hAnsi="Georgia" w:cs="Times New Roman"/>
          <w:color w:val="000000"/>
          <w:sz w:val="16"/>
          <w:szCs w:val="16"/>
          <w:lang w:val="en-GB" w:eastAsia="hu-HU"/>
        </w:rPr>
        <w:t xml:space="preserve"> Governance, Order and change in World Politics. In.: James N. Rosenau</w:t>
      </w:r>
      <w:r w:rsidR="00216AD0">
        <w:rPr>
          <w:rFonts w:ascii="Georgia" w:eastAsia="Times New Roman" w:hAnsi="Georgia" w:cs="Times New Roman"/>
          <w:color w:val="000000"/>
          <w:sz w:val="16"/>
          <w:szCs w:val="16"/>
          <w:lang w:val="en-GB" w:eastAsia="hu-HU"/>
        </w:rPr>
        <w:t xml:space="preserve"> and </w:t>
      </w:r>
      <w:r w:rsidRPr="0002056A">
        <w:rPr>
          <w:rFonts w:ascii="Georgia" w:eastAsia="Times New Roman" w:hAnsi="Georgia" w:cs="Times New Roman"/>
          <w:color w:val="000000"/>
          <w:sz w:val="16"/>
          <w:szCs w:val="16"/>
          <w:lang w:val="en-GB" w:eastAsia="hu-HU"/>
        </w:rPr>
        <w:t>Ernst-Otto Czeimpel: Governance without Government</w:t>
      </w:r>
      <w:r w:rsidR="001C4068"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Order and Change in World Politics, pp. 1 – 29</w:t>
      </w:r>
    </w:p>
    <w:p w14:paraId="42E00163" w14:textId="4AAA21A6" w:rsidR="00402B12" w:rsidRPr="0002056A" w:rsidRDefault="00402B12"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Sack, Robert David (1986):</w:t>
      </w:r>
      <w:r w:rsidRPr="0002056A">
        <w:rPr>
          <w:rFonts w:ascii="Georgia" w:hAnsi="Georgia"/>
          <w:sz w:val="16"/>
          <w:szCs w:val="16"/>
          <w:lang w:val="en-GB"/>
        </w:rPr>
        <w:t xml:space="preserve"> Human territoriality: its theory and history. Cambridge: Cambridge University Press.</w:t>
      </w:r>
      <w:r w:rsidR="00FB3C47" w:rsidRPr="0002056A">
        <w:rPr>
          <w:rFonts w:ascii="Georgia" w:eastAsia="Times New Roman" w:hAnsi="Georgia" w:cs="Times New Roman"/>
          <w:color w:val="000000"/>
          <w:sz w:val="16"/>
          <w:szCs w:val="16"/>
          <w:lang w:val="en-GB" w:eastAsia="hu-HU"/>
        </w:rPr>
        <w:t xml:space="preserve"> ISBN: 9780521311809.</w:t>
      </w:r>
    </w:p>
    <w:p w14:paraId="077B6396" w14:textId="1B21DAC2" w:rsidR="001C4068" w:rsidRPr="0002056A" w:rsidRDefault="001C4068"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Sapountzaki, K.; Wanczura, S.; Casertano, G.; Greiving, S.; Xanthopoulos, G.; Ferrara, F.F. (2010):</w:t>
      </w:r>
      <w:r w:rsidRPr="0002056A">
        <w:rPr>
          <w:rFonts w:ascii="Georgia" w:eastAsia="Times New Roman" w:hAnsi="Georgia" w:cs="Times New Roman"/>
          <w:color w:val="000000"/>
          <w:sz w:val="16"/>
          <w:szCs w:val="16"/>
          <w:lang w:val="en-GB" w:eastAsia="hu-HU"/>
        </w:rPr>
        <w:t xml:space="preserve"> Disconnected policies and actors and the missing role of spatial planning throughout the risk management cycle. Natural Hazards (2011) 59:1445–1474 DOI 10.1007/s11069-011-9843</w:t>
      </w:r>
    </w:p>
    <w:p w14:paraId="52B09DE8" w14:textId="752A6ABA"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Salamin G. (</w:t>
      </w:r>
      <w:r w:rsidRPr="0002056A">
        <w:rPr>
          <w:rFonts w:ascii="Georgia" w:eastAsia="Times New Roman" w:hAnsi="Georgia" w:cs="Times New Roman"/>
          <w:b/>
          <w:smallCap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A </w:t>
      </w:r>
      <w:r w:rsidR="00D07561" w:rsidRPr="0002056A">
        <w:rPr>
          <w:rFonts w:ascii="Georgia" w:eastAsia="Times New Roman" w:hAnsi="Georgia" w:cs="Times New Roman"/>
          <w:color w:val="000000"/>
          <w:sz w:val="16"/>
          <w:szCs w:val="16"/>
          <w:lang w:val="en-GB" w:eastAsia="hu-HU"/>
        </w:rPr>
        <w:t>földrajzi tér alakításának Európaizálódása</w:t>
      </w:r>
      <w:r w:rsidRPr="0002056A">
        <w:rPr>
          <w:rFonts w:ascii="Georgia" w:eastAsia="Times New Roman" w:hAnsi="Georgia" w:cs="Times New Roman"/>
          <w:color w:val="000000"/>
          <w:sz w:val="16"/>
          <w:szCs w:val="16"/>
          <w:lang w:val="en-GB" w:eastAsia="hu-HU"/>
        </w:rPr>
        <w:t>: Az Európai Unió térbeli stratégiáinak, tervezésének és kohéziós politikájának hatása az európai országok térbeli tervezési rendszereinek transzformációjára. SZIE, Enyedi György Regionális Tudományok Doktori Iskola. 10.14751/SZIE.2018.010</w:t>
      </w:r>
    </w:p>
    <w:p w14:paraId="3B430E93" w14:textId="2DD77614" w:rsidR="00FF0C15" w:rsidRPr="0002056A" w:rsidRDefault="00FF0C15" w:rsidP="00214BD9">
      <w:pPr>
        <w:pStyle w:val="Listaszerbekezds"/>
        <w:numPr>
          <w:ilvl w:val="0"/>
          <w:numId w:val="3"/>
        </w:numPr>
        <w:spacing w:after="0" w:line="240" w:lineRule="auto"/>
        <w:contextualSpacing w:val="0"/>
        <w:jc w:val="both"/>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Salamin Géza</w:t>
      </w:r>
      <w:r w:rsidR="00D435E8"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xml:space="preserve"> Sütő Attila</w:t>
      </w:r>
      <w:r w:rsidR="00BA2177" w:rsidRPr="0002056A">
        <w:rPr>
          <w:rFonts w:ascii="Georgia" w:eastAsia="Times New Roman" w:hAnsi="Georgia" w:cs="Times New Roman"/>
          <w:b/>
          <w:bCs/>
          <w:iCs/>
          <w:smallCaps/>
          <w:color w:val="000000"/>
          <w:sz w:val="16"/>
          <w:szCs w:val="16"/>
          <w:lang w:val="en-GB" w:eastAsia="hu-HU"/>
        </w:rPr>
        <w:t xml:space="preserve"> (2010):</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Territorial Structures and the Territorial Agenda of the European Union. Regional Responses ans Global Shifts: Actors, Institutions and Organisations. </w:t>
      </w:r>
      <w:r w:rsidR="00BA2177" w:rsidRPr="0002056A">
        <w:rPr>
          <w:rFonts w:ascii="Georgia" w:eastAsia="Times New Roman" w:hAnsi="Georgia" w:cs="Times New Roman"/>
          <w:color w:val="000000"/>
          <w:sz w:val="16"/>
          <w:szCs w:val="16"/>
          <w:lang w:val="en-GB" w:eastAsia="hu-HU"/>
        </w:rPr>
        <w:t xml:space="preserve">Conference article, </w:t>
      </w:r>
      <w:r w:rsidRPr="0002056A">
        <w:rPr>
          <w:rFonts w:ascii="Georgia" w:eastAsia="Times New Roman" w:hAnsi="Georgia" w:cs="Times New Roman"/>
          <w:color w:val="000000"/>
          <w:sz w:val="16"/>
          <w:szCs w:val="16"/>
          <w:lang w:val="en-GB" w:eastAsia="hu-HU"/>
        </w:rPr>
        <w:t>RSA Annual International Conference</w:t>
      </w:r>
      <w:r w:rsidR="00BA2177" w:rsidRPr="0002056A">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Pécs, 2010. május 26.</w:t>
      </w:r>
    </w:p>
    <w:p w14:paraId="20E8EA2E" w14:textId="0A11FDD4" w:rsidR="00285CE1" w:rsidRPr="0002056A" w:rsidRDefault="00285CE1" w:rsidP="00214BD9">
      <w:pPr>
        <w:pStyle w:val="Listaszerbekezds"/>
        <w:numPr>
          <w:ilvl w:val="0"/>
          <w:numId w:val="3"/>
        </w:numPr>
        <w:spacing w:after="0" w:line="240" w:lineRule="auto"/>
        <w:contextualSpacing w:val="0"/>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lastRenderedPageBreak/>
        <w:t>Salamin G., Kohán Z., Dobozi E., Péti, M. (</w:t>
      </w:r>
      <w:r w:rsidR="00FF0C15" w:rsidRPr="0002056A">
        <w:rPr>
          <w:rFonts w:ascii="Georgia" w:eastAsia="Times New Roman" w:hAnsi="Georgia" w:cs="Times New Roman"/>
          <w:b/>
          <w:bCs/>
          <w:iCs/>
          <w:smallCaps/>
          <w:color w:val="000000"/>
          <w:sz w:val="16"/>
          <w:szCs w:val="16"/>
          <w:lang w:val="en-GB" w:eastAsia="hu-HU"/>
        </w:rPr>
        <w:t>Ed</w:t>
      </w:r>
      <w:r w:rsidRPr="0002056A">
        <w:rPr>
          <w:rFonts w:ascii="Georgia" w:eastAsia="Times New Roman" w:hAnsi="Georgia" w:cs="Times New Roman"/>
          <w:b/>
          <w:bCs/>
          <w:iCs/>
          <w:smallCaps/>
          <w:color w:val="000000"/>
          <w:sz w:val="16"/>
          <w:szCs w:val="16"/>
          <w:lang w:val="en-GB" w:eastAsia="hu-HU"/>
        </w:rPr>
        <w:t>.)</w:t>
      </w:r>
      <w:r w:rsidR="00D07561" w:rsidRPr="0002056A">
        <w:rPr>
          <w:rFonts w:ascii="Georgia" w:eastAsia="Times New Roman" w:hAnsi="Georgia" w:cs="Times New Roman"/>
          <w:b/>
          <w:bCs/>
          <w:iCs/>
          <w:smallCaps/>
          <w:color w:val="000000"/>
          <w:sz w:val="16"/>
          <w:szCs w:val="16"/>
          <w:lang w:val="en-GB" w:eastAsia="hu-HU"/>
        </w:rPr>
        <w:t xml:space="preserve"> (2011)</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Climate-Friendly Cities: A Handbook on the Tasks and Possibilities of European Cities in Relation to Climate Change</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Budapest, Magyarország: VÁTI, Ministry of Interior, Hungary (2011), 268 p.</w:t>
      </w:r>
    </w:p>
    <w:p w14:paraId="544DD8D2" w14:textId="77777777" w:rsidR="00FF4FBB" w:rsidRPr="0002056A" w:rsidRDefault="00FF4FBB"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Schmidt, Ch.W. (</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Beyond Mitigation: Planning for Climate Change Adaptation. Environmental Health Perspectives. </w:t>
      </w:r>
      <w:hyperlink r:id="rId111" w:history="1">
        <w:r w:rsidRPr="0002056A">
          <w:rPr>
            <w:rFonts w:ascii="Georgia" w:eastAsia="Times New Roman" w:hAnsi="Georgia" w:cs="Times New Roman"/>
            <w:color w:val="000000"/>
            <w:sz w:val="16"/>
            <w:szCs w:val="16"/>
            <w:lang w:val="en-GB" w:eastAsia="hu-HU"/>
          </w:rPr>
          <w:t>Vol. 117, No. 7 (July 2009)</w:t>
        </w:r>
      </w:hyperlink>
      <w:r w:rsidRPr="0002056A">
        <w:rPr>
          <w:rFonts w:ascii="Georgia" w:eastAsia="Times New Roman" w:hAnsi="Georgia" w:cs="Times New Roman"/>
          <w:color w:val="000000"/>
          <w:sz w:val="16"/>
          <w:szCs w:val="16"/>
          <w:lang w:val="en-GB" w:eastAsia="hu-HU"/>
        </w:rPr>
        <w:t>, pp. A306-A309</w:t>
      </w:r>
    </w:p>
    <w:p w14:paraId="4983C94E" w14:textId="71198B5A" w:rsidR="00FF4FBB" w:rsidRPr="0002056A" w:rsidRDefault="00FF4FBB"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Schmidt-Thomé, Ph. (</w:t>
      </w:r>
      <w:r w:rsidRPr="0002056A">
        <w:rPr>
          <w:rFonts w:ascii="Georgia" w:eastAsia="Times New Roman" w:hAnsi="Georgia" w:cs="Times New Roman"/>
          <w:b/>
          <w:smallCaps/>
          <w:color w:val="000000"/>
          <w:sz w:val="16"/>
          <w:szCs w:val="16"/>
          <w:lang w:val="en-GB" w:eastAsia="hu-HU"/>
        </w:rPr>
        <w:t>200</w:t>
      </w:r>
      <w:r w:rsidR="009D1874" w:rsidRPr="0002056A">
        <w:rPr>
          <w:rFonts w:ascii="Georgia" w:eastAsia="Times New Roman" w:hAnsi="Georgia" w:cs="Times New Roman"/>
          <w:b/>
          <w:smallCaps/>
          <w:color w:val="000000"/>
          <w:sz w:val="16"/>
          <w:szCs w:val="16"/>
          <w:lang w:val="en-GB" w:eastAsia="hu-HU"/>
        </w:rPr>
        <w:t>7</w:t>
      </w:r>
      <w:r w:rsidRPr="0002056A">
        <w:rPr>
          <w:rFonts w:ascii="Georgia" w:eastAsia="Times New Roman" w:hAnsi="Georgia" w:cs="Times New Roman"/>
          <w:b/>
          <w:smallCaps/>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w:t>
      </w:r>
      <w:r w:rsidR="009D1874" w:rsidRPr="0002056A">
        <w:rPr>
          <w:rFonts w:ascii="Georgia" w:eastAsia="Times New Roman" w:hAnsi="Georgia" w:cs="Times New Roman"/>
          <w:color w:val="000000"/>
          <w:sz w:val="16"/>
          <w:szCs w:val="16"/>
          <w:lang w:val="en-GB" w:eastAsia="hu-HU"/>
        </w:rPr>
        <w:t>Integration of natural hazards, risk, and climate change into spatial planning practices. Estonian Journal of Earth Sciences 56(3):183-183 Helsinki, September 2007.</w:t>
      </w:r>
      <w:r w:rsidR="00DE3F16" w:rsidRPr="0002056A">
        <w:rPr>
          <w:rFonts w:ascii="Georgia" w:eastAsia="Times New Roman" w:hAnsi="Georgia" w:cs="Times New Roman"/>
          <w:color w:val="000000"/>
          <w:sz w:val="16"/>
          <w:szCs w:val="16"/>
          <w:lang w:val="en-GB" w:eastAsia="hu-HU"/>
        </w:rPr>
        <w:t xml:space="preserve"> </w:t>
      </w:r>
      <w:r w:rsidR="009D1874" w:rsidRPr="0002056A">
        <w:rPr>
          <w:rFonts w:ascii="Georgia" w:eastAsia="Times New Roman" w:hAnsi="Georgia" w:cs="Times New Roman"/>
          <w:color w:val="000000"/>
          <w:sz w:val="16"/>
          <w:szCs w:val="16"/>
          <w:lang w:val="en-GB" w:eastAsia="hu-HU"/>
        </w:rPr>
        <w:t>DOI:10.3176/earth.2007.22</w:t>
      </w:r>
    </w:p>
    <w:p w14:paraId="5FCE8715" w14:textId="1B56E1BD" w:rsidR="00FF4FBB" w:rsidRPr="0002056A" w:rsidRDefault="00FF4FBB"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Schmidt-Thomé, Ph.</w:t>
      </w:r>
      <w:r w:rsidR="00DD1863" w:rsidRPr="0002056A">
        <w:rPr>
          <w:rFonts w:ascii="Georgia" w:eastAsia="Times New Roman" w:hAnsi="Georgia" w:cs="Times New Roman"/>
          <w:b/>
          <w:bCs/>
          <w:iCs/>
          <w:smallCaps/>
          <w:color w:val="000000"/>
          <w:sz w:val="16"/>
          <w:szCs w:val="16"/>
          <w:lang w:val="en-GB" w:eastAsia="hu-HU"/>
        </w:rPr>
        <w:t>; K</w:t>
      </w:r>
      <w:r w:rsidRPr="0002056A">
        <w:rPr>
          <w:rFonts w:ascii="Georgia" w:eastAsia="Times New Roman" w:hAnsi="Georgia" w:cs="Times New Roman"/>
          <w:b/>
          <w:bCs/>
          <w:iCs/>
          <w:smallCaps/>
          <w:color w:val="000000"/>
          <w:sz w:val="16"/>
          <w:szCs w:val="16"/>
          <w:lang w:val="en-GB" w:eastAsia="hu-HU"/>
        </w:rPr>
        <w:t xml:space="preserve">lein, J. (2011): </w:t>
      </w:r>
      <w:r w:rsidRPr="0002056A">
        <w:rPr>
          <w:rFonts w:ascii="Georgia" w:eastAsia="Times New Roman" w:hAnsi="Georgia" w:cs="Times New Roman"/>
          <w:color w:val="000000"/>
          <w:sz w:val="16"/>
          <w:szCs w:val="16"/>
          <w:lang w:val="en-GB" w:eastAsia="hu-HU"/>
        </w:rPr>
        <w:t xml:space="preserve">Applying Climate Change Adaptation in Spatial Planning Processes. In.: Schernewski, G., Hofstede, J., Neumann, T. (eds) Global Change and Baltic Coastal Zones. Coastal Research Library, vol 1. Springer, Dordrecht. https://doi.org/10.1007/978-94-007-0400-8_11.  </w:t>
      </w:r>
    </w:p>
    <w:p w14:paraId="112110FD" w14:textId="23FDE810" w:rsidR="00FF4FBB" w:rsidRPr="0002056A" w:rsidRDefault="00FF4FBB"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Schönthaler, K</w:t>
      </w:r>
      <w:r w:rsidR="00035E31"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von Andrian-Werburg, S</w:t>
      </w:r>
      <w:r w:rsidR="00035E31"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Evaluation of the German Strategy for Adaption to Climate Change (DAS) – Reporting and Closing Indicator Gaps. CLIMATE CHANGE 16/2015 Environmental Research of the Federal Ministry for the Environment, Nature Conservation, Building and Nuclear Safety Project No. (FKZ) 3711 41 106 Report No. (UBA-FB) 002105/E</w:t>
      </w:r>
    </w:p>
    <w:p w14:paraId="5CA6B9A0" w14:textId="25BB69DD" w:rsidR="00E723CD" w:rsidRPr="0002056A" w:rsidRDefault="00E723CD" w:rsidP="00214BD9">
      <w:pPr>
        <w:pStyle w:val="Listaszerbekezds"/>
        <w:numPr>
          <w:ilvl w:val="0"/>
          <w:numId w:val="3"/>
        </w:numPr>
        <w:spacing w:after="0" w:line="240" w:lineRule="auto"/>
        <w:contextualSpacing w:val="0"/>
        <w:jc w:val="both"/>
        <w:rPr>
          <w:rFonts w:ascii="Georgia" w:eastAsia="Times New Roman" w:hAnsi="Georgia" w:cs="Times New Roman"/>
          <w:bCs/>
          <w:iC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Schuster, P. (2008):</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bCs/>
          <w:iCs/>
          <w:color w:val="000000"/>
          <w:sz w:val="16"/>
          <w:szCs w:val="16"/>
          <w:lang w:val="en-GB" w:eastAsia="hu-HU"/>
        </w:rPr>
        <w:t>Klimaanpassungstrategien in europaischen nachbarlenadern – win Werkstattberischt. Anpassungsstrategien an den Klimawandel in EU 27 und ihre potentielle Bedeutung für die Raumentwicklung in Deutschland. BBR, 2008.</w:t>
      </w:r>
    </w:p>
    <w:p w14:paraId="12301B2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Sharma, J. and Ravindranath, N. (2019):</w:t>
      </w:r>
      <w:r w:rsidRPr="0002056A">
        <w:rPr>
          <w:rFonts w:ascii="Georgia" w:eastAsia="Times New Roman" w:hAnsi="Georgia" w:cs="Times New Roman"/>
          <w:b/>
          <w:bCs/>
          <w:i/>
          <w:iCs/>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Applying IPCC 2014 framework for hazard-specific vulnerability assessment under climate change. Environmental Research Communication. 1 051004</w:t>
      </w:r>
    </w:p>
    <w:p w14:paraId="5A8E76E4"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Shi, L.; Chu, E.; Debats, J. (2015):</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Explaining Progress in Climate Adaptation Planning Across 156 U.S. Municipalities. Journal of the American Planning Association 81(3), pp. 1-12. DOI:10.1080/01944363.2015.1074526</w:t>
      </w:r>
    </w:p>
    <w:p w14:paraId="2F629AC4" w14:textId="53BC3757" w:rsidR="00C70985" w:rsidRPr="0002056A" w:rsidRDefault="00C70985" w:rsidP="00214BD9">
      <w:pPr>
        <w:pStyle w:val="Listaszerbekezds"/>
        <w:numPr>
          <w:ilvl w:val="0"/>
          <w:numId w:val="3"/>
        </w:numPr>
        <w:spacing w:after="0" w:line="240" w:lineRule="auto"/>
        <w:ind w:right="162"/>
        <w:contextualSpacing w:val="0"/>
        <w:rPr>
          <w:rFonts w:ascii="Georgia" w:eastAsia="Times New Roman" w:hAnsi="Georgia" w:cs="Times New Roman"/>
          <w:color w:val="000000"/>
          <w:sz w:val="16"/>
          <w:szCs w:val="16"/>
          <w:lang w:val="en-GB" w:eastAsia="hu-HU"/>
        </w:rPr>
      </w:pPr>
      <w:hyperlink r:id="rId112" w:history="1">
        <w:r w:rsidRPr="0002056A">
          <w:rPr>
            <w:rFonts w:ascii="Georgia" w:eastAsia="Times New Roman" w:hAnsi="Georgia" w:cs="Times New Roman"/>
            <w:b/>
            <w:bCs/>
            <w:iCs/>
            <w:smallCaps/>
            <w:color w:val="000000"/>
            <w:sz w:val="16"/>
            <w:szCs w:val="16"/>
            <w:lang w:val="en-GB" w:eastAsia="hu-HU"/>
          </w:rPr>
          <w:t>Skryzhevska</w:t>
        </w:r>
      </w:hyperlink>
      <w:r w:rsidRPr="0002056A">
        <w:rPr>
          <w:rFonts w:ascii="Georgia" w:eastAsia="Times New Roman" w:hAnsi="Georgia" w:cs="Times New Roman"/>
          <w:b/>
          <w:bCs/>
          <w:iCs/>
          <w:smallCaps/>
          <w:color w:val="000000"/>
          <w:sz w:val="16"/>
          <w:szCs w:val="16"/>
          <w:lang w:val="en-GB" w:eastAsia="hu-HU"/>
        </w:rPr>
        <w:t xml:space="preserve">, Y; </w:t>
      </w:r>
      <w:hyperlink r:id="rId113" w:history="1">
        <w:r w:rsidRPr="0002056A">
          <w:rPr>
            <w:rFonts w:ascii="Georgia" w:eastAsia="Times New Roman" w:hAnsi="Georgia" w:cs="Times New Roman"/>
            <w:b/>
            <w:bCs/>
            <w:iCs/>
            <w:smallCaps/>
            <w:color w:val="000000"/>
            <w:sz w:val="16"/>
            <w:szCs w:val="16"/>
            <w:lang w:val="en-GB" w:eastAsia="hu-HU"/>
          </w:rPr>
          <w:t xml:space="preserve"> Tynkkynen</w:t>
        </w:r>
      </w:hyperlink>
      <w:r w:rsidRPr="0002056A">
        <w:rPr>
          <w:rFonts w:ascii="Georgia" w:eastAsia="Times New Roman" w:hAnsi="Georgia" w:cs="Times New Roman"/>
          <w:b/>
          <w:bCs/>
          <w:iCs/>
          <w:smallCaps/>
          <w:color w:val="000000"/>
          <w:sz w:val="16"/>
          <w:szCs w:val="16"/>
          <w:lang w:val="en-GB" w:eastAsia="hu-HU"/>
        </w:rPr>
        <w:t xml:space="preserve">, V-P.; </w:t>
      </w:r>
      <w:hyperlink r:id="rId114" w:history="1">
        <w:r w:rsidRPr="0002056A">
          <w:rPr>
            <w:rFonts w:ascii="Georgia" w:eastAsia="Times New Roman" w:hAnsi="Georgia" w:cs="Times New Roman"/>
            <w:b/>
            <w:bCs/>
            <w:iCs/>
            <w:smallCaps/>
            <w:color w:val="000000"/>
            <w:sz w:val="16"/>
            <w:szCs w:val="16"/>
            <w:lang w:val="en-GB" w:eastAsia="hu-HU"/>
          </w:rPr>
          <w:t>Leppänen</w:t>
        </w:r>
      </w:hyperlink>
      <w:r w:rsidRPr="0002056A">
        <w:rPr>
          <w:rFonts w:ascii="Georgia" w:eastAsia="Times New Roman" w:hAnsi="Georgia" w:cs="Times New Roman"/>
          <w:b/>
          <w:bCs/>
          <w:iCs/>
          <w:smallCaps/>
          <w:color w:val="000000"/>
          <w:sz w:val="16"/>
          <w:szCs w:val="16"/>
          <w:lang w:val="en-GB" w:eastAsia="hu-HU"/>
        </w:rPr>
        <w:t xml:space="preserve">, S. (2015): </w:t>
      </w:r>
      <w:r w:rsidRPr="0002056A">
        <w:rPr>
          <w:rFonts w:ascii="Georgia" w:eastAsia="Times New Roman" w:hAnsi="Georgia" w:cs="Times New Roman"/>
          <w:color w:val="000000"/>
          <w:sz w:val="16"/>
          <w:szCs w:val="16"/>
          <w:lang w:val="en-GB" w:eastAsia="hu-HU"/>
        </w:rPr>
        <w:t xml:space="preserve">Russia’s climate policies and local reality. </w:t>
      </w:r>
      <w:hyperlink r:id="rId115" w:history="1">
        <w:r w:rsidRPr="0002056A">
          <w:rPr>
            <w:rFonts w:ascii="Georgia" w:eastAsia="Times New Roman" w:hAnsi="Georgia" w:cs="Times New Roman"/>
            <w:color w:val="000000"/>
            <w:sz w:val="16"/>
            <w:szCs w:val="16"/>
            <w:lang w:val="en-GB" w:eastAsia="hu-HU"/>
          </w:rPr>
          <w:t>Polar Geography</w:t>
        </w:r>
      </w:hyperlink>
      <w:r w:rsidRPr="0002056A">
        <w:rPr>
          <w:rFonts w:ascii="Georgia" w:eastAsia="Times New Roman" w:hAnsi="Georgia" w:cs="Times New Roman"/>
          <w:color w:val="000000"/>
          <w:sz w:val="16"/>
          <w:szCs w:val="16"/>
          <w:lang w:val="en-GB" w:eastAsia="hu-HU"/>
        </w:rPr>
        <w:t xml:space="preserve"> Volume 38, 2015 -</w:t>
      </w:r>
      <w:hyperlink r:id="rId116" w:history="1">
        <w:r w:rsidRPr="0002056A">
          <w:rPr>
            <w:rFonts w:ascii="Georgia" w:eastAsia="Times New Roman" w:hAnsi="Georgia" w:cs="Times New Roman"/>
            <w:color w:val="000000"/>
            <w:sz w:val="16"/>
            <w:szCs w:val="16"/>
            <w:lang w:val="en-GB" w:eastAsia="hu-HU"/>
          </w:rPr>
          <w:t>Issue 2</w:t>
        </w:r>
      </w:hyperlink>
      <w:r w:rsidRPr="0002056A">
        <w:rPr>
          <w:rFonts w:ascii="Georgia" w:eastAsia="Times New Roman" w:hAnsi="Georgia" w:cs="Times New Roman"/>
          <w:color w:val="000000"/>
          <w:sz w:val="16"/>
          <w:szCs w:val="16"/>
          <w:lang w:val="en-GB" w:eastAsia="hu-HU"/>
        </w:rPr>
        <w:t xml:space="preserve">, Pp 146-170. </w:t>
      </w:r>
      <w:hyperlink r:id="rId117" w:history="1">
        <w:r w:rsidRPr="0002056A">
          <w:rPr>
            <w:rFonts w:ascii="Georgia" w:eastAsia="Times New Roman" w:hAnsi="Georgia" w:cs="Times New Roman"/>
            <w:color w:val="000000"/>
            <w:sz w:val="16"/>
            <w:szCs w:val="16"/>
            <w:lang w:val="en-GB" w:eastAsia="hu-HU"/>
          </w:rPr>
          <w:t>https://doi.org/10.1080/1088937X.2015.1052031</w:t>
        </w:r>
      </w:hyperlink>
      <w:r w:rsidRPr="0002056A">
        <w:rPr>
          <w:rFonts w:ascii="Georgia" w:eastAsia="Times New Roman" w:hAnsi="Georgia" w:cs="Times New Roman"/>
          <w:color w:val="000000"/>
          <w:sz w:val="16"/>
          <w:szCs w:val="16"/>
          <w:lang w:val="en-GB" w:eastAsia="hu-HU"/>
        </w:rPr>
        <w:t>. Taylor&amp;Francis</w:t>
      </w:r>
    </w:p>
    <w:p w14:paraId="0AB581BC" w14:textId="225222CC" w:rsidR="00C70985" w:rsidRPr="0002056A" w:rsidRDefault="00C70985"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Soja, E. (1971): </w:t>
      </w:r>
      <w:r w:rsidRPr="0002056A">
        <w:rPr>
          <w:rFonts w:ascii="Georgia" w:eastAsia="Times New Roman" w:hAnsi="Georgia" w:cs="Times New Roman"/>
          <w:color w:val="000000"/>
          <w:sz w:val="16"/>
          <w:szCs w:val="16"/>
          <w:lang w:val="en-GB" w:eastAsia="hu-HU"/>
        </w:rPr>
        <w:t>The political organization of space. Association of American Geographers, Commission on College Geography Resource Paper 8: Washington DC.</w:t>
      </w:r>
    </w:p>
    <w:p w14:paraId="034A108B" w14:textId="447C227C" w:rsidR="006F276A" w:rsidRPr="0002056A" w:rsidRDefault="00067056"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Somlyódiné</w:t>
      </w:r>
      <w:r w:rsidR="006F276A" w:rsidRPr="0002056A">
        <w:rPr>
          <w:rFonts w:ascii="Georgia" w:eastAsia="Times New Roman" w:hAnsi="Georgia" w:cs="Times New Roman"/>
          <w:b/>
          <w:bCs/>
          <w:iCs/>
          <w:smallCaps/>
          <w:color w:val="000000"/>
          <w:sz w:val="16"/>
          <w:szCs w:val="16"/>
          <w:lang w:val="en-GB" w:eastAsia="hu-HU"/>
        </w:rPr>
        <w:t xml:space="preserve"> Pfeil, E. (2019</w:t>
      </w:r>
      <w:r w:rsidR="006F276A" w:rsidRPr="0002056A">
        <w:rPr>
          <w:rFonts w:ascii="Georgia" w:eastAsia="Times New Roman" w:hAnsi="Georgia" w:cs="Times New Roman"/>
          <w:b/>
          <w:bCs/>
          <w:iCs/>
          <w:color w:val="000000"/>
          <w:sz w:val="16"/>
          <w:szCs w:val="16"/>
          <w:lang w:val="en-GB" w:eastAsia="hu-HU"/>
        </w:rPr>
        <w:t xml:space="preserve">): </w:t>
      </w:r>
      <w:r w:rsidR="00265E58" w:rsidRPr="0002056A">
        <w:rPr>
          <w:rFonts w:ascii="Georgia" w:eastAsia="Times New Roman" w:hAnsi="Georgia" w:cs="Times New Roman"/>
          <w:iCs/>
          <w:color w:val="000000"/>
          <w:sz w:val="16"/>
          <w:szCs w:val="16"/>
          <w:lang w:val="en-GB" w:eastAsia="hu-HU"/>
        </w:rPr>
        <w:t>The Adaptation of Territorial Governance from Unitary State Perspective: About the Framework of Functional Space Construction. – Corvinus Regional Studies 4. (1–2.): pp. 41–60.</w:t>
      </w:r>
    </w:p>
    <w:p w14:paraId="440DBCBB" w14:textId="126D39AB" w:rsidR="00B67A22" w:rsidRPr="0002056A" w:rsidRDefault="00B67A22"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Stern, M.:</w:t>
      </w:r>
      <w:r w:rsidRPr="0002056A">
        <w:rPr>
          <w:rFonts w:ascii="Georgia" w:hAnsi="Georgia"/>
          <w:sz w:val="16"/>
          <w:szCs w:val="16"/>
          <w:lang w:val="en-GB"/>
        </w:rPr>
        <w:t xml:space="preserve"> The Economics of Climate Change - The Stern Review. - Cambridge 2006</w:t>
      </w:r>
    </w:p>
    <w:p w14:paraId="7698DF48" w14:textId="69BFB12C" w:rsidR="00D34AA3" w:rsidRPr="0002056A" w:rsidRDefault="00CE1D57"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St</w:t>
      </w:r>
      <w:r w:rsidR="009A2357" w:rsidRPr="0002056A">
        <w:rPr>
          <w:rFonts w:ascii="Georgia" w:eastAsia="Times New Roman" w:hAnsi="Georgia" w:cs="Times New Roman"/>
          <w:b/>
          <w:bCs/>
          <w:iCs/>
          <w:smallCaps/>
          <w:color w:val="000000"/>
          <w:sz w:val="16"/>
          <w:szCs w:val="16"/>
          <w:lang w:val="en-GB" w:eastAsia="hu-HU"/>
        </w:rPr>
        <w:t>o</w:t>
      </w:r>
      <w:r w:rsidRPr="0002056A">
        <w:rPr>
          <w:rFonts w:ascii="Georgia" w:eastAsia="Times New Roman" w:hAnsi="Georgia" w:cs="Times New Roman"/>
          <w:b/>
          <w:bCs/>
          <w:iCs/>
          <w:smallCaps/>
          <w:color w:val="000000"/>
          <w:sz w:val="16"/>
          <w:szCs w:val="16"/>
          <w:lang w:val="en-GB" w:eastAsia="hu-HU"/>
        </w:rPr>
        <w:t>rbj</w:t>
      </w:r>
      <w:r w:rsidR="009A2357" w:rsidRPr="0002056A">
        <w:rPr>
          <w:rFonts w:ascii="Georgia" w:eastAsia="Times New Roman" w:hAnsi="Georgia" w:cs="Times New Roman"/>
          <w:b/>
          <w:bCs/>
          <w:iCs/>
          <w:smallCaps/>
          <w:color w:val="000000"/>
          <w:sz w:val="16"/>
          <w:szCs w:val="16"/>
          <w:lang w:val="en-GB" w:eastAsia="hu-HU"/>
        </w:rPr>
        <w:t>ö</w:t>
      </w:r>
      <w:r w:rsidRPr="0002056A">
        <w:rPr>
          <w:rFonts w:ascii="Georgia" w:eastAsia="Times New Roman" w:hAnsi="Georgia" w:cs="Times New Roman"/>
          <w:b/>
          <w:bCs/>
          <w:iCs/>
          <w:smallCaps/>
          <w:color w:val="000000"/>
          <w:sz w:val="16"/>
          <w:szCs w:val="16"/>
          <w:lang w:val="en-GB" w:eastAsia="hu-HU"/>
        </w:rPr>
        <w:t>rk, S.; Uggla, Y. (2014):</w:t>
      </w:r>
      <w:r w:rsidRPr="0002056A">
        <w:rPr>
          <w:rFonts w:ascii="Georgia" w:eastAsia="Times New Roman" w:hAnsi="Georgia" w:cs="Times New Roman"/>
          <w:color w:val="000000"/>
          <w:sz w:val="16"/>
          <w:szCs w:val="16"/>
          <w:lang w:val="en-GB" w:eastAsia="hu-HU"/>
        </w:rPr>
        <w:t xml:space="preserve"> The practice of settling and enacting strategic guidelines for climate adaptation in spatial planning: lessons from ten Swedish municipalities. Regional Environmental Change 15 (2015). DOI: 1.1007/s10013-014-0690-0</w:t>
      </w:r>
      <w:r w:rsidR="00D34AA3" w:rsidRPr="0002056A">
        <w:rPr>
          <w:rFonts w:ascii="Georgia" w:eastAsia="Times New Roman" w:hAnsi="Georgia" w:cs="Times New Roman"/>
          <w:color w:val="000000"/>
          <w:sz w:val="16"/>
          <w:szCs w:val="16"/>
          <w:lang w:val="en-GB" w:eastAsia="hu-HU"/>
        </w:rPr>
        <w:t>.</w:t>
      </w:r>
    </w:p>
    <w:p w14:paraId="0B1D81A6" w14:textId="77777777" w:rsidR="001617BD" w:rsidRPr="0002056A" w:rsidRDefault="001617B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Sütő, A.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Értékelési rendszerek és hazai alkalmazhatóságuk a klímapolitikában. Diplomamunka. Budapesti Corvinus Egyetem, Társadalomtudományi és Nemzetközi Kapcsolatok Kar, Gazdaságföldrajz, Geoökonómia és Fenntartható Fejlődés Intézet. Budapest, 2017.</w:t>
      </w:r>
    </w:p>
    <w:p w14:paraId="2673ECDC" w14:textId="68BEB0FE"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Sütő A., Fejes L.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A turizmus ágazat jelenlegi és potenciális éghajlati sérülékenységének területi különbségei Magyarországon. Tér és Társadalom 3/2019.</w:t>
      </w:r>
    </w:p>
    <w:p w14:paraId="2904F24E" w14:textId="77777777" w:rsidR="001617BD" w:rsidRPr="0002056A" w:rsidRDefault="001617B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Sütő, A. (ed.) (</w:t>
      </w:r>
      <w:r w:rsidRPr="0002056A">
        <w:rPr>
          <w:rFonts w:ascii="Georgia" w:eastAsia="Times New Roman" w:hAnsi="Georgia" w:cs="Times New Roman"/>
          <w:b/>
          <w:smallCaps/>
          <w:color w:val="000000"/>
          <w:sz w:val="16"/>
          <w:szCs w:val="16"/>
          <w:lang w:val="en-GB" w:eastAsia="hu-HU"/>
        </w:rPr>
        <w:t>2016):</w:t>
      </w:r>
      <w:r w:rsidRPr="0002056A">
        <w:rPr>
          <w:rFonts w:ascii="Georgia" w:eastAsia="Times New Roman" w:hAnsi="Georgia" w:cs="Times New Roman"/>
          <w:color w:val="000000"/>
          <w:sz w:val="16"/>
          <w:szCs w:val="16"/>
          <w:lang w:val="en-GB" w:eastAsia="hu-HU"/>
        </w:rPr>
        <w:t xml:space="preserve"> Climate Change and Adaptation – Establishing the National Adaptation Geo-Information System (NAGiS). An effective tool to provide the right answers. HU04 – Programme for adaptation and climate change. EEA-C11-1 project. Hungarian Mining and Geological institute. Budapest, 2016</w:t>
      </w:r>
    </w:p>
    <w:p w14:paraId="1F270545"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Sütő, A. (ed.) (</w:t>
      </w:r>
      <w:r w:rsidRPr="0002056A">
        <w:rPr>
          <w:rFonts w:ascii="Georgia" w:eastAsia="Times New Roman" w:hAnsi="Georgia" w:cs="Times New Roman"/>
          <w:b/>
          <w:smallCaps/>
          <w:color w:val="000000"/>
          <w:sz w:val="16"/>
          <w:szCs w:val="16"/>
          <w:lang w:val="en-GB" w:eastAsia="hu-HU"/>
        </w:rPr>
        <w:t>2020):</w:t>
      </w:r>
      <w:r w:rsidRPr="0002056A">
        <w:rPr>
          <w:rFonts w:ascii="Georgia" w:eastAsia="Times New Roman" w:hAnsi="Georgia" w:cs="Times New Roman"/>
          <w:color w:val="000000"/>
          <w:sz w:val="16"/>
          <w:szCs w:val="16"/>
          <w:lang w:val="en-GB" w:eastAsia="hu-HU"/>
        </w:rPr>
        <w:t xml:space="preserve"> A magyarországi klímapolitikai monitoring, jelentéstételi és értékelési rendszer (KIMÉR) felállítását és működésének elindítását közvetlenül megalapozó rendszerkoncepció javaslat. Magyar Bányászati és Földtani Szolgálat, Nemzeti Alkalmazkodási Központ. Budapest, 2020. Magyar Bányászati és Földtani Szolgálat, Nemzeti Alkalmazkodási Központ. Budapest, 2020.</w:t>
      </w:r>
    </w:p>
    <w:p w14:paraId="0ABE5F18" w14:textId="64335104" w:rsidR="00F27E86" w:rsidRPr="0002056A" w:rsidRDefault="00F27E86"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Sütő, A. (2023):</w:t>
      </w:r>
      <w:r w:rsidRPr="0002056A">
        <w:rPr>
          <w:rFonts w:ascii="Georgia" w:hAnsi="Georgia"/>
          <w:b/>
          <w:i/>
          <w:sz w:val="16"/>
          <w:szCs w:val="16"/>
          <w:lang w:val="en-GB"/>
        </w:rPr>
        <w:t xml:space="preserve"> </w:t>
      </w:r>
      <w:r w:rsidRPr="0002056A">
        <w:rPr>
          <w:rFonts w:ascii="Georgia" w:eastAsia="Times New Roman" w:hAnsi="Georgia" w:cs="Times New Roman"/>
          <w:color w:val="000000"/>
          <w:sz w:val="16"/>
          <w:szCs w:val="16"/>
          <w:lang w:val="en-GB" w:eastAsia="hu-HU"/>
        </w:rPr>
        <w:t>The role of strategic planning and territorial aspects of sustainability and climate adaptation activities. E-con</w:t>
      </w:r>
      <w:r w:rsidR="00BC2A6B" w:rsidRPr="0002056A">
        <w:rPr>
          <w:rFonts w:ascii="Georgia" w:eastAsia="Times New Roman" w:hAnsi="Georgia" w:cs="Times New Roman"/>
          <w:color w:val="000000"/>
          <w:sz w:val="16"/>
          <w:szCs w:val="16"/>
          <w:lang w:val="en-GB" w:eastAsia="hu-HU"/>
        </w:rPr>
        <w:t>om</w:t>
      </w:r>
      <w:r w:rsidR="00B97392" w:rsidRPr="0002056A">
        <w:rPr>
          <w:rFonts w:ascii="Georgia" w:eastAsia="Times New Roman" w:hAnsi="Georgia" w:cs="Times New Roman"/>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w:t>
      </w:r>
      <w:r w:rsidR="00B97392" w:rsidRPr="0002056A">
        <w:rPr>
          <w:rFonts w:ascii="Georgia" w:eastAsia="Times New Roman" w:hAnsi="Georgia" w:cs="Times New Roman"/>
          <w:color w:val="000000"/>
          <w:sz w:val="16"/>
          <w:szCs w:val="16"/>
          <w:lang w:val="en-GB" w:eastAsia="hu-HU"/>
        </w:rPr>
        <w:t xml:space="preserve">12. évf. 1 szám. pp 123-140. </w:t>
      </w:r>
      <w:r w:rsidRPr="0002056A">
        <w:rPr>
          <w:rFonts w:ascii="Georgia" w:eastAsia="Times New Roman" w:hAnsi="Georgia" w:cs="Times New Roman"/>
          <w:color w:val="000000"/>
          <w:sz w:val="16"/>
          <w:szCs w:val="16"/>
          <w:lang w:val="en-GB" w:eastAsia="hu-HU"/>
        </w:rPr>
        <w:t>Sopron, 2023.</w:t>
      </w:r>
      <w:r w:rsidR="00BC2A6B" w:rsidRPr="0002056A">
        <w:rPr>
          <w:rFonts w:ascii="Georgia" w:eastAsia="Times New Roman" w:hAnsi="Georgia" w:cs="Times New Roman"/>
          <w:color w:val="000000"/>
          <w:sz w:val="16"/>
          <w:szCs w:val="16"/>
          <w:lang w:val="en-GB" w:eastAsia="hu-HU"/>
        </w:rPr>
        <w:t xml:space="preserve"> </w:t>
      </w:r>
      <w:hyperlink r:id="rId118" w:history="1">
        <w:r w:rsidR="00BC2A6B" w:rsidRPr="0002056A">
          <w:rPr>
            <w:rStyle w:val="Hiperhivatkozs"/>
            <w:rFonts w:ascii="Georgia" w:hAnsi="Georgia" w:cs="Segoe UI"/>
            <w:color w:val="006798"/>
            <w:sz w:val="16"/>
            <w:szCs w:val="16"/>
            <w:shd w:val="clear" w:color="auto" w:fill="FFFFFF"/>
            <w:lang w:val="en-GB"/>
          </w:rPr>
          <w:t>https://doi.org/10.17836/EC.2023.1.123</w:t>
        </w:r>
      </w:hyperlink>
    </w:p>
    <w:p w14:paraId="4452C0F5" w14:textId="7749D7E6" w:rsidR="00F27E86" w:rsidRPr="0002056A" w:rsidRDefault="00F27E86"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bookmarkStart w:id="69" w:name="_Hlk159612852"/>
      <w:r w:rsidRPr="0002056A">
        <w:rPr>
          <w:rFonts w:ascii="Georgia" w:eastAsia="Times New Roman" w:hAnsi="Georgia" w:cs="Times New Roman"/>
          <w:b/>
          <w:bCs/>
          <w:iCs/>
          <w:smallCaps/>
          <w:color w:val="000000"/>
          <w:sz w:val="16"/>
          <w:szCs w:val="16"/>
          <w:lang w:val="en-GB" w:eastAsia="hu-HU"/>
        </w:rPr>
        <w:t>Sütő, A.; Selmeczi, P.; Lovász, Cs. (2023):</w:t>
      </w:r>
      <w:r w:rsidRPr="0002056A">
        <w:rPr>
          <w:rFonts w:ascii="Georgia" w:hAnsi="Georgia"/>
          <w:b/>
          <w:bCs/>
          <w:i/>
          <w:iCs/>
          <w:sz w:val="16"/>
          <w:szCs w:val="16"/>
          <w:lang w:val="en-GB"/>
        </w:rPr>
        <w:t xml:space="preserve"> </w:t>
      </w:r>
      <w:r w:rsidRPr="0002056A">
        <w:rPr>
          <w:rFonts w:ascii="Georgia" w:eastAsia="Times New Roman" w:hAnsi="Georgia" w:cs="Times New Roman"/>
          <w:color w:val="000000"/>
          <w:sz w:val="16"/>
          <w:szCs w:val="16"/>
          <w:lang w:val="en-GB" w:eastAsia="hu-HU"/>
        </w:rPr>
        <w:t>Decision support activities and sectoral vulnerability assessment tools and their potential applicability in the Western Balkan countries. in Economies of the Balkan and Eastern European Countries, KnE Social Sciences, pages 505–535. DOI 10.18502/</w:t>
      </w:r>
      <w:r w:rsidR="00281492" w:rsidRPr="0002056A">
        <w:rPr>
          <w:rFonts w:ascii="Georgia" w:eastAsia="Times New Roman" w:hAnsi="Georgia" w:cs="Times New Roman"/>
          <w:color w:val="000000"/>
          <w:sz w:val="16"/>
          <w:szCs w:val="16"/>
          <w:lang w:val="en-GB" w:eastAsia="hu-HU"/>
        </w:rPr>
        <w:t>kss. v</w:t>
      </w:r>
      <w:r w:rsidRPr="0002056A">
        <w:rPr>
          <w:rFonts w:ascii="Georgia" w:eastAsia="Times New Roman" w:hAnsi="Georgia" w:cs="Times New Roman"/>
          <w:color w:val="000000"/>
          <w:sz w:val="16"/>
          <w:szCs w:val="16"/>
          <w:lang w:val="en-GB" w:eastAsia="hu-HU"/>
        </w:rPr>
        <w:t>8i1.12673</w:t>
      </w:r>
      <w:bookmarkEnd w:id="69"/>
    </w:p>
    <w:p w14:paraId="02A106A8" w14:textId="0476F1F7" w:rsidR="00E05D63" w:rsidRPr="0002056A" w:rsidRDefault="00E05D63"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Sütő, A.</w:t>
      </w:r>
      <w:r w:rsidRPr="0002056A">
        <w:rPr>
          <w:rFonts w:ascii="Georgia" w:eastAsia="Times New Roman" w:hAnsi="Georgia" w:cs="Times New Roman"/>
          <w:smallCaps/>
          <w:color w:val="000000"/>
          <w:sz w:val="16"/>
          <w:szCs w:val="16"/>
          <w:lang w:val="en-GB" w:eastAsia="hu-HU"/>
        </w:rPr>
        <w:t xml:space="preserve"> (2025a):</w:t>
      </w:r>
      <w:r w:rsidRPr="0002056A">
        <w:rPr>
          <w:rFonts w:ascii="Georgia" w:eastAsia="Times New Roman" w:hAnsi="Georgia" w:cs="Times New Roman"/>
          <w:color w:val="000000"/>
          <w:sz w:val="16"/>
          <w:szCs w:val="16"/>
          <w:lang w:val="en-GB" w:eastAsia="hu-HU"/>
        </w:rPr>
        <w:t xml:space="preserve"> A hazai klímaalkalmazkodási politika 2022-23. évi felülvizsgálatának szempontjai és területi jellemzői. Területi Statisztika, 2025, 65 (1): 3-40. </w:t>
      </w:r>
      <w:hyperlink r:id="rId119" w:history="1">
        <w:r w:rsidRPr="0002056A">
          <w:rPr>
            <w:rStyle w:val="Hiperhivatkozs"/>
            <w:rFonts w:ascii="Georgia" w:hAnsi="Georgia" w:cs="Segoe UI"/>
            <w:sz w:val="16"/>
            <w:szCs w:val="16"/>
            <w:shd w:val="clear" w:color="auto" w:fill="FFFFFF"/>
            <w:lang w:val="en-GB"/>
          </w:rPr>
          <w:t>https://doi.org/10.15196/TS650101</w:t>
        </w:r>
      </w:hyperlink>
    </w:p>
    <w:p w14:paraId="0B4F7A9E" w14:textId="79A48B96" w:rsidR="00B97392" w:rsidRPr="0002056A" w:rsidRDefault="00B97392"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Sütő, A.</w:t>
      </w:r>
      <w:r w:rsidRPr="0002056A">
        <w:rPr>
          <w:rFonts w:ascii="Georgia" w:eastAsia="Times New Roman" w:hAnsi="Georgia" w:cs="Times New Roman"/>
          <w:smallCaps/>
          <w:color w:val="000000"/>
          <w:sz w:val="16"/>
          <w:szCs w:val="16"/>
          <w:lang w:val="en-GB" w:eastAsia="hu-HU"/>
        </w:rPr>
        <w:t xml:space="preserve"> (2025</w:t>
      </w:r>
      <w:r w:rsidR="00E05D63" w:rsidRPr="0002056A">
        <w:rPr>
          <w:rFonts w:ascii="Georgia" w:eastAsia="Times New Roman" w:hAnsi="Georgia" w:cs="Times New Roman"/>
          <w:smallCaps/>
          <w:color w:val="000000"/>
          <w:sz w:val="16"/>
          <w:szCs w:val="16"/>
          <w:lang w:val="en-GB" w:eastAsia="hu-HU"/>
        </w:rPr>
        <w:t>b</w:t>
      </w:r>
      <w:r w:rsidRPr="0002056A">
        <w:rPr>
          <w:rFonts w:ascii="Georgia" w:eastAsia="Times New Roman" w:hAnsi="Georgia" w:cs="Times New Roman"/>
          <w:smallCaps/>
          <w:color w:val="000000"/>
          <w:sz w:val="16"/>
          <w:szCs w:val="16"/>
          <w:lang w:val="en-GB" w:eastAsia="hu-HU"/>
        </w:rPr>
        <w:t>):</w:t>
      </w:r>
      <w:r w:rsidR="00461272" w:rsidRPr="0002056A">
        <w:rPr>
          <w:rFonts w:ascii="Georgia" w:eastAsia="Times New Roman" w:hAnsi="Georgia" w:cs="Times New Roman"/>
          <w:color w:val="000000"/>
          <w:sz w:val="16"/>
          <w:szCs w:val="16"/>
          <w:lang w:val="en-GB" w:eastAsia="hu-HU"/>
        </w:rPr>
        <w:t xml:space="preserve"> </w:t>
      </w:r>
      <w:r w:rsidRPr="0002056A">
        <w:rPr>
          <w:rFonts w:ascii="Georgia" w:eastAsia="Times New Roman" w:hAnsi="Georgia" w:cs="Times New Roman"/>
          <w:color w:val="000000"/>
          <w:sz w:val="16"/>
          <w:szCs w:val="16"/>
          <w:lang w:val="en-GB" w:eastAsia="hu-HU"/>
        </w:rPr>
        <w:t xml:space="preserve">Climate sensitivity of national adaptation policies in Eastern-Central Europe - first results of national comparative studies. E-conom, 14. évf. 1 szám. </w:t>
      </w:r>
      <w:r w:rsidR="0020562C" w:rsidRPr="0002056A">
        <w:rPr>
          <w:rFonts w:ascii="Georgia" w:eastAsia="Times New Roman" w:hAnsi="Georgia" w:cs="Times New Roman"/>
          <w:color w:val="000000"/>
          <w:sz w:val="16"/>
          <w:szCs w:val="16"/>
          <w:lang w:val="en-GB" w:eastAsia="hu-HU"/>
        </w:rPr>
        <w:t xml:space="preserve">pp. 33-70. </w:t>
      </w:r>
      <w:r w:rsidRPr="0002056A">
        <w:rPr>
          <w:rFonts w:ascii="Georgia" w:eastAsia="Times New Roman" w:hAnsi="Georgia" w:cs="Times New Roman"/>
          <w:color w:val="000000"/>
          <w:sz w:val="16"/>
          <w:szCs w:val="16"/>
          <w:lang w:val="en-GB" w:eastAsia="hu-HU"/>
        </w:rPr>
        <w:t>Sopron, 2025.</w:t>
      </w:r>
      <w:r w:rsidR="0078666A" w:rsidRPr="0078666A">
        <w:rPr>
          <w:rFonts w:ascii="Georgia" w:eastAsia="Times New Roman" w:hAnsi="Georgia" w:cs="Times New Roman"/>
          <w:color w:val="000000"/>
          <w:sz w:val="16"/>
          <w:szCs w:val="16"/>
          <w:lang w:val="en-GB" w:eastAsia="hu-HU"/>
        </w:rPr>
        <w:t xml:space="preserve"> https://doi.org/10.17836/EC.2025.1.003</w:t>
      </w:r>
    </w:p>
    <w:p w14:paraId="74D6F2B5" w14:textId="3936CD35" w:rsidR="00FF0907" w:rsidRPr="0002056A" w:rsidRDefault="00FF0907"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S</w:t>
      </w:r>
      <w:r w:rsidR="005B1B99" w:rsidRPr="0002056A">
        <w:rPr>
          <w:rFonts w:ascii="Georgia" w:eastAsia="Times New Roman" w:hAnsi="Georgia" w:cs="Times New Roman"/>
          <w:b/>
          <w:bCs/>
          <w:iCs/>
          <w:smallCaps/>
          <w:color w:val="000000"/>
          <w:sz w:val="16"/>
          <w:szCs w:val="16"/>
          <w:lang w:val="en-GB" w:eastAsia="hu-HU"/>
        </w:rPr>
        <w:t>ü</w:t>
      </w:r>
      <w:r w:rsidRPr="0002056A">
        <w:rPr>
          <w:rFonts w:ascii="Georgia" w:eastAsia="Times New Roman" w:hAnsi="Georgia" w:cs="Times New Roman"/>
          <w:b/>
          <w:bCs/>
          <w:iCs/>
          <w:smallCaps/>
          <w:color w:val="000000"/>
          <w:sz w:val="16"/>
          <w:szCs w:val="16"/>
          <w:lang w:val="en-GB" w:eastAsia="hu-HU"/>
        </w:rPr>
        <w:t>tő, A.</w:t>
      </w:r>
      <w:r w:rsidRPr="0002056A">
        <w:rPr>
          <w:rFonts w:ascii="Georgia" w:eastAsia="Times New Roman" w:hAnsi="Georgia" w:cs="Times New Roman"/>
          <w:color w:val="000000"/>
          <w:sz w:val="16"/>
          <w:szCs w:val="16"/>
          <w:lang w:val="en-GB" w:eastAsia="hu-HU"/>
        </w:rPr>
        <w:t xml:space="preserve"> (202</w:t>
      </w:r>
      <w:r w:rsidR="00756098" w:rsidRPr="0002056A">
        <w:rPr>
          <w:rFonts w:ascii="Georgia" w:eastAsia="Times New Roman" w:hAnsi="Georgia" w:cs="Times New Roman"/>
          <w:color w:val="000000"/>
          <w:sz w:val="16"/>
          <w:szCs w:val="16"/>
          <w:lang w:val="en-GB" w:eastAsia="hu-HU"/>
        </w:rPr>
        <w:t>5c</w:t>
      </w:r>
      <w:r w:rsidRPr="0002056A">
        <w:rPr>
          <w:rFonts w:ascii="Georgia" w:eastAsia="Times New Roman" w:hAnsi="Georgia" w:cs="Times New Roman"/>
          <w:color w:val="000000"/>
          <w:sz w:val="16"/>
          <w:szCs w:val="16"/>
          <w:lang w:val="en-GB" w:eastAsia="hu-HU"/>
        </w:rPr>
        <w:t xml:space="preserve">): </w:t>
      </w:r>
      <w:r w:rsidR="008821BC" w:rsidRPr="0002056A">
        <w:rPr>
          <w:rFonts w:ascii="Georgia" w:eastAsia="Times New Roman" w:hAnsi="Georgia" w:cs="Times New Roman"/>
          <w:color w:val="000000"/>
          <w:sz w:val="16"/>
          <w:szCs w:val="16"/>
          <w:lang w:val="en-GB" w:eastAsia="hu-HU"/>
        </w:rPr>
        <w:t>Klímaalkalmazkodás és területiség a Kárpát-medencében és Kelet-Közép-Európában. A térségbeli országok klímaalkalmazkodási politikáinak klímaszempontú térérzékenysége. Kárpát-haza Szemle, 2025 (2), pp. 17–48, 105. https://doi.org/10.64605/KHSZ.2025.2.02</w:t>
      </w:r>
    </w:p>
    <w:p w14:paraId="5D75937C" w14:textId="6738AACC"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Swart, R.; Biesbroek, R., Binnerup, </w:t>
      </w:r>
      <w:r w:rsidR="00281492" w:rsidRPr="0002056A">
        <w:rPr>
          <w:rFonts w:ascii="Georgia" w:eastAsia="Times New Roman" w:hAnsi="Georgia" w:cs="Times New Roman"/>
          <w:b/>
          <w:bCs/>
          <w:iCs/>
          <w:smallCaps/>
          <w:color w:val="000000"/>
          <w:sz w:val="16"/>
          <w:szCs w:val="16"/>
          <w:lang w:val="en-GB" w:eastAsia="hu-HU"/>
        </w:rPr>
        <w:t>S. CARTER</w:t>
      </w:r>
      <w:r w:rsidRPr="0002056A">
        <w:rPr>
          <w:rFonts w:ascii="Georgia" w:eastAsia="Times New Roman" w:hAnsi="Georgia" w:cs="Times New Roman"/>
          <w:b/>
          <w:bCs/>
          <w:iCs/>
          <w:smallCaps/>
          <w:color w:val="000000"/>
          <w:sz w:val="16"/>
          <w:szCs w:val="16"/>
          <w:lang w:val="en-GB" w:eastAsia="hu-HU"/>
        </w:rPr>
        <w:t>, T.R.; Cowan, C.; Heinrichs T.; Loquen S.; Mela, H.; Morecroft, M.; Reese, M.; Rey, D. (</w:t>
      </w:r>
      <w:r w:rsidRPr="0002056A">
        <w:rPr>
          <w:rFonts w:ascii="Georgia" w:eastAsia="Times New Roman" w:hAnsi="Georgia" w:cs="Times New Roman"/>
          <w:b/>
          <w:smallCaps/>
          <w:color w:val="000000"/>
          <w:sz w:val="16"/>
          <w:szCs w:val="16"/>
          <w:lang w:val="en-GB" w:eastAsia="hu-HU"/>
        </w:rPr>
        <w:t>2009):</w:t>
      </w:r>
      <w:r w:rsidRPr="0002056A">
        <w:rPr>
          <w:rFonts w:ascii="Georgia" w:eastAsia="Times New Roman" w:hAnsi="Georgia" w:cs="Times New Roman"/>
          <w:color w:val="000000"/>
          <w:sz w:val="16"/>
          <w:szCs w:val="16"/>
          <w:lang w:val="en-GB" w:eastAsia="hu-HU"/>
        </w:rPr>
        <w:t xml:space="preserve"> Europe adapts to climate change: Comparing National Adaptation Strategies. PEER Report 01. Helsinki, 2009.</w:t>
      </w:r>
    </w:p>
    <w:p w14:paraId="330A93DB" w14:textId="14267BCD" w:rsidR="007A32C5" w:rsidRPr="0002056A" w:rsidRDefault="0009190B" w:rsidP="00214BD9">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Taylor, P.J</w:t>
      </w:r>
      <w:r w:rsidR="00097E9A" w:rsidRPr="0002056A">
        <w:rPr>
          <w:rFonts w:ascii="Georgia" w:eastAsia="Times New Roman" w:hAnsi="Georgia" w:cs="Times New Roman"/>
          <w:b/>
          <w:bCs/>
          <w:iCs/>
          <w:smallCaps/>
          <w:color w:val="000000"/>
          <w:sz w:val="16"/>
          <w:szCs w:val="16"/>
          <w:lang w:val="en-GB" w:eastAsia="hu-HU"/>
        </w:rPr>
        <w:t>. &amp;</w:t>
      </w:r>
      <w:r w:rsidRPr="0002056A">
        <w:rPr>
          <w:rFonts w:ascii="Georgia" w:eastAsia="Times New Roman" w:hAnsi="Georgia" w:cs="Times New Roman"/>
          <w:b/>
          <w:bCs/>
          <w:iCs/>
          <w:smallCaps/>
          <w:color w:val="000000"/>
          <w:sz w:val="16"/>
          <w:szCs w:val="16"/>
          <w:lang w:val="en-GB" w:eastAsia="hu-HU"/>
        </w:rPr>
        <w:t xml:space="preserve"> O’Keefe, Ph. (2021):</w:t>
      </w:r>
      <w:r w:rsidRPr="0002056A">
        <w:rPr>
          <w:rFonts w:ascii="Georgia" w:eastAsia="Times New Roman" w:hAnsi="Georgia" w:cs="Times New Roman"/>
          <w:color w:val="000000"/>
          <w:sz w:val="16"/>
          <w:szCs w:val="16"/>
          <w:lang w:val="en-GB" w:eastAsia="hu-HU"/>
        </w:rPr>
        <w:t xml:space="preserve"> In praise of Geography as a field of study for the climate emergency. The Geographical Journal. </w:t>
      </w:r>
      <w:hyperlink r:id="rId120" w:tooltip="View Volume 187, Issue 4" w:history="1">
        <w:r w:rsidRPr="0002056A">
          <w:rPr>
            <w:rFonts w:ascii="Georgia" w:eastAsia="Times New Roman" w:hAnsi="Georgia" w:cs="Times New Roman"/>
            <w:color w:val="000000"/>
            <w:sz w:val="16"/>
            <w:szCs w:val="16"/>
            <w:lang w:val="en-GB" w:eastAsia="hu-HU"/>
          </w:rPr>
          <w:t>Volume187, Issue 4</w:t>
        </w:r>
      </w:hyperlink>
      <w:r w:rsidRPr="0002056A">
        <w:rPr>
          <w:rFonts w:ascii="Georgia" w:eastAsia="Times New Roman" w:hAnsi="Georgia" w:cs="Times New Roman"/>
          <w:color w:val="000000"/>
          <w:sz w:val="16"/>
          <w:szCs w:val="16"/>
          <w:lang w:val="en-GB" w:eastAsia="hu-HU"/>
        </w:rPr>
        <w:t>. December 2021. Pp 394-401</w:t>
      </w:r>
      <w:r w:rsidR="007A32C5" w:rsidRPr="0002056A">
        <w:rPr>
          <w:rFonts w:ascii="Georgia" w:eastAsia="Times New Roman" w:hAnsi="Georgia" w:cs="Times New Roman"/>
          <w:color w:val="000000"/>
          <w:sz w:val="16"/>
          <w:szCs w:val="16"/>
          <w:lang w:val="en-GB" w:eastAsia="hu-HU"/>
        </w:rPr>
        <w:t xml:space="preserve"> The Royal Geographical Society, 2021. </w:t>
      </w:r>
      <w:hyperlink r:id="rId121" w:history="1">
        <w:r w:rsidR="007A32C5" w:rsidRPr="0002056A">
          <w:rPr>
            <w:rFonts w:ascii="Georgia" w:hAnsi="Georgia"/>
            <w:color w:val="000000"/>
            <w:sz w:val="16"/>
            <w:szCs w:val="16"/>
            <w:lang w:val="en-GB"/>
          </w:rPr>
          <w:t>https://doi.org/10.1111/geoj.12404</w:t>
        </w:r>
      </w:hyperlink>
    </w:p>
    <w:p w14:paraId="3FA574A3" w14:textId="3F40C677" w:rsidR="004A4BA9" w:rsidRPr="0002056A" w:rsidRDefault="004A4BA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Taylor, P.J. (2023):</w:t>
      </w:r>
      <w:r w:rsidRPr="0002056A">
        <w:rPr>
          <w:rFonts w:ascii="Georgia" w:eastAsia="Times New Roman" w:hAnsi="Georgia" w:cs="Times New Roman"/>
          <w:color w:val="000000"/>
          <w:sz w:val="16"/>
          <w:szCs w:val="16"/>
          <w:lang w:val="en-GB" w:eastAsia="hu-HU"/>
        </w:rPr>
        <w:t xml:space="preserve"> The geographical ontology challenge in attending to anthropogenic climate change: regional geography revisited. Journal of Economic and Human Geography, Wiley Publishing, </w:t>
      </w:r>
      <w:hyperlink r:id="rId122" w:history="1">
        <w:r w:rsidRPr="0002056A">
          <w:rPr>
            <w:rFonts w:ascii="Georgia" w:eastAsia="Times New Roman" w:hAnsi="Georgia" w:cs="Times New Roman"/>
            <w:color w:val="000000"/>
            <w:sz w:val="16"/>
            <w:szCs w:val="16"/>
            <w:lang w:val="en-GB" w:eastAsia="hu-HU"/>
          </w:rPr>
          <w:t>https://doi.org/10.1111/tesg.12540</w:t>
        </w:r>
      </w:hyperlink>
    </w:p>
    <w:p w14:paraId="02A7EC98"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Termeer, C.; Biesbroek, R.; van den Brink, M. (</w:t>
      </w:r>
      <w:r w:rsidRPr="0002056A">
        <w:rPr>
          <w:rFonts w:ascii="Georgia" w:eastAsia="Times New Roman" w:hAnsi="Georgia" w:cs="Times New Roman"/>
          <w:b/>
          <w:smallCaps/>
          <w:color w:val="000000"/>
          <w:sz w:val="16"/>
          <w:szCs w:val="16"/>
          <w:lang w:val="en-GB" w:eastAsia="hu-HU"/>
        </w:rPr>
        <w:t>2011):</w:t>
      </w:r>
      <w:r w:rsidRPr="0002056A">
        <w:rPr>
          <w:rFonts w:ascii="Georgia" w:eastAsia="Times New Roman" w:hAnsi="Georgia" w:cs="Times New Roman"/>
          <w:color w:val="000000"/>
          <w:sz w:val="16"/>
          <w:szCs w:val="16"/>
          <w:lang w:val="en-GB" w:eastAsia="hu-HU"/>
        </w:rPr>
        <w:t xml:space="preserve"> Institutions for adaptation to climate change: comparing national adaptation strategies in Europe. Symposium. Wageningen University, Netherland. Published online 24 June 2011. doi.: 10.1057/eps.2011.7.</w:t>
      </w:r>
    </w:p>
    <w:p w14:paraId="7F2C2FF3" w14:textId="4F97FD2E"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hAnsi="Georgia"/>
          <w:b/>
          <w:bCs/>
          <w:iCs/>
          <w:smallCaps/>
          <w:sz w:val="16"/>
          <w:szCs w:val="16"/>
          <w:lang w:val="en-GB"/>
        </w:rPr>
        <w:t>Tompkins, E.L.</w:t>
      </w:r>
      <w:r w:rsidR="001B376D" w:rsidRPr="0002056A">
        <w:rPr>
          <w:rFonts w:ascii="Georgia" w:hAnsi="Georgia"/>
          <w:b/>
          <w:bCs/>
          <w:iCs/>
          <w:smallCaps/>
          <w:sz w:val="16"/>
          <w:szCs w:val="16"/>
          <w:lang w:val="en-GB"/>
        </w:rPr>
        <w:t xml:space="preserve"> and</w:t>
      </w:r>
      <w:r w:rsidRPr="0002056A">
        <w:rPr>
          <w:rFonts w:ascii="Georgia" w:hAnsi="Georgia"/>
          <w:b/>
          <w:bCs/>
          <w:iCs/>
          <w:smallCaps/>
          <w:sz w:val="16"/>
          <w:szCs w:val="16"/>
          <w:lang w:val="en-GB"/>
        </w:rPr>
        <w:t xml:space="preserve"> Amundsen, H. (2008):</w:t>
      </w:r>
      <w:r w:rsidRPr="0002056A">
        <w:rPr>
          <w:rFonts w:ascii="Georgia" w:hAnsi="Georgia"/>
          <w:sz w:val="16"/>
          <w:szCs w:val="16"/>
          <w:lang w:val="en-GB"/>
        </w:rPr>
        <w:t xml:space="preserve"> Perceptions of the effectiveness of the UNFCCC in advancing natural action on climate change. Environmental Science and Policy, 11 (1) pp 1-13</w:t>
      </w:r>
    </w:p>
    <w:p w14:paraId="5D3867FA" w14:textId="3CD0C768"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Tuan, Y.F. (</w:t>
      </w:r>
      <w:r w:rsidRPr="0002056A">
        <w:rPr>
          <w:rFonts w:ascii="Georgia" w:eastAsia="Times New Roman" w:hAnsi="Georgia" w:cs="Times New Roman"/>
          <w:b/>
          <w:smallCaps/>
          <w:color w:val="000000"/>
          <w:sz w:val="16"/>
          <w:szCs w:val="16"/>
          <w:lang w:val="en-GB" w:eastAsia="hu-HU"/>
        </w:rPr>
        <w:t>1979):</w:t>
      </w:r>
      <w:r w:rsidRPr="0002056A">
        <w:rPr>
          <w:rFonts w:ascii="Georgia" w:eastAsia="Times New Roman" w:hAnsi="Georgia" w:cs="Times New Roman"/>
          <w:color w:val="000000"/>
          <w:sz w:val="16"/>
          <w:szCs w:val="16"/>
          <w:lang w:val="en-GB" w:eastAsia="hu-HU"/>
        </w:rPr>
        <w:t xml:space="preserve"> Space and Place: Humanistic Perspective.  In: Gale, S., Olsson, G. (eds) Philosophy in Geography. Theory and Decision Library, vol 20. Springer, Dordrecht. </w:t>
      </w:r>
      <w:hyperlink r:id="rId123" w:history="1">
        <w:r w:rsidRPr="0002056A">
          <w:rPr>
            <w:rStyle w:val="Hiperhivatkozs"/>
            <w:rFonts w:ascii="Georgia" w:eastAsia="Times New Roman" w:hAnsi="Georgia" w:cs="Times New Roman"/>
            <w:sz w:val="16"/>
            <w:szCs w:val="16"/>
            <w:lang w:val="en-GB" w:eastAsia="hu-HU"/>
          </w:rPr>
          <w:t>https://doi.org/10.1007/978-94-009-9394-5_19</w:t>
        </w:r>
      </w:hyperlink>
      <w:r w:rsidRPr="0002056A">
        <w:rPr>
          <w:rFonts w:ascii="Georgia" w:eastAsia="Times New Roman" w:hAnsi="Georgia" w:cs="Times New Roman"/>
          <w:color w:val="000000"/>
          <w:sz w:val="16"/>
          <w:szCs w:val="16"/>
          <w:lang w:val="en-GB" w:eastAsia="hu-HU"/>
        </w:rPr>
        <w:t>.</w:t>
      </w:r>
    </w:p>
    <w:p w14:paraId="307EBB69" w14:textId="494A7CCB" w:rsidR="005553A9" w:rsidRPr="0002056A" w:rsidRDefault="005553A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UBA (2025): </w:t>
      </w:r>
      <w:r w:rsidRPr="0002056A">
        <w:rPr>
          <w:rFonts w:ascii="Georgia" w:eastAsia="Times New Roman" w:hAnsi="Georgia" w:cs="Times New Roman"/>
          <w:color w:val="000000"/>
          <w:sz w:val="16"/>
          <w:szCs w:val="16"/>
          <w:lang w:val="en-GB" w:eastAsia="hu-HU"/>
        </w:rPr>
        <w:t xml:space="preserve">Towards a climate </w:t>
      </w:r>
      <w:r w:rsidR="00216AD0" w:rsidRPr="0002056A">
        <w:rPr>
          <w:rFonts w:ascii="Georgia" w:eastAsia="Times New Roman" w:hAnsi="Georgia" w:cs="Times New Roman"/>
          <w:color w:val="000000"/>
          <w:sz w:val="16"/>
          <w:szCs w:val="16"/>
          <w:lang w:val="en-GB" w:eastAsia="hu-HU"/>
        </w:rPr>
        <w:t>resilient</w:t>
      </w:r>
      <w:r w:rsidRPr="0002056A">
        <w:rPr>
          <w:rFonts w:ascii="Georgia" w:eastAsia="Times New Roman" w:hAnsi="Georgia" w:cs="Times New Roman"/>
          <w:color w:val="000000"/>
          <w:sz w:val="16"/>
          <w:szCs w:val="16"/>
          <w:lang w:val="en-GB" w:eastAsia="hu-HU"/>
        </w:rPr>
        <w:t xml:space="preserve"> Europe. Recommendations for the European Climate Resilience and Risk Management Framework.</w:t>
      </w:r>
      <w:r w:rsidR="00F82ED3" w:rsidRPr="0002056A">
        <w:rPr>
          <w:rFonts w:ascii="Georgia" w:eastAsia="Times New Roman" w:hAnsi="Georgia" w:cs="Times New Roman"/>
          <w:color w:val="000000"/>
          <w:sz w:val="16"/>
          <w:szCs w:val="16"/>
          <w:lang w:val="en-GB" w:eastAsia="hu-HU"/>
        </w:rPr>
        <w:t xml:space="preserve"> Umweltbundesamt Deutschland, KomPass Competence Centre for Climate Impacts and Adaptation. </w:t>
      </w:r>
      <w:r w:rsidR="00216AD0" w:rsidRPr="0002056A">
        <w:rPr>
          <w:rFonts w:ascii="Georgia" w:eastAsia="Times New Roman" w:hAnsi="Georgia" w:cs="Times New Roman"/>
          <w:color w:val="000000"/>
          <w:sz w:val="16"/>
          <w:szCs w:val="16"/>
          <w:lang w:val="en-GB" w:eastAsia="hu-HU"/>
        </w:rPr>
        <w:t>Scientific</w:t>
      </w:r>
      <w:r w:rsidR="00F82ED3" w:rsidRPr="0002056A">
        <w:rPr>
          <w:rFonts w:ascii="Georgia" w:eastAsia="Times New Roman" w:hAnsi="Georgia" w:cs="Times New Roman"/>
          <w:color w:val="000000"/>
          <w:sz w:val="16"/>
          <w:szCs w:val="16"/>
          <w:lang w:val="en-GB" w:eastAsia="hu-HU"/>
        </w:rPr>
        <w:t xml:space="preserve"> Opinion Paper. August 2025. Dessau-Roslau, 2025.</w:t>
      </w:r>
    </w:p>
    <w:p w14:paraId="57F9C58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lastRenderedPageBreak/>
        <w:t xml:space="preserve">Uittenbroek, C.J., Janssen-Jansen, L.B., Runhaar, H.A.C. </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Mainstreaming climate adaptation into urban planning: overcoming barriers, seizing opportunities and evaluating the results in two Dutch case studies. Regional Environmental Change volume 13, pages399–411 (2013)</w:t>
      </w:r>
    </w:p>
    <w:p w14:paraId="497EA7B3" w14:textId="281469ED" w:rsidR="005224AC" w:rsidRPr="0002056A" w:rsidRDefault="005224AC"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UNFCCC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Paris Agreement. United Nations Framework Convention on Climate Change.</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United Nations, 2015</w:t>
      </w:r>
    </w:p>
    <w:p w14:paraId="59F77883" w14:textId="59081AC5" w:rsidR="00CA6A8E" w:rsidRPr="0002056A" w:rsidRDefault="00CA6A8E" w:rsidP="00214BD9">
      <w:pPr>
        <w:pStyle w:val="Listaszerbekezds"/>
        <w:numPr>
          <w:ilvl w:val="0"/>
          <w:numId w:val="3"/>
        </w:numPr>
        <w:spacing w:after="0" w:line="240" w:lineRule="auto"/>
        <w:contextualSpacing w:val="0"/>
        <w:jc w:val="both"/>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UNFCCC (202</w:t>
      </w:r>
      <w:r w:rsidR="00C03FFF" w:rsidRPr="0002056A">
        <w:rPr>
          <w:rFonts w:ascii="Georgia" w:eastAsia="Times New Roman" w:hAnsi="Georgia" w:cs="Times New Roman"/>
          <w:b/>
          <w:bCs/>
          <w:iCs/>
          <w:smallCaps/>
          <w:color w:val="000000"/>
          <w:sz w:val="16"/>
          <w:szCs w:val="16"/>
          <w:lang w:val="en-GB" w:eastAsia="hu-HU"/>
        </w:rPr>
        <w:t>1</w:t>
      </w:r>
      <w:r w:rsidRPr="0002056A">
        <w:rPr>
          <w:rFonts w:ascii="Georgia" w:eastAsia="Times New Roman" w:hAnsi="Georgia" w:cs="Times New Roman"/>
          <w:b/>
          <w:bCs/>
          <w:iCs/>
          <w:smallCaps/>
          <w:color w:val="000000"/>
          <w:sz w:val="16"/>
          <w:szCs w:val="16"/>
          <w:lang w:val="en-GB" w:eastAsia="hu-HU"/>
        </w:rPr>
        <w:t>):</w:t>
      </w:r>
      <w:r w:rsidR="00C03FFF" w:rsidRPr="0002056A">
        <w:rPr>
          <w:rFonts w:ascii="Georgia" w:hAnsi="Georgia"/>
          <w:sz w:val="16"/>
          <w:szCs w:val="16"/>
          <w:lang w:val="en-GB"/>
        </w:rPr>
        <w:t xml:space="preserve"> </w:t>
      </w:r>
      <w:r w:rsidR="00C03FFF" w:rsidRPr="0002056A">
        <w:rPr>
          <w:rFonts w:ascii="Georgia" w:eastAsia="Times New Roman" w:hAnsi="Georgia" w:cs="Times New Roman"/>
          <w:color w:val="000000"/>
          <w:sz w:val="16"/>
          <w:szCs w:val="16"/>
          <w:lang w:val="en-GB" w:eastAsia="hu-HU"/>
        </w:rPr>
        <w:t>N</w:t>
      </w:r>
      <w:r w:rsidR="005359E4" w:rsidRPr="0002056A">
        <w:rPr>
          <w:rFonts w:ascii="Georgia" w:eastAsia="Times New Roman" w:hAnsi="Georgia" w:cs="Times New Roman"/>
          <w:color w:val="000000"/>
          <w:sz w:val="16"/>
          <w:szCs w:val="16"/>
          <w:lang w:val="en-GB" w:eastAsia="hu-HU"/>
        </w:rPr>
        <w:t>ational Adaptation Plans</w:t>
      </w:r>
      <w:r w:rsidR="00C03FFF" w:rsidRPr="0002056A">
        <w:rPr>
          <w:rFonts w:ascii="Georgia" w:eastAsia="Times New Roman" w:hAnsi="Georgia" w:cs="Times New Roman"/>
          <w:color w:val="000000"/>
          <w:sz w:val="16"/>
          <w:szCs w:val="16"/>
          <w:lang w:val="en-GB" w:eastAsia="hu-HU"/>
        </w:rPr>
        <w:t xml:space="preserve"> 2020 P</w:t>
      </w:r>
      <w:r w:rsidR="005359E4" w:rsidRPr="0002056A">
        <w:rPr>
          <w:rFonts w:ascii="Georgia" w:eastAsia="Times New Roman" w:hAnsi="Georgia" w:cs="Times New Roman"/>
          <w:color w:val="000000"/>
          <w:sz w:val="16"/>
          <w:szCs w:val="16"/>
          <w:lang w:val="en-GB" w:eastAsia="hu-HU"/>
        </w:rPr>
        <w:t xml:space="preserve">rogress in the formulation and implementation of </w:t>
      </w:r>
      <w:r w:rsidR="00C03FFF" w:rsidRPr="0002056A">
        <w:rPr>
          <w:rFonts w:ascii="Georgia" w:eastAsia="Times New Roman" w:hAnsi="Georgia" w:cs="Times New Roman"/>
          <w:color w:val="000000"/>
          <w:sz w:val="16"/>
          <w:szCs w:val="16"/>
          <w:lang w:val="en-GB" w:eastAsia="hu-HU"/>
        </w:rPr>
        <w:t>NAP</w:t>
      </w:r>
      <w:r w:rsidR="005359E4" w:rsidRPr="0002056A">
        <w:rPr>
          <w:rFonts w:ascii="Georgia" w:eastAsia="Times New Roman" w:hAnsi="Georgia" w:cs="Times New Roman"/>
          <w:color w:val="000000"/>
          <w:sz w:val="16"/>
          <w:szCs w:val="16"/>
          <w:lang w:val="en-GB" w:eastAsia="hu-HU"/>
        </w:rPr>
        <w:t>s</w:t>
      </w:r>
      <w:r w:rsidR="00C03FFF" w:rsidRPr="0002056A">
        <w:rPr>
          <w:rFonts w:ascii="Georgia" w:eastAsia="Times New Roman" w:hAnsi="Georgia" w:cs="Times New Roman"/>
          <w:color w:val="000000"/>
          <w:sz w:val="16"/>
          <w:szCs w:val="16"/>
          <w:lang w:val="en-GB" w:eastAsia="hu-HU"/>
        </w:rPr>
        <w:t>. United Nations Climate Change Secretariat UN Campus Platz der Vereinten Nationen 1 53113 Bonn, Germany.</w:t>
      </w:r>
    </w:p>
    <w:p w14:paraId="5FB06BE7" w14:textId="09F3CBE6" w:rsidR="003A2A3C" w:rsidRPr="0002056A" w:rsidRDefault="003A2A3C" w:rsidP="00214BD9">
      <w:pPr>
        <w:pStyle w:val="Listaszerbekezds"/>
        <w:numPr>
          <w:ilvl w:val="0"/>
          <w:numId w:val="3"/>
        </w:numPr>
        <w:spacing w:after="0" w:line="240" w:lineRule="auto"/>
        <w:contextualSpacing w:val="0"/>
        <w:jc w:val="both"/>
        <w:rPr>
          <w:rFonts w:ascii="Georgia" w:eastAsia="Times New Roman" w:hAnsi="Georgia" w:cs="Times New Roman"/>
          <w:b/>
          <w:bCs/>
          <w:iCs/>
          <w:smallCaps/>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UN</w:t>
      </w:r>
      <w:r w:rsidR="005224AC" w:rsidRPr="0002056A">
        <w:rPr>
          <w:rFonts w:ascii="Georgia" w:eastAsia="Times New Roman" w:hAnsi="Georgia" w:cs="Times New Roman"/>
          <w:b/>
          <w:bCs/>
          <w:iCs/>
          <w:smallCaps/>
          <w:color w:val="000000"/>
          <w:sz w:val="16"/>
          <w:szCs w:val="16"/>
          <w:lang w:val="en-GB" w:eastAsia="hu-HU"/>
        </w:rPr>
        <w:t>FCCC</w:t>
      </w:r>
      <w:r w:rsidRPr="0002056A">
        <w:rPr>
          <w:rFonts w:ascii="Georgia" w:eastAsia="Times New Roman" w:hAnsi="Georgia" w:cs="Times New Roman"/>
          <w:b/>
          <w:bCs/>
          <w:iCs/>
          <w:smallCaps/>
          <w:color w:val="000000"/>
          <w:sz w:val="16"/>
          <w:szCs w:val="16"/>
          <w:lang w:val="en-GB" w:eastAsia="hu-HU"/>
        </w:rPr>
        <w:t xml:space="preserve"> (2023): </w:t>
      </w:r>
      <w:r w:rsidRPr="0002056A">
        <w:rPr>
          <w:rFonts w:ascii="Georgia" w:eastAsia="Times New Roman" w:hAnsi="Georgia" w:cs="Times New Roman"/>
          <w:color w:val="000000"/>
          <w:sz w:val="16"/>
          <w:szCs w:val="16"/>
          <w:lang w:val="en-GB" w:eastAsia="hu-HU"/>
        </w:rPr>
        <w:t>COP28 Agreement Signals “Beginning of the End” of the Fossil Fuel Era. UN Climate Press, 13 December 2023. Downloaded from</w:t>
      </w:r>
      <w:r w:rsidR="005224AC" w:rsidRPr="0002056A">
        <w:rPr>
          <w:rFonts w:ascii="Georgia" w:eastAsia="Times New Roman" w:hAnsi="Georgia" w:cs="Times New Roman"/>
          <w:color w:val="000000"/>
          <w:sz w:val="16"/>
          <w:szCs w:val="16"/>
          <w:lang w:val="en-GB" w:eastAsia="hu-HU"/>
        </w:rPr>
        <w:t xml:space="preserve"> </w:t>
      </w:r>
      <w:hyperlink r:id="rId124" w:history="1">
        <w:r w:rsidR="00CA6A8E" w:rsidRPr="0002056A">
          <w:rPr>
            <w:rStyle w:val="Hiperhivatkozs"/>
            <w:rFonts w:ascii="Georgia" w:eastAsia="Times New Roman" w:hAnsi="Georgia" w:cs="Times New Roman"/>
            <w:sz w:val="16"/>
            <w:szCs w:val="16"/>
            <w:lang w:val="en-GB" w:eastAsia="hu-HU"/>
          </w:rPr>
          <w:t>https://unfccc.int/news/cop28-agreement-signals-beginning-of-the-end-of-the-fossil-fuel-era on 10.01.2024</w:t>
        </w:r>
      </w:hyperlink>
      <w:r w:rsidRPr="0002056A">
        <w:rPr>
          <w:rFonts w:ascii="Georgia" w:eastAsia="Times New Roman" w:hAnsi="Georgia" w:cs="Times New Roman"/>
          <w:color w:val="000000"/>
          <w:sz w:val="16"/>
          <w:szCs w:val="16"/>
          <w:lang w:val="en-GB" w:eastAsia="hu-HU"/>
        </w:rPr>
        <w:t>.</w:t>
      </w:r>
    </w:p>
    <w:p w14:paraId="2267C78C" w14:textId="77777777" w:rsidR="000C0879" w:rsidRPr="0002056A" w:rsidRDefault="000C087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UN General Assembly (</w:t>
      </w:r>
      <w:r w:rsidRPr="0002056A">
        <w:rPr>
          <w:rFonts w:ascii="Georgia" w:eastAsia="Times New Roman" w:hAnsi="Georgia" w:cs="Times New Roman"/>
          <w:b/>
          <w:smallCaps/>
          <w:color w:val="000000"/>
          <w:sz w:val="16"/>
          <w:szCs w:val="16"/>
          <w:lang w:val="en-GB" w:eastAsia="hu-HU"/>
        </w:rPr>
        <w:t>2015):</w:t>
      </w:r>
      <w:r w:rsidRPr="0002056A">
        <w:rPr>
          <w:rFonts w:ascii="Georgia" w:eastAsia="Times New Roman" w:hAnsi="Georgia" w:cs="Times New Roman"/>
          <w:color w:val="000000"/>
          <w:sz w:val="16"/>
          <w:szCs w:val="16"/>
          <w:lang w:val="en-GB" w:eastAsia="hu-HU"/>
        </w:rPr>
        <w:t xml:space="preserve"> Transforming our world: The 2030 Agenda for Sustainable Development. Adopted by the General Assembly on 25 September 2015 [without reference to a Main Committee (A/70/L.1)] 70/1.</w:t>
      </w:r>
    </w:p>
    <w:p w14:paraId="025F1CC8" w14:textId="77777777" w:rsidR="000C0879" w:rsidRPr="0002056A" w:rsidRDefault="000C087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UNISDR </w:t>
      </w:r>
      <w:r w:rsidRPr="0002056A">
        <w:rPr>
          <w:rFonts w:ascii="Georgia" w:hAnsi="Georgia"/>
          <w:b/>
          <w:smallCaps/>
          <w:sz w:val="16"/>
          <w:szCs w:val="16"/>
          <w:lang w:val="en-GB"/>
        </w:rPr>
        <w:t>(2015):</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 xml:space="preserve">Sendai Framework for Disaster Risk Reduction 2015-2030. Geneva Switzerland. </w:t>
      </w:r>
      <w:hyperlink r:id="rId125" w:history="1">
        <w:r w:rsidRPr="0002056A">
          <w:rPr>
            <w:rFonts w:ascii="Georgia" w:eastAsia="Times New Roman" w:hAnsi="Georgia" w:cs="Times New Roman"/>
            <w:color w:val="000000"/>
            <w:sz w:val="16"/>
            <w:szCs w:val="16"/>
            <w:lang w:val="en-GB" w:eastAsia="hu-HU"/>
          </w:rPr>
          <w:t>www.unisdr.org</w:t>
        </w:r>
      </w:hyperlink>
    </w:p>
    <w:p w14:paraId="74DA4321"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Vallejo, L. (ed)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Insights from national adaptation monitoring and evaluation systems. Climate Change Expert Group Paper No. 2017(3) OECD.</w:t>
      </w:r>
    </w:p>
    <w:p w14:paraId="744E48AA"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van Minnen J, Harley M, van de Sandt K, Ligtvoet W, (</w:t>
      </w:r>
      <w:r w:rsidRPr="0002056A">
        <w:rPr>
          <w:rFonts w:ascii="Georgia" w:eastAsia="Times New Roman" w:hAnsi="Georgia" w:cs="Times New Roman"/>
          <w:b/>
          <w:smallCaps/>
          <w:color w:val="000000"/>
          <w:sz w:val="16"/>
          <w:szCs w:val="16"/>
          <w:lang w:val="en-GB" w:eastAsia="hu-HU"/>
        </w:rPr>
        <w:t>2014):</w:t>
      </w:r>
      <w:r w:rsidRPr="0002056A">
        <w:rPr>
          <w:rFonts w:ascii="Georgia" w:eastAsia="Times New Roman" w:hAnsi="Georgia" w:cs="Times New Roman"/>
          <w:color w:val="000000"/>
          <w:sz w:val="16"/>
          <w:szCs w:val="16"/>
          <w:lang w:val="en-GB" w:eastAsia="hu-HU"/>
        </w:rPr>
        <w:t xml:space="preserve">  Adaptation indicators: a basis for monitoring implementation and effectiveness. McCallum S, Schauser I, Swart R (ed) (2014) Climate Change Adaptation Manual, Lessons learned from European and other industrialised countries, Chapter 14,</w:t>
      </w:r>
    </w:p>
    <w:p w14:paraId="7A468F60" w14:textId="261A2F7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Van Minnen J.G., Harley, M., Franken, R., Ligtvoet, W. (</w:t>
      </w:r>
      <w:r w:rsidRPr="0002056A">
        <w:rPr>
          <w:rFonts w:ascii="Georgia" w:eastAsia="Times New Roman" w:hAnsi="Georgia" w:cs="Times New Roman"/>
          <w:b/>
          <w:smallCap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Developments in Monitoring Climate Change Adaptation in Urban Areas. Quick scan of experiences outside the Netherlands. PBL Netherlands Environmental Assessment Agency </w:t>
      </w:r>
      <w:r w:rsidR="00281492" w:rsidRPr="0002056A">
        <w:rPr>
          <w:rFonts w:ascii="Georgia" w:eastAsia="Times New Roman" w:hAnsi="Georgia" w:cs="Times New Roman"/>
          <w:color w:val="000000"/>
          <w:sz w:val="16"/>
          <w:szCs w:val="16"/>
          <w:lang w:val="en-GB" w:eastAsia="hu-HU"/>
        </w:rPr>
        <w:t>the</w:t>
      </w:r>
      <w:r w:rsidRPr="0002056A">
        <w:rPr>
          <w:rFonts w:ascii="Georgia" w:eastAsia="Times New Roman" w:hAnsi="Georgia" w:cs="Times New Roman"/>
          <w:color w:val="000000"/>
          <w:sz w:val="16"/>
          <w:szCs w:val="16"/>
          <w:lang w:val="en-GB" w:eastAsia="hu-HU"/>
        </w:rPr>
        <w:t xml:space="preserve"> Hague, 2018 PBL publication number: 3018</w:t>
      </w:r>
    </w:p>
    <w:p w14:paraId="7FF74C2F" w14:textId="6B44BC82"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van Rüth, P.; Schönthaler, K.; von Andrian-Werburg, S.; Buth, M. (</w:t>
      </w:r>
      <w:r w:rsidRPr="0002056A">
        <w:rPr>
          <w:rFonts w:ascii="Georgia" w:eastAsia="Times New Roman" w:hAnsi="Georgia" w:cs="Times New Roman"/>
          <w:b/>
          <w:smallCaps/>
          <w:color w:val="000000"/>
          <w:sz w:val="16"/>
          <w:szCs w:val="16"/>
          <w:lang w:val="en-GB" w:eastAsia="hu-HU"/>
        </w:rPr>
        <w:t>2019):</w:t>
      </w:r>
      <w:r w:rsidRPr="0002056A">
        <w:rPr>
          <w:rFonts w:ascii="Georgia" w:eastAsia="Times New Roman" w:hAnsi="Georgia" w:cs="Times New Roman"/>
          <w:color w:val="000000"/>
          <w:sz w:val="16"/>
          <w:szCs w:val="16"/>
          <w:lang w:val="en-GB" w:eastAsia="hu-HU"/>
        </w:rPr>
        <w:t xml:space="preserve"> Monitoringbericht 2019 zur Deutschen Anpassungsstrategie an den Klimawandel. Bericht der Interministeriellen Arbeitsgruppe Anpassungsstrategie der Bundesregierung. http://www.umweltbundesamt.de/publikationen/ monitoringbericht-2019 (</w:t>
      </w:r>
      <w:r w:rsidR="00216AD0">
        <w:rPr>
          <w:rFonts w:ascii="Georgia" w:eastAsia="Times New Roman" w:hAnsi="Georgia" w:cs="Times New Roman"/>
          <w:color w:val="000000"/>
          <w:sz w:val="16"/>
          <w:szCs w:val="16"/>
          <w:lang w:val="en-GB" w:eastAsia="hu-HU"/>
        </w:rPr>
        <w:t>downloaded</w:t>
      </w:r>
      <w:r w:rsidRPr="0002056A">
        <w:rPr>
          <w:rFonts w:ascii="Georgia" w:eastAsia="Times New Roman" w:hAnsi="Georgia" w:cs="Times New Roman"/>
          <w:color w:val="000000"/>
          <w:sz w:val="16"/>
          <w:szCs w:val="16"/>
          <w:lang w:val="en-GB" w:eastAsia="hu-HU"/>
        </w:rPr>
        <w:t xml:space="preserve">: 2021. 09. 23.) </w:t>
      </w:r>
      <w:hyperlink r:id="rId126" w:history="1">
        <w:r w:rsidRPr="0002056A">
          <w:rPr>
            <w:rStyle w:val="Hiperhivatkozs"/>
            <w:rFonts w:ascii="Georgia" w:eastAsia="Times New Roman" w:hAnsi="Georgia" w:cs="Times New Roman"/>
            <w:sz w:val="16"/>
            <w:szCs w:val="16"/>
            <w:lang w:val="en-GB" w:eastAsia="hu-HU"/>
          </w:rPr>
          <w:t>www.klivoportal.de/monitoringbericht2019</w:t>
        </w:r>
      </w:hyperlink>
    </w:p>
    <w:p w14:paraId="0740B29A" w14:textId="77777777" w:rsidR="00AE59F9" w:rsidRPr="0002056A" w:rsidRDefault="00AE59F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Vedung, E. (</w:t>
      </w:r>
      <w:r w:rsidRPr="0002056A">
        <w:rPr>
          <w:rFonts w:ascii="Georgia" w:eastAsia="Times New Roman" w:hAnsi="Georgia" w:cs="Times New Roman"/>
          <w:b/>
          <w:smallCaps/>
          <w:color w:val="000000"/>
          <w:sz w:val="16"/>
          <w:szCs w:val="16"/>
          <w:lang w:val="en-GB" w:eastAsia="hu-HU"/>
        </w:rPr>
        <w:t>1997):</w:t>
      </w:r>
      <w:r w:rsidRPr="0002056A">
        <w:rPr>
          <w:rFonts w:ascii="Georgia" w:eastAsia="Times New Roman" w:hAnsi="Georgia" w:cs="Times New Roman"/>
          <w:color w:val="000000"/>
          <w:sz w:val="16"/>
          <w:szCs w:val="16"/>
          <w:lang w:val="en-GB" w:eastAsia="hu-HU"/>
        </w:rPr>
        <w:t xml:space="preserve"> Public Policy and Program Evaluation. Routledge, New York. ISBN 9780765806871</w:t>
      </w:r>
    </w:p>
    <w:p w14:paraId="05BD2ADF" w14:textId="77777777" w:rsidR="00AE59F9" w:rsidRPr="0002056A" w:rsidRDefault="00AE59F9" w:rsidP="00214BD9">
      <w:pPr>
        <w:pStyle w:val="Listaszerbekezds"/>
        <w:numPr>
          <w:ilvl w:val="0"/>
          <w:numId w:val="3"/>
        </w:numPr>
        <w:autoSpaceDE w:val="0"/>
        <w:autoSpaceDN w:val="0"/>
        <w:adjustRightInd w:val="0"/>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Velázquez, D. R. (2012):</w:t>
      </w:r>
      <w:r w:rsidRPr="0002056A">
        <w:rPr>
          <w:rFonts w:ascii="Georgia" w:hAnsi="Georgia" w:cs="Slimbach-Book"/>
          <w:sz w:val="16"/>
          <w:szCs w:val="16"/>
          <w:lang w:val="en-GB"/>
          <w14:ligatures w14:val="standardContextual"/>
        </w:rPr>
        <w:t xml:space="preserve"> </w:t>
      </w:r>
      <w:r w:rsidRPr="0002056A">
        <w:rPr>
          <w:rFonts w:ascii="Georgia" w:eastAsia="Times New Roman" w:hAnsi="Georgia" w:cs="Times New Roman"/>
          <w:color w:val="000000"/>
          <w:sz w:val="16"/>
          <w:szCs w:val="16"/>
          <w:lang w:val="en-GB" w:eastAsia="hu-HU"/>
        </w:rPr>
        <w:t>Territorial Risks and Climate Change. Voices of Mexico. No 95., 2012.</w:t>
      </w:r>
    </w:p>
    <w:p w14:paraId="7C52D3C1" w14:textId="77777777" w:rsidR="00AE59F9" w:rsidRPr="0002056A" w:rsidRDefault="00AE59F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Villanueva, P.S. (</w:t>
      </w:r>
      <w:r w:rsidRPr="0002056A">
        <w:rPr>
          <w:rFonts w:ascii="Georgia" w:eastAsia="Times New Roman" w:hAnsi="Georgia" w:cs="Times New Roman"/>
          <w:b/>
          <w:smallCaps/>
          <w:color w:val="000000"/>
          <w:sz w:val="16"/>
          <w:szCs w:val="16"/>
          <w:lang w:val="en-GB" w:eastAsia="hu-HU"/>
        </w:rPr>
        <w:t>2012):</w:t>
      </w:r>
      <w:r w:rsidRPr="0002056A">
        <w:rPr>
          <w:rFonts w:ascii="Georgia" w:eastAsia="Times New Roman" w:hAnsi="Georgia" w:cs="Times New Roman"/>
          <w:color w:val="000000"/>
          <w:sz w:val="16"/>
          <w:szCs w:val="16"/>
          <w:lang w:val="en-GB" w:eastAsia="hu-HU"/>
        </w:rPr>
        <w:t xml:space="preserve"> Learning to ADAPT: monitoring and evaluation approaches in climate change adaptation and disaster risk reduction – challenges, gaps and ways forward.</w:t>
      </w:r>
      <w:r w:rsidRPr="0002056A">
        <w:rPr>
          <w:rFonts w:ascii="Georgia" w:hAnsi="Georgia"/>
          <w:sz w:val="16"/>
          <w:szCs w:val="16"/>
          <w:lang w:val="en-GB"/>
        </w:rPr>
        <w:t xml:space="preserve"> </w:t>
      </w:r>
      <w:r w:rsidRPr="0002056A">
        <w:rPr>
          <w:rFonts w:ascii="Georgia" w:eastAsia="Times New Roman" w:hAnsi="Georgia" w:cs="Times New Roman"/>
          <w:color w:val="000000"/>
          <w:sz w:val="16"/>
          <w:szCs w:val="16"/>
          <w:lang w:val="en-GB" w:eastAsia="hu-HU"/>
        </w:rPr>
        <w:t xml:space="preserve">Strengthening Climate Resilience, </w:t>
      </w:r>
      <w:hyperlink r:id="rId127" w:history="1">
        <w:r w:rsidRPr="0002056A">
          <w:rPr>
            <w:rStyle w:val="Hiperhivatkozs"/>
            <w:rFonts w:ascii="Georgia" w:eastAsia="Times New Roman" w:hAnsi="Georgia" w:cs="Times New Roman"/>
            <w:sz w:val="16"/>
            <w:szCs w:val="16"/>
            <w:lang w:val="en-GB" w:eastAsia="hu-HU"/>
          </w:rPr>
          <w:t>www.csdrm.org</w:t>
        </w:r>
      </w:hyperlink>
      <w:r w:rsidRPr="0002056A">
        <w:rPr>
          <w:rFonts w:ascii="Georgia" w:eastAsia="Times New Roman" w:hAnsi="Georgia" w:cs="Times New Roman"/>
          <w:color w:val="000000"/>
          <w:sz w:val="16"/>
          <w:szCs w:val="16"/>
          <w:lang w:val="en-GB" w:eastAsia="hu-HU"/>
        </w:rPr>
        <w:t xml:space="preserve"> SCR Discussion Paper 9</w:t>
      </w:r>
    </w:p>
    <w:p w14:paraId="1A667CB1" w14:textId="77777777" w:rsidR="00AE59F9" w:rsidRPr="0002056A" w:rsidRDefault="00AE59F9"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Vogler, J. (</w:t>
      </w:r>
      <w:r w:rsidRPr="0002056A">
        <w:rPr>
          <w:rFonts w:ascii="Georgia" w:eastAsia="Times New Roman" w:hAnsi="Georgia" w:cs="Times New Roman"/>
          <w:b/>
          <w:smallCaps/>
          <w:color w:val="000000"/>
          <w:sz w:val="16"/>
          <w:szCs w:val="16"/>
          <w:lang w:val="en-GB" w:eastAsia="hu-HU"/>
        </w:rPr>
        <w:t>2017):</w:t>
      </w:r>
      <w:r w:rsidRPr="0002056A">
        <w:rPr>
          <w:rFonts w:ascii="Georgia" w:eastAsia="Times New Roman" w:hAnsi="Georgia" w:cs="Times New Roman"/>
          <w:color w:val="000000"/>
          <w:sz w:val="16"/>
          <w:szCs w:val="16"/>
          <w:lang w:val="en-GB" w:eastAsia="hu-HU"/>
        </w:rPr>
        <w:t xml:space="preserve"> Environmental issues In.: J Baylis, S. Smith, P. Owens: The Globalization of World Politics. Published in the United States by Oxford University Press Inc., New York Oxford University Press, 2017. ISBN: 978–0–19–882554–8.</w:t>
      </w:r>
    </w:p>
    <w:p w14:paraId="032E19CE" w14:textId="0494F017" w:rsidR="004326F5" w:rsidRPr="0002056A" w:rsidRDefault="004326F5"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 xml:space="preserve">von Lucke, F. (2021): </w:t>
      </w:r>
      <w:r w:rsidRPr="0002056A">
        <w:rPr>
          <w:rFonts w:ascii="Georgia" w:eastAsia="Times New Roman" w:hAnsi="Georgia" w:cs="Times New Roman"/>
          <w:color w:val="000000"/>
          <w:sz w:val="16"/>
          <w:szCs w:val="16"/>
          <w:lang w:val="en-GB" w:eastAsia="hu-HU"/>
        </w:rPr>
        <w:t xml:space="preserve">Principled pragmatism in climate policy? The EU and changing practices of climate justice. Political geography, Volume 86, April 2021. </w:t>
      </w:r>
      <w:hyperlink r:id="rId128" w:history="1">
        <w:r w:rsidRPr="0002056A">
          <w:rPr>
            <w:rFonts w:ascii="Georgia" w:hAnsi="Georgia"/>
            <w:color w:val="000000"/>
            <w:sz w:val="16"/>
            <w:szCs w:val="16"/>
            <w:lang w:val="en-GB"/>
          </w:rPr>
          <w:t>https://doi.org/10.1016/j.polgeo.2021.102355</w:t>
        </w:r>
      </w:hyperlink>
      <w:r w:rsidRPr="0002056A">
        <w:rPr>
          <w:rFonts w:ascii="Georgia" w:eastAsia="Times New Roman" w:hAnsi="Georgia" w:cs="Times New Roman"/>
          <w:color w:val="000000"/>
          <w:sz w:val="16"/>
          <w:szCs w:val="16"/>
          <w:lang w:val="en-GB" w:eastAsia="hu-HU"/>
        </w:rPr>
        <w:t>. Science Direct</w:t>
      </w:r>
    </w:p>
    <w:p w14:paraId="21A2B617"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Waterman, R.W., Wood. B.D. (</w:t>
      </w:r>
      <w:r w:rsidRPr="0002056A">
        <w:rPr>
          <w:rFonts w:ascii="Georgia" w:eastAsia="Times New Roman" w:hAnsi="Georgia" w:cs="Times New Roman"/>
          <w:b/>
          <w:smallCaps/>
          <w:color w:val="000000"/>
          <w:sz w:val="16"/>
          <w:szCs w:val="16"/>
          <w:lang w:val="en-GB" w:eastAsia="hu-HU"/>
        </w:rPr>
        <w:t>1993):</w:t>
      </w:r>
      <w:r w:rsidRPr="0002056A">
        <w:rPr>
          <w:rFonts w:ascii="Georgia" w:eastAsia="Times New Roman" w:hAnsi="Georgia" w:cs="Times New Roman"/>
          <w:color w:val="000000"/>
          <w:sz w:val="16"/>
          <w:szCs w:val="16"/>
          <w:lang w:val="en-GB" w:eastAsia="hu-HU"/>
        </w:rPr>
        <w:t xml:space="preserve"> Policy Monitoring and Policy Analysis. Journal of Policy Analysis and Management. Vol. 12, No. 4 (Autumn, 1993), pp. 685-699.</w:t>
      </w:r>
    </w:p>
    <w:p w14:paraId="33CC6AA7" w14:textId="55A1533F" w:rsidR="008F6A1D" w:rsidRPr="0002056A" w:rsidRDefault="008F6A1D"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Weckroth, M.; Ala-Mantila, S. (2022):</w:t>
      </w:r>
      <w:r w:rsidRPr="0002056A">
        <w:rPr>
          <w:rFonts w:ascii="Georgia" w:eastAsia="Times New Roman" w:hAnsi="Georgia" w:cs="Times New Roman"/>
          <w:color w:val="000000"/>
          <w:sz w:val="16"/>
          <w:szCs w:val="16"/>
          <w:lang w:val="en-GB" w:eastAsia="hu-HU"/>
        </w:rPr>
        <w:t xml:space="preserve"> Socioeconomic geography of climate change views in Europe. Global Environmental Change 72 (2022) 102453.</w:t>
      </w:r>
    </w:p>
    <w:p w14:paraId="29038E0D" w14:textId="49CCF234" w:rsidR="007D47E5" w:rsidRPr="0002056A" w:rsidRDefault="007D47E5" w:rsidP="00D435E8">
      <w:pPr>
        <w:pStyle w:val="Listaszerbekezds"/>
        <w:numPr>
          <w:ilvl w:val="0"/>
          <w:numId w:val="3"/>
        </w:numPr>
        <w:spacing w:after="0" w:line="240" w:lineRule="auto"/>
        <w:contextualSpacing w:val="0"/>
        <w:jc w:val="both"/>
        <w:rPr>
          <w:rFonts w:ascii="Georgia" w:eastAsia="Times New Roman" w:hAnsi="Georgia" w:cs="Times New Roman"/>
          <w:color w:val="000000"/>
          <w:sz w:val="16"/>
          <w:szCs w:val="16"/>
          <w:lang w:val="en-GB" w:eastAsia="hu-HU"/>
        </w:rPr>
      </w:pPr>
      <w:r w:rsidRPr="0002056A">
        <w:rPr>
          <w:rFonts w:ascii="Georgia" w:eastAsia="Times New Roman" w:hAnsi="Georgia" w:cs="Times New Roman"/>
          <w:b/>
          <w:bCs/>
          <w:iCs/>
          <w:smallCaps/>
          <w:color w:val="000000"/>
          <w:sz w:val="16"/>
          <w:szCs w:val="16"/>
          <w:lang w:val="en-GB" w:eastAsia="hu-HU"/>
        </w:rPr>
        <w:t>Weinger, B.K. (2021):</w:t>
      </w:r>
      <w:r w:rsidRPr="0002056A">
        <w:rPr>
          <w:rFonts w:ascii="Georgia" w:eastAsia="Times New Roman" w:hAnsi="Georgia" w:cs="Times New Roman"/>
          <w:color w:val="000000"/>
          <w:sz w:val="16"/>
          <w:szCs w:val="16"/>
          <w:lang w:val="en-GB" w:eastAsia="hu-HU"/>
        </w:rPr>
        <w:t xml:space="preserve"> Scripting climate futures: The geographical assumptions of climate planning. Political Geography 88 (2021) 102409.</w:t>
      </w:r>
    </w:p>
    <w:p w14:paraId="7A304241" w14:textId="5B473805"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129" w:tgtFrame="_blank" w:history="1">
        <w:r w:rsidRPr="0002056A">
          <w:rPr>
            <w:rFonts w:ascii="Georgia" w:eastAsia="Times New Roman" w:hAnsi="Georgia" w:cs="Times New Roman"/>
            <w:b/>
            <w:bCs/>
            <w:iCs/>
            <w:smallCaps/>
            <w:color w:val="000000"/>
            <w:sz w:val="16"/>
            <w:szCs w:val="16"/>
            <w:lang w:val="en-GB" w:eastAsia="hu-HU"/>
          </w:rPr>
          <w:t xml:space="preserve">Wheeler, S. </w:t>
        </w:r>
      </w:hyperlink>
      <w:r w:rsidRPr="0002056A">
        <w:rPr>
          <w:rFonts w:ascii="Georgia" w:eastAsia="Times New Roman" w:hAnsi="Georgia" w:cs="Times New Roman"/>
          <w:b/>
          <w:bCs/>
          <w:iCs/>
          <w:smallCaps/>
          <w:color w:val="000000"/>
          <w:sz w:val="16"/>
          <w:szCs w:val="16"/>
          <w:lang w:val="en-GB" w:eastAsia="hu-HU"/>
        </w:rPr>
        <w:t>(</w:t>
      </w:r>
      <w:r w:rsidRPr="0002056A">
        <w:rPr>
          <w:rFonts w:ascii="Georgia" w:eastAsia="Times New Roman" w:hAnsi="Georgia" w:cs="Times New Roman"/>
          <w:b/>
          <w:smallCaps/>
          <w:color w:val="000000"/>
          <w:sz w:val="16"/>
          <w:szCs w:val="16"/>
          <w:lang w:val="en-GB" w:eastAsia="hu-HU"/>
        </w:rPr>
        <w:t>2013):</w:t>
      </w:r>
      <w:r w:rsidRPr="0002056A">
        <w:rPr>
          <w:rFonts w:ascii="Georgia" w:eastAsia="Times New Roman" w:hAnsi="Georgia" w:cs="Times New Roman"/>
          <w:color w:val="000000"/>
          <w:sz w:val="16"/>
          <w:szCs w:val="16"/>
          <w:lang w:val="en-GB" w:eastAsia="hu-HU"/>
        </w:rPr>
        <w:t xml:space="preserve"> Planning for Sustainability. Creating Liveable, Equitable and Ecological Communities. Routledge. London, 2013. </w:t>
      </w:r>
      <w:hyperlink r:id="rId130" w:history="1">
        <w:r w:rsidRPr="0002056A">
          <w:rPr>
            <w:rStyle w:val="Hiperhivatkozs"/>
            <w:rFonts w:ascii="Georgia" w:eastAsia="Times New Roman" w:hAnsi="Georgia" w:cs="Times New Roman"/>
            <w:sz w:val="16"/>
            <w:szCs w:val="16"/>
            <w:lang w:val="en-GB" w:eastAsia="hu-HU"/>
          </w:rPr>
          <w:t>https://doi.org/10.4324/9780203134559</w:t>
        </w:r>
      </w:hyperlink>
    </w:p>
    <w:p w14:paraId="286AB6C5"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hyperlink r:id="rId131" w:history="1">
        <w:r w:rsidRPr="0002056A">
          <w:rPr>
            <w:rFonts w:ascii="Georgia" w:eastAsia="Times New Roman" w:hAnsi="Georgia" w:cs="Times New Roman"/>
            <w:b/>
            <w:bCs/>
            <w:iCs/>
            <w:smallCaps/>
            <w:color w:val="000000"/>
            <w:sz w:val="16"/>
            <w:szCs w:val="16"/>
            <w:lang w:val="en-GB" w:eastAsia="hu-HU"/>
          </w:rPr>
          <w:t>Wiechmann, T.</w:t>
        </w:r>
      </w:hyperlink>
      <w:r w:rsidRPr="0002056A">
        <w:rPr>
          <w:rFonts w:ascii="Georgia" w:eastAsia="Times New Roman" w:hAnsi="Georgia" w:cs="Times New Roman"/>
          <w:b/>
          <w:bCs/>
          <w:iCs/>
          <w:smallCaps/>
          <w:color w:val="000000"/>
          <w:sz w:val="16"/>
          <w:szCs w:val="16"/>
          <w:lang w:val="en-GB" w:eastAsia="hu-HU"/>
        </w:rPr>
        <w:t xml:space="preserve"> (</w:t>
      </w:r>
      <w:r w:rsidRPr="0002056A">
        <w:rPr>
          <w:rFonts w:ascii="Georgia" w:eastAsia="Times New Roman" w:hAnsi="Georgia" w:cs="Times New Roman"/>
          <w:b/>
          <w:smallCaps/>
          <w:color w:val="000000"/>
          <w:sz w:val="16"/>
          <w:szCs w:val="16"/>
          <w:lang w:val="en-GB" w:eastAsia="hu-HU"/>
        </w:rPr>
        <w:t>2008):</w:t>
      </w:r>
      <w:r w:rsidRPr="0002056A">
        <w:rPr>
          <w:rFonts w:ascii="Georgia" w:eastAsia="Times New Roman" w:hAnsi="Georgia" w:cs="Times New Roman"/>
          <w:color w:val="000000"/>
          <w:sz w:val="16"/>
          <w:szCs w:val="16"/>
          <w:lang w:val="en-GB" w:eastAsia="hu-HU"/>
        </w:rPr>
        <w:t xml:space="preserve"> Errors Expected – Aligning Urban Strategy with Demographic Uncertainty in Shrinking Cities. International Planning Studies Volume 13, 2008 – Issue 4 Demographic Changes and the New Landscape for Planning. Special Issue; pp. 431-446 </w:t>
      </w:r>
      <w:hyperlink r:id="rId132" w:history="1">
        <w:r w:rsidRPr="0002056A">
          <w:rPr>
            <w:rStyle w:val="Hiperhivatkozs"/>
            <w:rFonts w:ascii="Georgia" w:eastAsia="Times New Roman" w:hAnsi="Georgia" w:cs="Times New Roman"/>
            <w:sz w:val="16"/>
            <w:szCs w:val="16"/>
            <w:lang w:val="en-GB" w:eastAsia="hu-HU"/>
          </w:rPr>
          <w:t>https://doi.org/10.1080/13563470802519097</w:t>
        </w:r>
      </w:hyperlink>
    </w:p>
    <w:p w14:paraId="20F2607C"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Wilson, E., Piper, J. (</w:t>
      </w:r>
      <w:r w:rsidRPr="0002056A">
        <w:rPr>
          <w:rFonts w:ascii="Georgia" w:eastAsia="Times New Roman" w:hAnsi="Georgia" w:cs="Times New Roman"/>
          <w:b/>
          <w:smallCaps/>
          <w:color w:val="000000"/>
          <w:sz w:val="16"/>
          <w:szCs w:val="16"/>
          <w:lang w:val="en-GB" w:eastAsia="hu-HU"/>
        </w:rPr>
        <w:t>2010):</w:t>
      </w:r>
      <w:r w:rsidRPr="0002056A">
        <w:rPr>
          <w:rFonts w:ascii="Georgia" w:eastAsia="Times New Roman" w:hAnsi="Georgia" w:cs="Times New Roman"/>
          <w:color w:val="000000"/>
          <w:sz w:val="16"/>
          <w:szCs w:val="16"/>
          <w:lang w:val="en-GB" w:eastAsia="hu-HU"/>
        </w:rPr>
        <w:t xml:space="preserve"> Spatial Planning and Climate Change. ISBN 9780415495912. Published August 16, 2010, by Routledge</w:t>
      </w:r>
    </w:p>
    <w:p w14:paraId="0D6C4260"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 xml:space="preserve">Woodruff, S.C., Regan P. </w:t>
      </w:r>
      <w:r w:rsidRPr="0002056A">
        <w:rPr>
          <w:rFonts w:ascii="Georgia" w:eastAsia="Times New Roman" w:hAnsi="Georgia" w:cs="Times New Roman"/>
          <w:b/>
          <w:smallCaps/>
          <w:color w:val="000000"/>
          <w:sz w:val="16"/>
          <w:szCs w:val="16"/>
          <w:lang w:val="en-GB" w:eastAsia="hu-HU"/>
        </w:rPr>
        <w:t>(2018):</w:t>
      </w:r>
      <w:r w:rsidRPr="0002056A">
        <w:rPr>
          <w:rFonts w:ascii="Georgia" w:eastAsia="Times New Roman" w:hAnsi="Georgia" w:cs="Times New Roman"/>
          <w:color w:val="000000"/>
          <w:sz w:val="16"/>
          <w:szCs w:val="16"/>
          <w:lang w:val="en-GB" w:eastAsia="hu-HU"/>
        </w:rPr>
        <w:t xml:space="preserve"> Quality of national adaptation plans and opportunities for improvement. Mitigation and Adaptation Strategies for Global Change, Springer, vol. 24(1), pages 53-71, January.</w:t>
      </w:r>
    </w:p>
    <w:p w14:paraId="0D3B21BD" w14:textId="20937798"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Wright, J.; Flacke, J.; Schmitt, J.P.; Schultze, J.; Greiving, S.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Comparing Climate Impact Assessments for Rural Adaptation Planning in Germany and the Netherlands. Urban Planning 2021 Vol 6 Issue 3, pp. 306-320.</w:t>
      </w:r>
    </w:p>
    <w:p w14:paraId="308A005D" w14:textId="77777777" w:rsidR="00E723CD" w:rsidRPr="0002056A" w:rsidRDefault="00E723CD" w:rsidP="00214BD9">
      <w:pPr>
        <w:pStyle w:val="Listaszerbekezds"/>
        <w:numPr>
          <w:ilvl w:val="0"/>
          <w:numId w:val="3"/>
        </w:numPr>
        <w:spacing w:after="0" w:line="240" w:lineRule="auto"/>
        <w:contextualSpacing w:val="0"/>
        <w:jc w:val="both"/>
        <w:rPr>
          <w:rFonts w:ascii="Georgia" w:hAnsi="Georgia"/>
          <w:sz w:val="16"/>
          <w:szCs w:val="16"/>
          <w:lang w:val="en-GB"/>
        </w:rPr>
      </w:pPr>
      <w:r w:rsidRPr="0002056A">
        <w:rPr>
          <w:rFonts w:ascii="Georgia" w:eastAsia="Times New Roman" w:hAnsi="Georgia" w:cs="Times New Roman"/>
          <w:b/>
          <w:bCs/>
          <w:iCs/>
          <w:smallCaps/>
          <w:color w:val="000000"/>
          <w:sz w:val="16"/>
          <w:szCs w:val="16"/>
          <w:lang w:val="en-GB" w:eastAsia="hu-HU"/>
        </w:rPr>
        <w:t>Yang H.; Lee, T.; Juhola, S. (</w:t>
      </w:r>
      <w:r w:rsidRPr="0002056A">
        <w:rPr>
          <w:rFonts w:ascii="Georgia" w:eastAsia="Times New Roman" w:hAnsi="Georgia" w:cs="Times New Roman"/>
          <w:b/>
          <w:smallCaps/>
          <w:color w:val="000000"/>
          <w:sz w:val="16"/>
          <w:szCs w:val="16"/>
          <w:lang w:val="en-GB" w:eastAsia="hu-HU"/>
        </w:rPr>
        <w:t>2021):</w:t>
      </w:r>
      <w:r w:rsidRPr="0002056A">
        <w:rPr>
          <w:rFonts w:ascii="Georgia" w:eastAsia="Times New Roman" w:hAnsi="Georgia" w:cs="Times New Roman"/>
          <w:color w:val="000000"/>
          <w:sz w:val="16"/>
          <w:szCs w:val="16"/>
          <w:lang w:val="en-GB" w:eastAsia="hu-HU"/>
        </w:rPr>
        <w:t xml:space="preserve"> The old and the climate adaptation: Climate justice, risks, and urban adaptation plan. Sustainable Cities and Society 67 (2021).  </w:t>
      </w:r>
      <w:hyperlink r:id="rId133" w:history="1">
        <w:r w:rsidRPr="0002056A">
          <w:rPr>
            <w:rStyle w:val="Hiperhivatkozs"/>
            <w:rFonts w:ascii="Georgia" w:hAnsi="Georgia"/>
            <w:sz w:val="16"/>
            <w:szCs w:val="16"/>
            <w:lang w:val="en-GB"/>
          </w:rPr>
          <w:t>https://doi.org/10.1016/j.scs.2021.102755</w:t>
        </w:r>
      </w:hyperlink>
      <w:r w:rsidRPr="0002056A">
        <w:rPr>
          <w:rFonts w:ascii="Georgia" w:eastAsia="Times New Roman" w:hAnsi="Georgia" w:cs="Times New Roman"/>
          <w:color w:val="000000"/>
          <w:sz w:val="16"/>
          <w:szCs w:val="16"/>
          <w:lang w:val="en-GB" w:eastAsia="hu-HU"/>
        </w:rPr>
        <w:t>.</w:t>
      </w:r>
    </w:p>
    <w:p w14:paraId="062CB156" w14:textId="715C9C87" w:rsidR="00B74AC2" w:rsidRPr="0002056A" w:rsidRDefault="001816D2" w:rsidP="00214BD9">
      <w:pPr>
        <w:pStyle w:val="Listaszerbekezds"/>
        <w:numPr>
          <w:ilvl w:val="0"/>
          <w:numId w:val="3"/>
        </w:numPr>
        <w:spacing w:after="0" w:line="240" w:lineRule="auto"/>
        <w:contextualSpacing w:val="0"/>
        <w:rPr>
          <w:rFonts w:ascii="Georgia" w:eastAsia="Times New Roman" w:hAnsi="Georgia" w:cs="Times New Roman"/>
          <w:color w:val="000000"/>
          <w:sz w:val="16"/>
          <w:szCs w:val="16"/>
          <w:lang w:val="en-GB" w:eastAsia="hu-HU"/>
        </w:rPr>
      </w:pPr>
      <w:r w:rsidRPr="0002056A">
        <w:rPr>
          <w:rFonts w:ascii="Georgia" w:hAnsi="Georgia" w:cstheme="minorHAnsi"/>
          <w:b/>
          <w:bCs/>
          <w:smallCaps/>
          <w:sz w:val="16"/>
          <w:szCs w:val="16"/>
          <w:lang w:val="en-GB"/>
        </w:rPr>
        <w:t>Yarmal (20</w:t>
      </w:r>
      <w:r w:rsidR="0025001E" w:rsidRPr="0002056A">
        <w:rPr>
          <w:rFonts w:ascii="Georgia" w:hAnsi="Georgia" w:cstheme="minorHAnsi"/>
          <w:b/>
          <w:bCs/>
          <w:smallCaps/>
          <w:sz w:val="16"/>
          <w:szCs w:val="16"/>
          <w:lang w:val="en-GB"/>
        </w:rPr>
        <w:t>10</w:t>
      </w:r>
      <w:r w:rsidRPr="0002056A">
        <w:rPr>
          <w:rFonts w:ascii="Georgia" w:hAnsi="Georgia" w:cstheme="minorHAnsi"/>
          <w:b/>
          <w:bCs/>
          <w:smallCaps/>
          <w:sz w:val="16"/>
          <w:szCs w:val="16"/>
          <w:lang w:val="en-GB"/>
        </w:rPr>
        <w:t>):</w:t>
      </w:r>
      <w:r w:rsidRPr="0002056A">
        <w:rPr>
          <w:rFonts w:ascii="Georgia" w:hAnsi="Georgia"/>
          <w:sz w:val="16"/>
          <w:szCs w:val="16"/>
          <w:lang w:val="en-GB"/>
        </w:rPr>
        <w:t xml:space="preserve"> </w:t>
      </w:r>
      <w:r w:rsidR="00B74AC2" w:rsidRPr="0002056A">
        <w:rPr>
          <w:rFonts w:ascii="Georgia" w:eastAsia="Times New Roman" w:hAnsi="Georgia" w:cs="Times New Roman"/>
          <w:color w:val="000000"/>
          <w:sz w:val="16"/>
          <w:szCs w:val="16"/>
          <w:lang w:val="en-GB" w:eastAsia="hu-HU"/>
        </w:rPr>
        <w:t>Special Issue: Climate change and applied geography - place, policy, and practice</w:t>
      </w:r>
      <w:r w:rsidR="0025001E" w:rsidRPr="0002056A">
        <w:rPr>
          <w:rFonts w:ascii="Georgia" w:eastAsia="Times New Roman" w:hAnsi="Georgia" w:cs="Times New Roman"/>
          <w:color w:val="000000"/>
          <w:sz w:val="16"/>
          <w:szCs w:val="16"/>
          <w:lang w:val="en-GB" w:eastAsia="hu-HU"/>
        </w:rPr>
        <w:t xml:space="preserve">. </w:t>
      </w:r>
      <w:hyperlink r:id="rId134" w:history="1">
        <w:r w:rsidR="00B74AC2" w:rsidRPr="0002056A">
          <w:rPr>
            <w:rFonts w:ascii="Georgia" w:eastAsia="Times New Roman" w:hAnsi="Georgia" w:cs="Times New Roman"/>
            <w:color w:val="000000"/>
            <w:sz w:val="16"/>
            <w:szCs w:val="16"/>
            <w:lang w:val="en-GB" w:eastAsia="hu-HU"/>
          </w:rPr>
          <w:t>Applied Geography</w:t>
        </w:r>
      </w:hyperlink>
      <w:r w:rsidR="00B74AC2" w:rsidRPr="0002056A">
        <w:rPr>
          <w:rFonts w:ascii="Georgia" w:eastAsia="Times New Roman" w:hAnsi="Georgia" w:cs="Times New Roman"/>
          <w:color w:val="000000"/>
          <w:sz w:val="16"/>
          <w:szCs w:val="16"/>
          <w:lang w:val="en-GB" w:eastAsia="hu-HU"/>
        </w:rPr>
        <w:t> 30(4):461-463, December 2010</w:t>
      </w:r>
      <w:r w:rsidR="0025001E" w:rsidRPr="0002056A">
        <w:rPr>
          <w:rFonts w:ascii="Georgia" w:eastAsia="Times New Roman" w:hAnsi="Georgia" w:cs="Times New Roman"/>
          <w:color w:val="000000"/>
          <w:sz w:val="16"/>
          <w:szCs w:val="16"/>
          <w:lang w:val="en-GB" w:eastAsia="hu-HU"/>
        </w:rPr>
        <w:t>. D</w:t>
      </w:r>
      <w:r w:rsidR="00B74AC2" w:rsidRPr="0002056A">
        <w:rPr>
          <w:rFonts w:ascii="Georgia" w:eastAsia="Times New Roman" w:hAnsi="Georgia" w:cs="Times New Roman"/>
          <w:color w:val="000000"/>
          <w:sz w:val="16"/>
          <w:szCs w:val="16"/>
          <w:lang w:val="en-GB" w:eastAsia="hu-HU"/>
        </w:rPr>
        <w:t>OI:</w:t>
      </w:r>
      <w:hyperlink r:id="rId135" w:tgtFrame="_blank" w:history="1">
        <w:r w:rsidR="00B74AC2" w:rsidRPr="0002056A">
          <w:rPr>
            <w:rFonts w:ascii="Georgia" w:eastAsia="Times New Roman" w:hAnsi="Georgia" w:cs="Times New Roman"/>
            <w:color w:val="000000"/>
            <w:sz w:val="16"/>
            <w:szCs w:val="16"/>
            <w:lang w:val="en-GB" w:eastAsia="hu-HU"/>
          </w:rPr>
          <w:t>10.1016/j.apgeog.2010.05.008</w:t>
        </w:r>
      </w:hyperlink>
    </w:p>
    <w:p w14:paraId="117954DA" w14:textId="12B76AD5" w:rsidR="00351E18" w:rsidRPr="0002056A" w:rsidRDefault="00E723CD" w:rsidP="00050CDA">
      <w:pPr>
        <w:pStyle w:val="Listaszerbekezds"/>
        <w:numPr>
          <w:ilvl w:val="0"/>
          <w:numId w:val="3"/>
        </w:numPr>
        <w:spacing w:after="0" w:line="240" w:lineRule="auto"/>
        <w:contextualSpacing w:val="0"/>
        <w:jc w:val="both"/>
        <w:rPr>
          <w:lang w:val="en-GB"/>
        </w:rPr>
      </w:pPr>
      <w:r w:rsidRPr="0002056A">
        <w:rPr>
          <w:rFonts w:ascii="Georgia" w:eastAsia="Times New Roman" w:hAnsi="Georgia" w:cs="Times New Roman"/>
          <w:b/>
          <w:bCs/>
          <w:iCs/>
          <w:smallCaps/>
          <w:color w:val="000000"/>
          <w:sz w:val="16"/>
          <w:szCs w:val="16"/>
          <w:lang w:val="en-GB" w:eastAsia="hu-HU"/>
        </w:rPr>
        <w:t>Ye, B.; Jiang J.; Liu J.; Zheng, Y.; Zhou, N. (</w:t>
      </w:r>
      <w:r w:rsidRPr="0002056A">
        <w:rPr>
          <w:rFonts w:ascii="Georgia" w:eastAsia="Times New Roman" w:hAnsi="Georgia" w:cs="Times New Roman"/>
          <w:b/>
          <w:smallCaps/>
          <w:color w:val="000000"/>
          <w:sz w:val="16"/>
          <w:szCs w:val="16"/>
          <w:lang w:val="en-GB" w:eastAsia="hu-HU"/>
        </w:rPr>
        <w:t>202</w:t>
      </w:r>
      <w:r w:rsidR="00BB5950" w:rsidRPr="0002056A">
        <w:rPr>
          <w:rFonts w:ascii="Georgia" w:eastAsia="Times New Roman" w:hAnsi="Georgia" w:cs="Times New Roman"/>
          <w:b/>
          <w:smallCaps/>
          <w:color w:val="000000"/>
          <w:sz w:val="16"/>
          <w:szCs w:val="16"/>
          <w:lang w:val="en-GB" w:eastAsia="hu-HU"/>
        </w:rPr>
        <w:t>1</w:t>
      </w:r>
      <w:r w:rsidRPr="0002056A">
        <w:rPr>
          <w:rFonts w:ascii="Georgia" w:eastAsia="Times New Roman" w:hAnsi="Georgia" w:cs="Times New Roman"/>
          <w:b/>
          <w:smallCaps/>
          <w:color w:val="000000"/>
          <w:sz w:val="16"/>
          <w:szCs w:val="16"/>
          <w:lang w:val="en-GB" w:eastAsia="hu-HU"/>
        </w:rPr>
        <w:t>):</w:t>
      </w:r>
      <w:r w:rsidRPr="0002056A">
        <w:rPr>
          <w:rFonts w:ascii="Georgia" w:eastAsia="Times New Roman" w:hAnsi="Georgia" w:cs="Times New Roman"/>
          <w:color w:val="000000"/>
          <w:sz w:val="16"/>
          <w:szCs w:val="16"/>
          <w:lang w:val="en-GB" w:eastAsia="hu-HU"/>
        </w:rPr>
        <w:t xml:space="preserve"> Research on quantitative assessment of climate change risk at an urban scale: review of recent progress and outlook of future direction. Renewable and Sustainable Energy Reviews 135 (2021)</w:t>
      </w:r>
      <w:r w:rsidR="00D435E8" w:rsidRPr="0002056A">
        <w:rPr>
          <w:rFonts w:ascii="Georgia" w:eastAsia="Times New Roman" w:hAnsi="Georgia" w:cs="Times New Roman"/>
          <w:color w:val="000000"/>
          <w:sz w:val="16"/>
          <w:szCs w:val="16"/>
          <w:lang w:val="en-GB" w:eastAsia="hu-HU"/>
        </w:rPr>
        <w:t>.</w:t>
      </w:r>
    </w:p>
    <w:p w14:paraId="1B25230E" w14:textId="77777777" w:rsidR="00351E18" w:rsidRPr="0002056A" w:rsidRDefault="00351E18" w:rsidP="00214BD9">
      <w:pPr>
        <w:pStyle w:val="Listaszerbekezds"/>
        <w:numPr>
          <w:ilvl w:val="0"/>
          <w:numId w:val="3"/>
        </w:numPr>
        <w:jc w:val="both"/>
        <w:rPr>
          <w:rFonts w:ascii="Georgia" w:eastAsia="Times New Roman" w:hAnsi="Georgia" w:cs="Times New Roman"/>
          <w:color w:val="000000"/>
          <w:sz w:val="16"/>
          <w:szCs w:val="16"/>
          <w:lang w:val="en-GB" w:eastAsia="hu-HU"/>
        </w:rPr>
        <w:sectPr w:rsidR="00351E18" w:rsidRPr="0002056A" w:rsidSect="0068518D">
          <w:pgSz w:w="11906" w:h="16838"/>
          <w:pgMar w:top="1417" w:right="1417" w:bottom="1417" w:left="1417" w:header="708" w:footer="708" w:gutter="0"/>
          <w:cols w:space="708"/>
          <w:docGrid w:linePitch="360"/>
        </w:sectPr>
      </w:pPr>
    </w:p>
    <w:p w14:paraId="4636FF6C" w14:textId="77777777" w:rsidR="00EA1712" w:rsidRPr="0002056A" w:rsidRDefault="00EA1712" w:rsidP="00EA1712">
      <w:pPr>
        <w:pStyle w:val="Cmsor1"/>
        <w:rPr>
          <w:lang w:val="en-GB"/>
        </w:rPr>
      </w:pPr>
      <w:bookmarkStart w:id="70" w:name="_Toc133854458"/>
      <w:bookmarkStart w:id="71" w:name="_Toc225578884"/>
      <w:r w:rsidRPr="0002056A">
        <w:rPr>
          <w:lang w:val="en-GB"/>
        </w:rPr>
        <w:lastRenderedPageBreak/>
        <w:t>Annexes</w:t>
      </w:r>
      <w:bookmarkEnd w:id="70"/>
      <w:bookmarkEnd w:id="71"/>
      <w:r w:rsidRPr="0002056A">
        <w:rPr>
          <w:lang w:val="en-GB"/>
        </w:rPr>
        <w:t xml:space="preserve"> </w:t>
      </w:r>
    </w:p>
    <w:p w14:paraId="46F19C90" w14:textId="77777777" w:rsidR="00EA1712" w:rsidRPr="0002056A" w:rsidRDefault="00EA1712" w:rsidP="00EA1712">
      <w:pPr>
        <w:pStyle w:val="Cmsor2"/>
        <w:rPr>
          <w:lang w:val="en-GB"/>
        </w:rPr>
      </w:pPr>
      <w:bookmarkStart w:id="72" w:name="_Toc133854459"/>
      <w:bookmarkStart w:id="73" w:name="_Toc225578885"/>
      <w:r w:rsidRPr="0002056A">
        <w:rPr>
          <w:lang w:val="en-GB"/>
        </w:rPr>
        <w:t>Annex 1 – overviewed and reviewed literature</w:t>
      </w:r>
      <w:bookmarkEnd w:id="72"/>
      <w:bookmarkEnd w:id="73"/>
    </w:p>
    <w:tbl>
      <w:tblPr>
        <w:tblW w:w="15452" w:type="dxa"/>
        <w:jc w:val="center"/>
        <w:tblLayout w:type="fixed"/>
        <w:tblCellMar>
          <w:left w:w="70" w:type="dxa"/>
          <w:right w:w="70" w:type="dxa"/>
        </w:tblCellMar>
        <w:tblLook w:val="04A0" w:firstRow="1" w:lastRow="0" w:firstColumn="1" w:lastColumn="0" w:noHBand="0" w:noVBand="1"/>
      </w:tblPr>
      <w:tblGrid>
        <w:gridCol w:w="1703"/>
        <w:gridCol w:w="705"/>
        <w:gridCol w:w="1137"/>
        <w:gridCol w:w="1134"/>
        <w:gridCol w:w="708"/>
        <w:gridCol w:w="851"/>
        <w:gridCol w:w="993"/>
        <w:gridCol w:w="708"/>
        <w:gridCol w:w="851"/>
        <w:gridCol w:w="708"/>
        <w:gridCol w:w="3686"/>
        <w:gridCol w:w="2268"/>
      </w:tblGrid>
      <w:tr w:rsidR="00B66E28" w:rsidRPr="0002056A" w14:paraId="6E7F308D" w14:textId="77777777" w:rsidTr="00D57247">
        <w:trPr>
          <w:trHeight w:val="570"/>
          <w:tblHeader/>
          <w:jc w:val="center"/>
        </w:trPr>
        <w:tc>
          <w:tcPr>
            <w:tcW w:w="1703" w:type="dxa"/>
            <w:tcBorders>
              <w:top w:val="single" w:sz="8" w:space="0" w:color="auto"/>
              <w:left w:val="single" w:sz="8" w:space="0" w:color="auto"/>
              <w:bottom w:val="single" w:sz="4" w:space="0" w:color="auto"/>
              <w:right w:val="single" w:sz="4" w:space="0" w:color="auto"/>
            </w:tcBorders>
            <w:shd w:val="clear" w:color="auto" w:fill="A8D08D" w:themeFill="accent6" w:themeFillTint="99"/>
            <w:vAlign w:val="center"/>
            <w:hideMark/>
          </w:tcPr>
          <w:p w14:paraId="3E102158"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Author</w:t>
            </w:r>
          </w:p>
        </w:tc>
        <w:tc>
          <w:tcPr>
            <w:tcW w:w="705"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0BDC0F6E"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Year</w:t>
            </w:r>
          </w:p>
        </w:tc>
        <w:tc>
          <w:tcPr>
            <w:tcW w:w="1137"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14489600"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Title</w:t>
            </w:r>
          </w:p>
        </w:tc>
        <w:tc>
          <w:tcPr>
            <w:tcW w:w="1134"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3FAF49D4" w14:textId="77777777" w:rsidR="00EA1712" w:rsidRPr="0002056A" w:rsidRDefault="00EA1712" w:rsidP="00515CA9">
            <w:pPr>
              <w:spacing w:after="0" w:line="240" w:lineRule="auto"/>
              <w:jc w:val="center"/>
              <w:rPr>
                <w:rFonts w:ascii="Georgia" w:eastAsia="Times New Roman" w:hAnsi="Georgia" w:cs="Times New Roman"/>
                <w:b/>
                <w:bCs/>
                <w:color w:val="FFFFFF"/>
                <w:sz w:val="16"/>
                <w:szCs w:val="16"/>
                <w:lang w:val="en-GB" w:eastAsia="hu-HU"/>
              </w:rPr>
            </w:pPr>
            <w:r w:rsidRPr="0002056A">
              <w:rPr>
                <w:rFonts w:ascii="Georgia" w:eastAsia="Times New Roman" w:hAnsi="Georgia" w:cs="Times New Roman"/>
                <w:b/>
                <w:bCs/>
                <w:color w:val="FFFFFF"/>
                <w:sz w:val="16"/>
                <w:szCs w:val="16"/>
                <w:lang w:val="en-GB" w:eastAsia="hu-HU"/>
              </w:rPr>
              <w:t>Author(s)’ nationality</w:t>
            </w:r>
          </w:p>
        </w:tc>
        <w:tc>
          <w:tcPr>
            <w:tcW w:w="708"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42B01CF6" w14:textId="0B364661" w:rsidR="00EA1712" w:rsidRPr="0002056A" w:rsidRDefault="00EA1712" w:rsidP="00515CA9">
            <w:pPr>
              <w:spacing w:after="0" w:line="240" w:lineRule="auto"/>
              <w:jc w:val="center"/>
              <w:rPr>
                <w:rFonts w:ascii="Georgia" w:eastAsia="Times New Roman" w:hAnsi="Georgia" w:cs="Times New Roman"/>
                <w:b/>
                <w:bCs/>
                <w:color w:val="FFFFFF"/>
                <w:sz w:val="16"/>
                <w:szCs w:val="16"/>
                <w:lang w:val="en-GB" w:eastAsia="hu-HU"/>
              </w:rPr>
            </w:pPr>
            <w:r w:rsidRPr="0002056A">
              <w:rPr>
                <w:rFonts w:ascii="Georgia" w:eastAsia="Times New Roman" w:hAnsi="Georgia" w:cs="Times New Roman"/>
                <w:b/>
                <w:bCs/>
                <w:color w:val="FFFFFF"/>
                <w:sz w:val="16"/>
                <w:szCs w:val="16"/>
                <w:lang w:val="en-GB" w:eastAsia="hu-HU"/>
              </w:rPr>
              <w:t>Pub</w:t>
            </w:r>
            <w:r w:rsidR="009C04B6" w:rsidRPr="0002056A">
              <w:rPr>
                <w:rFonts w:ascii="Georgia" w:eastAsia="Times New Roman" w:hAnsi="Georgia" w:cs="Times New Roman"/>
                <w:b/>
                <w:bCs/>
                <w:color w:val="FFFFFF"/>
                <w:sz w:val="16"/>
                <w:szCs w:val="16"/>
                <w:lang w:val="en-GB" w:eastAsia="hu-HU"/>
              </w:rPr>
              <w:t>-</w:t>
            </w:r>
            <w:r w:rsidRPr="0002056A">
              <w:rPr>
                <w:rFonts w:ascii="Georgia" w:eastAsia="Times New Roman" w:hAnsi="Georgia" w:cs="Times New Roman"/>
                <w:b/>
                <w:bCs/>
                <w:color w:val="FFFFFF"/>
                <w:sz w:val="16"/>
                <w:szCs w:val="16"/>
                <w:lang w:val="en-GB" w:eastAsia="hu-HU"/>
              </w:rPr>
              <w:t>lisher</w:t>
            </w:r>
          </w:p>
        </w:tc>
        <w:tc>
          <w:tcPr>
            <w:tcW w:w="851"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7953E620" w14:textId="4D7E6A0A" w:rsidR="00EA1712" w:rsidRPr="0002056A" w:rsidRDefault="00EA1712" w:rsidP="00515CA9">
            <w:pPr>
              <w:spacing w:after="0" w:line="240" w:lineRule="auto"/>
              <w:jc w:val="center"/>
              <w:rPr>
                <w:rFonts w:ascii="Georgia" w:eastAsia="Times New Roman" w:hAnsi="Georgia" w:cs="Times New Roman"/>
                <w:b/>
                <w:bCs/>
                <w:color w:val="FFFFFF"/>
                <w:sz w:val="16"/>
                <w:szCs w:val="16"/>
                <w:lang w:val="en-GB" w:eastAsia="hu-HU"/>
              </w:rPr>
            </w:pPr>
            <w:r w:rsidRPr="0002056A">
              <w:rPr>
                <w:rFonts w:ascii="Georgia" w:eastAsia="Times New Roman" w:hAnsi="Georgia" w:cs="Times New Roman"/>
                <w:b/>
                <w:bCs/>
                <w:color w:val="FFFFFF"/>
                <w:sz w:val="16"/>
                <w:szCs w:val="16"/>
                <w:lang w:val="en-GB" w:eastAsia="hu-HU"/>
              </w:rPr>
              <w:t>Dis</w:t>
            </w:r>
            <w:r w:rsidR="009C04B6" w:rsidRPr="0002056A">
              <w:rPr>
                <w:rFonts w:ascii="Georgia" w:eastAsia="Times New Roman" w:hAnsi="Georgia" w:cs="Times New Roman"/>
                <w:b/>
                <w:bCs/>
                <w:color w:val="FFFFFF"/>
                <w:sz w:val="16"/>
                <w:szCs w:val="16"/>
                <w:lang w:val="en-GB" w:eastAsia="hu-HU"/>
              </w:rPr>
              <w:t>-</w:t>
            </w:r>
            <w:r w:rsidRPr="0002056A">
              <w:rPr>
                <w:rFonts w:ascii="Georgia" w:eastAsia="Times New Roman" w:hAnsi="Georgia" w:cs="Times New Roman"/>
                <w:b/>
                <w:bCs/>
                <w:color w:val="FFFFFF"/>
                <w:sz w:val="16"/>
                <w:szCs w:val="16"/>
                <w:lang w:val="en-GB" w:eastAsia="hu-HU"/>
              </w:rPr>
              <w:t>cipline</w:t>
            </w:r>
          </w:p>
        </w:tc>
        <w:tc>
          <w:tcPr>
            <w:tcW w:w="993"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22B054E2"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Vol, No, pages</w:t>
            </w:r>
          </w:p>
        </w:tc>
        <w:tc>
          <w:tcPr>
            <w:tcW w:w="708"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61B5344C"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Type</w:t>
            </w:r>
          </w:p>
        </w:tc>
        <w:tc>
          <w:tcPr>
            <w:tcW w:w="851" w:type="dxa"/>
            <w:tcBorders>
              <w:top w:val="single" w:sz="8" w:space="0" w:color="auto"/>
              <w:left w:val="nil"/>
              <w:bottom w:val="single" w:sz="4" w:space="0" w:color="auto"/>
              <w:right w:val="single" w:sz="4" w:space="0" w:color="auto"/>
            </w:tcBorders>
            <w:shd w:val="clear" w:color="auto" w:fill="A8D08D" w:themeFill="accent6" w:themeFillTint="99"/>
            <w:vAlign w:val="center"/>
            <w:hideMark/>
          </w:tcPr>
          <w:p w14:paraId="7FA42B69" w14:textId="77777777"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Scien-tific?</w:t>
            </w:r>
          </w:p>
        </w:tc>
        <w:tc>
          <w:tcPr>
            <w:tcW w:w="708" w:type="dxa"/>
            <w:tcBorders>
              <w:top w:val="single" w:sz="8" w:space="0" w:color="auto"/>
              <w:left w:val="nil"/>
              <w:bottom w:val="single" w:sz="4" w:space="0" w:color="auto"/>
              <w:right w:val="single" w:sz="8" w:space="0" w:color="auto"/>
            </w:tcBorders>
            <w:shd w:val="clear" w:color="auto" w:fill="A8D08D" w:themeFill="accent6" w:themeFillTint="99"/>
            <w:vAlign w:val="center"/>
            <w:hideMark/>
          </w:tcPr>
          <w:p w14:paraId="5822593F" w14:textId="1CB92DBD"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Sour</w:t>
            </w:r>
            <w:r w:rsidR="009C04B6" w:rsidRPr="0002056A">
              <w:rPr>
                <w:rFonts w:ascii="Georgia" w:eastAsia="Times New Roman" w:hAnsi="Georgia" w:cs="Times New Roman"/>
                <w:b/>
                <w:bCs/>
                <w:color w:val="FFFFFF"/>
                <w:sz w:val="18"/>
                <w:szCs w:val="18"/>
                <w:lang w:val="en-GB" w:eastAsia="hu-HU"/>
              </w:rPr>
              <w:t>-</w:t>
            </w:r>
            <w:r w:rsidRPr="0002056A">
              <w:rPr>
                <w:rFonts w:ascii="Georgia" w:eastAsia="Times New Roman" w:hAnsi="Georgia" w:cs="Times New Roman"/>
                <w:b/>
                <w:bCs/>
                <w:color w:val="FFFFFF"/>
                <w:sz w:val="18"/>
                <w:szCs w:val="18"/>
                <w:lang w:val="en-GB" w:eastAsia="hu-HU"/>
              </w:rPr>
              <w:t>ce</w:t>
            </w:r>
          </w:p>
        </w:tc>
        <w:tc>
          <w:tcPr>
            <w:tcW w:w="3686" w:type="dxa"/>
            <w:tcBorders>
              <w:top w:val="single" w:sz="8" w:space="0" w:color="auto"/>
              <w:left w:val="nil"/>
              <w:bottom w:val="single" w:sz="4" w:space="0" w:color="auto"/>
              <w:right w:val="single" w:sz="8" w:space="0" w:color="auto"/>
            </w:tcBorders>
            <w:shd w:val="clear" w:color="auto" w:fill="A8D08D" w:themeFill="accent6" w:themeFillTint="99"/>
          </w:tcPr>
          <w:p w14:paraId="62778000" w14:textId="77777777" w:rsidR="00515CA9" w:rsidRPr="0002056A" w:rsidRDefault="00515CA9" w:rsidP="00515CA9">
            <w:pPr>
              <w:spacing w:after="0" w:line="240" w:lineRule="auto"/>
              <w:jc w:val="center"/>
              <w:rPr>
                <w:rFonts w:ascii="Georgia" w:eastAsia="Times New Roman" w:hAnsi="Georgia" w:cs="Times New Roman"/>
                <w:b/>
                <w:bCs/>
                <w:color w:val="FFFFFF"/>
                <w:sz w:val="18"/>
                <w:szCs w:val="18"/>
                <w:lang w:val="en-GB" w:eastAsia="hu-HU"/>
              </w:rPr>
            </w:pPr>
          </w:p>
          <w:p w14:paraId="38C6BAB3" w14:textId="3F455916"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Aim / focus</w:t>
            </w:r>
          </w:p>
        </w:tc>
        <w:tc>
          <w:tcPr>
            <w:tcW w:w="2268" w:type="dxa"/>
            <w:tcBorders>
              <w:top w:val="single" w:sz="8" w:space="0" w:color="auto"/>
              <w:left w:val="nil"/>
              <w:bottom w:val="single" w:sz="4" w:space="0" w:color="auto"/>
              <w:right w:val="single" w:sz="8" w:space="0" w:color="auto"/>
            </w:tcBorders>
            <w:shd w:val="clear" w:color="auto" w:fill="A8D08D" w:themeFill="accent6" w:themeFillTint="99"/>
          </w:tcPr>
          <w:p w14:paraId="6238C991" w14:textId="77777777" w:rsidR="00515CA9" w:rsidRPr="0002056A" w:rsidRDefault="00515CA9" w:rsidP="00515CA9">
            <w:pPr>
              <w:spacing w:after="0" w:line="240" w:lineRule="auto"/>
              <w:jc w:val="center"/>
              <w:rPr>
                <w:rFonts w:ascii="Georgia" w:eastAsia="Times New Roman" w:hAnsi="Georgia" w:cs="Times New Roman"/>
                <w:b/>
                <w:bCs/>
                <w:color w:val="FFFFFF"/>
                <w:sz w:val="18"/>
                <w:szCs w:val="18"/>
                <w:lang w:val="en-GB" w:eastAsia="hu-HU"/>
              </w:rPr>
            </w:pPr>
          </w:p>
          <w:p w14:paraId="3AF545AF" w14:textId="1D766621" w:rsidR="00EA1712" w:rsidRPr="0002056A" w:rsidRDefault="00EA1712" w:rsidP="00515CA9">
            <w:pPr>
              <w:spacing w:after="0" w:line="240" w:lineRule="auto"/>
              <w:jc w:val="center"/>
              <w:rPr>
                <w:rFonts w:ascii="Georgia" w:eastAsia="Times New Roman" w:hAnsi="Georgia" w:cs="Times New Roman"/>
                <w:b/>
                <w:bCs/>
                <w:color w:val="FFFFFF"/>
                <w:sz w:val="18"/>
                <w:szCs w:val="18"/>
                <w:lang w:val="en-GB" w:eastAsia="hu-HU"/>
              </w:rPr>
            </w:pPr>
            <w:r w:rsidRPr="0002056A">
              <w:rPr>
                <w:rFonts w:ascii="Georgia" w:eastAsia="Times New Roman" w:hAnsi="Georgia" w:cs="Times New Roman"/>
                <w:b/>
                <w:bCs/>
                <w:color w:val="FFFFFF"/>
                <w:sz w:val="18"/>
                <w:szCs w:val="18"/>
                <w:lang w:val="en-GB" w:eastAsia="hu-HU"/>
              </w:rPr>
              <w:t>Useful content</w:t>
            </w:r>
          </w:p>
        </w:tc>
      </w:tr>
      <w:tr w:rsidR="00B66E28" w:rsidRPr="0002056A" w14:paraId="0690DBEE" w14:textId="77777777" w:rsidTr="00D57247">
        <w:trPr>
          <w:trHeight w:val="6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B2F6862" w14:textId="545FC43B" w:rsidR="00C65D41" w:rsidRPr="0002056A" w:rsidRDefault="00C65D41" w:rsidP="00C65D41">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Abrahams, D., Carr, E.J.</w:t>
            </w:r>
          </w:p>
        </w:tc>
        <w:tc>
          <w:tcPr>
            <w:tcW w:w="705" w:type="dxa"/>
            <w:tcBorders>
              <w:top w:val="nil"/>
              <w:left w:val="nil"/>
              <w:bottom w:val="single" w:sz="4" w:space="0" w:color="auto"/>
              <w:right w:val="single" w:sz="4" w:space="0" w:color="auto"/>
            </w:tcBorders>
            <w:noWrap/>
            <w:vAlign w:val="center"/>
          </w:tcPr>
          <w:p w14:paraId="64C48284" w14:textId="78F7E63E"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61CFF92A" w14:textId="0573EB19"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Understanding the Connections Between Climate Change and Conflict: Contributions </w:t>
            </w:r>
            <w:r w:rsidR="00875741" w:rsidRPr="0002056A">
              <w:rPr>
                <w:rFonts w:ascii="Georgia" w:eastAsia="Times New Roman" w:hAnsi="Georgia" w:cs="Times New Roman"/>
                <w:color w:val="000000"/>
                <w:sz w:val="10"/>
                <w:szCs w:val="10"/>
                <w:lang w:val="en-GB" w:eastAsia="hu-HU"/>
              </w:rPr>
              <w:t>from</w:t>
            </w:r>
            <w:r w:rsidRPr="0002056A">
              <w:rPr>
                <w:rFonts w:ascii="Georgia" w:eastAsia="Times New Roman" w:hAnsi="Georgia" w:cs="Times New Roman"/>
                <w:color w:val="000000"/>
                <w:sz w:val="10"/>
                <w:szCs w:val="10"/>
                <w:lang w:val="en-GB" w:eastAsia="hu-HU"/>
              </w:rPr>
              <w:t xml:space="preserve"> Geography and Political Ecology</w:t>
            </w:r>
          </w:p>
        </w:tc>
        <w:tc>
          <w:tcPr>
            <w:tcW w:w="1134" w:type="dxa"/>
            <w:tcBorders>
              <w:top w:val="nil"/>
              <w:left w:val="nil"/>
              <w:bottom w:val="single" w:sz="4" w:space="0" w:color="auto"/>
              <w:right w:val="single" w:sz="4" w:space="0" w:color="auto"/>
            </w:tcBorders>
            <w:vAlign w:val="center"/>
          </w:tcPr>
          <w:p w14:paraId="029699BA" w14:textId="5B899F7D"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tcPr>
          <w:p w14:paraId="66942366" w14:textId="49B85879"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noWrap/>
            <w:vAlign w:val="center"/>
          </w:tcPr>
          <w:p w14:paraId="5C1EEE0D" w14:textId="0A18E0D6"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Geography</w:t>
            </w:r>
            <w:r w:rsidR="00B213A5" w:rsidRPr="0002056A">
              <w:rPr>
                <w:rFonts w:ascii="Georgia" w:eastAsia="Times New Roman" w:hAnsi="Georgia" w:cs="Times New Roman"/>
                <w:color w:val="000000"/>
                <w:sz w:val="10"/>
                <w:szCs w:val="10"/>
                <w:lang w:val="en-GB" w:eastAsia="hu-HU"/>
              </w:rPr>
              <w:t xml:space="preserve">, </w:t>
            </w:r>
            <w:r w:rsidR="00E55451"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78688B81" w14:textId="646FD7EB" w:rsidR="00C65D41" w:rsidRPr="0002056A" w:rsidRDefault="00C65D41" w:rsidP="00886990">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Current Climate Change Reports</w:t>
            </w:r>
          </w:p>
          <w:p w14:paraId="299F4C14" w14:textId="5A372199" w:rsidR="00C65D41" w:rsidRPr="0002056A" w:rsidRDefault="00C65D41" w:rsidP="008679D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and Conflicts volume 3, pages233–242 (2017)</w:t>
            </w:r>
          </w:p>
        </w:tc>
        <w:tc>
          <w:tcPr>
            <w:tcW w:w="708" w:type="dxa"/>
            <w:tcBorders>
              <w:top w:val="nil"/>
              <w:left w:val="nil"/>
              <w:bottom w:val="single" w:sz="4" w:space="0" w:color="auto"/>
              <w:right w:val="single" w:sz="4" w:space="0" w:color="auto"/>
            </w:tcBorders>
            <w:vAlign w:val="center"/>
          </w:tcPr>
          <w:p w14:paraId="5F366F8F" w14:textId="3738A10E"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662A80D" w14:textId="128770FA"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1D5D22A" w14:textId="7105E6F5"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2EC6E20" w14:textId="47DDB139" w:rsidR="00C65D41" w:rsidRPr="0002056A" w:rsidRDefault="0056450E" w:rsidP="00B66E2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literature uniquely challenges the dominant “threat multiplier” framing of climate change’s impact on climate, questioning this narrative’s unidirectional flow from climate vulnerability to conflict, exploring how climate change can create opportunities for peacebuilding as well as conflict, and identifying how climate adaptation activities can themselves become catalysts for conflict.</w:t>
            </w:r>
          </w:p>
        </w:tc>
        <w:tc>
          <w:tcPr>
            <w:tcW w:w="2268" w:type="dxa"/>
            <w:tcBorders>
              <w:top w:val="nil"/>
              <w:left w:val="nil"/>
              <w:bottom w:val="single" w:sz="4" w:space="0" w:color="auto"/>
              <w:right w:val="single" w:sz="8" w:space="0" w:color="auto"/>
            </w:tcBorders>
            <w:vAlign w:val="center"/>
          </w:tcPr>
          <w:p w14:paraId="13498570" w14:textId="468D58C1" w:rsidR="00C65D41" w:rsidRPr="0002056A" w:rsidRDefault="0056450E" w:rsidP="00C65D41">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offers a unique approach considering climate change from the point of geography, political ecology and geopolitics.</w:t>
            </w:r>
          </w:p>
        </w:tc>
      </w:tr>
      <w:tr w:rsidR="00B66E28" w:rsidRPr="0002056A" w14:paraId="544D4FC0" w14:textId="77777777" w:rsidTr="00D57247">
        <w:trPr>
          <w:trHeight w:val="6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C35EACF" w14:textId="77777777" w:rsidR="00C65D41" w:rsidRPr="0002056A" w:rsidRDefault="00C65D41" w:rsidP="00C65D41">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Agnew, J. </w:t>
            </w:r>
          </w:p>
          <w:p w14:paraId="50DAD350" w14:textId="77777777" w:rsidR="00C65D41" w:rsidRPr="0002056A" w:rsidRDefault="00C65D41" w:rsidP="00C65D41">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75E98BD6" w14:textId="3B7DF20C"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1998 </w:t>
            </w:r>
          </w:p>
        </w:tc>
        <w:tc>
          <w:tcPr>
            <w:tcW w:w="1137" w:type="dxa"/>
            <w:tcBorders>
              <w:top w:val="nil"/>
              <w:left w:val="nil"/>
              <w:bottom w:val="single" w:sz="4" w:space="0" w:color="auto"/>
              <w:right w:val="single" w:sz="4" w:space="0" w:color="auto"/>
            </w:tcBorders>
            <w:vAlign w:val="center"/>
          </w:tcPr>
          <w:p w14:paraId="1BA6808A" w14:textId="14E82D00"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 Re-visioning world politics</w:t>
            </w:r>
            <w:r w:rsidR="008679D3"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Second Edition.</w:t>
            </w:r>
          </w:p>
        </w:tc>
        <w:tc>
          <w:tcPr>
            <w:tcW w:w="1134" w:type="dxa"/>
            <w:tcBorders>
              <w:top w:val="nil"/>
              <w:left w:val="nil"/>
              <w:bottom w:val="single" w:sz="4" w:space="0" w:color="auto"/>
              <w:right w:val="single" w:sz="4" w:space="0" w:color="auto"/>
            </w:tcBorders>
            <w:vAlign w:val="center"/>
          </w:tcPr>
          <w:p w14:paraId="5D9DE1E8" w14:textId="5BBA44A5"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0CF06ED4" w14:textId="13E8629C"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 Taylor &amp; Francis</w:t>
            </w:r>
          </w:p>
        </w:tc>
        <w:tc>
          <w:tcPr>
            <w:tcW w:w="851" w:type="dxa"/>
            <w:tcBorders>
              <w:top w:val="nil"/>
              <w:left w:val="nil"/>
              <w:bottom w:val="single" w:sz="4" w:space="0" w:color="auto"/>
              <w:right w:val="single" w:sz="4" w:space="0" w:color="auto"/>
            </w:tcBorders>
            <w:noWrap/>
            <w:vAlign w:val="center"/>
          </w:tcPr>
          <w:p w14:paraId="7ED883EB" w14:textId="551BA707"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5349C475" w14:textId="20E3A5C4" w:rsidR="00C65D41" w:rsidRPr="0002056A" w:rsidRDefault="00C65D41" w:rsidP="00886990">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 London-New York. Second edition 2003 Taylor &amp; Francis Group</w:t>
            </w:r>
          </w:p>
        </w:tc>
        <w:tc>
          <w:tcPr>
            <w:tcW w:w="708" w:type="dxa"/>
            <w:tcBorders>
              <w:top w:val="nil"/>
              <w:left w:val="nil"/>
              <w:bottom w:val="single" w:sz="4" w:space="0" w:color="auto"/>
              <w:right w:val="single" w:sz="4" w:space="0" w:color="auto"/>
            </w:tcBorders>
            <w:vAlign w:val="center"/>
          </w:tcPr>
          <w:p w14:paraId="5002A088" w14:textId="585B0B18"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0FD56E0E" w14:textId="37C58F15"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9EBD11A" w14:textId="310ED9AB"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6C186E5" w14:textId="21C14213" w:rsidR="00C65D41" w:rsidRPr="0002056A" w:rsidRDefault="00C65D41" w:rsidP="00B66E2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systematically explores how Europeans in a position of global power imposed their ways and views on others through visualizing the world as a whole, defining world regions as modern or backward, seeing the world politics as the outcome of the pursuit of primacy by competing states. It explores the elements of geographical imagination and how they have come together in different historical and modern conditions. Agnew identifies and argues for an alternative, given the costs visited on the world in twentieth century by the practice of the modern geographical imagination.</w:t>
            </w:r>
          </w:p>
        </w:tc>
        <w:tc>
          <w:tcPr>
            <w:tcW w:w="2268" w:type="dxa"/>
            <w:tcBorders>
              <w:top w:val="nil"/>
              <w:left w:val="nil"/>
              <w:bottom w:val="single" w:sz="4" w:space="0" w:color="auto"/>
              <w:right w:val="single" w:sz="8" w:space="0" w:color="auto"/>
            </w:tcBorders>
            <w:vAlign w:val="center"/>
          </w:tcPr>
          <w:p w14:paraId="3960DEBA" w14:textId="0E109B49" w:rsidR="00C65D41" w:rsidRPr="0002056A" w:rsidRDefault="00C65D41" w:rsidP="00C65D41">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geopolitics’ main concepts and definitions as basis of its space interpretation.</w:t>
            </w:r>
          </w:p>
        </w:tc>
      </w:tr>
      <w:tr w:rsidR="00B66E28" w:rsidRPr="0002056A" w14:paraId="6110382D" w14:textId="77777777" w:rsidTr="00D57247">
        <w:trPr>
          <w:trHeight w:val="6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E51DC73" w14:textId="77777777" w:rsidR="00C65D41" w:rsidRPr="0002056A" w:rsidRDefault="00C65D41" w:rsidP="00C65D41">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Agnew, J.</w:t>
            </w:r>
          </w:p>
        </w:tc>
        <w:tc>
          <w:tcPr>
            <w:tcW w:w="705" w:type="dxa"/>
            <w:tcBorders>
              <w:top w:val="nil"/>
              <w:left w:val="nil"/>
              <w:bottom w:val="single" w:sz="4" w:space="0" w:color="auto"/>
              <w:right w:val="single" w:sz="4" w:space="0" w:color="auto"/>
            </w:tcBorders>
            <w:noWrap/>
            <w:vAlign w:val="center"/>
          </w:tcPr>
          <w:p w14:paraId="25832150" w14:textId="77777777"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1989</w:t>
            </w:r>
          </w:p>
        </w:tc>
        <w:tc>
          <w:tcPr>
            <w:tcW w:w="1137" w:type="dxa"/>
            <w:tcBorders>
              <w:top w:val="nil"/>
              <w:left w:val="nil"/>
              <w:bottom w:val="single" w:sz="4" w:space="0" w:color="auto"/>
              <w:right w:val="single" w:sz="4" w:space="0" w:color="auto"/>
            </w:tcBorders>
            <w:vAlign w:val="center"/>
          </w:tcPr>
          <w:p w14:paraId="32A1C584" w14:textId="77777777"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devaluation of place in social science</w:t>
            </w:r>
          </w:p>
        </w:tc>
        <w:tc>
          <w:tcPr>
            <w:tcW w:w="1134" w:type="dxa"/>
            <w:tcBorders>
              <w:top w:val="nil"/>
              <w:left w:val="nil"/>
              <w:bottom w:val="single" w:sz="4" w:space="0" w:color="auto"/>
              <w:right w:val="single" w:sz="4" w:space="0" w:color="auto"/>
            </w:tcBorders>
            <w:vAlign w:val="center"/>
          </w:tcPr>
          <w:p w14:paraId="03232F6D" w14:textId="77777777"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77DF0D3C" w14:textId="77777777"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w:t>
            </w:r>
          </w:p>
        </w:tc>
        <w:tc>
          <w:tcPr>
            <w:tcW w:w="851" w:type="dxa"/>
            <w:tcBorders>
              <w:top w:val="nil"/>
              <w:left w:val="nil"/>
              <w:bottom w:val="single" w:sz="4" w:space="0" w:color="auto"/>
              <w:right w:val="single" w:sz="4" w:space="0" w:color="auto"/>
            </w:tcBorders>
            <w:noWrap/>
            <w:vAlign w:val="center"/>
          </w:tcPr>
          <w:p w14:paraId="430BB02F" w14:textId="77777777" w:rsidR="00C65D41" w:rsidRPr="0002056A" w:rsidRDefault="00C65D41" w:rsidP="00C65D41">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3272CF85" w14:textId="126D6DEB" w:rsidR="00C65D41" w:rsidRPr="0002056A" w:rsidRDefault="00C65D41" w:rsidP="00886990">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Agnew, J.- Duncan, </w:t>
            </w:r>
            <w:r w:rsidR="00875741" w:rsidRPr="0002056A">
              <w:rPr>
                <w:rFonts w:ascii="Georgia" w:eastAsia="Times New Roman" w:hAnsi="Georgia" w:cs="Times New Roman"/>
                <w:color w:val="000000"/>
                <w:sz w:val="10"/>
                <w:szCs w:val="10"/>
                <w:lang w:val="en-GB" w:eastAsia="hu-HU"/>
              </w:rPr>
              <w:t>J.:</w:t>
            </w:r>
            <w:r w:rsidRPr="0002056A">
              <w:rPr>
                <w:rFonts w:ascii="Georgia" w:eastAsia="Times New Roman" w:hAnsi="Georgia" w:cs="Times New Roman"/>
                <w:color w:val="000000"/>
                <w:sz w:val="10"/>
                <w:szCs w:val="10"/>
                <w:lang w:val="en-GB" w:eastAsia="hu-HU"/>
              </w:rPr>
              <w:t xml:space="preserve"> The Power of Place (RLE Social &amp; Cultural Geography)</w:t>
            </w:r>
          </w:p>
        </w:tc>
        <w:tc>
          <w:tcPr>
            <w:tcW w:w="708" w:type="dxa"/>
            <w:tcBorders>
              <w:top w:val="nil"/>
              <w:left w:val="nil"/>
              <w:bottom w:val="single" w:sz="4" w:space="0" w:color="auto"/>
              <w:right w:val="single" w:sz="4" w:space="0" w:color="auto"/>
            </w:tcBorders>
            <w:vAlign w:val="center"/>
          </w:tcPr>
          <w:p w14:paraId="798FEFFD" w14:textId="77777777"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tcPr>
          <w:p w14:paraId="21F6B27A" w14:textId="77777777"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029A5A6" w14:textId="77777777" w:rsidR="00C65D41" w:rsidRPr="0002056A" w:rsidRDefault="00C65D41" w:rsidP="00C65D41">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8C4950B" w14:textId="77777777" w:rsidR="00C65D41" w:rsidRPr="0002056A" w:rsidRDefault="00C65D41" w:rsidP="00B66E2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this book chapter Agnew explores the merging of two interests. 1) an interest in the recent revival by geographers of a concept of place (many geographers of diverse intellectual and ideological persuasions are talking about place and the need for a revitalized regional geography). 2)  an interest in why social science in general and geography in particular should have devalued place to the extent that it must be defined and refined rather than have been seen all along as a vital social science concept.</w:t>
            </w:r>
          </w:p>
        </w:tc>
        <w:tc>
          <w:tcPr>
            <w:tcW w:w="2268" w:type="dxa"/>
            <w:tcBorders>
              <w:top w:val="nil"/>
              <w:left w:val="nil"/>
              <w:bottom w:val="single" w:sz="4" w:space="0" w:color="auto"/>
              <w:right w:val="single" w:sz="8" w:space="0" w:color="auto"/>
            </w:tcBorders>
            <w:vAlign w:val="center"/>
          </w:tcPr>
          <w:p w14:paraId="18968244" w14:textId="77777777" w:rsidR="00C65D41" w:rsidRPr="0002056A" w:rsidRDefault="00C65D41" w:rsidP="00C65D41">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social geography’s space concept.</w:t>
            </w:r>
          </w:p>
        </w:tc>
      </w:tr>
      <w:tr w:rsidR="0033071B" w:rsidRPr="0002056A" w14:paraId="7F22A156" w14:textId="77777777" w:rsidTr="00D57247">
        <w:trPr>
          <w:trHeight w:val="6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6480F82"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Amin, A. </w:t>
            </w:r>
          </w:p>
        </w:tc>
        <w:tc>
          <w:tcPr>
            <w:tcW w:w="705" w:type="dxa"/>
            <w:tcBorders>
              <w:top w:val="nil"/>
              <w:left w:val="nil"/>
              <w:bottom w:val="single" w:sz="4" w:space="0" w:color="auto"/>
              <w:right w:val="single" w:sz="4" w:space="0" w:color="auto"/>
            </w:tcBorders>
            <w:noWrap/>
            <w:vAlign w:val="center"/>
          </w:tcPr>
          <w:p w14:paraId="5587BD0D"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2002</w:t>
            </w:r>
          </w:p>
        </w:tc>
        <w:tc>
          <w:tcPr>
            <w:tcW w:w="1137" w:type="dxa"/>
            <w:tcBorders>
              <w:top w:val="nil"/>
              <w:left w:val="nil"/>
              <w:bottom w:val="single" w:sz="4" w:space="0" w:color="auto"/>
              <w:right w:val="single" w:sz="4" w:space="0" w:color="auto"/>
            </w:tcBorders>
            <w:vAlign w:val="center"/>
          </w:tcPr>
          <w:p w14:paraId="536C78DC"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Spatialities of Globalisation. </w:t>
            </w:r>
          </w:p>
        </w:tc>
        <w:tc>
          <w:tcPr>
            <w:tcW w:w="1134" w:type="dxa"/>
            <w:tcBorders>
              <w:top w:val="nil"/>
              <w:left w:val="nil"/>
              <w:bottom w:val="single" w:sz="4" w:space="0" w:color="auto"/>
              <w:right w:val="single" w:sz="4" w:space="0" w:color="auto"/>
            </w:tcBorders>
            <w:vAlign w:val="center"/>
          </w:tcPr>
          <w:p w14:paraId="0365614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3525E20"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Journals</w:t>
            </w:r>
          </w:p>
        </w:tc>
        <w:tc>
          <w:tcPr>
            <w:tcW w:w="851" w:type="dxa"/>
            <w:tcBorders>
              <w:top w:val="nil"/>
              <w:left w:val="nil"/>
              <w:bottom w:val="single" w:sz="4" w:space="0" w:color="auto"/>
              <w:right w:val="single" w:sz="4" w:space="0" w:color="auto"/>
            </w:tcBorders>
            <w:noWrap/>
            <w:vAlign w:val="center"/>
          </w:tcPr>
          <w:p w14:paraId="69F1D055"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studies, regional geography</w:t>
            </w:r>
          </w:p>
        </w:tc>
        <w:tc>
          <w:tcPr>
            <w:tcW w:w="993" w:type="dxa"/>
            <w:tcBorders>
              <w:top w:val="nil"/>
              <w:left w:val="nil"/>
              <w:bottom w:val="single" w:sz="4" w:space="0" w:color="auto"/>
              <w:right w:val="single" w:sz="4" w:space="0" w:color="auto"/>
            </w:tcBorders>
            <w:vAlign w:val="center"/>
          </w:tcPr>
          <w:p w14:paraId="7CD23D7E"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hyperlink r:id="rId136" w:history="1">
              <w:r w:rsidRPr="0002056A">
                <w:rPr>
                  <w:rFonts w:ascii="Georgia" w:eastAsia="Times New Roman" w:hAnsi="Georgia" w:cs="Times New Roman"/>
                  <w:color w:val="000000"/>
                  <w:sz w:val="10"/>
                  <w:szCs w:val="10"/>
                  <w:lang w:val="en-GB" w:eastAsia="hu-HU"/>
                </w:rPr>
                <w:t>Volume 34, Issue 3</w:t>
              </w:r>
            </w:hyperlink>
          </w:p>
          <w:p w14:paraId="288E0B34"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hyperlink r:id="rId137" w:history="1">
              <w:r w:rsidRPr="0002056A">
                <w:rPr>
                  <w:rFonts w:ascii="Georgia" w:eastAsia="Times New Roman" w:hAnsi="Georgia" w:cs="Times New Roman"/>
                  <w:color w:val="000000"/>
                  <w:sz w:val="10"/>
                  <w:szCs w:val="10"/>
                  <w:lang w:val="en-GB" w:eastAsia="hu-HU"/>
                </w:rPr>
                <w:t>https://doi.org/10.1068/a3439</w:t>
              </w:r>
            </w:hyperlink>
          </w:p>
        </w:tc>
        <w:tc>
          <w:tcPr>
            <w:tcW w:w="708" w:type="dxa"/>
            <w:tcBorders>
              <w:top w:val="nil"/>
              <w:left w:val="nil"/>
              <w:bottom w:val="single" w:sz="4" w:space="0" w:color="auto"/>
              <w:right w:val="single" w:sz="4" w:space="0" w:color="auto"/>
            </w:tcBorders>
            <w:vAlign w:val="center"/>
          </w:tcPr>
          <w:p w14:paraId="6C508A40"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8D4BA93"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4068706"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976C10E" w14:textId="0B5EDCEF"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Amin focuses in this paper on the theorisation of the </w:t>
            </w:r>
            <w:r w:rsidR="00E55451" w:rsidRPr="0002056A">
              <w:rPr>
                <w:rFonts w:ascii="Georgia" w:eastAsia="Times New Roman" w:hAnsi="Georgia" w:cs="Times New Roman"/>
                <w:color w:val="000000"/>
                <w:sz w:val="10"/>
                <w:szCs w:val="10"/>
                <w:lang w:val="en-GB" w:eastAsia="hu-HU"/>
              </w:rPr>
              <w:t>spatiality</w:t>
            </w:r>
            <w:r w:rsidRPr="0002056A">
              <w:rPr>
                <w:rFonts w:ascii="Georgia" w:eastAsia="Times New Roman" w:hAnsi="Georgia" w:cs="Times New Roman"/>
                <w:color w:val="000000"/>
                <w:sz w:val="10"/>
                <w:szCs w:val="10"/>
                <w:lang w:val="en-GB" w:eastAsia="hu-HU"/>
              </w:rPr>
              <w:t xml:space="preserve"> of globalisation, seeking shifting emphasis from the currently dominant discourse of scalar and territorial relativisation, towards relational processes and network forms of organisation that defy a linear distinction between place and space. He stresses the importance of actor networks as well as the world of practices as the central components of a topographical understanding of globalisation. </w:t>
            </w:r>
          </w:p>
        </w:tc>
        <w:tc>
          <w:tcPr>
            <w:tcW w:w="2268" w:type="dxa"/>
            <w:tcBorders>
              <w:top w:val="nil"/>
              <w:left w:val="nil"/>
              <w:bottom w:val="single" w:sz="4" w:space="0" w:color="auto"/>
              <w:right w:val="single" w:sz="8" w:space="0" w:color="auto"/>
            </w:tcBorders>
            <w:vAlign w:val="center"/>
          </w:tcPr>
          <w:p w14:paraId="6BD901B0"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spatial interpretation of globalisation.</w:t>
            </w:r>
          </w:p>
        </w:tc>
      </w:tr>
      <w:tr w:rsidR="0033071B" w:rsidRPr="0002056A" w14:paraId="48CDAE80" w14:textId="77777777" w:rsidTr="00D57247">
        <w:trPr>
          <w:trHeight w:val="6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E946FBA" w14:textId="2D10E95E"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Araos, M.; Berrang-Ford, L.; Austin, S.; Biesbroek, R.; </w:t>
            </w:r>
            <w:r w:rsidR="00875741" w:rsidRPr="0002056A">
              <w:rPr>
                <w:rFonts w:ascii="Georgia" w:eastAsia="Times New Roman" w:hAnsi="Georgia" w:cs="Times New Roman"/>
                <w:b/>
                <w:bCs/>
                <w:i/>
                <w:iCs/>
                <w:color w:val="000000"/>
                <w:sz w:val="14"/>
                <w:szCs w:val="14"/>
                <w:lang w:val="en-GB" w:eastAsia="hu-HU"/>
              </w:rPr>
              <w:t>Lesnikowski, A.</w:t>
            </w:r>
            <w:r w:rsidRPr="0002056A">
              <w:rPr>
                <w:rFonts w:ascii="Georgia" w:eastAsia="Times New Roman" w:hAnsi="Georgia" w:cs="Times New Roman"/>
                <w:b/>
                <w:bCs/>
                <w:i/>
                <w:iCs/>
                <w:color w:val="000000"/>
                <w:sz w:val="14"/>
                <w:szCs w:val="14"/>
                <w:lang w:val="en-GB" w:eastAsia="hu-HU"/>
              </w:rPr>
              <w:t xml:space="preserve"> </w:t>
            </w:r>
          </w:p>
        </w:tc>
        <w:tc>
          <w:tcPr>
            <w:tcW w:w="705" w:type="dxa"/>
            <w:tcBorders>
              <w:top w:val="nil"/>
              <w:left w:val="nil"/>
              <w:bottom w:val="single" w:sz="4" w:space="0" w:color="auto"/>
              <w:right w:val="single" w:sz="4" w:space="0" w:color="auto"/>
            </w:tcBorders>
            <w:vAlign w:val="center"/>
            <w:hideMark/>
          </w:tcPr>
          <w:p w14:paraId="4F8F2CC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hideMark/>
          </w:tcPr>
          <w:p w14:paraId="42B5B206"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CC adaptation planning in large cities: A systematic global assessment. </w:t>
            </w:r>
          </w:p>
        </w:tc>
        <w:tc>
          <w:tcPr>
            <w:tcW w:w="1134" w:type="dxa"/>
            <w:tcBorders>
              <w:top w:val="nil"/>
              <w:left w:val="nil"/>
              <w:bottom w:val="single" w:sz="4" w:space="0" w:color="auto"/>
              <w:right w:val="single" w:sz="4" w:space="0" w:color="auto"/>
            </w:tcBorders>
            <w:vAlign w:val="center"/>
            <w:hideMark/>
          </w:tcPr>
          <w:p w14:paraId="4F7B60F4"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 CAN, CAN, NRL, CAN</w:t>
            </w:r>
          </w:p>
        </w:tc>
        <w:tc>
          <w:tcPr>
            <w:tcW w:w="708" w:type="dxa"/>
            <w:tcBorders>
              <w:top w:val="nil"/>
              <w:left w:val="nil"/>
              <w:bottom w:val="single" w:sz="4" w:space="0" w:color="auto"/>
              <w:right w:val="single" w:sz="4" w:space="0" w:color="auto"/>
            </w:tcBorders>
            <w:vAlign w:val="center"/>
            <w:hideMark/>
          </w:tcPr>
          <w:p w14:paraId="4B434323"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6E736F07"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hideMark/>
          </w:tcPr>
          <w:p w14:paraId="5D774D29"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Environmental Science &amp; Policy 66 (2016) pp. 375–382.  </w:t>
            </w:r>
          </w:p>
        </w:tc>
        <w:tc>
          <w:tcPr>
            <w:tcW w:w="708" w:type="dxa"/>
            <w:tcBorders>
              <w:top w:val="nil"/>
              <w:left w:val="nil"/>
              <w:bottom w:val="single" w:sz="4" w:space="0" w:color="auto"/>
              <w:right w:val="single" w:sz="4" w:space="0" w:color="auto"/>
            </w:tcBorders>
            <w:vAlign w:val="center"/>
            <w:hideMark/>
          </w:tcPr>
          <w:p w14:paraId="44D81435"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08C07D3"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71509F0"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D2AFF53" w14:textId="4F9A247F"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study develops and applies a framework to track urban climate change adaptation policy using municipal adaptation reporting. It analysed 401 local governments globally in urban areas with &gt;1. m people and found that only 61 cities (15%) report any adaptation initiatives, and 73 cities (18%) report on planning towards adaptation policy. They even classified cities based on their adaptation reporting as extensive adaptors, moderate adaptors, early-stage adaptors, and non-reporting. With few exceptions, extensive adaptors are large cities located in high-income countries in North America, Europe, and Oceania, and are adapting to a variety of expected impacts. </w:t>
            </w:r>
          </w:p>
        </w:tc>
        <w:tc>
          <w:tcPr>
            <w:tcW w:w="2268" w:type="dxa"/>
            <w:tcBorders>
              <w:top w:val="nil"/>
              <w:left w:val="nil"/>
              <w:bottom w:val="single" w:sz="4" w:space="0" w:color="auto"/>
              <w:right w:val="single" w:sz="8" w:space="0" w:color="auto"/>
            </w:tcBorders>
            <w:vAlign w:val="center"/>
          </w:tcPr>
          <w:p w14:paraId="0591E368" w14:textId="5D761F12"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example for a global comprehensive study at local level on urban adaptation.</w:t>
            </w:r>
            <w:r w:rsidR="00B20270" w:rsidRPr="0002056A">
              <w:rPr>
                <w:rFonts w:ascii="Georgia" w:eastAsia="Times New Roman" w:hAnsi="Georgia" w:cs="Times New Roman"/>
                <w:color w:val="000000"/>
                <w:sz w:val="10"/>
                <w:szCs w:val="10"/>
                <w:lang w:val="en-GB" w:eastAsia="hu-HU"/>
              </w:rPr>
              <w:t xml:space="preserve"> Their findings suggest that urban adaptation is in the early stages, but there are still substantive examples of governments taking leadership regardless of wealth levels and institutional barriers.</w:t>
            </w:r>
          </w:p>
        </w:tc>
      </w:tr>
      <w:tr w:rsidR="0033071B" w:rsidRPr="0002056A" w14:paraId="0D52CEB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9FBF6D8"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Baker, I.; Peterson, A.; Brown, G.; McAlpine, C. </w:t>
            </w:r>
          </w:p>
        </w:tc>
        <w:tc>
          <w:tcPr>
            <w:tcW w:w="705" w:type="dxa"/>
            <w:tcBorders>
              <w:top w:val="nil"/>
              <w:left w:val="nil"/>
              <w:bottom w:val="single" w:sz="4" w:space="0" w:color="auto"/>
              <w:right w:val="single" w:sz="4" w:space="0" w:color="auto"/>
            </w:tcBorders>
            <w:vAlign w:val="center"/>
            <w:hideMark/>
          </w:tcPr>
          <w:p w14:paraId="12398082"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4303AC01"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Local government response to the impacts of CC: An evaluation of local climate adaptation plans.</w:t>
            </w:r>
          </w:p>
        </w:tc>
        <w:tc>
          <w:tcPr>
            <w:tcW w:w="1134" w:type="dxa"/>
            <w:tcBorders>
              <w:top w:val="nil"/>
              <w:left w:val="nil"/>
              <w:bottom w:val="single" w:sz="4" w:space="0" w:color="auto"/>
              <w:right w:val="single" w:sz="4" w:space="0" w:color="auto"/>
            </w:tcBorders>
            <w:vAlign w:val="center"/>
            <w:hideMark/>
          </w:tcPr>
          <w:p w14:paraId="7EEA85B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 USA</w:t>
            </w:r>
          </w:p>
        </w:tc>
        <w:tc>
          <w:tcPr>
            <w:tcW w:w="708" w:type="dxa"/>
            <w:tcBorders>
              <w:top w:val="nil"/>
              <w:left w:val="nil"/>
              <w:bottom w:val="single" w:sz="4" w:space="0" w:color="auto"/>
              <w:right w:val="single" w:sz="4" w:space="0" w:color="auto"/>
            </w:tcBorders>
            <w:vAlign w:val="center"/>
            <w:hideMark/>
          </w:tcPr>
          <w:p w14:paraId="0618B824"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7D5CFDE3"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7384F23C"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Landscape and Urban Planning 107 (2012) pp. 127– 136.</w:t>
            </w:r>
          </w:p>
        </w:tc>
        <w:tc>
          <w:tcPr>
            <w:tcW w:w="708" w:type="dxa"/>
            <w:tcBorders>
              <w:top w:val="nil"/>
              <w:left w:val="nil"/>
              <w:bottom w:val="single" w:sz="4" w:space="0" w:color="auto"/>
              <w:right w:val="single" w:sz="4" w:space="0" w:color="auto"/>
            </w:tcBorders>
            <w:vAlign w:val="center"/>
            <w:hideMark/>
          </w:tcPr>
          <w:p w14:paraId="4E4DE2E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1D06A28B"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296742E"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0F3DFB5"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evaluated seven local climate adaptation plans in Southeast Queensland, Australia by developing and applying a quantitative, multi-criteria analysis framework. The results indicated that local governments were not effectively planning for climate impacts. While they were aware of expected </w:t>
            </w:r>
            <w:hyperlink r:id="rId138" w:tooltip="Learn more about climate change impacts from ScienceDirect's AI-generated Topic Pages" w:history="1">
              <w:r w:rsidRPr="0002056A">
                <w:rPr>
                  <w:rFonts w:ascii="Georgia" w:eastAsia="Times New Roman" w:hAnsi="Georgia" w:cs="Times New Roman"/>
                  <w:color w:val="000000"/>
                  <w:sz w:val="10"/>
                  <w:szCs w:val="10"/>
                  <w:lang w:val="en-GB" w:eastAsia="hu-HU"/>
                </w:rPr>
                <w:t>climate change impacts</w:t>
              </w:r>
            </w:hyperlink>
            <w:r w:rsidRPr="0002056A">
              <w:rPr>
                <w:rFonts w:ascii="Georgia" w:eastAsia="Times New Roman" w:hAnsi="Georgia" w:cs="Times New Roman"/>
                <w:color w:val="000000"/>
                <w:sz w:val="10"/>
                <w:szCs w:val="10"/>
                <w:lang w:val="en-GB" w:eastAsia="hu-HU"/>
              </w:rPr>
              <w:t>, their capacity to use this information to develop geographically specific action plans was limited.</w:t>
            </w:r>
          </w:p>
        </w:tc>
        <w:tc>
          <w:tcPr>
            <w:tcW w:w="2268" w:type="dxa"/>
            <w:tcBorders>
              <w:top w:val="nil"/>
              <w:left w:val="nil"/>
              <w:bottom w:val="single" w:sz="4" w:space="0" w:color="auto"/>
              <w:right w:val="single" w:sz="8" w:space="0" w:color="auto"/>
            </w:tcBorders>
            <w:vAlign w:val="center"/>
          </w:tcPr>
          <w:p w14:paraId="26D9D1D0"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example for a regional comprehensive study at local level on urban adaptation planning.</w:t>
            </w:r>
          </w:p>
        </w:tc>
      </w:tr>
      <w:tr w:rsidR="0033071B" w:rsidRPr="0002056A" w14:paraId="268EE096" w14:textId="77777777" w:rsidTr="00D57247">
        <w:trPr>
          <w:trHeight w:val="1093"/>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CD1F427"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Barnett, M.</w:t>
            </w:r>
          </w:p>
        </w:tc>
        <w:tc>
          <w:tcPr>
            <w:tcW w:w="705" w:type="dxa"/>
            <w:tcBorders>
              <w:top w:val="nil"/>
              <w:left w:val="nil"/>
              <w:bottom w:val="single" w:sz="4" w:space="0" w:color="auto"/>
              <w:right w:val="single" w:sz="4" w:space="0" w:color="auto"/>
            </w:tcBorders>
            <w:vAlign w:val="center"/>
            <w:hideMark/>
          </w:tcPr>
          <w:p w14:paraId="5D9042F0"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hideMark/>
          </w:tcPr>
          <w:p w14:paraId="0264CD5A"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Social Constructivism. </w:t>
            </w:r>
          </w:p>
        </w:tc>
        <w:tc>
          <w:tcPr>
            <w:tcW w:w="1134" w:type="dxa"/>
            <w:tcBorders>
              <w:top w:val="nil"/>
              <w:left w:val="nil"/>
              <w:bottom w:val="single" w:sz="4" w:space="0" w:color="auto"/>
              <w:right w:val="single" w:sz="4" w:space="0" w:color="auto"/>
            </w:tcBorders>
            <w:vAlign w:val="center"/>
            <w:hideMark/>
          </w:tcPr>
          <w:p w14:paraId="7026B934"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189BF2FC"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Oxford University Press </w:t>
            </w:r>
          </w:p>
        </w:tc>
        <w:tc>
          <w:tcPr>
            <w:tcW w:w="851" w:type="dxa"/>
            <w:tcBorders>
              <w:top w:val="nil"/>
              <w:left w:val="nil"/>
              <w:bottom w:val="single" w:sz="4" w:space="0" w:color="auto"/>
              <w:right w:val="single" w:sz="4" w:space="0" w:color="auto"/>
            </w:tcBorders>
            <w:vAlign w:val="center"/>
            <w:hideMark/>
          </w:tcPr>
          <w:p w14:paraId="31C5781A"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hideMark/>
          </w:tcPr>
          <w:p w14:paraId="7F9D4D04" w14:textId="67355BE3"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J Baylis, S. Smith, P. Owens: The Globalization of World Politics. Oxford University Press Inc., New York Oxford University Press, 2017. </w:t>
            </w:r>
          </w:p>
        </w:tc>
        <w:tc>
          <w:tcPr>
            <w:tcW w:w="708" w:type="dxa"/>
            <w:tcBorders>
              <w:top w:val="nil"/>
              <w:left w:val="nil"/>
              <w:bottom w:val="single" w:sz="4" w:space="0" w:color="auto"/>
              <w:right w:val="single" w:sz="4" w:space="0" w:color="auto"/>
            </w:tcBorders>
            <w:vAlign w:val="center"/>
            <w:hideMark/>
          </w:tcPr>
          <w:p w14:paraId="50A08EE9"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hideMark/>
          </w:tcPr>
          <w:p w14:paraId="3A974F3F"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9C7EC1E"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5BA18A2"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book chapter examines constructivist approaches to international relations theory. It explores whether there is a possibility of moral progress in world politics, whether some cultures and countries are more (or less) inherently violent, and whether states are motivated by power or by ideas. It also discusses the rise of constructivism and some key concepts of constructivism (agent–structure problem, holism, idealism, individualism, materialism, and rational choice). </w:t>
            </w:r>
          </w:p>
        </w:tc>
        <w:tc>
          <w:tcPr>
            <w:tcW w:w="2268" w:type="dxa"/>
            <w:tcBorders>
              <w:top w:val="nil"/>
              <w:left w:val="nil"/>
              <w:bottom w:val="single" w:sz="4" w:space="0" w:color="auto"/>
              <w:right w:val="single" w:sz="8" w:space="0" w:color="auto"/>
            </w:tcBorders>
            <w:vAlign w:val="center"/>
          </w:tcPr>
          <w:p w14:paraId="2F4FE19C"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social constructivism school of the IR discipline. It concludes with an analysis of constructivist assumptions about global change.</w:t>
            </w:r>
          </w:p>
        </w:tc>
      </w:tr>
      <w:tr w:rsidR="0033071B" w:rsidRPr="0002056A" w14:paraId="40A9D482"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24A95D6"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Baroutsis, A.; Comber, B.; Woods, A.</w:t>
            </w:r>
          </w:p>
        </w:tc>
        <w:tc>
          <w:tcPr>
            <w:tcW w:w="705" w:type="dxa"/>
            <w:tcBorders>
              <w:top w:val="nil"/>
              <w:left w:val="nil"/>
              <w:bottom w:val="single" w:sz="4" w:space="0" w:color="auto"/>
              <w:right w:val="single" w:sz="4" w:space="0" w:color="auto"/>
            </w:tcBorders>
            <w:vAlign w:val="center"/>
          </w:tcPr>
          <w:p w14:paraId="12630731"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7C178B1C"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 Space, and Place in Education.</w:t>
            </w:r>
          </w:p>
        </w:tc>
        <w:tc>
          <w:tcPr>
            <w:tcW w:w="1134" w:type="dxa"/>
            <w:tcBorders>
              <w:top w:val="nil"/>
              <w:left w:val="nil"/>
              <w:bottom w:val="single" w:sz="4" w:space="0" w:color="auto"/>
              <w:right w:val="single" w:sz="4" w:space="0" w:color="auto"/>
            </w:tcBorders>
            <w:vAlign w:val="center"/>
          </w:tcPr>
          <w:p w14:paraId="2E40A6B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vAlign w:val="center"/>
          </w:tcPr>
          <w:p w14:paraId="014953FD"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vAlign w:val="center"/>
          </w:tcPr>
          <w:p w14:paraId="7527D4A4"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14159F94" w14:textId="38C3D833"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Noblit, G. W. (Ed.) Oxford Research </w:t>
            </w:r>
            <w:r w:rsidR="00E55451" w:rsidRPr="0002056A">
              <w:rPr>
                <w:rFonts w:ascii="Georgia" w:eastAsia="Times New Roman" w:hAnsi="Georgia" w:cs="Times New Roman"/>
                <w:color w:val="000000"/>
                <w:sz w:val="10"/>
                <w:szCs w:val="10"/>
                <w:lang w:val="en-GB" w:eastAsia="hu-HU"/>
              </w:rPr>
              <w:t>Encyclopaedia</w:t>
            </w:r>
            <w:r w:rsidRPr="0002056A">
              <w:rPr>
                <w:rFonts w:ascii="Georgia" w:eastAsia="Times New Roman" w:hAnsi="Georgia" w:cs="Times New Roman"/>
                <w:color w:val="000000"/>
                <w:sz w:val="10"/>
                <w:szCs w:val="10"/>
                <w:lang w:val="en-GB" w:eastAsia="hu-HU"/>
              </w:rPr>
              <w:t xml:space="preserve"> of Education. Oxford University Press, United States of America, pp. 1-16. </w:t>
            </w:r>
          </w:p>
        </w:tc>
        <w:tc>
          <w:tcPr>
            <w:tcW w:w="708" w:type="dxa"/>
            <w:tcBorders>
              <w:top w:val="nil"/>
              <w:left w:val="nil"/>
              <w:bottom w:val="single" w:sz="4" w:space="0" w:color="auto"/>
              <w:right w:val="single" w:sz="4" w:space="0" w:color="auto"/>
            </w:tcBorders>
            <w:vAlign w:val="center"/>
          </w:tcPr>
          <w:p w14:paraId="1C97A37F"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0067F17E"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EA824A6"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392BECA"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emphasises that society is constituted by both historical and spatial elements. However, education research, policy, and practice often subordinate the spatial in preference for the temporal. In what is often referred to as the “spatial turn,” more recently education researchers have acknowledged spatial concepts to facilitate understandings and inform debates about identity, belonging, social justice, differentiation, policy, race, mobility, globalization, and even digital and new communication modes, amongst many others. Social geographers understand place as more than a dot on a map, instead focusing on the sociocultural and socio-material aspects of spaces.  </w:t>
            </w:r>
          </w:p>
        </w:tc>
        <w:tc>
          <w:tcPr>
            <w:tcW w:w="2268" w:type="dxa"/>
            <w:tcBorders>
              <w:top w:val="nil"/>
              <w:left w:val="nil"/>
              <w:bottom w:val="single" w:sz="4" w:space="0" w:color="auto"/>
              <w:right w:val="single" w:sz="8" w:space="0" w:color="auto"/>
            </w:tcBorders>
            <w:vAlign w:val="center"/>
          </w:tcPr>
          <w:p w14:paraId="2FADFC03"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social geography’s space concept.</w:t>
            </w:r>
          </w:p>
        </w:tc>
      </w:tr>
      <w:tr w:rsidR="0033071B" w:rsidRPr="0002056A" w14:paraId="4B218A21"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E4A5BC3"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Baylis, J., Smith, S., Owens, P.</w:t>
            </w:r>
          </w:p>
        </w:tc>
        <w:tc>
          <w:tcPr>
            <w:tcW w:w="705" w:type="dxa"/>
            <w:tcBorders>
              <w:top w:val="nil"/>
              <w:left w:val="nil"/>
              <w:bottom w:val="single" w:sz="4" w:space="0" w:color="auto"/>
              <w:right w:val="single" w:sz="4" w:space="0" w:color="auto"/>
            </w:tcBorders>
            <w:shd w:val="clear" w:color="000000" w:fill="FFFFFF"/>
            <w:vAlign w:val="center"/>
            <w:hideMark/>
          </w:tcPr>
          <w:p w14:paraId="15AF2E32" w14:textId="7653ED7C"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shd w:val="clear" w:color="000000" w:fill="FFFFFF"/>
            <w:vAlign w:val="center"/>
            <w:hideMark/>
          </w:tcPr>
          <w:p w14:paraId="7C8BEC48"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Globalization of World Politics: An Introduction to International Relations 8</w:t>
            </w:r>
            <w:r w:rsidRPr="0002056A">
              <w:rPr>
                <w:rFonts w:ascii="Georgia" w:eastAsia="Times New Roman" w:hAnsi="Georgia" w:cs="Times New Roman"/>
                <w:color w:val="000000"/>
                <w:sz w:val="10"/>
                <w:szCs w:val="10"/>
                <w:vertAlign w:val="superscript"/>
                <w:lang w:val="en-GB" w:eastAsia="hu-HU"/>
              </w:rPr>
              <w:t>th</w:t>
            </w:r>
            <w:r w:rsidRPr="0002056A">
              <w:rPr>
                <w:rFonts w:ascii="Georgia" w:eastAsia="Times New Roman" w:hAnsi="Georgia" w:cs="Times New Roman"/>
                <w:color w:val="000000"/>
                <w:sz w:val="10"/>
                <w:szCs w:val="10"/>
                <w:lang w:val="en-GB" w:eastAsia="hu-HU"/>
              </w:rPr>
              <w:t xml:space="preserve"> Edition</w:t>
            </w:r>
          </w:p>
        </w:tc>
        <w:tc>
          <w:tcPr>
            <w:tcW w:w="1134" w:type="dxa"/>
            <w:tcBorders>
              <w:top w:val="nil"/>
              <w:left w:val="nil"/>
              <w:bottom w:val="single" w:sz="4" w:space="0" w:color="auto"/>
              <w:right w:val="single" w:sz="4" w:space="0" w:color="auto"/>
            </w:tcBorders>
            <w:shd w:val="clear" w:color="000000" w:fill="FFFFFF"/>
            <w:vAlign w:val="center"/>
            <w:hideMark/>
          </w:tcPr>
          <w:p w14:paraId="1EF4883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shd w:val="clear" w:color="000000" w:fill="FFFFFF"/>
            <w:vAlign w:val="center"/>
            <w:hideMark/>
          </w:tcPr>
          <w:p w14:paraId="261B25DD"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shd w:val="clear" w:color="000000" w:fill="FFFFFF"/>
            <w:vAlign w:val="center"/>
            <w:hideMark/>
          </w:tcPr>
          <w:p w14:paraId="7A884E5F"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shd w:val="clear" w:color="000000" w:fill="FFFFFF"/>
            <w:vAlign w:val="center"/>
            <w:hideMark/>
          </w:tcPr>
          <w:p w14:paraId="5A339077" w14:textId="412DD8E8"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ISBN10 0198825544. Oxford, 2017.</w:t>
            </w:r>
          </w:p>
        </w:tc>
        <w:tc>
          <w:tcPr>
            <w:tcW w:w="708" w:type="dxa"/>
            <w:tcBorders>
              <w:top w:val="nil"/>
              <w:left w:val="nil"/>
              <w:bottom w:val="single" w:sz="4" w:space="0" w:color="auto"/>
              <w:right w:val="single" w:sz="4" w:space="0" w:color="auto"/>
            </w:tcBorders>
            <w:shd w:val="clear" w:color="000000" w:fill="FFFFFF"/>
            <w:vAlign w:val="center"/>
            <w:hideMark/>
          </w:tcPr>
          <w:p w14:paraId="073A0C1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shd w:val="clear" w:color="000000" w:fill="FFFFFF"/>
            <w:vAlign w:val="center"/>
            <w:hideMark/>
          </w:tcPr>
          <w:p w14:paraId="58EF50B5"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shd w:val="clear" w:color="000000" w:fill="FFFFFF"/>
            <w:vAlign w:val="center"/>
            <w:hideMark/>
          </w:tcPr>
          <w:p w14:paraId="6FF814FB"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1B49CA3C" w14:textId="0F052DAB"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book is praised as “is the best-selling introduction to international relations” and offers one of the most comprehensive </w:t>
            </w:r>
            <w:r w:rsidR="00875741" w:rsidRPr="0002056A">
              <w:rPr>
                <w:rFonts w:ascii="Georgia" w:eastAsia="Times New Roman" w:hAnsi="Georgia" w:cs="Times New Roman"/>
                <w:color w:val="000000"/>
                <w:sz w:val="10"/>
                <w:szCs w:val="10"/>
                <w:lang w:val="en-GB" w:eastAsia="hu-HU"/>
              </w:rPr>
              <w:t>coverages</w:t>
            </w:r>
            <w:r w:rsidRPr="0002056A">
              <w:rPr>
                <w:rFonts w:ascii="Georgia" w:eastAsia="Times New Roman" w:hAnsi="Georgia" w:cs="Times New Roman"/>
                <w:color w:val="000000"/>
                <w:sz w:val="10"/>
                <w:szCs w:val="10"/>
                <w:lang w:val="en-GB" w:eastAsia="hu-HU"/>
              </w:rPr>
              <w:t xml:space="preserve"> of key theories and global issues in world politics.</w:t>
            </w:r>
          </w:p>
        </w:tc>
        <w:tc>
          <w:tcPr>
            <w:tcW w:w="2268" w:type="dxa"/>
            <w:tcBorders>
              <w:top w:val="nil"/>
              <w:left w:val="nil"/>
              <w:bottom w:val="single" w:sz="4" w:space="0" w:color="auto"/>
              <w:right w:val="single" w:sz="8" w:space="0" w:color="auto"/>
            </w:tcBorders>
            <w:shd w:val="clear" w:color="000000" w:fill="FFFFFF"/>
            <w:vAlign w:val="center"/>
          </w:tcPr>
          <w:p w14:paraId="78E02CBF"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Comprehensive and meticulous introduction of different IR schools.</w:t>
            </w:r>
          </w:p>
        </w:tc>
      </w:tr>
      <w:tr w:rsidR="0033071B" w:rsidRPr="0002056A" w14:paraId="5D77A760"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0BCFFCF"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Benzie, M. </w:t>
            </w:r>
          </w:p>
        </w:tc>
        <w:tc>
          <w:tcPr>
            <w:tcW w:w="705" w:type="dxa"/>
            <w:tcBorders>
              <w:top w:val="nil"/>
              <w:left w:val="nil"/>
              <w:bottom w:val="single" w:sz="4" w:space="0" w:color="auto"/>
              <w:right w:val="single" w:sz="4" w:space="0" w:color="auto"/>
            </w:tcBorders>
            <w:shd w:val="clear" w:color="000000" w:fill="FFFFFF"/>
            <w:vAlign w:val="center"/>
          </w:tcPr>
          <w:p w14:paraId="4DAE90A6"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shd w:val="clear" w:color="000000" w:fill="FFFFFF"/>
            <w:vAlign w:val="center"/>
          </w:tcPr>
          <w:p w14:paraId="3CF01216"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National Adaptation Plans and the indirect impacts of climate change.</w:t>
            </w:r>
          </w:p>
        </w:tc>
        <w:tc>
          <w:tcPr>
            <w:tcW w:w="1134" w:type="dxa"/>
            <w:tcBorders>
              <w:top w:val="nil"/>
              <w:left w:val="nil"/>
              <w:bottom w:val="single" w:sz="4" w:space="0" w:color="auto"/>
              <w:right w:val="single" w:sz="4" w:space="0" w:color="auto"/>
            </w:tcBorders>
            <w:shd w:val="clear" w:color="000000" w:fill="FFFFFF"/>
            <w:vAlign w:val="center"/>
          </w:tcPr>
          <w:p w14:paraId="60F2B16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SWE</w:t>
            </w:r>
          </w:p>
        </w:tc>
        <w:tc>
          <w:tcPr>
            <w:tcW w:w="708" w:type="dxa"/>
            <w:tcBorders>
              <w:top w:val="nil"/>
              <w:left w:val="nil"/>
              <w:bottom w:val="single" w:sz="4" w:space="0" w:color="auto"/>
              <w:right w:val="single" w:sz="4" w:space="0" w:color="auto"/>
            </w:tcBorders>
            <w:shd w:val="clear" w:color="000000" w:fill="FFFFFF"/>
            <w:vAlign w:val="center"/>
          </w:tcPr>
          <w:p w14:paraId="598CAD55"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Stockholm Environmental Institute.</w:t>
            </w:r>
          </w:p>
        </w:tc>
        <w:tc>
          <w:tcPr>
            <w:tcW w:w="851" w:type="dxa"/>
            <w:tcBorders>
              <w:top w:val="nil"/>
              <w:left w:val="nil"/>
              <w:bottom w:val="single" w:sz="4" w:space="0" w:color="auto"/>
              <w:right w:val="single" w:sz="4" w:space="0" w:color="auto"/>
            </w:tcBorders>
            <w:shd w:val="clear" w:color="000000" w:fill="FFFFFF"/>
            <w:vAlign w:val="center"/>
          </w:tcPr>
          <w:p w14:paraId="04E28BD2"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shd w:val="clear" w:color="000000" w:fill="FFFFFF"/>
            <w:vAlign w:val="center"/>
          </w:tcPr>
          <w:p w14:paraId="021AA706"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Stockholm Environmental Institute. Jan. 1, 2014.</w:t>
            </w:r>
          </w:p>
        </w:tc>
        <w:tc>
          <w:tcPr>
            <w:tcW w:w="708" w:type="dxa"/>
            <w:tcBorders>
              <w:top w:val="nil"/>
              <w:left w:val="nil"/>
              <w:bottom w:val="single" w:sz="4" w:space="0" w:color="auto"/>
              <w:right w:val="single" w:sz="4" w:space="0" w:color="auto"/>
            </w:tcBorders>
            <w:shd w:val="clear" w:color="000000" w:fill="FFFFFF"/>
            <w:vAlign w:val="center"/>
          </w:tcPr>
          <w:p w14:paraId="5386395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brief.</w:t>
            </w:r>
          </w:p>
        </w:tc>
        <w:tc>
          <w:tcPr>
            <w:tcW w:w="851" w:type="dxa"/>
            <w:tcBorders>
              <w:top w:val="nil"/>
              <w:left w:val="nil"/>
              <w:bottom w:val="single" w:sz="4" w:space="0" w:color="auto"/>
              <w:right w:val="single" w:sz="4" w:space="0" w:color="auto"/>
            </w:tcBorders>
            <w:shd w:val="clear" w:color="000000" w:fill="FFFFFF"/>
            <w:vAlign w:val="center"/>
          </w:tcPr>
          <w:p w14:paraId="5F52A63B"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shd w:val="clear" w:color="000000" w:fill="FFFFFF"/>
            <w:vAlign w:val="center"/>
          </w:tcPr>
          <w:p w14:paraId="00C01E4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6556FC8F"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short policy brief, introducing climate impacts and possible adaptation pathways.</w:t>
            </w:r>
          </w:p>
        </w:tc>
        <w:tc>
          <w:tcPr>
            <w:tcW w:w="2268" w:type="dxa"/>
            <w:tcBorders>
              <w:top w:val="nil"/>
              <w:left w:val="nil"/>
              <w:bottom w:val="single" w:sz="4" w:space="0" w:color="auto"/>
              <w:right w:val="single" w:sz="8" w:space="0" w:color="auto"/>
            </w:tcBorders>
            <w:shd w:val="clear" w:color="000000" w:fill="FFFFFF"/>
            <w:vAlign w:val="center"/>
          </w:tcPr>
          <w:p w14:paraId="5523E792"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climate impacts and possible adaptation pathways from a practical point of view.</w:t>
            </w:r>
          </w:p>
        </w:tc>
      </w:tr>
      <w:tr w:rsidR="0033071B" w:rsidRPr="0002056A" w14:paraId="74E466C2"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74DE57" w14:textId="5A88920F" w:rsidR="0033071B" w:rsidRPr="0002056A" w:rsidRDefault="0033071B" w:rsidP="0033071B">
            <w:pPr>
              <w:autoSpaceDE w:val="0"/>
              <w:autoSpaceDN w:val="0"/>
              <w:adjustRightInd w:val="0"/>
              <w:spacing w:after="0" w:line="240" w:lineRule="auto"/>
              <w:jc w:val="both"/>
              <w:rPr>
                <w:rFonts w:ascii="Georgia" w:hAnsi="Georgia" w:cs="MyriadPro-SemiCn"/>
                <w:i/>
                <w:color w:val="000000"/>
                <w:sz w:val="14"/>
                <w:szCs w:val="14"/>
                <w:lang w:val="en-GB"/>
              </w:rPr>
            </w:pPr>
            <w:r w:rsidRPr="0002056A">
              <w:rPr>
                <w:rFonts w:ascii="Georgia" w:eastAsia="Times New Roman" w:hAnsi="Georgia" w:cs="Times New Roman"/>
                <w:b/>
                <w:bCs/>
                <w:i/>
                <w:color w:val="000000"/>
                <w:sz w:val="14"/>
                <w:szCs w:val="14"/>
                <w:lang w:val="en-GB" w:eastAsia="hu-HU"/>
              </w:rPr>
              <w:t xml:space="preserve">Benzie, M.; Persson, A. </w:t>
            </w:r>
          </w:p>
          <w:p w14:paraId="19372373"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shd w:val="clear" w:color="000000" w:fill="FFFFFF"/>
            <w:vAlign w:val="center"/>
          </w:tcPr>
          <w:p w14:paraId="7357BED4" w14:textId="7C2FABD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2019</w:t>
            </w:r>
          </w:p>
        </w:tc>
        <w:tc>
          <w:tcPr>
            <w:tcW w:w="1137" w:type="dxa"/>
            <w:tcBorders>
              <w:top w:val="nil"/>
              <w:left w:val="nil"/>
              <w:bottom w:val="single" w:sz="4" w:space="0" w:color="auto"/>
              <w:right w:val="single" w:sz="4" w:space="0" w:color="auto"/>
            </w:tcBorders>
            <w:shd w:val="clear" w:color="000000" w:fill="FFFFFF"/>
            <w:vAlign w:val="center"/>
          </w:tcPr>
          <w:p w14:paraId="0840B2DF" w14:textId="5B93F26C"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Governing borderless climate risks: moving beyond the territorial framing of adaptation.</w:t>
            </w:r>
          </w:p>
        </w:tc>
        <w:tc>
          <w:tcPr>
            <w:tcW w:w="1134" w:type="dxa"/>
            <w:tcBorders>
              <w:top w:val="nil"/>
              <w:left w:val="nil"/>
              <w:bottom w:val="single" w:sz="4" w:space="0" w:color="auto"/>
              <w:right w:val="single" w:sz="4" w:space="0" w:color="auto"/>
            </w:tcBorders>
            <w:shd w:val="clear" w:color="000000" w:fill="FFFFFF"/>
            <w:vAlign w:val="center"/>
          </w:tcPr>
          <w:p w14:paraId="351ABF33" w14:textId="211BF52A"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SWE, SWE</w:t>
            </w:r>
          </w:p>
        </w:tc>
        <w:tc>
          <w:tcPr>
            <w:tcW w:w="708" w:type="dxa"/>
            <w:tcBorders>
              <w:top w:val="nil"/>
              <w:left w:val="nil"/>
              <w:bottom w:val="single" w:sz="4" w:space="0" w:color="auto"/>
              <w:right w:val="single" w:sz="4" w:space="0" w:color="auto"/>
            </w:tcBorders>
            <w:shd w:val="clear" w:color="000000" w:fill="FFFFFF"/>
            <w:vAlign w:val="center"/>
          </w:tcPr>
          <w:p w14:paraId="5E25C51E" w14:textId="74F449DF"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shd w:val="clear" w:color="000000" w:fill="FFFFFF"/>
            <w:vAlign w:val="center"/>
          </w:tcPr>
          <w:p w14:paraId="6A07F593" w14:textId="466313E9"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 and planning, IR</w:t>
            </w:r>
          </w:p>
        </w:tc>
        <w:tc>
          <w:tcPr>
            <w:tcW w:w="993" w:type="dxa"/>
            <w:tcBorders>
              <w:top w:val="nil"/>
              <w:left w:val="nil"/>
              <w:bottom w:val="single" w:sz="4" w:space="0" w:color="auto"/>
              <w:right w:val="single" w:sz="4" w:space="0" w:color="auto"/>
            </w:tcBorders>
            <w:shd w:val="clear" w:color="000000" w:fill="FFFFFF"/>
            <w:vAlign w:val="center"/>
          </w:tcPr>
          <w:p w14:paraId="4E64F4E6" w14:textId="445839EB"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Environmental Agreements (2019) 19:369–393. https://doi.org/10.1007/s10784-019-09441-y</w:t>
            </w:r>
          </w:p>
        </w:tc>
        <w:tc>
          <w:tcPr>
            <w:tcW w:w="708" w:type="dxa"/>
            <w:tcBorders>
              <w:top w:val="nil"/>
              <w:left w:val="nil"/>
              <w:bottom w:val="single" w:sz="4" w:space="0" w:color="auto"/>
              <w:right w:val="single" w:sz="4" w:space="0" w:color="auto"/>
            </w:tcBorders>
            <w:shd w:val="clear" w:color="000000" w:fill="FFFFFF"/>
            <w:vAlign w:val="center"/>
          </w:tcPr>
          <w:p w14:paraId="1213F5FF" w14:textId="294C502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shd w:val="clear" w:color="000000" w:fill="FFFFFF"/>
            <w:vAlign w:val="center"/>
          </w:tcPr>
          <w:p w14:paraId="22D0F455" w14:textId="6FABC35A"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shd w:val="clear" w:color="000000" w:fill="FFFFFF"/>
            <w:vAlign w:val="center"/>
          </w:tcPr>
          <w:p w14:paraId="453A194D" w14:textId="2B725612"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60E97031" w14:textId="3D9692BF"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Nation states play key role in planning and governance. Yet, climate change impacts will not be contained within country borders, The paper demonstrates how the notion of borderless climate risks challenges the dominant territorial framing of adaptation, and why has a territorial framing and the national and sub-national scales dominated adaptation governance? How do borderless climate risks challenge this framing and what are possible governance responses? It draws on constructivist international relations theory and </w:t>
            </w:r>
            <w:r w:rsidR="00875741" w:rsidRPr="0002056A">
              <w:rPr>
                <w:rFonts w:ascii="Georgia" w:eastAsia="Times New Roman" w:hAnsi="Georgia" w:cs="Times New Roman"/>
                <w:color w:val="000000"/>
                <w:sz w:val="10"/>
                <w:szCs w:val="10"/>
                <w:lang w:val="en-GB" w:eastAsia="hu-HU"/>
              </w:rPr>
              <w:t>proposes</w:t>
            </w:r>
            <w:r w:rsidRPr="0002056A">
              <w:rPr>
                <w:rFonts w:ascii="Georgia" w:eastAsia="Times New Roman" w:hAnsi="Georgia" w:cs="Times New Roman"/>
                <w:color w:val="000000"/>
                <w:sz w:val="10"/>
                <w:szCs w:val="10"/>
                <w:lang w:val="en-GB" w:eastAsia="hu-HU"/>
              </w:rPr>
              <w:t xml:space="preserve"> that the epistemic community that developed to interpret climate change adaptation for decision-makers had certain features that established and subsequently reinforced the territorial framing. This framing was then reinforced by an international norm that adaptation was primarily a national or local responsibility, which has paradoxically also informed calls for international responsibility for funding adaptation. We then call for more engagement by IR scholarship by outlining possible governance responses to borderless climate risks, organized under three scales: national and bilateral; transnational; and international and regional responses. The authors conclude by identifying types of governance responses at three different scales—national and bilateral; transnational; international and regional.</w:t>
            </w:r>
          </w:p>
        </w:tc>
        <w:tc>
          <w:tcPr>
            <w:tcW w:w="2268" w:type="dxa"/>
            <w:tcBorders>
              <w:top w:val="nil"/>
              <w:left w:val="nil"/>
              <w:bottom w:val="single" w:sz="4" w:space="0" w:color="auto"/>
              <w:right w:val="single" w:sz="8" w:space="0" w:color="auto"/>
            </w:tcBorders>
            <w:shd w:val="clear" w:color="000000" w:fill="FFFFFF"/>
            <w:vAlign w:val="center"/>
          </w:tcPr>
          <w:p w14:paraId="7682041B" w14:textId="143AD1DE"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Although there is a growing literature on the importance of borderless climate risks, the article offers distinct explanations why a territorial perspective has dominated for so long and, by doing so, pointing at what ideas and practices need to be overcome for their systematic consideration</w:t>
            </w:r>
          </w:p>
        </w:tc>
      </w:tr>
      <w:tr w:rsidR="0033071B" w:rsidRPr="0002056A" w14:paraId="265359ED"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16193F9" w14:textId="7C61E3C9"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Berke, P.; Kates, J.; Malecha, M.; Masterson, J.; Shea P.; Yu, S.</w:t>
            </w:r>
          </w:p>
        </w:tc>
        <w:tc>
          <w:tcPr>
            <w:tcW w:w="705" w:type="dxa"/>
            <w:tcBorders>
              <w:top w:val="nil"/>
              <w:left w:val="nil"/>
              <w:bottom w:val="single" w:sz="4" w:space="0" w:color="auto"/>
              <w:right w:val="single" w:sz="4" w:space="0" w:color="auto"/>
            </w:tcBorders>
            <w:shd w:val="clear" w:color="000000" w:fill="FFFFFF"/>
            <w:vAlign w:val="center"/>
          </w:tcPr>
          <w:p w14:paraId="677672A6" w14:textId="27E04974"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shd w:val="clear" w:color="000000" w:fill="FFFFFF"/>
            <w:vAlign w:val="center"/>
          </w:tcPr>
          <w:p w14:paraId="4619372D" w14:textId="3B42D7B5"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Using a resilience scorecard to improve local planning for vulnerability to hazards and climate change: An application in two cities</w:t>
            </w:r>
          </w:p>
        </w:tc>
        <w:tc>
          <w:tcPr>
            <w:tcW w:w="1134" w:type="dxa"/>
            <w:tcBorders>
              <w:top w:val="nil"/>
              <w:left w:val="nil"/>
              <w:bottom w:val="single" w:sz="4" w:space="0" w:color="auto"/>
              <w:right w:val="single" w:sz="4" w:space="0" w:color="auto"/>
            </w:tcBorders>
            <w:shd w:val="clear" w:color="000000" w:fill="FFFFFF"/>
            <w:vAlign w:val="center"/>
          </w:tcPr>
          <w:p w14:paraId="50669044" w14:textId="68C23ADF"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 USA, USA, USA</w:t>
            </w:r>
          </w:p>
        </w:tc>
        <w:tc>
          <w:tcPr>
            <w:tcW w:w="708" w:type="dxa"/>
            <w:tcBorders>
              <w:top w:val="nil"/>
              <w:left w:val="nil"/>
              <w:bottom w:val="single" w:sz="4" w:space="0" w:color="auto"/>
              <w:right w:val="single" w:sz="4" w:space="0" w:color="auto"/>
            </w:tcBorders>
            <w:shd w:val="clear" w:color="000000" w:fill="FFFFFF"/>
            <w:vAlign w:val="center"/>
          </w:tcPr>
          <w:p w14:paraId="09B94F28" w14:textId="0789564A"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Science Direct</w:t>
            </w:r>
          </w:p>
        </w:tc>
        <w:tc>
          <w:tcPr>
            <w:tcW w:w="851" w:type="dxa"/>
            <w:tcBorders>
              <w:top w:val="nil"/>
              <w:left w:val="nil"/>
              <w:bottom w:val="single" w:sz="4" w:space="0" w:color="auto"/>
              <w:right w:val="single" w:sz="4" w:space="0" w:color="auto"/>
            </w:tcBorders>
            <w:shd w:val="clear" w:color="000000" w:fill="FFFFFF"/>
            <w:vAlign w:val="center"/>
          </w:tcPr>
          <w:p w14:paraId="251E6BD4" w14:textId="4566C19B"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shd w:val="clear" w:color="000000" w:fill="FFFFFF"/>
            <w:vAlign w:val="center"/>
          </w:tcPr>
          <w:p w14:paraId="1B1B63A2" w14:textId="5549E3D0"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hyperlink r:id="rId139" w:tooltip="Go to Cities on ScienceDirect" w:history="1">
              <w:r w:rsidRPr="0002056A">
                <w:rPr>
                  <w:rFonts w:ascii="Georgia" w:eastAsia="Times New Roman" w:hAnsi="Georgia" w:cs="Times New Roman"/>
                  <w:color w:val="000000"/>
                  <w:sz w:val="10"/>
                  <w:szCs w:val="10"/>
                  <w:lang w:val="en-GB" w:eastAsia="hu-HU"/>
                </w:rPr>
                <w:t>Cities</w:t>
              </w:r>
            </w:hyperlink>
            <w:r w:rsidRPr="0002056A">
              <w:rPr>
                <w:rFonts w:ascii="Georgia" w:eastAsia="Times New Roman" w:hAnsi="Georgia" w:cs="Times New Roman"/>
                <w:color w:val="000000"/>
                <w:sz w:val="10"/>
                <w:szCs w:val="10"/>
                <w:lang w:val="en-GB" w:eastAsia="hu-HU"/>
              </w:rPr>
              <w:t xml:space="preserve">. </w:t>
            </w:r>
            <w:hyperlink r:id="rId140" w:tooltip="Go to table of contents for this volume/issue" w:history="1">
              <w:r w:rsidRPr="0002056A">
                <w:rPr>
                  <w:rFonts w:ascii="Georgia" w:eastAsia="Times New Roman" w:hAnsi="Georgia" w:cs="Times New Roman"/>
                  <w:color w:val="000000"/>
                  <w:sz w:val="10"/>
                  <w:szCs w:val="10"/>
                  <w:lang w:val="en-GB" w:eastAsia="hu-HU"/>
                </w:rPr>
                <w:t>Volume 119</w:t>
              </w:r>
            </w:hyperlink>
            <w:r w:rsidRPr="0002056A">
              <w:rPr>
                <w:rFonts w:ascii="Georgia" w:eastAsia="Times New Roman" w:hAnsi="Georgia" w:cs="Times New Roman"/>
                <w:color w:val="000000"/>
                <w:sz w:val="10"/>
                <w:szCs w:val="10"/>
                <w:lang w:val="en-GB" w:eastAsia="hu-HU"/>
              </w:rPr>
              <w:t xml:space="preserve">, December 2021. </w:t>
            </w:r>
            <w:hyperlink r:id="rId141" w:history="1">
              <w:r w:rsidRPr="0002056A">
                <w:rPr>
                  <w:rStyle w:val="Hiperhivatkozs"/>
                  <w:rFonts w:ascii="Georgia" w:eastAsia="Times New Roman" w:hAnsi="Georgia" w:cs="Times New Roman"/>
                  <w:sz w:val="10"/>
                  <w:szCs w:val="10"/>
                  <w:lang w:val="en-GB" w:eastAsia="hu-HU"/>
                </w:rPr>
                <w:t>https://doi.org/10.1016/j.cities.2021.103408</w:t>
              </w:r>
            </w:hyperlink>
          </w:p>
        </w:tc>
        <w:tc>
          <w:tcPr>
            <w:tcW w:w="708" w:type="dxa"/>
            <w:tcBorders>
              <w:top w:val="nil"/>
              <w:left w:val="nil"/>
              <w:bottom w:val="single" w:sz="4" w:space="0" w:color="auto"/>
              <w:right w:val="single" w:sz="4" w:space="0" w:color="auto"/>
            </w:tcBorders>
            <w:shd w:val="clear" w:color="000000" w:fill="FFFFFF"/>
            <w:vAlign w:val="center"/>
          </w:tcPr>
          <w:p w14:paraId="04C9F980" w14:textId="0A23AC45"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shd w:val="clear" w:color="000000" w:fill="FFFFFF"/>
            <w:vAlign w:val="center"/>
          </w:tcPr>
          <w:p w14:paraId="53754717" w14:textId="15947BE8"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shd w:val="clear" w:color="000000" w:fill="FFFFFF"/>
            <w:vAlign w:val="center"/>
          </w:tcPr>
          <w:p w14:paraId="553521E9" w14:textId="7C62268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7262B857" w14:textId="3F5D55F5"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Communities adopt multiple plans that directly and indirectly address the effects of hazards and climate change. A major obstacle to responding to the growing threats is poor integration of individual planning efforts that govern land use and development. The article explores application of a Plan Integration of Resilience Scorecard (PIRS) in the U.S. cities of Nashua and Norfolk that involved a partnership between university experts and local government staff to assess the degree to which networks of local plans are coordinated and target hazardous areas. </w:t>
            </w:r>
          </w:p>
        </w:tc>
        <w:tc>
          <w:tcPr>
            <w:tcW w:w="2268" w:type="dxa"/>
            <w:tcBorders>
              <w:top w:val="nil"/>
              <w:left w:val="nil"/>
              <w:bottom w:val="single" w:sz="4" w:space="0" w:color="auto"/>
              <w:right w:val="single" w:sz="8" w:space="0" w:color="auto"/>
            </w:tcBorders>
            <w:shd w:val="clear" w:color="000000" w:fill="FFFFFF"/>
            <w:vAlign w:val="center"/>
          </w:tcPr>
          <w:p w14:paraId="5046D37F" w14:textId="06352053"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gives additional information about adaptation planning’s history, and some practical case studies from two North American cities.</w:t>
            </w:r>
          </w:p>
        </w:tc>
      </w:tr>
      <w:tr w:rsidR="0033071B" w:rsidRPr="0002056A" w14:paraId="40278D38"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F7DA100"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Birchall, S.J.; Bonnett, N.; Kehler, S.</w:t>
            </w:r>
          </w:p>
        </w:tc>
        <w:tc>
          <w:tcPr>
            <w:tcW w:w="705" w:type="dxa"/>
            <w:tcBorders>
              <w:top w:val="nil"/>
              <w:left w:val="nil"/>
              <w:bottom w:val="single" w:sz="4" w:space="0" w:color="auto"/>
              <w:right w:val="single" w:sz="4" w:space="0" w:color="auto"/>
            </w:tcBorders>
            <w:vAlign w:val="center"/>
          </w:tcPr>
          <w:p w14:paraId="619645FA"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5D0784E0"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influence of governance structure on local resilience: enabling and constraining factors for climate change adaptation in practice</w:t>
            </w:r>
          </w:p>
        </w:tc>
        <w:tc>
          <w:tcPr>
            <w:tcW w:w="1134" w:type="dxa"/>
            <w:tcBorders>
              <w:top w:val="nil"/>
              <w:left w:val="nil"/>
              <w:bottom w:val="single" w:sz="4" w:space="0" w:color="auto"/>
              <w:right w:val="single" w:sz="4" w:space="0" w:color="auto"/>
            </w:tcBorders>
            <w:vAlign w:val="center"/>
          </w:tcPr>
          <w:p w14:paraId="0481654A"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 CAN, CAN</w:t>
            </w:r>
          </w:p>
        </w:tc>
        <w:tc>
          <w:tcPr>
            <w:tcW w:w="708" w:type="dxa"/>
            <w:tcBorders>
              <w:top w:val="nil"/>
              <w:left w:val="nil"/>
              <w:bottom w:val="single" w:sz="4" w:space="0" w:color="auto"/>
              <w:right w:val="single" w:sz="4" w:space="0" w:color="auto"/>
            </w:tcBorders>
            <w:vAlign w:val="center"/>
          </w:tcPr>
          <w:p w14:paraId="7317682D"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64046B33"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administrational studies</w:t>
            </w:r>
          </w:p>
        </w:tc>
        <w:tc>
          <w:tcPr>
            <w:tcW w:w="993" w:type="dxa"/>
            <w:tcBorders>
              <w:top w:val="nil"/>
              <w:left w:val="nil"/>
              <w:bottom w:val="single" w:sz="4" w:space="0" w:color="auto"/>
              <w:right w:val="single" w:sz="4" w:space="0" w:color="auto"/>
            </w:tcBorders>
            <w:vAlign w:val="center"/>
          </w:tcPr>
          <w:p w14:paraId="18917040"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Climate 47 (2023)</w:t>
            </w:r>
          </w:p>
        </w:tc>
        <w:tc>
          <w:tcPr>
            <w:tcW w:w="708" w:type="dxa"/>
            <w:tcBorders>
              <w:top w:val="nil"/>
              <w:left w:val="nil"/>
              <w:bottom w:val="single" w:sz="4" w:space="0" w:color="auto"/>
              <w:right w:val="single" w:sz="4" w:space="0" w:color="auto"/>
            </w:tcBorders>
            <w:vAlign w:val="center"/>
          </w:tcPr>
          <w:p w14:paraId="1E8C103C"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7E577E1F"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D8E7188"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CA65B6D" w14:textId="13DA1CD9"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is a comparative qualitative study to analyse adaptation within two distinct regional </w:t>
            </w:r>
            <w:r w:rsidR="00875741" w:rsidRPr="0002056A">
              <w:rPr>
                <w:rFonts w:ascii="Georgia" w:eastAsia="Times New Roman" w:hAnsi="Georgia" w:cs="Times New Roman"/>
                <w:color w:val="000000"/>
                <w:sz w:val="10"/>
                <w:szCs w:val="10"/>
                <w:lang w:val="en-GB" w:eastAsia="hu-HU"/>
              </w:rPr>
              <w:t>governments;</w:t>
            </w:r>
            <w:r w:rsidRPr="0002056A">
              <w:rPr>
                <w:rFonts w:ascii="Georgia" w:eastAsia="Times New Roman" w:hAnsi="Georgia" w:cs="Times New Roman"/>
                <w:color w:val="000000"/>
                <w:sz w:val="10"/>
                <w:szCs w:val="10"/>
                <w:lang w:val="en-GB" w:eastAsia="hu-HU"/>
              </w:rPr>
              <w:t xml:space="preserve"> it founded that unique structural character of regional governments can enable certain climate adaptation planning and increase adaptive capacity through greater access to resources</w:t>
            </w:r>
          </w:p>
        </w:tc>
        <w:tc>
          <w:tcPr>
            <w:tcW w:w="2268" w:type="dxa"/>
            <w:tcBorders>
              <w:top w:val="nil"/>
              <w:left w:val="nil"/>
              <w:bottom w:val="single" w:sz="4" w:space="0" w:color="auto"/>
              <w:right w:val="single" w:sz="8" w:space="0" w:color="auto"/>
            </w:tcBorders>
            <w:vAlign w:val="center"/>
          </w:tcPr>
          <w:p w14:paraId="750E4986" w14:textId="65BF9631"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gives recommendations for better utilizing strengths of regional governments and </w:t>
            </w:r>
            <w:r w:rsidR="00875741" w:rsidRPr="0002056A">
              <w:rPr>
                <w:rFonts w:ascii="Georgia" w:eastAsia="Times New Roman" w:hAnsi="Georgia" w:cs="Times New Roman"/>
                <w:color w:val="000000"/>
                <w:sz w:val="10"/>
                <w:szCs w:val="10"/>
                <w:lang w:val="en-GB" w:eastAsia="hu-HU"/>
              </w:rPr>
              <w:t>integrates</w:t>
            </w:r>
            <w:r w:rsidRPr="0002056A">
              <w:rPr>
                <w:rFonts w:ascii="Georgia" w:eastAsia="Times New Roman" w:hAnsi="Georgia" w:cs="Times New Roman"/>
                <w:color w:val="000000"/>
                <w:sz w:val="10"/>
                <w:szCs w:val="10"/>
                <w:lang w:val="en-GB" w:eastAsia="hu-HU"/>
              </w:rPr>
              <w:t xml:space="preserve"> interventions with broader policy frameworks</w:t>
            </w:r>
          </w:p>
        </w:tc>
      </w:tr>
      <w:tr w:rsidR="0033071B" w:rsidRPr="0002056A" w14:paraId="4F6CFDAE" w14:textId="77777777" w:rsidTr="00D57247">
        <w:trPr>
          <w:trHeight w:val="958"/>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8617AC7" w14:textId="77777777" w:rsidR="0033071B" w:rsidRPr="0002056A" w:rsidRDefault="0033071B" w:rsidP="0033071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Birchall, S.J.; Bonnett, N.</w:t>
            </w:r>
          </w:p>
        </w:tc>
        <w:tc>
          <w:tcPr>
            <w:tcW w:w="705" w:type="dxa"/>
            <w:tcBorders>
              <w:top w:val="nil"/>
              <w:left w:val="nil"/>
              <w:bottom w:val="single" w:sz="4" w:space="0" w:color="auto"/>
              <w:right w:val="single" w:sz="4" w:space="0" w:color="auto"/>
            </w:tcBorders>
            <w:vAlign w:val="center"/>
          </w:tcPr>
          <w:p w14:paraId="5EB01189"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239DAE88"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adaptation policy and practice: the role of agents, institutions and systems</w:t>
            </w:r>
          </w:p>
        </w:tc>
        <w:tc>
          <w:tcPr>
            <w:tcW w:w="1134" w:type="dxa"/>
            <w:tcBorders>
              <w:top w:val="nil"/>
              <w:left w:val="nil"/>
              <w:bottom w:val="single" w:sz="4" w:space="0" w:color="auto"/>
              <w:right w:val="single" w:sz="4" w:space="0" w:color="auto"/>
            </w:tcBorders>
            <w:vAlign w:val="center"/>
          </w:tcPr>
          <w:p w14:paraId="733D5140"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 CAN</w:t>
            </w:r>
          </w:p>
        </w:tc>
        <w:tc>
          <w:tcPr>
            <w:tcW w:w="708" w:type="dxa"/>
            <w:tcBorders>
              <w:top w:val="nil"/>
              <w:left w:val="nil"/>
              <w:bottom w:val="single" w:sz="4" w:space="0" w:color="auto"/>
              <w:right w:val="single" w:sz="4" w:space="0" w:color="auto"/>
            </w:tcBorders>
            <w:vAlign w:val="center"/>
          </w:tcPr>
          <w:p w14:paraId="1262E6C9"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773C5B19"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urban planning</w:t>
            </w:r>
          </w:p>
        </w:tc>
        <w:tc>
          <w:tcPr>
            <w:tcW w:w="993" w:type="dxa"/>
            <w:tcBorders>
              <w:top w:val="nil"/>
              <w:left w:val="nil"/>
              <w:bottom w:val="single" w:sz="4" w:space="0" w:color="auto"/>
              <w:right w:val="single" w:sz="4" w:space="0" w:color="auto"/>
            </w:tcBorders>
            <w:vAlign w:val="center"/>
          </w:tcPr>
          <w:p w14:paraId="617FC31E"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CITIES Volume 108, January 2021, 103001</w:t>
            </w:r>
          </w:p>
          <w:p w14:paraId="7D6D4B9B" w14:textId="77777777" w:rsidR="0033071B" w:rsidRPr="0002056A" w:rsidRDefault="0033071B" w:rsidP="0033071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doi: </w:t>
            </w:r>
            <w:hyperlink r:id="rId142" w:history="1">
              <w:r w:rsidRPr="0002056A">
                <w:rPr>
                  <w:rStyle w:val="Hiperhivatkozs"/>
                  <w:rFonts w:ascii="Georgia" w:eastAsia="Times New Roman" w:hAnsi="Georgia" w:cs="Times New Roman"/>
                  <w:sz w:val="10"/>
                  <w:szCs w:val="10"/>
                  <w:lang w:val="en-GB" w:eastAsia="hu-HU"/>
                </w:rPr>
                <w:t>https://doi.org./10.1016/j.cities.2020.103001</w:t>
              </w:r>
            </w:hyperlink>
            <w:r w:rsidRPr="0002056A">
              <w:rPr>
                <w:rFonts w:ascii="Georgia" w:eastAsia="Times New Roman" w:hAnsi="Georgia" w:cs="Times New Roman"/>
                <w:color w:val="000000"/>
                <w:sz w:val="10"/>
                <w:szCs w:val="10"/>
                <w:lang w:val="en-GB" w:eastAsia="hu-HU"/>
              </w:rPr>
              <w:t>.</w:t>
            </w:r>
          </w:p>
        </w:tc>
        <w:tc>
          <w:tcPr>
            <w:tcW w:w="708" w:type="dxa"/>
            <w:tcBorders>
              <w:top w:val="nil"/>
              <w:left w:val="nil"/>
              <w:bottom w:val="single" w:sz="4" w:space="0" w:color="auto"/>
              <w:right w:val="single" w:sz="4" w:space="0" w:color="auto"/>
            </w:tcBorders>
            <w:vAlign w:val="center"/>
          </w:tcPr>
          <w:p w14:paraId="64FA8739"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7A2270BE"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64C1D77" w14:textId="77777777" w:rsidR="0033071B" w:rsidRPr="0002056A" w:rsidRDefault="0033071B" w:rsidP="0033071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1131C33"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investigates CC threats and the dynamic relationship btw local adaptation policy making and implementation, using stakeholder narratives and document analyses</w:t>
            </w:r>
          </w:p>
        </w:tc>
        <w:tc>
          <w:tcPr>
            <w:tcW w:w="2268" w:type="dxa"/>
            <w:tcBorders>
              <w:top w:val="nil"/>
              <w:left w:val="nil"/>
              <w:bottom w:val="single" w:sz="4" w:space="0" w:color="auto"/>
              <w:right w:val="single" w:sz="8" w:space="0" w:color="auto"/>
            </w:tcBorders>
            <w:vAlign w:val="center"/>
          </w:tcPr>
          <w:p w14:paraId="552D8C52" w14:textId="77777777" w:rsidR="0033071B" w:rsidRPr="0002056A" w:rsidRDefault="0033071B" w:rsidP="0033071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local adaptation challenges and characteristics through case studies</w:t>
            </w:r>
          </w:p>
        </w:tc>
      </w:tr>
      <w:tr w:rsidR="00336238" w:rsidRPr="0002056A" w14:paraId="571B560E" w14:textId="77777777" w:rsidTr="00D57247">
        <w:trPr>
          <w:trHeight w:val="958"/>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C28C22E" w14:textId="2282AA9B"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Birkmann, J.; Garschagen, M., Setiadi, N.  </w:t>
            </w:r>
          </w:p>
        </w:tc>
        <w:tc>
          <w:tcPr>
            <w:tcW w:w="705" w:type="dxa"/>
            <w:tcBorders>
              <w:top w:val="nil"/>
              <w:left w:val="nil"/>
              <w:bottom w:val="single" w:sz="4" w:space="0" w:color="auto"/>
              <w:right w:val="single" w:sz="4" w:space="0" w:color="auto"/>
            </w:tcBorders>
            <w:vAlign w:val="center"/>
          </w:tcPr>
          <w:p w14:paraId="42AE662E" w14:textId="09D7B98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tcPr>
          <w:p w14:paraId="3792DC23" w14:textId="33F532E1"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New challenges for adaptive urban governance in highly dynamic environments: Revisiting planning systems and tools for adaptive and strategic planning. </w:t>
            </w:r>
          </w:p>
        </w:tc>
        <w:tc>
          <w:tcPr>
            <w:tcW w:w="1134" w:type="dxa"/>
            <w:tcBorders>
              <w:top w:val="nil"/>
              <w:left w:val="nil"/>
              <w:bottom w:val="single" w:sz="4" w:space="0" w:color="auto"/>
              <w:right w:val="single" w:sz="4" w:space="0" w:color="auto"/>
            </w:tcBorders>
            <w:vAlign w:val="center"/>
          </w:tcPr>
          <w:p w14:paraId="1813F3FF" w14:textId="60ADBC7A"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w:t>
            </w:r>
          </w:p>
        </w:tc>
        <w:tc>
          <w:tcPr>
            <w:tcW w:w="708" w:type="dxa"/>
            <w:tcBorders>
              <w:top w:val="nil"/>
              <w:left w:val="nil"/>
              <w:bottom w:val="single" w:sz="4" w:space="0" w:color="auto"/>
              <w:right w:val="single" w:sz="4" w:space="0" w:color="auto"/>
            </w:tcBorders>
            <w:vAlign w:val="center"/>
          </w:tcPr>
          <w:p w14:paraId="508449D7" w14:textId="04246CE4"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7E118C87" w14:textId="04720EC5"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governance</w:t>
            </w:r>
          </w:p>
        </w:tc>
        <w:tc>
          <w:tcPr>
            <w:tcW w:w="993" w:type="dxa"/>
            <w:tcBorders>
              <w:top w:val="nil"/>
              <w:left w:val="nil"/>
              <w:bottom w:val="single" w:sz="4" w:space="0" w:color="auto"/>
              <w:right w:val="single" w:sz="4" w:space="0" w:color="auto"/>
            </w:tcBorders>
            <w:vAlign w:val="center"/>
          </w:tcPr>
          <w:p w14:paraId="02490591" w14:textId="26AD47E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Climate 7 (2014) pp. 115–133.</w:t>
            </w:r>
          </w:p>
        </w:tc>
        <w:tc>
          <w:tcPr>
            <w:tcW w:w="708" w:type="dxa"/>
            <w:tcBorders>
              <w:top w:val="nil"/>
              <w:left w:val="nil"/>
              <w:bottom w:val="single" w:sz="4" w:space="0" w:color="auto"/>
              <w:right w:val="single" w:sz="4" w:space="0" w:color="auto"/>
            </w:tcBorders>
            <w:vAlign w:val="center"/>
          </w:tcPr>
          <w:p w14:paraId="46673C28" w14:textId="60AD16F4"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17B9205" w14:textId="6B566FE5"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C9D78DE" w14:textId="6E0F9B8D"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032DF8D" w14:textId="67CF57B2"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explores new challenges for adaptive urban and spatial governance in highly dynamic environments. It examines whether or not we have to rethink existing planning systems and tools in the context of climate change, natural hazards and societal transformation, focusing particularly on emerging economies in Asia. </w:t>
            </w:r>
          </w:p>
        </w:tc>
        <w:tc>
          <w:tcPr>
            <w:tcW w:w="2268" w:type="dxa"/>
            <w:tcBorders>
              <w:top w:val="nil"/>
              <w:left w:val="nil"/>
              <w:bottom w:val="single" w:sz="4" w:space="0" w:color="auto"/>
              <w:right w:val="single" w:sz="8" w:space="0" w:color="auto"/>
            </w:tcBorders>
            <w:vAlign w:val="center"/>
          </w:tcPr>
          <w:p w14:paraId="7AB6EFD2" w14:textId="18644206"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identifies opportunities &amp; also constraints of existing planning tools to strengthen adaptive urban governance. At the same time, it introduces number of gaps between currently debated planning tools for adaptation and the requirements emerging from adaptive and strategic planning theory. Recommendations to further strengthen adaptive urban governance and strategic planning were also provided.</w:t>
            </w:r>
          </w:p>
        </w:tc>
      </w:tr>
      <w:tr w:rsidR="00336238" w:rsidRPr="0002056A" w14:paraId="65A1339F" w14:textId="77777777" w:rsidTr="00D57247">
        <w:trPr>
          <w:trHeight w:val="958"/>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2AAE764" w14:textId="48DDD16D"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Bodor, Á.; Grünhut, Z.</w:t>
            </w:r>
          </w:p>
        </w:tc>
        <w:tc>
          <w:tcPr>
            <w:tcW w:w="705" w:type="dxa"/>
            <w:tcBorders>
              <w:top w:val="nil"/>
              <w:left w:val="nil"/>
              <w:bottom w:val="single" w:sz="4" w:space="0" w:color="auto"/>
              <w:right w:val="single" w:sz="4" w:space="0" w:color="auto"/>
            </w:tcBorders>
            <w:vAlign w:val="center"/>
          </w:tcPr>
          <w:p w14:paraId="217BCBCF" w14:textId="7C1CB2D4"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25468E01" w14:textId="3AA3E3B1"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klímaváltozás megítélésének dimenziói Európában: mintázatok és összefüggés a társadalmi bizalommal. </w:t>
            </w:r>
          </w:p>
        </w:tc>
        <w:tc>
          <w:tcPr>
            <w:tcW w:w="1134" w:type="dxa"/>
            <w:tcBorders>
              <w:top w:val="nil"/>
              <w:left w:val="nil"/>
              <w:bottom w:val="single" w:sz="4" w:space="0" w:color="auto"/>
              <w:right w:val="single" w:sz="4" w:space="0" w:color="auto"/>
            </w:tcBorders>
            <w:vAlign w:val="center"/>
          </w:tcPr>
          <w:p w14:paraId="1EC292FC" w14:textId="5F4B19F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w:t>
            </w:r>
          </w:p>
        </w:tc>
        <w:tc>
          <w:tcPr>
            <w:tcW w:w="708" w:type="dxa"/>
            <w:tcBorders>
              <w:top w:val="nil"/>
              <w:left w:val="nil"/>
              <w:bottom w:val="single" w:sz="4" w:space="0" w:color="auto"/>
              <w:right w:val="single" w:sz="4" w:space="0" w:color="auto"/>
            </w:tcBorders>
            <w:vAlign w:val="center"/>
          </w:tcPr>
          <w:p w14:paraId="298D8020" w14:textId="4729A103"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Central </w:t>
            </w:r>
            <w:r w:rsidR="00875741" w:rsidRPr="0002056A">
              <w:rPr>
                <w:rFonts w:ascii="Georgia" w:eastAsia="Times New Roman" w:hAnsi="Georgia" w:cs="Times New Roman"/>
                <w:color w:val="000000"/>
                <w:sz w:val="10"/>
                <w:szCs w:val="10"/>
                <w:lang w:val="en-GB" w:eastAsia="hu-HU"/>
              </w:rPr>
              <w:t>Statistical</w:t>
            </w:r>
            <w:r w:rsidRPr="0002056A">
              <w:rPr>
                <w:rFonts w:ascii="Georgia" w:eastAsia="Times New Roman" w:hAnsi="Georgia" w:cs="Times New Roman"/>
                <w:color w:val="000000"/>
                <w:sz w:val="10"/>
                <w:szCs w:val="10"/>
                <w:lang w:val="en-GB" w:eastAsia="hu-HU"/>
              </w:rPr>
              <w:t xml:space="preserve"> Office of Hungary</w:t>
            </w:r>
          </w:p>
        </w:tc>
        <w:tc>
          <w:tcPr>
            <w:tcW w:w="851" w:type="dxa"/>
            <w:tcBorders>
              <w:top w:val="nil"/>
              <w:left w:val="nil"/>
              <w:bottom w:val="single" w:sz="4" w:space="0" w:color="auto"/>
              <w:right w:val="single" w:sz="4" w:space="0" w:color="auto"/>
            </w:tcBorders>
            <w:vAlign w:val="center"/>
          </w:tcPr>
          <w:p w14:paraId="34791668" w14:textId="78DB1883"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245D51E6" w14:textId="475A9F81"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Területi Statisztika, 61(2); https://doi.org 10.15196/TS610205</w:t>
            </w:r>
          </w:p>
        </w:tc>
        <w:tc>
          <w:tcPr>
            <w:tcW w:w="708" w:type="dxa"/>
            <w:tcBorders>
              <w:top w:val="nil"/>
              <w:left w:val="nil"/>
              <w:bottom w:val="single" w:sz="4" w:space="0" w:color="auto"/>
              <w:right w:val="single" w:sz="4" w:space="0" w:color="auto"/>
            </w:tcBorders>
            <w:vAlign w:val="center"/>
          </w:tcPr>
          <w:p w14:paraId="2B1BAE49" w14:textId="07D64425"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FF9F62B" w14:textId="4200EA9A"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365ACAF" w14:textId="3834E16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E9E7FFA" w14:textId="5CD59D0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Ákos Bodor and Zoltán Grünhut's research, based on secondary data, analyzed the differences in the dimensions of climate change perceptions in European countries using the database of the 18th wave of the European Social Survey (ESS).</w:t>
            </w:r>
          </w:p>
        </w:tc>
        <w:tc>
          <w:tcPr>
            <w:tcW w:w="2268" w:type="dxa"/>
            <w:tcBorders>
              <w:top w:val="nil"/>
              <w:left w:val="nil"/>
              <w:bottom w:val="single" w:sz="4" w:space="0" w:color="auto"/>
              <w:right w:val="single" w:sz="8" w:space="0" w:color="auto"/>
            </w:tcBorders>
            <w:vAlign w:val="center"/>
          </w:tcPr>
          <w:p w14:paraId="61A081D2" w14:textId="7D61600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good example-article for spatially oriented attitude analysis in climate adaptation.</w:t>
            </w:r>
          </w:p>
        </w:tc>
      </w:tr>
      <w:tr w:rsidR="00336238" w:rsidRPr="0002056A" w14:paraId="225C6681"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B4B471B" w14:textId="720ED6B1"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Bogale, G. </w:t>
            </w:r>
          </w:p>
          <w:p w14:paraId="34C49031"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73DC6863" w14:textId="005C5F88" w:rsidR="00336238" w:rsidRPr="0002056A" w:rsidRDefault="00336238" w:rsidP="009F6AD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699D8DD5" w14:textId="170337B4"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Reviewing of Climate Vulnerability Assessment Methodologies. </w:t>
            </w:r>
          </w:p>
        </w:tc>
        <w:tc>
          <w:tcPr>
            <w:tcW w:w="1134" w:type="dxa"/>
            <w:tcBorders>
              <w:top w:val="nil"/>
              <w:left w:val="nil"/>
              <w:bottom w:val="single" w:sz="4" w:space="0" w:color="auto"/>
              <w:right w:val="single" w:sz="4" w:space="0" w:color="auto"/>
            </w:tcBorders>
            <w:vAlign w:val="center"/>
          </w:tcPr>
          <w:p w14:paraId="5C57058F" w14:textId="5C9BE77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NIG</w:t>
            </w:r>
          </w:p>
        </w:tc>
        <w:tc>
          <w:tcPr>
            <w:tcW w:w="708" w:type="dxa"/>
            <w:tcBorders>
              <w:top w:val="nil"/>
              <w:left w:val="nil"/>
              <w:bottom w:val="single" w:sz="4" w:space="0" w:color="auto"/>
              <w:right w:val="single" w:sz="4" w:space="0" w:color="auto"/>
            </w:tcBorders>
            <w:vAlign w:val="center"/>
          </w:tcPr>
          <w:p w14:paraId="117D2F58" w14:textId="4CC7C49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Ethiopian Agricultural Transformation Agency.</w:t>
            </w:r>
          </w:p>
        </w:tc>
        <w:tc>
          <w:tcPr>
            <w:tcW w:w="851" w:type="dxa"/>
            <w:tcBorders>
              <w:top w:val="nil"/>
              <w:left w:val="nil"/>
              <w:bottom w:val="single" w:sz="4" w:space="0" w:color="auto"/>
              <w:right w:val="single" w:sz="4" w:space="0" w:color="auto"/>
            </w:tcBorders>
            <w:vAlign w:val="center"/>
          </w:tcPr>
          <w:p w14:paraId="0A8E0822" w14:textId="66EB684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vulnerability assessment methodology</w:t>
            </w:r>
          </w:p>
        </w:tc>
        <w:tc>
          <w:tcPr>
            <w:tcW w:w="993" w:type="dxa"/>
            <w:tcBorders>
              <w:top w:val="nil"/>
              <w:left w:val="nil"/>
              <w:bottom w:val="single" w:sz="4" w:space="0" w:color="auto"/>
              <w:right w:val="single" w:sz="4" w:space="0" w:color="auto"/>
            </w:tcBorders>
            <w:vAlign w:val="center"/>
          </w:tcPr>
          <w:p w14:paraId="05DAA692" w14:textId="717CA205"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Ethiopian Agricultural Transformation Agency. https://doi.org/</w:t>
            </w:r>
            <w:hyperlink r:id="rId143" w:tgtFrame="_blank" w:history="1">
              <w:r w:rsidRPr="0002056A">
                <w:rPr>
                  <w:rFonts w:ascii="Georgia" w:eastAsia="Times New Roman" w:hAnsi="Georgia" w:cs="Times New Roman"/>
                  <w:color w:val="000000"/>
                  <w:sz w:val="10"/>
                  <w:szCs w:val="10"/>
                  <w:lang w:val="en-GB" w:eastAsia="hu-HU"/>
                </w:rPr>
                <w:t>10.13140/RG.2.2.20817.07524</w:t>
              </w:r>
            </w:hyperlink>
          </w:p>
        </w:tc>
        <w:tc>
          <w:tcPr>
            <w:tcW w:w="708" w:type="dxa"/>
            <w:tcBorders>
              <w:top w:val="nil"/>
              <w:left w:val="nil"/>
              <w:bottom w:val="single" w:sz="4" w:space="0" w:color="auto"/>
              <w:right w:val="single" w:sz="4" w:space="0" w:color="auto"/>
            </w:tcBorders>
            <w:vAlign w:val="center"/>
          </w:tcPr>
          <w:p w14:paraId="3034D494" w14:textId="0597D5ED"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75CC0BAD" w14:textId="39817CE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w:t>
            </w:r>
            <w:r w:rsidR="00B22364" w:rsidRPr="0002056A">
              <w:rPr>
                <w:rFonts w:ascii="Georgia" w:eastAsia="Times New Roman" w:hAnsi="Georgia" w:cs="Times New Roman"/>
                <w:color w:val="000000"/>
                <w:sz w:val="10"/>
                <w:szCs w:val="10"/>
                <w:lang w:val="en-GB" w:eastAsia="hu-HU"/>
              </w:rPr>
              <w:t>s</w:t>
            </w:r>
          </w:p>
        </w:tc>
        <w:tc>
          <w:tcPr>
            <w:tcW w:w="708" w:type="dxa"/>
            <w:tcBorders>
              <w:top w:val="nil"/>
              <w:left w:val="nil"/>
              <w:bottom w:val="single" w:sz="4" w:space="0" w:color="auto"/>
              <w:right w:val="single" w:sz="8" w:space="0" w:color="auto"/>
            </w:tcBorders>
            <w:vAlign w:val="center"/>
          </w:tcPr>
          <w:p w14:paraId="2FE8EADA" w14:textId="558B8534"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86828B" w14:textId="6FF7673F"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Summary ad overview of the first to decades of CVA activities.</w:t>
            </w:r>
          </w:p>
        </w:tc>
        <w:tc>
          <w:tcPr>
            <w:tcW w:w="2268" w:type="dxa"/>
            <w:tcBorders>
              <w:top w:val="nil"/>
              <w:left w:val="nil"/>
              <w:bottom w:val="single" w:sz="4" w:space="0" w:color="auto"/>
              <w:right w:val="single" w:sz="8" w:space="0" w:color="auto"/>
            </w:tcBorders>
            <w:vAlign w:val="center"/>
          </w:tcPr>
          <w:p w14:paraId="41DD4BF7"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Most of the climate change vulnerability assessment methodologies so far developed used the additive approach to construct vulnerability index. Other methods are rarely used. To construct climate change vulnerability indices, most of the authors used historical indicators of sensitivity and adaptive capacity for future vulnerability index by assuming the continuation of the existing scenario instead of generating the future projection for each indicator.  </w:t>
            </w:r>
          </w:p>
          <w:p w14:paraId="644ABDB3"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p>
        </w:tc>
      </w:tr>
      <w:tr w:rsidR="00336238" w:rsidRPr="0002056A" w14:paraId="5DB6ED9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34CE3FD"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Bours D, Mc Ginn C, Pringle P </w:t>
            </w:r>
          </w:p>
        </w:tc>
        <w:tc>
          <w:tcPr>
            <w:tcW w:w="705" w:type="dxa"/>
            <w:tcBorders>
              <w:top w:val="nil"/>
              <w:left w:val="nil"/>
              <w:bottom w:val="single" w:sz="4" w:space="0" w:color="auto"/>
              <w:right w:val="single" w:sz="4" w:space="0" w:color="auto"/>
            </w:tcBorders>
            <w:vAlign w:val="center"/>
            <w:hideMark/>
          </w:tcPr>
          <w:p w14:paraId="57D32A57"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5B0C25BE"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Monitoring and evaluation for climate change adaptation: a synthesis of tools, frameworks and approaches. </w:t>
            </w:r>
          </w:p>
        </w:tc>
        <w:tc>
          <w:tcPr>
            <w:tcW w:w="1134" w:type="dxa"/>
            <w:tcBorders>
              <w:top w:val="nil"/>
              <w:left w:val="nil"/>
              <w:bottom w:val="single" w:sz="4" w:space="0" w:color="auto"/>
              <w:right w:val="single" w:sz="4" w:space="0" w:color="auto"/>
            </w:tcBorders>
            <w:vAlign w:val="center"/>
            <w:hideMark/>
          </w:tcPr>
          <w:p w14:paraId="7C10D79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 UKG</w:t>
            </w:r>
          </w:p>
        </w:tc>
        <w:tc>
          <w:tcPr>
            <w:tcW w:w="708" w:type="dxa"/>
            <w:tcBorders>
              <w:top w:val="nil"/>
              <w:left w:val="nil"/>
              <w:bottom w:val="single" w:sz="4" w:space="0" w:color="auto"/>
              <w:right w:val="single" w:sz="4" w:space="0" w:color="auto"/>
            </w:tcBorders>
            <w:vAlign w:val="center"/>
            <w:hideMark/>
          </w:tcPr>
          <w:p w14:paraId="2D2AC4F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SEA Change CoP and UKCIP, Oxford</w:t>
            </w:r>
          </w:p>
        </w:tc>
        <w:tc>
          <w:tcPr>
            <w:tcW w:w="851" w:type="dxa"/>
            <w:tcBorders>
              <w:top w:val="nil"/>
              <w:left w:val="nil"/>
              <w:bottom w:val="single" w:sz="4" w:space="0" w:color="auto"/>
              <w:right w:val="single" w:sz="4" w:space="0" w:color="auto"/>
            </w:tcBorders>
            <w:vAlign w:val="center"/>
            <w:hideMark/>
          </w:tcPr>
          <w:p w14:paraId="5CD247B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0A15FC1E" w14:textId="77777777"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SEA Change CoP and UKCIP, Oxford</w:t>
            </w:r>
          </w:p>
        </w:tc>
        <w:tc>
          <w:tcPr>
            <w:tcW w:w="708" w:type="dxa"/>
            <w:tcBorders>
              <w:top w:val="nil"/>
              <w:left w:val="nil"/>
              <w:bottom w:val="single" w:sz="4" w:space="0" w:color="auto"/>
              <w:right w:val="single" w:sz="4" w:space="0" w:color="auto"/>
            </w:tcBorders>
            <w:vAlign w:val="center"/>
            <w:hideMark/>
          </w:tcPr>
          <w:p w14:paraId="0875CD1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guidance</w:t>
            </w:r>
          </w:p>
        </w:tc>
        <w:tc>
          <w:tcPr>
            <w:tcW w:w="851" w:type="dxa"/>
            <w:tcBorders>
              <w:top w:val="nil"/>
              <w:left w:val="nil"/>
              <w:bottom w:val="single" w:sz="4" w:space="0" w:color="auto"/>
              <w:right w:val="single" w:sz="4" w:space="0" w:color="auto"/>
            </w:tcBorders>
            <w:vAlign w:val="center"/>
            <w:hideMark/>
          </w:tcPr>
          <w:p w14:paraId="2A48A13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3F5CF8D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CC25B37" w14:textId="4B7588C9"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have compiled a</w:t>
            </w:r>
            <w:r w:rsidR="003756D2"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 xml:space="preserve">guidance provides a comprehensive collection of monitoring and evaluation tools, frameworks, and approaches, and reviews them thoughtfully. The authors have added a good number of </w:t>
            </w:r>
            <w:r w:rsidR="003756D2" w:rsidRPr="0002056A">
              <w:rPr>
                <w:rFonts w:ascii="Georgia" w:eastAsia="Times New Roman" w:hAnsi="Georgia" w:cs="Times New Roman"/>
                <w:color w:val="000000"/>
                <w:sz w:val="10"/>
                <w:szCs w:val="10"/>
                <w:lang w:val="en-GB" w:eastAsia="hu-HU"/>
              </w:rPr>
              <w:t>newly published</w:t>
            </w:r>
            <w:r w:rsidRPr="0002056A">
              <w:rPr>
                <w:rFonts w:ascii="Georgia" w:eastAsia="Times New Roman" w:hAnsi="Georgia" w:cs="Times New Roman"/>
                <w:color w:val="000000"/>
                <w:sz w:val="10"/>
                <w:szCs w:val="10"/>
                <w:lang w:val="en-GB" w:eastAsia="hu-HU"/>
              </w:rPr>
              <w:t xml:space="preserve"> frameworks and </w:t>
            </w:r>
            <w:r w:rsidR="003756D2" w:rsidRPr="0002056A">
              <w:rPr>
                <w:rFonts w:ascii="Georgia" w:eastAsia="Times New Roman" w:hAnsi="Georgia" w:cs="Times New Roman"/>
                <w:color w:val="000000"/>
                <w:sz w:val="10"/>
                <w:szCs w:val="10"/>
                <w:lang w:val="en-GB" w:eastAsia="hu-HU"/>
              </w:rPr>
              <w:t>tools and</w:t>
            </w:r>
            <w:r w:rsidRPr="0002056A">
              <w:rPr>
                <w:rFonts w:ascii="Georgia" w:eastAsia="Times New Roman" w:hAnsi="Georgia" w:cs="Times New Roman"/>
                <w:color w:val="000000"/>
                <w:sz w:val="10"/>
                <w:szCs w:val="10"/>
                <w:lang w:val="en-GB" w:eastAsia="hu-HU"/>
              </w:rPr>
              <w:t xml:space="preserve"> also give attention to the changing focus from adaptation towards resilience. </w:t>
            </w:r>
          </w:p>
        </w:tc>
        <w:tc>
          <w:tcPr>
            <w:tcW w:w="2268" w:type="dxa"/>
            <w:tcBorders>
              <w:top w:val="nil"/>
              <w:left w:val="nil"/>
              <w:bottom w:val="single" w:sz="4" w:space="0" w:color="auto"/>
              <w:right w:val="single" w:sz="8" w:space="0" w:color="auto"/>
            </w:tcBorders>
            <w:vAlign w:val="center"/>
          </w:tcPr>
          <w:p w14:paraId="77323F65"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European climate adaptation MRE tools, frameworks and approaches from the early 2010s.</w:t>
            </w:r>
          </w:p>
        </w:tc>
      </w:tr>
      <w:tr w:rsidR="00336238" w:rsidRPr="0002056A" w14:paraId="0C0027F5"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DC69DD7"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Bours D, McGinn C, Pringle P</w:t>
            </w:r>
          </w:p>
        </w:tc>
        <w:tc>
          <w:tcPr>
            <w:tcW w:w="705" w:type="dxa"/>
            <w:tcBorders>
              <w:top w:val="nil"/>
              <w:left w:val="nil"/>
              <w:bottom w:val="single" w:sz="4" w:space="0" w:color="auto"/>
              <w:right w:val="single" w:sz="4" w:space="0" w:color="auto"/>
            </w:tcBorders>
            <w:vAlign w:val="center"/>
            <w:hideMark/>
          </w:tcPr>
          <w:p w14:paraId="57A219F8"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hideMark/>
          </w:tcPr>
          <w:p w14:paraId="00CB2945" w14:textId="0F41CFE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Guidance </w:t>
            </w:r>
            <w:r w:rsidR="00875741" w:rsidRPr="0002056A">
              <w:rPr>
                <w:rFonts w:ascii="Georgia" w:eastAsia="Times New Roman" w:hAnsi="Georgia" w:cs="Times New Roman"/>
                <w:color w:val="000000"/>
                <w:sz w:val="10"/>
                <w:szCs w:val="10"/>
                <w:lang w:val="en-GB" w:eastAsia="hu-HU"/>
              </w:rPr>
              <w:t>notes</w:t>
            </w:r>
            <w:r w:rsidRPr="0002056A">
              <w:rPr>
                <w:rFonts w:ascii="Georgia" w:eastAsia="Times New Roman" w:hAnsi="Georgia" w:cs="Times New Roman"/>
                <w:color w:val="000000"/>
                <w:sz w:val="10"/>
                <w:szCs w:val="10"/>
                <w:lang w:val="en-GB" w:eastAsia="hu-HU"/>
              </w:rPr>
              <w:t xml:space="preserve"> 1: twelve reasons why climate change adaptation M&amp;E is challenging. </w:t>
            </w:r>
          </w:p>
        </w:tc>
        <w:tc>
          <w:tcPr>
            <w:tcW w:w="1134" w:type="dxa"/>
            <w:tcBorders>
              <w:top w:val="nil"/>
              <w:left w:val="nil"/>
              <w:bottom w:val="single" w:sz="4" w:space="0" w:color="auto"/>
              <w:right w:val="single" w:sz="4" w:space="0" w:color="auto"/>
            </w:tcBorders>
            <w:vAlign w:val="center"/>
            <w:hideMark/>
          </w:tcPr>
          <w:p w14:paraId="0CFAFE4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 UKG</w:t>
            </w:r>
          </w:p>
        </w:tc>
        <w:tc>
          <w:tcPr>
            <w:tcW w:w="708" w:type="dxa"/>
            <w:tcBorders>
              <w:top w:val="nil"/>
              <w:left w:val="nil"/>
              <w:bottom w:val="single" w:sz="4" w:space="0" w:color="auto"/>
              <w:right w:val="single" w:sz="4" w:space="0" w:color="auto"/>
            </w:tcBorders>
            <w:vAlign w:val="center"/>
            <w:hideMark/>
          </w:tcPr>
          <w:p w14:paraId="13FABFB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SEA Change CoP and UKCIP, Oxford</w:t>
            </w:r>
          </w:p>
        </w:tc>
        <w:tc>
          <w:tcPr>
            <w:tcW w:w="851" w:type="dxa"/>
            <w:tcBorders>
              <w:top w:val="nil"/>
              <w:left w:val="nil"/>
              <w:bottom w:val="single" w:sz="4" w:space="0" w:color="auto"/>
              <w:right w:val="single" w:sz="4" w:space="0" w:color="auto"/>
            </w:tcBorders>
            <w:vAlign w:val="center"/>
            <w:hideMark/>
          </w:tcPr>
          <w:p w14:paraId="1598C7FA"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213C7569" w14:textId="77777777"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SEA Change CoP and UKCIP, Oxford</w:t>
            </w:r>
          </w:p>
        </w:tc>
        <w:tc>
          <w:tcPr>
            <w:tcW w:w="708" w:type="dxa"/>
            <w:tcBorders>
              <w:top w:val="nil"/>
              <w:left w:val="nil"/>
              <w:bottom w:val="single" w:sz="4" w:space="0" w:color="auto"/>
              <w:right w:val="single" w:sz="4" w:space="0" w:color="auto"/>
            </w:tcBorders>
            <w:vAlign w:val="center"/>
            <w:hideMark/>
          </w:tcPr>
          <w:p w14:paraId="27710617"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guidance</w:t>
            </w:r>
          </w:p>
        </w:tc>
        <w:tc>
          <w:tcPr>
            <w:tcW w:w="851" w:type="dxa"/>
            <w:tcBorders>
              <w:top w:val="nil"/>
              <w:left w:val="nil"/>
              <w:bottom w:val="single" w:sz="4" w:space="0" w:color="auto"/>
              <w:right w:val="single" w:sz="4" w:space="0" w:color="auto"/>
            </w:tcBorders>
            <w:vAlign w:val="center"/>
            <w:hideMark/>
          </w:tcPr>
          <w:p w14:paraId="3603606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3A955E6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F52E8C4" w14:textId="59A82E4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this Guidance Note, the authors identify twelve challenges that make M&amp;E of CCA programmes </w:t>
            </w:r>
            <w:r w:rsidR="003756D2" w:rsidRPr="0002056A">
              <w:rPr>
                <w:rFonts w:ascii="Georgia" w:eastAsia="Times New Roman" w:hAnsi="Georgia" w:cs="Times New Roman"/>
                <w:color w:val="000000"/>
                <w:sz w:val="10"/>
                <w:szCs w:val="10"/>
                <w:lang w:val="en-GB" w:eastAsia="hu-HU"/>
              </w:rPr>
              <w:t>difficult and</w:t>
            </w:r>
            <w:r w:rsidRPr="0002056A">
              <w:rPr>
                <w:rFonts w:ascii="Georgia" w:eastAsia="Times New Roman" w:hAnsi="Georgia" w:cs="Times New Roman"/>
                <w:color w:val="000000"/>
                <w:sz w:val="10"/>
                <w:szCs w:val="10"/>
                <w:lang w:val="en-GB" w:eastAsia="hu-HU"/>
              </w:rPr>
              <w:t xml:space="preserve"> highlight strategies to address each. While most challenges are not unique to CCA, together they present a distinctive package of dilemmas that need to be addressed.</w:t>
            </w:r>
          </w:p>
        </w:tc>
        <w:tc>
          <w:tcPr>
            <w:tcW w:w="2268" w:type="dxa"/>
            <w:tcBorders>
              <w:top w:val="nil"/>
              <w:left w:val="nil"/>
              <w:bottom w:val="single" w:sz="4" w:space="0" w:color="auto"/>
              <w:right w:val="single" w:sz="8" w:space="0" w:color="auto"/>
            </w:tcBorders>
            <w:vAlign w:val="center"/>
          </w:tcPr>
          <w:p w14:paraId="7AB850C9"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12 CCA MRE challenges in Europe from the early 2010.</w:t>
            </w:r>
          </w:p>
        </w:tc>
      </w:tr>
      <w:tr w:rsidR="00336238" w:rsidRPr="0002056A" w14:paraId="5EF8EFBB"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B00C989" w14:textId="01FE3F2F"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Bús, B.; Tésits, R.; Alpek, B. L.</w:t>
            </w:r>
          </w:p>
        </w:tc>
        <w:tc>
          <w:tcPr>
            <w:tcW w:w="705" w:type="dxa"/>
            <w:tcBorders>
              <w:top w:val="nil"/>
              <w:left w:val="nil"/>
              <w:bottom w:val="single" w:sz="4" w:space="0" w:color="auto"/>
              <w:right w:val="single" w:sz="4" w:space="0" w:color="auto"/>
            </w:tcBorders>
            <w:vAlign w:val="center"/>
          </w:tcPr>
          <w:p w14:paraId="38403695" w14:textId="11CAA9A5"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127AB33F" w14:textId="26DAE1EE"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környezettudatos magatartás településföldrajzi szempontú vizsgálata a Baranya megyei ökoiskolák végzős diákjai körében, 2020</w:t>
            </w:r>
          </w:p>
        </w:tc>
        <w:tc>
          <w:tcPr>
            <w:tcW w:w="1134" w:type="dxa"/>
            <w:tcBorders>
              <w:top w:val="nil"/>
              <w:left w:val="nil"/>
              <w:bottom w:val="single" w:sz="4" w:space="0" w:color="auto"/>
              <w:right w:val="single" w:sz="4" w:space="0" w:color="auto"/>
            </w:tcBorders>
            <w:vAlign w:val="center"/>
          </w:tcPr>
          <w:p w14:paraId="083B2572" w14:textId="361A40C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w:t>
            </w:r>
          </w:p>
        </w:tc>
        <w:tc>
          <w:tcPr>
            <w:tcW w:w="708" w:type="dxa"/>
            <w:tcBorders>
              <w:top w:val="nil"/>
              <w:left w:val="nil"/>
              <w:bottom w:val="single" w:sz="4" w:space="0" w:color="auto"/>
              <w:right w:val="single" w:sz="4" w:space="0" w:color="auto"/>
            </w:tcBorders>
            <w:vAlign w:val="center"/>
          </w:tcPr>
          <w:p w14:paraId="60184AAC" w14:textId="1C3A1A35"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Central </w:t>
            </w:r>
            <w:r w:rsidR="00875741" w:rsidRPr="0002056A">
              <w:rPr>
                <w:rFonts w:ascii="Georgia" w:eastAsia="Times New Roman" w:hAnsi="Georgia" w:cs="Times New Roman"/>
                <w:color w:val="000000"/>
                <w:sz w:val="10"/>
                <w:szCs w:val="10"/>
                <w:lang w:val="en-GB" w:eastAsia="hu-HU"/>
              </w:rPr>
              <w:t>Statistical</w:t>
            </w:r>
            <w:r w:rsidRPr="0002056A">
              <w:rPr>
                <w:rFonts w:ascii="Georgia" w:eastAsia="Times New Roman" w:hAnsi="Georgia" w:cs="Times New Roman"/>
                <w:color w:val="000000"/>
                <w:sz w:val="10"/>
                <w:szCs w:val="10"/>
                <w:lang w:val="en-GB" w:eastAsia="hu-HU"/>
              </w:rPr>
              <w:t xml:space="preserve"> Office of Hungary</w:t>
            </w:r>
          </w:p>
        </w:tc>
        <w:tc>
          <w:tcPr>
            <w:tcW w:w="851" w:type="dxa"/>
            <w:tcBorders>
              <w:top w:val="nil"/>
              <w:left w:val="nil"/>
              <w:bottom w:val="single" w:sz="4" w:space="0" w:color="auto"/>
              <w:right w:val="single" w:sz="4" w:space="0" w:color="auto"/>
            </w:tcBorders>
            <w:vAlign w:val="center"/>
          </w:tcPr>
          <w:p w14:paraId="1EF59489" w14:textId="682DC618"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4E4FFC66" w14:textId="3F1578AF"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Területi Statisztika, 61(2); https://doi.org 10.15196/TS610204</w:t>
            </w:r>
          </w:p>
        </w:tc>
        <w:tc>
          <w:tcPr>
            <w:tcW w:w="708" w:type="dxa"/>
            <w:tcBorders>
              <w:top w:val="nil"/>
              <w:left w:val="nil"/>
              <w:bottom w:val="single" w:sz="4" w:space="0" w:color="auto"/>
              <w:right w:val="single" w:sz="4" w:space="0" w:color="auto"/>
            </w:tcBorders>
            <w:vAlign w:val="center"/>
          </w:tcPr>
          <w:p w14:paraId="6D92AA78" w14:textId="35C3B5FB"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EA2C07F" w14:textId="302920F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4BF8834" w14:textId="34E1B7A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D8F1FB" w14:textId="52509142"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Taking a broader approach to environmental awareness, Bernadett Bús and colleagues examined the environmental attitudes of students leaving eco-schools in Baranya County based on a questionnaire survey of 243 students. </w:t>
            </w:r>
          </w:p>
        </w:tc>
        <w:tc>
          <w:tcPr>
            <w:tcW w:w="2268" w:type="dxa"/>
            <w:tcBorders>
              <w:top w:val="nil"/>
              <w:left w:val="nil"/>
              <w:bottom w:val="single" w:sz="4" w:space="0" w:color="auto"/>
              <w:right w:val="single" w:sz="8" w:space="0" w:color="auto"/>
            </w:tcBorders>
            <w:vAlign w:val="center"/>
          </w:tcPr>
          <w:p w14:paraId="47C801C6" w14:textId="77E1854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good example-article for spatially oriented attitude analysis in climate adaptation.</w:t>
            </w:r>
          </w:p>
        </w:tc>
      </w:tr>
      <w:tr w:rsidR="00336238" w:rsidRPr="0002056A" w14:paraId="56D5655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99C51E9" w14:textId="582DB0B6"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Cobbinah, P.; Brandful, P. Addaney, M.</w:t>
            </w:r>
          </w:p>
        </w:tc>
        <w:tc>
          <w:tcPr>
            <w:tcW w:w="705" w:type="dxa"/>
            <w:tcBorders>
              <w:top w:val="nil"/>
              <w:left w:val="nil"/>
              <w:bottom w:val="single" w:sz="4" w:space="0" w:color="auto"/>
              <w:right w:val="single" w:sz="4" w:space="0" w:color="auto"/>
            </w:tcBorders>
            <w:vAlign w:val="center"/>
          </w:tcPr>
          <w:p w14:paraId="3CFF18C2" w14:textId="343ED0C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21659E66" w14:textId="68DD55E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Geography of Climate Change Adaptation in Urban Africa</w:t>
            </w:r>
          </w:p>
        </w:tc>
        <w:tc>
          <w:tcPr>
            <w:tcW w:w="1134" w:type="dxa"/>
            <w:tcBorders>
              <w:top w:val="nil"/>
              <w:left w:val="nil"/>
              <w:bottom w:val="single" w:sz="4" w:space="0" w:color="auto"/>
              <w:right w:val="single" w:sz="4" w:space="0" w:color="auto"/>
            </w:tcBorders>
            <w:vAlign w:val="center"/>
          </w:tcPr>
          <w:p w14:paraId="527A7350" w14:textId="64E8E603"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DAF, DAF, DAF</w:t>
            </w:r>
          </w:p>
        </w:tc>
        <w:tc>
          <w:tcPr>
            <w:tcW w:w="708" w:type="dxa"/>
            <w:tcBorders>
              <w:top w:val="nil"/>
              <w:left w:val="nil"/>
              <w:bottom w:val="single" w:sz="4" w:space="0" w:color="auto"/>
              <w:right w:val="single" w:sz="4" w:space="0" w:color="auto"/>
            </w:tcBorders>
            <w:vAlign w:val="center"/>
          </w:tcPr>
          <w:p w14:paraId="3EA6B01C" w14:textId="62FC8C5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1BBEF92B" w14:textId="0DA142D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086995AE" w14:textId="7E8F273F"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hyperlink r:id="rId144" w:history="1">
              <w:r w:rsidRPr="0002056A">
                <w:rPr>
                  <w:rFonts w:ascii="Georgia" w:eastAsia="Times New Roman" w:hAnsi="Georgia" w:cs="Times New Roman"/>
                  <w:color w:val="000000"/>
                  <w:sz w:val="10"/>
                  <w:szCs w:val="10"/>
                  <w:lang w:val="en-GB" w:eastAsia="hu-HU"/>
                </w:rPr>
                <w:t>Kwame Nkrumah University of Science and Technology</w:t>
              </w:r>
            </w:hyperlink>
          </w:p>
        </w:tc>
        <w:tc>
          <w:tcPr>
            <w:tcW w:w="708" w:type="dxa"/>
            <w:tcBorders>
              <w:top w:val="nil"/>
              <w:left w:val="nil"/>
              <w:bottom w:val="single" w:sz="4" w:space="0" w:color="auto"/>
              <w:right w:val="single" w:sz="4" w:space="0" w:color="auto"/>
            </w:tcBorders>
            <w:vAlign w:val="center"/>
          </w:tcPr>
          <w:p w14:paraId="559FEA62" w14:textId="54E18B9B"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72EF97F3" w14:textId="6BB58C8D"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CA54A1F" w14:textId="2EDDF5DC"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436EAAF" w14:textId="77777777" w:rsidR="00F02452" w:rsidRPr="0002056A" w:rsidRDefault="00F02452" w:rsidP="00336238">
            <w:pPr>
              <w:spacing w:after="0" w:line="240" w:lineRule="auto"/>
              <w:jc w:val="both"/>
              <w:rPr>
                <w:rFonts w:ascii="Georgia" w:eastAsia="Times New Roman" w:hAnsi="Georgia" w:cs="Times New Roman"/>
                <w:color w:val="000000"/>
                <w:sz w:val="10"/>
                <w:szCs w:val="10"/>
                <w:lang w:val="en-GB" w:eastAsia="hu-HU"/>
              </w:rPr>
            </w:pPr>
          </w:p>
          <w:p w14:paraId="29FF7BA2" w14:textId="77777777" w:rsidR="00F02452" w:rsidRPr="0002056A" w:rsidRDefault="00F02452" w:rsidP="00336238">
            <w:pPr>
              <w:spacing w:after="0" w:line="240" w:lineRule="auto"/>
              <w:jc w:val="both"/>
              <w:rPr>
                <w:rFonts w:ascii="Georgia" w:eastAsia="Times New Roman" w:hAnsi="Georgia" w:cs="Times New Roman"/>
                <w:color w:val="000000"/>
                <w:sz w:val="10"/>
                <w:szCs w:val="10"/>
                <w:lang w:val="en-GB" w:eastAsia="hu-HU"/>
              </w:rPr>
            </w:pPr>
          </w:p>
          <w:p w14:paraId="521EC0C5"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explores several in depth case studies in climate change adaptation response in Urban Africa; focuses on the geography of urban adaptation to climate in Africa and discusses future directions for climate change adaptation response from multiple perspectives.</w:t>
            </w:r>
          </w:p>
          <w:p w14:paraId="35623DB5" w14:textId="77777777" w:rsidR="00F02452" w:rsidRPr="0002056A" w:rsidRDefault="00F02452" w:rsidP="00336238">
            <w:pPr>
              <w:spacing w:after="0" w:line="240" w:lineRule="auto"/>
              <w:jc w:val="both"/>
              <w:rPr>
                <w:rFonts w:ascii="Georgia" w:eastAsia="Times New Roman" w:hAnsi="Georgia" w:cs="Times New Roman"/>
                <w:color w:val="000000"/>
                <w:sz w:val="10"/>
                <w:szCs w:val="10"/>
                <w:lang w:val="en-GB" w:eastAsia="hu-HU"/>
              </w:rPr>
            </w:pPr>
          </w:p>
          <w:p w14:paraId="1C19896A" w14:textId="1467FBE3" w:rsidR="00F02452" w:rsidRPr="0002056A" w:rsidRDefault="00F02452" w:rsidP="00336238">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1AB96E9E" w14:textId="39CAF93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Another case study and regional-oriented book on local climate adaptation </w:t>
            </w:r>
          </w:p>
        </w:tc>
      </w:tr>
      <w:tr w:rsidR="00336238" w:rsidRPr="0002056A" w14:paraId="2B45B8FA"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7D099C12"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hyperlink r:id="rId145" w:history="1">
              <w:r w:rsidRPr="0002056A">
                <w:rPr>
                  <w:rFonts w:ascii="Georgia" w:eastAsia="Times New Roman" w:hAnsi="Georgia" w:cs="Times New Roman"/>
                  <w:b/>
                  <w:bCs/>
                  <w:i/>
                  <w:iCs/>
                  <w:color w:val="000000"/>
                  <w:sz w:val="14"/>
                  <w:szCs w:val="14"/>
                  <w:lang w:val="en-GB" w:eastAsia="hu-HU"/>
                </w:rPr>
                <w:t xml:space="preserve">Brown, K. </w:t>
              </w:r>
            </w:hyperlink>
          </w:p>
        </w:tc>
        <w:tc>
          <w:tcPr>
            <w:tcW w:w="705" w:type="dxa"/>
            <w:tcBorders>
              <w:top w:val="nil"/>
              <w:left w:val="nil"/>
              <w:bottom w:val="single" w:sz="4" w:space="0" w:color="auto"/>
              <w:right w:val="single" w:sz="4" w:space="0" w:color="auto"/>
            </w:tcBorders>
            <w:vAlign w:val="center"/>
            <w:hideMark/>
          </w:tcPr>
          <w:p w14:paraId="74B555F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hideMark/>
          </w:tcPr>
          <w:p w14:paraId="6BB01FF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Sustainable adaptation: An oxymoron? </w:t>
            </w:r>
          </w:p>
        </w:tc>
        <w:tc>
          <w:tcPr>
            <w:tcW w:w="1134" w:type="dxa"/>
            <w:tcBorders>
              <w:top w:val="nil"/>
              <w:left w:val="nil"/>
              <w:bottom w:val="single" w:sz="4" w:space="0" w:color="auto"/>
              <w:right w:val="single" w:sz="4" w:space="0" w:color="auto"/>
            </w:tcBorders>
            <w:vAlign w:val="center"/>
            <w:hideMark/>
          </w:tcPr>
          <w:p w14:paraId="5EC790A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hideMark/>
          </w:tcPr>
          <w:p w14:paraId="29059151"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55A495CF"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 climate adaptation policy</w:t>
            </w:r>
          </w:p>
        </w:tc>
        <w:tc>
          <w:tcPr>
            <w:tcW w:w="993" w:type="dxa"/>
            <w:tcBorders>
              <w:top w:val="nil"/>
              <w:left w:val="nil"/>
              <w:bottom w:val="single" w:sz="4" w:space="0" w:color="auto"/>
              <w:right w:val="single" w:sz="4" w:space="0" w:color="auto"/>
            </w:tcBorders>
            <w:vAlign w:val="center"/>
            <w:hideMark/>
          </w:tcPr>
          <w:p w14:paraId="261407AF" w14:textId="77777777"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and Development 3(1), pp. 21-31. </w:t>
            </w:r>
            <w:hyperlink r:id="rId146" w:history="1">
              <w:r w:rsidRPr="0002056A">
                <w:rPr>
                  <w:rFonts w:ascii="Georgia" w:hAnsi="Georgia"/>
                  <w:color w:val="000000"/>
                  <w:sz w:val="10"/>
                  <w:szCs w:val="10"/>
                  <w:lang w:val="en-GB"/>
                </w:rPr>
                <w:t>https://doi.org/10.3763/cdev.2010.0062</w:t>
              </w:r>
            </w:hyperlink>
          </w:p>
        </w:tc>
        <w:tc>
          <w:tcPr>
            <w:tcW w:w="708" w:type="dxa"/>
            <w:tcBorders>
              <w:top w:val="nil"/>
              <w:left w:val="nil"/>
              <w:bottom w:val="single" w:sz="4" w:space="0" w:color="auto"/>
              <w:right w:val="single" w:sz="4" w:space="0" w:color="auto"/>
            </w:tcBorders>
            <w:vAlign w:val="center"/>
            <w:hideMark/>
          </w:tcPr>
          <w:p w14:paraId="6977841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914279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53F007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D022C7F"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provides critical reflection on the notion of sustainable adaptation. It discusses how the concept resonates with debates on sustainable development, and how the key elements of sustainable adaptation presented in the literature relate to sustainable development. </w:t>
            </w:r>
          </w:p>
        </w:tc>
        <w:tc>
          <w:tcPr>
            <w:tcW w:w="2268" w:type="dxa"/>
            <w:tcBorders>
              <w:top w:val="nil"/>
              <w:left w:val="nil"/>
              <w:bottom w:val="single" w:sz="4" w:space="0" w:color="auto"/>
              <w:right w:val="single" w:sz="8" w:space="0" w:color="auto"/>
            </w:tcBorders>
            <w:vAlign w:val="center"/>
          </w:tcPr>
          <w:p w14:paraId="3771FEB8"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discusses three major challenges to the promotion and implementation of sustainable adaptation and achievement of its objectives: 1) many current approaches to adaptation are far from sustainable; 2) relationships between poverty reduction and adaptation to climate change are complex and highly context specific; 3) sustainable adaptation may be co-opted to support development-as-usual rather than more radical options which put social justice, equity and environmental sustainability at the core.</w:t>
            </w:r>
          </w:p>
        </w:tc>
      </w:tr>
      <w:tr w:rsidR="00336238" w:rsidRPr="0002056A" w14:paraId="1CE03F88"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8233783" w14:textId="3070950B"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Brunetta, G., Caldarice, O.</w:t>
            </w:r>
          </w:p>
        </w:tc>
        <w:tc>
          <w:tcPr>
            <w:tcW w:w="705" w:type="dxa"/>
            <w:tcBorders>
              <w:top w:val="nil"/>
              <w:left w:val="nil"/>
              <w:bottom w:val="single" w:sz="4" w:space="0" w:color="auto"/>
              <w:right w:val="single" w:sz="4" w:space="0" w:color="auto"/>
            </w:tcBorders>
            <w:vAlign w:val="center"/>
          </w:tcPr>
          <w:p w14:paraId="6A155B87" w14:textId="6D4FFB21"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50653A0F" w14:textId="759CD335"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Putting Resilience into Practice. The Spatial Planning Response to Urban Risks</w:t>
            </w:r>
          </w:p>
        </w:tc>
        <w:tc>
          <w:tcPr>
            <w:tcW w:w="1134" w:type="dxa"/>
            <w:tcBorders>
              <w:top w:val="nil"/>
              <w:left w:val="nil"/>
              <w:bottom w:val="single" w:sz="4" w:space="0" w:color="auto"/>
              <w:right w:val="single" w:sz="4" w:space="0" w:color="auto"/>
            </w:tcBorders>
            <w:vAlign w:val="center"/>
          </w:tcPr>
          <w:p w14:paraId="5671407E" w14:textId="1C3BC890"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 ITA</w:t>
            </w:r>
          </w:p>
        </w:tc>
        <w:tc>
          <w:tcPr>
            <w:tcW w:w="708" w:type="dxa"/>
            <w:tcBorders>
              <w:top w:val="nil"/>
              <w:left w:val="nil"/>
              <w:bottom w:val="single" w:sz="4" w:space="0" w:color="auto"/>
              <w:right w:val="single" w:sz="4" w:space="0" w:color="auto"/>
            </w:tcBorders>
            <w:vAlign w:val="center"/>
          </w:tcPr>
          <w:p w14:paraId="51C402F4" w14:textId="301BCEF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67B23B08" w14:textId="542A38C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3B8F8D6E" w14:textId="1FACFF62" w:rsidR="00336238" w:rsidRPr="0002056A" w:rsidRDefault="00336238" w:rsidP="008679D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Brunetta-Caldarice-Tollin-Rosas-Casals-Morató (ed): Urban resilience for Risk Adaptation Governance. Theory and Practice. Resilient Cities Series.</w:t>
            </w:r>
          </w:p>
        </w:tc>
        <w:tc>
          <w:tcPr>
            <w:tcW w:w="708" w:type="dxa"/>
            <w:tcBorders>
              <w:top w:val="nil"/>
              <w:left w:val="nil"/>
              <w:bottom w:val="single" w:sz="4" w:space="0" w:color="auto"/>
              <w:right w:val="single" w:sz="4" w:space="0" w:color="auto"/>
            </w:tcBorders>
            <w:vAlign w:val="center"/>
          </w:tcPr>
          <w:p w14:paraId="0D31818B" w14:textId="13787B1D"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3F435709" w14:textId="2256089E"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56ECE30" w14:textId="5995584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049EFB1" w14:textId="30C21FE5"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configuration of cities has significant effects on climate change and has become central to enacting adaptive responses within a resilient framework.</w:t>
            </w:r>
          </w:p>
          <w:p w14:paraId="56E8B9B7" w14:textId="6F7D3622"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Starting from these remarks, the paper reports a qualitative comparison between the local climate adaptation strategies of Bologna (Italy) and London (UK). The analysis was conducted in order to understand why cities continue to engage adaptation planning, and the response of spatial planning in vision-oriented strategies and action-based plans for adaptation towards resilience. Basically, the paper discusses the gap between theory and practice of planning in achieving a resilient approach to urban risks through adaptation</w:t>
            </w:r>
          </w:p>
        </w:tc>
        <w:tc>
          <w:tcPr>
            <w:tcW w:w="2268" w:type="dxa"/>
            <w:tcBorders>
              <w:top w:val="nil"/>
              <w:left w:val="nil"/>
              <w:bottom w:val="single" w:sz="4" w:space="0" w:color="auto"/>
              <w:right w:val="single" w:sz="8" w:space="0" w:color="auto"/>
            </w:tcBorders>
            <w:vAlign w:val="center"/>
          </w:tcPr>
          <w:p w14:paraId="392976C0" w14:textId="78C588E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gives important information about climate impacts on cities and climate adaptation’s spatiality.</w:t>
            </w:r>
          </w:p>
        </w:tc>
      </w:tr>
      <w:tr w:rsidR="00336238" w:rsidRPr="0002056A" w14:paraId="312C55FA"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CD62A62"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Bryson, J.M. </w:t>
            </w:r>
          </w:p>
        </w:tc>
        <w:tc>
          <w:tcPr>
            <w:tcW w:w="705" w:type="dxa"/>
            <w:tcBorders>
              <w:top w:val="nil"/>
              <w:left w:val="nil"/>
              <w:bottom w:val="single" w:sz="4" w:space="0" w:color="auto"/>
              <w:right w:val="single" w:sz="4" w:space="0" w:color="auto"/>
            </w:tcBorders>
            <w:vAlign w:val="center"/>
            <w:hideMark/>
          </w:tcPr>
          <w:p w14:paraId="2F24CA18"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2004</w:t>
            </w:r>
          </w:p>
        </w:tc>
        <w:tc>
          <w:tcPr>
            <w:tcW w:w="1137" w:type="dxa"/>
            <w:tcBorders>
              <w:top w:val="nil"/>
              <w:left w:val="nil"/>
              <w:bottom w:val="single" w:sz="4" w:space="0" w:color="auto"/>
              <w:right w:val="single" w:sz="4" w:space="0" w:color="auto"/>
            </w:tcBorders>
            <w:vAlign w:val="center"/>
            <w:hideMark/>
          </w:tcPr>
          <w:p w14:paraId="3169C20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Strategic Planning for Public and Non-profit Organizations: A Guide to Strengthening and Sustaining Organizational Achievement. </w:t>
            </w:r>
          </w:p>
        </w:tc>
        <w:tc>
          <w:tcPr>
            <w:tcW w:w="1134" w:type="dxa"/>
            <w:tcBorders>
              <w:top w:val="nil"/>
              <w:left w:val="nil"/>
              <w:bottom w:val="single" w:sz="4" w:space="0" w:color="auto"/>
              <w:right w:val="single" w:sz="4" w:space="0" w:color="auto"/>
            </w:tcBorders>
            <w:vAlign w:val="center"/>
            <w:hideMark/>
          </w:tcPr>
          <w:p w14:paraId="4146439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3F9AD92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w:t>
            </w:r>
          </w:p>
        </w:tc>
        <w:tc>
          <w:tcPr>
            <w:tcW w:w="851" w:type="dxa"/>
            <w:tcBorders>
              <w:top w:val="nil"/>
              <w:left w:val="nil"/>
              <w:bottom w:val="single" w:sz="4" w:space="0" w:color="auto"/>
              <w:right w:val="single" w:sz="4" w:space="0" w:color="auto"/>
            </w:tcBorders>
            <w:vAlign w:val="center"/>
            <w:hideMark/>
          </w:tcPr>
          <w:p w14:paraId="3289B85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w:t>
            </w:r>
          </w:p>
        </w:tc>
        <w:tc>
          <w:tcPr>
            <w:tcW w:w="993" w:type="dxa"/>
            <w:tcBorders>
              <w:top w:val="nil"/>
              <w:left w:val="nil"/>
              <w:bottom w:val="single" w:sz="4" w:space="0" w:color="auto"/>
              <w:right w:val="single" w:sz="4" w:space="0" w:color="auto"/>
            </w:tcBorders>
            <w:vAlign w:val="center"/>
            <w:hideMark/>
          </w:tcPr>
          <w:p w14:paraId="6870944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 San Francisco, 2004.</w:t>
            </w:r>
          </w:p>
        </w:tc>
        <w:tc>
          <w:tcPr>
            <w:tcW w:w="708" w:type="dxa"/>
            <w:tcBorders>
              <w:top w:val="nil"/>
              <w:left w:val="nil"/>
              <w:bottom w:val="single" w:sz="4" w:space="0" w:color="auto"/>
              <w:right w:val="single" w:sz="4" w:space="0" w:color="auto"/>
            </w:tcBorders>
            <w:vAlign w:val="center"/>
            <w:hideMark/>
          </w:tcPr>
          <w:p w14:paraId="41F6338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1D22941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296E62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207624C" w14:textId="210D2B7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book introduces a new and thoughtful strategic planning model. Since </w:t>
            </w:r>
            <w:r w:rsidR="00875741" w:rsidRPr="0002056A">
              <w:rPr>
                <w:rFonts w:ascii="Georgia" w:eastAsia="Times New Roman" w:hAnsi="Georgia" w:cs="Times New Roman"/>
                <w:color w:val="000000"/>
                <w:sz w:val="10"/>
                <w:szCs w:val="10"/>
                <w:lang w:val="en-GB" w:eastAsia="hu-HU"/>
              </w:rPr>
              <w:t>then,</w:t>
            </w:r>
            <w:r w:rsidRPr="0002056A">
              <w:rPr>
                <w:rFonts w:ascii="Georgia" w:eastAsia="Times New Roman" w:hAnsi="Georgia" w:cs="Times New Roman"/>
                <w:color w:val="000000"/>
                <w:sz w:val="10"/>
                <w:szCs w:val="10"/>
                <w:lang w:val="en-GB" w:eastAsia="hu-HU"/>
              </w:rPr>
              <w:t xml:space="preserve"> it has become the standard reference in the field. It helps today's leaders enhance organizational effectiveness.</w:t>
            </w:r>
          </w:p>
        </w:tc>
        <w:tc>
          <w:tcPr>
            <w:tcW w:w="2268" w:type="dxa"/>
            <w:tcBorders>
              <w:top w:val="nil"/>
              <w:left w:val="nil"/>
              <w:bottom w:val="single" w:sz="4" w:space="0" w:color="auto"/>
              <w:right w:val="single" w:sz="8" w:space="0" w:color="auto"/>
            </w:tcBorders>
            <w:vAlign w:val="center"/>
          </w:tcPr>
          <w:p w14:paraId="7052BD1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Provides basic concepts and definitions of strategic planning in general.</w:t>
            </w:r>
          </w:p>
        </w:tc>
      </w:tr>
      <w:tr w:rsidR="00336238" w:rsidRPr="0002056A" w14:paraId="5682B89F"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5756322" w14:textId="517CB59C"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Chang, Ch.-H.; Wi, A.</w:t>
            </w:r>
          </w:p>
        </w:tc>
        <w:tc>
          <w:tcPr>
            <w:tcW w:w="705" w:type="dxa"/>
            <w:tcBorders>
              <w:top w:val="nil"/>
              <w:left w:val="nil"/>
              <w:bottom w:val="single" w:sz="4" w:space="0" w:color="auto"/>
              <w:right w:val="single" w:sz="4" w:space="0" w:color="auto"/>
            </w:tcBorders>
            <w:vAlign w:val="center"/>
          </w:tcPr>
          <w:p w14:paraId="7368D33C" w14:textId="1967530A"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177C945E" w14:textId="273C61F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Why the World Needs Geography Knowledge in Global Understanding: An Evaluation from a Climate Change Perspective</w:t>
            </w:r>
          </w:p>
        </w:tc>
        <w:tc>
          <w:tcPr>
            <w:tcW w:w="1134" w:type="dxa"/>
            <w:tcBorders>
              <w:top w:val="nil"/>
              <w:left w:val="nil"/>
              <w:bottom w:val="single" w:sz="4" w:space="0" w:color="auto"/>
              <w:right w:val="single" w:sz="4" w:space="0" w:color="auto"/>
            </w:tcBorders>
            <w:vAlign w:val="center"/>
          </w:tcPr>
          <w:p w14:paraId="21549F76" w14:textId="03DC7DD0"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tcPr>
          <w:p w14:paraId="46762604" w14:textId="4400A59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3D9D517A" w14:textId="5B1176AC"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574B8FFC" w14:textId="0EE43301"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Demirci-González-Bednarz 8ed): </w:t>
            </w:r>
            <w:r w:rsidR="00E55451" w:rsidRPr="0002056A">
              <w:rPr>
                <w:rFonts w:ascii="Georgia" w:eastAsia="Times New Roman" w:hAnsi="Georgia" w:cs="Times New Roman"/>
                <w:color w:val="000000"/>
                <w:sz w:val="10"/>
                <w:szCs w:val="10"/>
                <w:lang w:val="en-GB" w:eastAsia="hu-HU"/>
              </w:rPr>
              <w:t>Geography</w:t>
            </w:r>
            <w:r w:rsidRPr="0002056A">
              <w:rPr>
                <w:rFonts w:ascii="Georgia" w:eastAsia="Times New Roman" w:hAnsi="Georgia" w:cs="Times New Roman"/>
                <w:color w:val="000000"/>
                <w:sz w:val="10"/>
                <w:szCs w:val="10"/>
                <w:lang w:val="en-GB" w:eastAsia="hu-HU"/>
              </w:rPr>
              <w:t xml:space="preserve"> Education for Global Understanding</w:t>
            </w:r>
          </w:p>
        </w:tc>
        <w:tc>
          <w:tcPr>
            <w:tcW w:w="708" w:type="dxa"/>
            <w:tcBorders>
              <w:top w:val="nil"/>
              <w:left w:val="nil"/>
              <w:bottom w:val="single" w:sz="4" w:space="0" w:color="auto"/>
              <w:right w:val="single" w:sz="4" w:space="0" w:color="auto"/>
            </w:tcBorders>
            <w:vAlign w:val="center"/>
          </w:tcPr>
          <w:p w14:paraId="08DF8826" w14:textId="04F08EB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0276C5DE" w14:textId="17314FE1"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19181A2" w14:textId="59D2321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626EF3B" w14:textId="6283390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examines two critical concepts of global understanding as outlined by the international year of global understanding (IYGU). How do we transform knowledge about global issues into action and how do we unpack our understanding of the connections between local action and global issues? While climate change is featured as a key theme in the IYGU discourse, global understanding transcends a concern for environmental challenges to include issues in the social, political and cultural milieu.</w:t>
            </w:r>
          </w:p>
        </w:tc>
        <w:tc>
          <w:tcPr>
            <w:tcW w:w="2268" w:type="dxa"/>
            <w:tcBorders>
              <w:top w:val="nil"/>
              <w:left w:val="nil"/>
              <w:bottom w:val="single" w:sz="4" w:space="0" w:color="auto"/>
              <w:right w:val="single" w:sz="8" w:space="0" w:color="auto"/>
            </w:tcBorders>
            <w:vAlign w:val="center"/>
          </w:tcPr>
          <w:p w14:paraId="7EB490EF" w14:textId="07BD2BC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us with information about geography’s role in climate policy/climate adaptation.</w:t>
            </w:r>
          </w:p>
        </w:tc>
      </w:tr>
      <w:tr w:rsidR="00336238" w:rsidRPr="0002056A" w14:paraId="67C99147"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CEB1ABC" w14:textId="149194B8"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Chevalier, R. </w:t>
            </w:r>
          </w:p>
        </w:tc>
        <w:tc>
          <w:tcPr>
            <w:tcW w:w="705" w:type="dxa"/>
            <w:tcBorders>
              <w:top w:val="nil"/>
              <w:left w:val="nil"/>
              <w:bottom w:val="single" w:sz="4" w:space="0" w:color="auto"/>
              <w:right w:val="single" w:sz="4" w:space="0" w:color="auto"/>
            </w:tcBorders>
            <w:vAlign w:val="center"/>
          </w:tcPr>
          <w:p w14:paraId="326D59A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2814BD0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Integrated community- and ecosystem-based approaches to climate change adaptation.</w:t>
            </w:r>
          </w:p>
        </w:tc>
        <w:tc>
          <w:tcPr>
            <w:tcW w:w="1134" w:type="dxa"/>
            <w:tcBorders>
              <w:top w:val="nil"/>
              <w:left w:val="nil"/>
              <w:bottom w:val="single" w:sz="4" w:space="0" w:color="auto"/>
              <w:right w:val="single" w:sz="4" w:space="0" w:color="auto"/>
            </w:tcBorders>
            <w:vAlign w:val="center"/>
          </w:tcPr>
          <w:p w14:paraId="3EA45DD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DAF</w:t>
            </w:r>
          </w:p>
        </w:tc>
        <w:tc>
          <w:tcPr>
            <w:tcW w:w="708" w:type="dxa"/>
            <w:tcBorders>
              <w:top w:val="nil"/>
              <w:left w:val="nil"/>
              <w:bottom w:val="single" w:sz="4" w:space="0" w:color="auto"/>
              <w:right w:val="single" w:sz="4" w:space="0" w:color="auto"/>
            </w:tcBorders>
            <w:vAlign w:val="center"/>
          </w:tcPr>
          <w:p w14:paraId="42B169C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South African Institute of International Affairs</w:t>
            </w:r>
          </w:p>
        </w:tc>
        <w:tc>
          <w:tcPr>
            <w:tcW w:w="851" w:type="dxa"/>
            <w:tcBorders>
              <w:top w:val="nil"/>
              <w:left w:val="nil"/>
              <w:bottom w:val="single" w:sz="4" w:space="0" w:color="auto"/>
              <w:right w:val="single" w:sz="4" w:space="0" w:color="auto"/>
            </w:tcBorders>
            <w:vAlign w:val="center"/>
          </w:tcPr>
          <w:p w14:paraId="2B33111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vAlign w:val="center"/>
          </w:tcPr>
          <w:p w14:paraId="6123827C" w14:textId="2A99C1D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Policy Insights </w:t>
            </w:r>
            <w:r w:rsidR="00875741" w:rsidRPr="0002056A">
              <w:rPr>
                <w:rFonts w:ascii="Georgia" w:eastAsia="Times New Roman" w:hAnsi="Georgia" w:cs="Times New Roman"/>
                <w:color w:val="000000"/>
                <w:sz w:val="10"/>
                <w:szCs w:val="10"/>
                <w:lang w:val="en-GB" w:eastAsia="hu-HU"/>
              </w:rPr>
              <w:t>Vol 49</w:t>
            </w:r>
            <w:r w:rsidRPr="0002056A">
              <w:rPr>
                <w:rFonts w:ascii="Georgia" w:eastAsia="Times New Roman" w:hAnsi="Georgia" w:cs="Times New Roman"/>
                <w:color w:val="000000"/>
                <w:sz w:val="10"/>
                <w:szCs w:val="10"/>
                <w:lang w:val="en-GB" w:eastAsia="hu-HU"/>
              </w:rPr>
              <w:t xml:space="preserve"> June 2017. </w:t>
            </w:r>
          </w:p>
        </w:tc>
        <w:tc>
          <w:tcPr>
            <w:tcW w:w="708" w:type="dxa"/>
            <w:tcBorders>
              <w:top w:val="nil"/>
              <w:left w:val="nil"/>
              <w:bottom w:val="single" w:sz="4" w:space="0" w:color="auto"/>
              <w:right w:val="single" w:sz="4" w:space="0" w:color="auto"/>
            </w:tcBorders>
            <w:vAlign w:val="center"/>
          </w:tcPr>
          <w:p w14:paraId="2A51B4CD"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B91E99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7BA82B8"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935B046" w14:textId="2EFBA26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study, in response to the increasing focus on programming and policies that promote transformative and incremental adaptation and enhance resilience to climate change and emerging approaches that build the resilience of socio-economic and ecological systems, including through community-based sustainable management of natural resources, presents integrated ecosystem- and community-based solutions for African decision makers providing them with new opportunities to plan for an uncertain future, using frameworks that include the most vulnerable people and important ecosystems. The article </w:t>
            </w:r>
            <w:r w:rsidR="00875741" w:rsidRPr="0002056A">
              <w:rPr>
                <w:rFonts w:ascii="Georgia" w:eastAsia="Times New Roman" w:hAnsi="Georgia" w:cs="Times New Roman"/>
                <w:color w:val="000000"/>
                <w:sz w:val="10"/>
                <w:szCs w:val="10"/>
                <w:lang w:val="en-GB" w:eastAsia="hu-HU"/>
              </w:rPr>
              <w:t>explains how</w:t>
            </w:r>
            <w:r w:rsidRPr="0002056A">
              <w:rPr>
                <w:rFonts w:ascii="Georgia" w:eastAsia="Times New Roman" w:hAnsi="Georgia" w:cs="Times New Roman"/>
                <w:color w:val="000000"/>
                <w:sz w:val="10"/>
                <w:szCs w:val="10"/>
                <w:lang w:val="en-GB" w:eastAsia="hu-HU"/>
              </w:rPr>
              <w:t xml:space="preserve"> these initiatives function, introduces ways to measure their effectiveness and scale them up, and provides a stronger quantitative evidence base to demonstrate their benefits.</w:t>
            </w:r>
          </w:p>
        </w:tc>
        <w:tc>
          <w:tcPr>
            <w:tcW w:w="2268" w:type="dxa"/>
            <w:tcBorders>
              <w:top w:val="nil"/>
              <w:left w:val="nil"/>
              <w:bottom w:val="single" w:sz="4" w:space="0" w:color="auto"/>
              <w:right w:val="single" w:sz="8" w:space="0" w:color="auto"/>
            </w:tcBorders>
            <w:vAlign w:val="center"/>
          </w:tcPr>
          <w:p w14:paraId="7BB848B0"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the role of strategic planning in CCA and the growing importance of NBSs in climate adaptation policy.</w:t>
            </w:r>
          </w:p>
        </w:tc>
      </w:tr>
      <w:tr w:rsidR="00336238" w:rsidRPr="0002056A" w14:paraId="37BB428F"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AD74F0C"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Christiansen, L.; Schaer, C.; Larsen, C.; Naswa, P.</w:t>
            </w:r>
          </w:p>
        </w:tc>
        <w:tc>
          <w:tcPr>
            <w:tcW w:w="705" w:type="dxa"/>
            <w:tcBorders>
              <w:top w:val="nil"/>
              <w:left w:val="nil"/>
              <w:bottom w:val="single" w:sz="4" w:space="0" w:color="auto"/>
              <w:right w:val="single" w:sz="4" w:space="0" w:color="auto"/>
            </w:tcBorders>
            <w:vAlign w:val="center"/>
          </w:tcPr>
          <w:p w14:paraId="71005BA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35C9A6EF" w14:textId="11480E1B"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Monitoring&amp;Evaluation for climate change adaptation: A summary of key challenges and emerging practice. Understanding discussing and exemplifying the key </w:t>
            </w:r>
            <w:r w:rsidR="00E55451" w:rsidRPr="0002056A">
              <w:rPr>
                <w:rFonts w:ascii="Georgia" w:eastAsia="Times New Roman" w:hAnsi="Georgia" w:cs="Times New Roman"/>
                <w:color w:val="000000"/>
                <w:sz w:val="10"/>
                <w:szCs w:val="10"/>
                <w:lang w:val="en-GB" w:eastAsia="hu-HU"/>
              </w:rPr>
              <w:t>challenges</w:t>
            </w:r>
            <w:r w:rsidRPr="0002056A">
              <w:rPr>
                <w:rFonts w:ascii="Georgia" w:eastAsia="Times New Roman" w:hAnsi="Georgia" w:cs="Times New Roman"/>
                <w:color w:val="000000"/>
                <w:sz w:val="10"/>
                <w:szCs w:val="10"/>
                <w:lang w:val="en-GB" w:eastAsia="hu-HU"/>
              </w:rPr>
              <w:t xml:space="preserve"> of M&amp;E for adaptation. </w:t>
            </w:r>
          </w:p>
        </w:tc>
        <w:tc>
          <w:tcPr>
            <w:tcW w:w="1134" w:type="dxa"/>
            <w:tcBorders>
              <w:top w:val="nil"/>
              <w:left w:val="nil"/>
              <w:bottom w:val="single" w:sz="4" w:space="0" w:color="auto"/>
              <w:right w:val="single" w:sz="4" w:space="0" w:color="auto"/>
            </w:tcBorders>
            <w:vAlign w:val="center"/>
          </w:tcPr>
          <w:p w14:paraId="1415E36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26C1082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UNEP</w:t>
            </w:r>
          </w:p>
        </w:tc>
        <w:tc>
          <w:tcPr>
            <w:tcW w:w="851" w:type="dxa"/>
            <w:tcBorders>
              <w:top w:val="nil"/>
              <w:left w:val="nil"/>
              <w:bottom w:val="single" w:sz="4" w:space="0" w:color="auto"/>
              <w:right w:val="single" w:sz="4" w:space="0" w:color="auto"/>
            </w:tcBorders>
            <w:vAlign w:val="center"/>
          </w:tcPr>
          <w:p w14:paraId="5662D36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MRE</w:t>
            </w:r>
          </w:p>
        </w:tc>
        <w:tc>
          <w:tcPr>
            <w:tcW w:w="993" w:type="dxa"/>
            <w:tcBorders>
              <w:top w:val="nil"/>
              <w:left w:val="nil"/>
              <w:bottom w:val="single" w:sz="4" w:space="0" w:color="auto"/>
              <w:right w:val="single" w:sz="4" w:space="0" w:color="auto"/>
            </w:tcBorders>
            <w:vAlign w:val="center"/>
          </w:tcPr>
          <w:p w14:paraId="2854ED5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UNEP DTU Partnership Working Paper series: Climate Resilient Development Programme. Working Paper 1: 2016.</w:t>
            </w:r>
          </w:p>
        </w:tc>
        <w:tc>
          <w:tcPr>
            <w:tcW w:w="708" w:type="dxa"/>
            <w:tcBorders>
              <w:top w:val="nil"/>
              <w:left w:val="nil"/>
              <w:bottom w:val="single" w:sz="4" w:space="0" w:color="auto"/>
              <w:right w:val="single" w:sz="4" w:space="0" w:color="auto"/>
            </w:tcBorders>
            <w:vAlign w:val="center"/>
          </w:tcPr>
          <w:p w14:paraId="5D21CAB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tcPr>
          <w:p w14:paraId="7469C8F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94F44F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1163345" w14:textId="54A0FF8B"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paper presents an </w:t>
            </w:r>
            <w:r w:rsidR="00875741" w:rsidRPr="0002056A">
              <w:rPr>
                <w:rFonts w:ascii="Georgia" w:eastAsia="Times New Roman" w:hAnsi="Georgia" w:cs="Times New Roman"/>
                <w:color w:val="000000"/>
                <w:sz w:val="10"/>
                <w:szCs w:val="10"/>
                <w:lang w:val="en-GB" w:eastAsia="hu-HU"/>
              </w:rPr>
              <w:t>easy-to-read</w:t>
            </w:r>
            <w:r w:rsidRPr="0002056A">
              <w:rPr>
                <w:rFonts w:ascii="Georgia" w:eastAsia="Times New Roman" w:hAnsi="Georgia" w:cs="Times New Roman"/>
                <w:color w:val="000000"/>
                <w:sz w:val="10"/>
                <w:szCs w:val="10"/>
                <w:lang w:val="en-GB" w:eastAsia="hu-HU"/>
              </w:rPr>
              <w:t xml:space="preserve"> overview of the key challenges and emerging practices of MRE in adaptation.</w:t>
            </w:r>
          </w:p>
        </w:tc>
        <w:tc>
          <w:tcPr>
            <w:tcW w:w="2268" w:type="dxa"/>
            <w:tcBorders>
              <w:top w:val="nil"/>
              <w:left w:val="nil"/>
              <w:bottom w:val="single" w:sz="4" w:space="0" w:color="auto"/>
              <w:right w:val="single" w:sz="8" w:space="0" w:color="auto"/>
            </w:tcBorders>
            <w:vAlign w:val="center"/>
          </w:tcPr>
          <w:p w14:paraId="1BB988A1"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5 fact sheets on 5 challenges: lack of standard off the shelf methodology; baseline problems; timing; proxy indicators; problem of attribution.</w:t>
            </w:r>
          </w:p>
        </w:tc>
      </w:tr>
      <w:tr w:rsidR="00336238" w:rsidRPr="0002056A" w14:paraId="2CCB1C75"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5F53906"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Cohen, S.B. </w:t>
            </w:r>
          </w:p>
        </w:tc>
        <w:tc>
          <w:tcPr>
            <w:tcW w:w="705" w:type="dxa"/>
            <w:tcBorders>
              <w:top w:val="nil"/>
              <w:left w:val="nil"/>
              <w:bottom w:val="single" w:sz="4" w:space="0" w:color="auto"/>
              <w:right w:val="single" w:sz="4" w:space="0" w:color="auto"/>
            </w:tcBorders>
            <w:vAlign w:val="center"/>
          </w:tcPr>
          <w:p w14:paraId="4B99632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1973</w:t>
            </w:r>
          </w:p>
        </w:tc>
        <w:tc>
          <w:tcPr>
            <w:tcW w:w="1137" w:type="dxa"/>
            <w:tcBorders>
              <w:top w:val="nil"/>
              <w:left w:val="nil"/>
              <w:bottom w:val="single" w:sz="4" w:space="0" w:color="auto"/>
              <w:right w:val="single" w:sz="4" w:space="0" w:color="auto"/>
            </w:tcBorders>
            <w:vAlign w:val="center"/>
          </w:tcPr>
          <w:p w14:paraId="567EF144"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Geography and Politics in a World Divided. </w:t>
            </w:r>
          </w:p>
        </w:tc>
        <w:tc>
          <w:tcPr>
            <w:tcW w:w="1134" w:type="dxa"/>
            <w:tcBorders>
              <w:top w:val="nil"/>
              <w:left w:val="nil"/>
              <w:bottom w:val="single" w:sz="4" w:space="0" w:color="auto"/>
              <w:right w:val="single" w:sz="4" w:space="0" w:color="auto"/>
            </w:tcBorders>
            <w:vAlign w:val="center"/>
          </w:tcPr>
          <w:p w14:paraId="5EFAACD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51C4DC7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w:t>
            </w:r>
          </w:p>
        </w:tc>
        <w:tc>
          <w:tcPr>
            <w:tcW w:w="851" w:type="dxa"/>
            <w:tcBorders>
              <w:top w:val="nil"/>
              <w:left w:val="nil"/>
              <w:bottom w:val="single" w:sz="4" w:space="0" w:color="auto"/>
              <w:right w:val="single" w:sz="4" w:space="0" w:color="auto"/>
            </w:tcBorders>
            <w:vAlign w:val="center"/>
          </w:tcPr>
          <w:p w14:paraId="0849A0F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 political geography</w:t>
            </w:r>
          </w:p>
        </w:tc>
        <w:tc>
          <w:tcPr>
            <w:tcW w:w="993" w:type="dxa"/>
            <w:tcBorders>
              <w:top w:val="nil"/>
              <w:left w:val="nil"/>
              <w:bottom w:val="single" w:sz="4" w:space="0" w:color="auto"/>
              <w:right w:val="single" w:sz="4" w:space="0" w:color="auto"/>
            </w:tcBorders>
            <w:vAlign w:val="center"/>
          </w:tcPr>
          <w:p w14:paraId="0BB0C2E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 New York, 1973.</w:t>
            </w:r>
          </w:p>
        </w:tc>
        <w:tc>
          <w:tcPr>
            <w:tcW w:w="708" w:type="dxa"/>
            <w:tcBorders>
              <w:top w:val="nil"/>
              <w:left w:val="nil"/>
              <w:bottom w:val="single" w:sz="4" w:space="0" w:color="auto"/>
              <w:right w:val="single" w:sz="4" w:space="0" w:color="auto"/>
            </w:tcBorders>
            <w:vAlign w:val="center"/>
          </w:tcPr>
          <w:p w14:paraId="1731E0FA"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6F908E1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7A8F0B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auto" w:fill="FFFFFF" w:themeFill="background1"/>
            <w:vAlign w:val="center"/>
          </w:tcPr>
          <w:p w14:paraId="4726570B"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describes the realities that were basic to any study of the sources and direction of the 1970s’ world political power.</w:t>
            </w:r>
          </w:p>
        </w:tc>
        <w:tc>
          <w:tcPr>
            <w:tcW w:w="2268" w:type="dxa"/>
            <w:tcBorders>
              <w:top w:val="nil"/>
              <w:left w:val="nil"/>
              <w:bottom w:val="single" w:sz="4" w:space="0" w:color="auto"/>
              <w:right w:val="single" w:sz="8" w:space="0" w:color="auto"/>
            </w:tcBorders>
            <w:shd w:val="clear" w:color="auto" w:fill="FFFFFF" w:themeFill="background1"/>
            <w:vAlign w:val="center"/>
          </w:tcPr>
          <w:p w14:paraId="24E6294C"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geopolitics’ concepts and definitions.</w:t>
            </w:r>
          </w:p>
        </w:tc>
      </w:tr>
      <w:tr w:rsidR="00336238" w:rsidRPr="0002056A" w14:paraId="0F2E4D9B"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0F71CD"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Cohen, S.B.</w:t>
            </w:r>
          </w:p>
        </w:tc>
        <w:tc>
          <w:tcPr>
            <w:tcW w:w="705" w:type="dxa"/>
            <w:tcBorders>
              <w:top w:val="nil"/>
              <w:left w:val="nil"/>
              <w:bottom w:val="single" w:sz="4" w:space="0" w:color="auto"/>
              <w:right w:val="single" w:sz="4" w:space="0" w:color="auto"/>
            </w:tcBorders>
            <w:vAlign w:val="center"/>
          </w:tcPr>
          <w:p w14:paraId="768D68E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29FEAFA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Geopolitics The Geography of International Relations Third Edition </w:t>
            </w:r>
          </w:p>
        </w:tc>
        <w:tc>
          <w:tcPr>
            <w:tcW w:w="1134" w:type="dxa"/>
            <w:tcBorders>
              <w:top w:val="nil"/>
              <w:left w:val="nil"/>
              <w:bottom w:val="single" w:sz="4" w:space="0" w:color="auto"/>
              <w:right w:val="single" w:sz="4" w:space="0" w:color="auto"/>
            </w:tcBorders>
            <w:vAlign w:val="center"/>
          </w:tcPr>
          <w:p w14:paraId="2AA4661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7FEC64F3"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ROWMAN &amp; LITTLEFIELD Lanham • Boulder • New York • London</w:t>
            </w:r>
          </w:p>
        </w:tc>
        <w:tc>
          <w:tcPr>
            <w:tcW w:w="851" w:type="dxa"/>
            <w:tcBorders>
              <w:top w:val="nil"/>
              <w:left w:val="nil"/>
              <w:bottom w:val="single" w:sz="4" w:space="0" w:color="auto"/>
              <w:right w:val="single" w:sz="4" w:space="0" w:color="auto"/>
            </w:tcBorders>
            <w:vAlign w:val="center"/>
          </w:tcPr>
          <w:p w14:paraId="2AE9C91F"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 political geography</w:t>
            </w:r>
          </w:p>
        </w:tc>
        <w:tc>
          <w:tcPr>
            <w:tcW w:w="993" w:type="dxa"/>
            <w:tcBorders>
              <w:top w:val="nil"/>
              <w:left w:val="nil"/>
              <w:bottom w:val="single" w:sz="4" w:space="0" w:color="auto"/>
              <w:right w:val="single" w:sz="4" w:space="0" w:color="auto"/>
            </w:tcBorders>
            <w:vAlign w:val="center"/>
          </w:tcPr>
          <w:p w14:paraId="65D5741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ROWMAN &amp; LITTLEFIELD Third edition (2003, 2009, 2015)</w:t>
            </w:r>
          </w:p>
        </w:tc>
        <w:tc>
          <w:tcPr>
            <w:tcW w:w="708" w:type="dxa"/>
            <w:tcBorders>
              <w:top w:val="nil"/>
              <w:left w:val="nil"/>
              <w:bottom w:val="single" w:sz="4" w:space="0" w:color="auto"/>
              <w:right w:val="single" w:sz="4" w:space="0" w:color="auto"/>
            </w:tcBorders>
            <w:vAlign w:val="center"/>
          </w:tcPr>
          <w:p w14:paraId="48D286C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4F89F2A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A3014B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auto" w:fill="FFFFFF" w:themeFill="background1"/>
            <w:vAlign w:val="center"/>
          </w:tcPr>
          <w:p w14:paraId="219794F6"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As fully revised and updated textbook, it examines the dramatic changes wrought by ideological, economic, socio-cultural and demographic changes unleashed since the end of the Cold War.</w:t>
            </w:r>
          </w:p>
        </w:tc>
        <w:tc>
          <w:tcPr>
            <w:tcW w:w="2268" w:type="dxa"/>
            <w:tcBorders>
              <w:top w:val="nil"/>
              <w:left w:val="nil"/>
              <w:bottom w:val="single" w:sz="4" w:space="0" w:color="auto"/>
              <w:right w:val="single" w:sz="8" w:space="0" w:color="auto"/>
            </w:tcBorders>
            <w:shd w:val="clear" w:color="auto" w:fill="FFFFFF" w:themeFill="background1"/>
            <w:vAlign w:val="center"/>
          </w:tcPr>
          <w:p w14:paraId="4F3A6B2C"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geopolitics’ concepts and definitions.</w:t>
            </w:r>
          </w:p>
        </w:tc>
      </w:tr>
      <w:tr w:rsidR="00336238" w:rsidRPr="0002056A" w14:paraId="101A44C0"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0F31F96" w14:textId="2C80AD9C"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Colven, E., Thomson, M.J.</w:t>
            </w:r>
          </w:p>
        </w:tc>
        <w:tc>
          <w:tcPr>
            <w:tcW w:w="705" w:type="dxa"/>
            <w:tcBorders>
              <w:top w:val="nil"/>
              <w:left w:val="nil"/>
              <w:bottom w:val="single" w:sz="4" w:space="0" w:color="auto"/>
              <w:right w:val="single" w:sz="4" w:space="0" w:color="auto"/>
            </w:tcBorders>
            <w:vAlign w:val="center"/>
          </w:tcPr>
          <w:p w14:paraId="3A0F9EF9" w14:textId="15088B3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04529C70" w14:textId="1C689A40"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Bridging the divide between human and physical geography: Potential avenues for collaborative research on climate modelling</w:t>
            </w:r>
          </w:p>
        </w:tc>
        <w:tc>
          <w:tcPr>
            <w:tcW w:w="1134" w:type="dxa"/>
            <w:tcBorders>
              <w:top w:val="nil"/>
              <w:left w:val="nil"/>
              <w:bottom w:val="single" w:sz="4" w:space="0" w:color="auto"/>
              <w:right w:val="single" w:sz="4" w:space="0" w:color="auto"/>
            </w:tcBorders>
            <w:vAlign w:val="center"/>
          </w:tcPr>
          <w:p w14:paraId="70483054" w14:textId="683DBE4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tcPr>
          <w:p w14:paraId="1C72F6D6" w14:textId="18412F50"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w:t>
            </w:r>
          </w:p>
        </w:tc>
        <w:tc>
          <w:tcPr>
            <w:tcW w:w="851" w:type="dxa"/>
            <w:tcBorders>
              <w:top w:val="nil"/>
              <w:left w:val="nil"/>
              <w:bottom w:val="single" w:sz="4" w:space="0" w:color="auto"/>
              <w:right w:val="single" w:sz="4" w:space="0" w:color="auto"/>
            </w:tcBorders>
            <w:vAlign w:val="center"/>
          </w:tcPr>
          <w:p w14:paraId="01742E03" w14:textId="5AA8C7A0"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Geography</w:t>
            </w:r>
          </w:p>
        </w:tc>
        <w:tc>
          <w:tcPr>
            <w:tcW w:w="993" w:type="dxa"/>
            <w:tcBorders>
              <w:top w:val="nil"/>
              <w:left w:val="nil"/>
              <w:bottom w:val="single" w:sz="4" w:space="0" w:color="auto"/>
              <w:right w:val="single" w:sz="4" w:space="0" w:color="auto"/>
            </w:tcBorders>
            <w:vAlign w:val="center"/>
          </w:tcPr>
          <w:p w14:paraId="2A1A199E" w14:textId="121FC35B" w:rsidR="00336238" w:rsidRPr="0002056A" w:rsidRDefault="00336238" w:rsidP="00336238">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 xml:space="preserve">Geography Compass, </w:t>
            </w:r>
            <w:hyperlink r:id="rId147" w:tooltip="View Volume 13, Issue 2" w:history="1">
              <w:r w:rsidRPr="0002056A">
                <w:rPr>
                  <w:rFonts w:ascii="Georgia" w:eastAsia="Times New Roman" w:hAnsi="Georgia" w:cs="Times New Roman"/>
                  <w:color w:val="000000"/>
                  <w:sz w:val="10"/>
                  <w:szCs w:val="10"/>
                  <w:lang w:val="en-GB"/>
                </w:rPr>
                <w:t>Volume</w:t>
              </w:r>
              <w:r w:rsidRPr="0002056A">
                <w:rPr>
                  <w:rFonts w:ascii="Georgia" w:hAnsi="Georgia" w:cs="Times New Roman"/>
                  <w:color w:val="000000"/>
                  <w:sz w:val="10"/>
                  <w:szCs w:val="10"/>
                  <w:lang w:val="en-GB"/>
                </w:rPr>
                <w:t>13</w:t>
              </w:r>
              <w:r w:rsidRPr="0002056A">
                <w:rPr>
                  <w:rFonts w:ascii="Georgia" w:eastAsia="Times New Roman" w:hAnsi="Georgia" w:cs="Times New Roman"/>
                  <w:color w:val="000000"/>
                  <w:sz w:val="10"/>
                  <w:szCs w:val="10"/>
                  <w:lang w:val="en-GB"/>
                </w:rPr>
                <w:t>,Issue</w:t>
              </w:r>
              <w:r w:rsidRPr="0002056A">
                <w:rPr>
                  <w:rFonts w:ascii="Georgia" w:hAnsi="Georgia" w:cs="Times New Roman"/>
                  <w:color w:val="000000"/>
                  <w:sz w:val="10"/>
                  <w:szCs w:val="10"/>
                  <w:lang w:val="en-GB"/>
                </w:rPr>
                <w:t>2</w:t>
              </w:r>
            </w:hyperlink>
          </w:p>
          <w:p w14:paraId="46558E73" w14:textId="77777777" w:rsidR="00336238" w:rsidRPr="0002056A" w:rsidRDefault="00336238" w:rsidP="00336238">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February 2019</w:t>
            </w:r>
          </w:p>
          <w:p w14:paraId="5B46B9A0" w14:textId="77777777" w:rsidR="00336238" w:rsidRPr="0002056A" w:rsidRDefault="00336238" w:rsidP="00336238">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e12418</w:t>
            </w:r>
          </w:p>
          <w:p w14:paraId="6115DA64" w14:textId="60B482C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1E681C1A" w14:textId="2D82AFF0"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B0AD45C" w14:textId="09A463E1"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98188C5" w14:textId="0298727A"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auto" w:fill="FFFFFF" w:themeFill="background1"/>
            <w:vAlign w:val="center"/>
          </w:tcPr>
          <w:p w14:paraId="49689BA6" w14:textId="4302E831"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paper explores the possibilities for physical and human geographers to collaborate within and beyond the discipline, specifically on the topic of climate </w:t>
            </w:r>
            <w:r w:rsidR="00E55451" w:rsidRPr="0002056A">
              <w:rPr>
                <w:rFonts w:ascii="Georgia" w:eastAsia="Times New Roman" w:hAnsi="Georgia" w:cs="Times New Roman"/>
                <w:color w:val="000000"/>
                <w:sz w:val="10"/>
                <w:szCs w:val="10"/>
                <w:lang w:val="en-GB" w:eastAsia="hu-HU"/>
              </w:rPr>
              <w:t>modelling</w:t>
            </w:r>
            <w:r w:rsidRPr="0002056A">
              <w:rPr>
                <w:rFonts w:ascii="Georgia" w:eastAsia="Times New Roman" w:hAnsi="Georgia" w:cs="Times New Roman"/>
                <w:color w:val="000000"/>
                <w:sz w:val="10"/>
                <w:szCs w:val="10"/>
                <w:lang w:val="en-GB" w:eastAsia="hu-HU"/>
              </w:rPr>
              <w:t>. It first examines geographical research critically examining the production and circulation of climate knowledge; then outline how geographers might engage in collaborative and interdisciplinary work in order to promote more democratic practices of producing climate knowledge, enrich understandings of climate change, and more effectively serve goals of social and environmental justice.</w:t>
            </w:r>
          </w:p>
        </w:tc>
        <w:tc>
          <w:tcPr>
            <w:tcW w:w="2268" w:type="dxa"/>
            <w:tcBorders>
              <w:top w:val="nil"/>
              <w:left w:val="nil"/>
              <w:bottom w:val="single" w:sz="4" w:space="0" w:color="auto"/>
              <w:right w:val="single" w:sz="8" w:space="0" w:color="auto"/>
            </w:tcBorders>
            <w:shd w:val="clear" w:color="auto" w:fill="FFFFFF" w:themeFill="background1"/>
            <w:vAlign w:val="center"/>
          </w:tcPr>
          <w:p w14:paraId="4D27FDFB" w14:textId="226DA65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us with information about geography’s role in climate policy/climate adaptation</w:t>
            </w:r>
          </w:p>
        </w:tc>
      </w:tr>
      <w:tr w:rsidR="00336238" w:rsidRPr="0002056A" w14:paraId="372C0D1F"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AEDE97B"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Cresswell, T.</w:t>
            </w:r>
          </w:p>
        </w:tc>
        <w:tc>
          <w:tcPr>
            <w:tcW w:w="705" w:type="dxa"/>
            <w:tcBorders>
              <w:top w:val="nil"/>
              <w:left w:val="nil"/>
              <w:bottom w:val="single" w:sz="4" w:space="0" w:color="auto"/>
              <w:right w:val="single" w:sz="4" w:space="0" w:color="auto"/>
            </w:tcBorders>
            <w:noWrap/>
            <w:vAlign w:val="center"/>
            <w:hideMark/>
          </w:tcPr>
          <w:p w14:paraId="6422DC7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hideMark/>
          </w:tcPr>
          <w:p w14:paraId="286F9CD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Place: Encountering geography as philosophy</w:t>
            </w:r>
          </w:p>
        </w:tc>
        <w:tc>
          <w:tcPr>
            <w:tcW w:w="1134" w:type="dxa"/>
            <w:tcBorders>
              <w:top w:val="nil"/>
              <w:left w:val="nil"/>
              <w:bottom w:val="single" w:sz="4" w:space="0" w:color="auto"/>
              <w:right w:val="single" w:sz="4" w:space="0" w:color="auto"/>
            </w:tcBorders>
            <w:vAlign w:val="center"/>
            <w:hideMark/>
          </w:tcPr>
          <w:p w14:paraId="5CE0AA0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hideMark/>
          </w:tcPr>
          <w:p w14:paraId="31E720F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noWrap/>
            <w:vAlign w:val="center"/>
            <w:hideMark/>
          </w:tcPr>
          <w:p w14:paraId="0AE952F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hideMark/>
          </w:tcPr>
          <w:p w14:paraId="3420AB64"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br/>
              <w:t>Geography, 93:3, 132-139, DOI: 10.1080/00167487.2008.12094234</w:t>
            </w:r>
          </w:p>
        </w:tc>
        <w:tc>
          <w:tcPr>
            <w:tcW w:w="708" w:type="dxa"/>
            <w:tcBorders>
              <w:top w:val="nil"/>
              <w:left w:val="nil"/>
              <w:bottom w:val="single" w:sz="4" w:space="0" w:color="auto"/>
              <w:right w:val="single" w:sz="4" w:space="0" w:color="auto"/>
            </w:tcBorders>
            <w:vAlign w:val="center"/>
            <w:hideMark/>
          </w:tcPr>
          <w:p w14:paraId="645BF71D"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72400E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B448BCA"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FB3C2B7"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seeks to encourage an engagement with place as an idea at A-level and beyond. It asks what place is, how it has been developed over the last 40 years by geographers and others and how our ideas of place can inform our understanding of issues in contemporary society.</w:t>
            </w:r>
          </w:p>
        </w:tc>
        <w:tc>
          <w:tcPr>
            <w:tcW w:w="2268" w:type="dxa"/>
            <w:tcBorders>
              <w:top w:val="nil"/>
              <w:left w:val="nil"/>
              <w:bottom w:val="single" w:sz="4" w:space="0" w:color="auto"/>
              <w:right w:val="single" w:sz="8" w:space="0" w:color="auto"/>
            </w:tcBorders>
            <w:vAlign w:val="center"/>
          </w:tcPr>
          <w:p w14:paraId="7E41A38B" w14:textId="77777777" w:rsidR="00336238" w:rsidRPr="0002056A" w:rsidRDefault="00336238" w:rsidP="00336238">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Introduces the development of concepts “place” and “space”.</w:t>
            </w:r>
          </w:p>
        </w:tc>
      </w:tr>
      <w:tr w:rsidR="00336238" w:rsidRPr="0002056A" w14:paraId="69248F90"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0004165" w14:textId="77777777" w:rsidR="00336238" w:rsidRPr="0002056A" w:rsidRDefault="00336238" w:rsidP="00336238">
            <w:pPr>
              <w:spacing w:after="0"/>
              <w:rPr>
                <w:rFonts w:ascii="Georgia" w:hAnsi="Georgia"/>
                <w:b/>
                <w:bCs/>
                <w:i/>
                <w:iCs/>
                <w:color w:val="000000"/>
                <w:sz w:val="14"/>
                <w:szCs w:val="14"/>
                <w:lang w:val="en-GB"/>
              </w:rPr>
            </w:pPr>
            <w:r w:rsidRPr="0002056A">
              <w:rPr>
                <w:rFonts w:ascii="Georgia" w:hAnsi="Georgia"/>
                <w:b/>
                <w:bCs/>
                <w:i/>
                <w:iCs/>
                <w:color w:val="000000"/>
                <w:sz w:val="14"/>
                <w:szCs w:val="14"/>
                <w:lang w:val="en-GB"/>
              </w:rPr>
              <w:t xml:space="preserve">Csutora. M.; Harangozó, G.; Széchy, A. </w:t>
            </w:r>
          </w:p>
        </w:tc>
        <w:tc>
          <w:tcPr>
            <w:tcW w:w="705" w:type="dxa"/>
            <w:tcBorders>
              <w:top w:val="nil"/>
              <w:left w:val="nil"/>
              <w:bottom w:val="single" w:sz="4" w:space="0" w:color="auto"/>
              <w:right w:val="single" w:sz="4" w:space="0" w:color="auto"/>
            </w:tcBorders>
            <w:noWrap/>
            <w:vAlign w:val="center"/>
          </w:tcPr>
          <w:p w14:paraId="14D97F15" w14:textId="77777777" w:rsidR="00336238" w:rsidRPr="0002056A" w:rsidRDefault="00336238" w:rsidP="00336238">
            <w:pPr>
              <w:spacing w:after="0"/>
              <w:jc w:val="center"/>
              <w:rPr>
                <w:rFonts w:ascii="Georgia" w:hAnsi="Georgia"/>
                <w:color w:val="000000"/>
                <w:sz w:val="10"/>
                <w:szCs w:val="10"/>
                <w:lang w:val="en-GB"/>
              </w:rPr>
            </w:pPr>
            <w:r w:rsidRPr="0002056A">
              <w:rPr>
                <w:rFonts w:ascii="Georgia" w:hAnsi="Georgia"/>
                <w:color w:val="000000"/>
                <w:sz w:val="10"/>
                <w:szCs w:val="10"/>
                <w:lang w:val="en-GB"/>
              </w:rPr>
              <w:t>2021</w:t>
            </w:r>
          </w:p>
        </w:tc>
        <w:tc>
          <w:tcPr>
            <w:tcW w:w="1137" w:type="dxa"/>
            <w:tcBorders>
              <w:top w:val="nil"/>
              <w:left w:val="nil"/>
              <w:bottom w:val="single" w:sz="4" w:space="0" w:color="auto"/>
              <w:right w:val="single" w:sz="4" w:space="0" w:color="auto"/>
            </w:tcBorders>
            <w:vAlign w:val="center"/>
          </w:tcPr>
          <w:p w14:paraId="76ED15BA"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A társadalmi diszkontráta meghatározása és alkalmazási lehetőségei.</w:t>
            </w:r>
          </w:p>
        </w:tc>
        <w:tc>
          <w:tcPr>
            <w:tcW w:w="1134" w:type="dxa"/>
            <w:tcBorders>
              <w:top w:val="nil"/>
              <w:left w:val="nil"/>
              <w:bottom w:val="single" w:sz="4" w:space="0" w:color="auto"/>
              <w:right w:val="single" w:sz="4" w:space="0" w:color="auto"/>
            </w:tcBorders>
            <w:vAlign w:val="center"/>
          </w:tcPr>
          <w:p w14:paraId="00677D41"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HUN, HUN, HUN</w:t>
            </w:r>
          </w:p>
        </w:tc>
        <w:tc>
          <w:tcPr>
            <w:tcW w:w="708" w:type="dxa"/>
            <w:tcBorders>
              <w:top w:val="nil"/>
              <w:left w:val="nil"/>
              <w:bottom w:val="single" w:sz="4" w:space="0" w:color="auto"/>
              <w:right w:val="single" w:sz="4" w:space="0" w:color="auto"/>
            </w:tcBorders>
            <w:vAlign w:val="center"/>
          </w:tcPr>
          <w:p w14:paraId="1D3CE3AF"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BCE</w:t>
            </w:r>
          </w:p>
        </w:tc>
        <w:tc>
          <w:tcPr>
            <w:tcW w:w="851" w:type="dxa"/>
            <w:tcBorders>
              <w:top w:val="nil"/>
              <w:left w:val="nil"/>
              <w:bottom w:val="single" w:sz="4" w:space="0" w:color="auto"/>
              <w:right w:val="single" w:sz="4" w:space="0" w:color="auto"/>
            </w:tcBorders>
            <w:noWrap/>
            <w:vAlign w:val="center"/>
          </w:tcPr>
          <w:p w14:paraId="43F7657A"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environmental economics</w:t>
            </w:r>
          </w:p>
        </w:tc>
        <w:tc>
          <w:tcPr>
            <w:tcW w:w="993" w:type="dxa"/>
            <w:tcBorders>
              <w:top w:val="nil"/>
              <w:left w:val="nil"/>
              <w:bottom w:val="single" w:sz="4" w:space="0" w:color="auto"/>
              <w:right w:val="single" w:sz="4" w:space="0" w:color="auto"/>
            </w:tcBorders>
            <w:vAlign w:val="center"/>
          </w:tcPr>
          <w:p w14:paraId="04FCC454"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In.: Salamin Géza – Széchy Anna (szerk.): A fenntarthatósági politikák megalapozásának mérési eszközei Budapesti Corvinus Egyetem Budapest, 2021.</w:t>
            </w:r>
          </w:p>
        </w:tc>
        <w:tc>
          <w:tcPr>
            <w:tcW w:w="708" w:type="dxa"/>
            <w:tcBorders>
              <w:top w:val="nil"/>
              <w:left w:val="nil"/>
              <w:bottom w:val="single" w:sz="4" w:space="0" w:color="auto"/>
              <w:right w:val="single" w:sz="4" w:space="0" w:color="auto"/>
            </w:tcBorders>
            <w:vAlign w:val="center"/>
          </w:tcPr>
          <w:p w14:paraId="7004772C"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book chapter</w:t>
            </w:r>
          </w:p>
        </w:tc>
        <w:tc>
          <w:tcPr>
            <w:tcW w:w="851" w:type="dxa"/>
            <w:tcBorders>
              <w:top w:val="nil"/>
              <w:left w:val="nil"/>
              <w:bottom w:val="single" w:sz="4" w:space="0" w:color="auto"/>
              <w:right w:val="single" w:sz="4" w:space="0" w:color="auto"/>
            </w:tcBorders>
            <w:vAlign w:val="center"/>
          </w:tcPr>
          <w:p w14:paraId="765CB6B6"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yes</w:t>
            </w:r>
          </w:p>
        </w:tc>
        <w:tc>
          <w:tcPr>
            <w:tcW w:w="708" w:type="dxa"/>
            <w:tcBorders>
              <w:top w:val="nil"/>
              <w:left w:val="nil"/>
              <w:bottom w:val="single" w:sz="4" w:space="0" w:color="auto"/>
              <w:right w:val="single" w:sz="8" w:space="0" w:color="auto"/>
            </w:tcBorders>
            <w:vAlign w:val="center"/>
          </w:tcPr>
          <w:p w14:paraId="5DDA5B54" w14:textId="777777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primary</w:t>
            </w:r>
          </w:p>
        </w:tc>
        <w:tc>
          <w:tcPr>
            <w:tcW w:w="3686" w:type="dxa"/>
            <w:tcBorders>
              <w:top w:val="nil"/>
              <w:left w:val="nil"/>
              <w:bottom w:val="single" w:sz="4" w:space="0" w:color="auto"/>
              <w:right w:val="single" w:sz="8" w:space="0" w:color="auto"/>
            </w:tcBorders>
            <w:vAlign w:val="center"/>
          </w:tcPr>
          <w:p w14:paraId="1CEE7F0F" w14:textId="2CC16F9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At the same time, especially in relation to processes affecting the natural environment, providing information to support decisions is a big challenge. It also includes environmental and socio-economic aspects from the point of view of overall sustainability: in this we have to somehow compare different effects with each ot</w:t>
            </w:r>
            <w:r w:rsidR="0047309F"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er in order to find the most favourable solution overall. In the volume</w:t>
            </w:r>
          </w:p>
          <w:p w14:paraId="048D1840" w14:textId="0910FCA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studies explore this issue from several different points of view. At Corvinus University in Budapest, the editor of the volume is Economic Geography, Geo-economy and the Department of Sustainable Development </w:t>
            </w:r>
            <w:r w:rsidR="00875741" w:rsidRPr="0002056A">
              <w:rPr>
                <w:rFonts w:ascii="Georgia" w:eastAsia="Times New Roman" w:hAnsi="Georgia" w:cs="Times New Roman"/>
                <w:color w:val="000000"/>
                <w:sz w:val="10"/>
                <w:szCs w:val="10"/>
                <w:lang w:val="en-GB" w:eastAsia="hu-HU"/>
              </w:rPr>
              <w:t>consider</w:t>
            </w:r>
            <w:r w:rsidRPr="0002056A">
              <w:rPr>
                <w:rFonts w:ascii="Georgia" w:eastAsia="Times New Roman" w:hAnsi="Georgia" w:cs="Times New Roman"/>
                <w:color w:val="000000"/>
                <w:sz w:val="10"/>
                <w:szCs w:val="10"/>
                <w:lang w:val="en-GB" w:eastAsia="hu-HU"/>
              </w:rPr>
              <w:t xml:space="preserve"> the social science-based investigation of sustainability in cooperation with the University's partner fields to be its priority mission. Their goal is to contribute professional and scientific knowledge to the policies and also for the development of their tools in this area.</w:t>
            </w:r>
          </w:p>
        </w:tc>
        <w:tc>
          <w:tcPr>
            <w:tcW w:w="2268" w:type="dxa"/>
            <w:tcBorders>
              <w:top w:val="nil"/>
              <w:left w:val="nil"/>
              <w:bottom w:val="single" w:sz="4" w:space="0" w:color="auto"/>
              <w:right w:val="single" w:sz="8" w:space="0" w:color="auto"/>
            </w:tcBorders>
            <w:vAlign w:val="center"/>
          </w:tcPr>
          <w:p w14:paraId="33E812C3"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introduces the main techniques and methods to measure climate mitigation’s effectiveness and results.</w:t>
            </w:r>
          </w:p>
        </w:tc>
      </w:tr>
      <w:tr w:rsidR="00336238" w:rsidRPr="0002056A" w14:paraId="69D34629"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BDC46F2" w14:textId="4E9EBDC6" w:rsidR="00336238" w:rsidRPr="0002056A" w:rsidRDefault="00336238" w:rsidP="00F02452">
            <w:pPr>
              <w:spacing w:after="0" w:line="240" w:lineRule="auto"/>
              <w:rPr>
                <w:rFonts w:ascii="Georgia" w:hAnsi="Georgia"/>
                <w:b/>
                <w:bCs/>
                <w:i/>
                <w:iCs/>
                <w:color w:val="000000"/>
                <w:sz w:val="14"/>
                <w:szCs w:val="14"/>
                <w:lang w:val="en-GB"/>
              </w:rPr>
            </w:pPr>
            <w:r w:rsidRPr="0002056A">
              <w:rPr>
                <w:rFonts w:ascii="Georgia" w:eastAsia="Times New Roman" w:hAnsi="Georgia" w:cs="Times New Roman"/>
                <w:b/>
                <w:bCs/>
                <w:i/>
                <w:iCs/>
                <w:color w:val="000000"/>
                <w:sz w:val="14"/>
                <w:szCs w:val="14"/>
                <w:lang w:val="en-GB" w:eastAsia="hu-HU"/>
              </w:rPr>
              <w:lastRenderedPageBreak/>
              <w:t>Damsgaard O.; Doucet Ph.; Drahos Zs.; Gere L.; Illés I.; Jetmar, M.; Komornicki, T.; Lopez, I.; Péti M.; Prokai R.; Radvánszki Á.; Ricz J.; Salamin G.; Schmidt-Seiwert, V.; Schön, P.; Somfai, Á.; Sütő, A.; Tomay, K.; Vanautgaerden L.; Zaucha, J.</w:t>
            </w:r>
          </w:p>
        </w:tc>
        <w:tc>
          <w:tcPr>
            <w:tcW w:w="705" w:type="dxa"/>
            <w:tcBorders>
              <w:top w:val="nil"/>
              <w:left w:val="nil"/>
              <w:bottom w:val="single" w:sz="4" w:space="0" w:color="auto"/>
              <w:right w:val="single" w:sz="4" w:space="0" w:color="auto"/>
            </w:tcBorders>
            <w:noWrap/>
            <w:vAlign w:val="center"/>
          </w:tcPr>
          <w:p w14:paraId="5C9A9A23" w14:textId="56798761" w:rsidR="00336238" w:rsidRPr="0002056A" w:rsidRDefault="00336238" w:rsidP="00336238">
            <w:pPr>
              <w:spacing w:after="0"/>
              <w:jc w:val="center"/>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321823F5" w14:textId="0F4B8A97"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 xml:space="preserve">The Territorial State and Perspectives of the European Union, 2011 update: Background document for the Territorial Agenda of the European Union 2020 </w:t>
            </w:r>
          </w:p>
        </w:tc>
        <w:tc>
          <w:tcPr>
            <w:tcW w:w="1134" w:type="dxa"/>
            <w:tcBorders>
              <w:top w:val="nil"/>
              <w:left w:val="nil"/>
              <w:bottom w:val="single" w:sz="4" w:space="0" w:color="auto"/>
              <w:right w:val="single" w:sz="4" w:space="0" w:color="auto"/>
            </w:tcBorders>
            <w:vAlign w:val="center"/>
          </w:tcPr>
          <w:p w14:paraId="63282F6A" w14:textId="601085B1"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17AFE54E" w14:textId="74E5B209"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noWrap/>
            <w:vAlign w:val="center"/>
          </w:tcPr>
          <w:p w14:paraId="51FC951C" w14:textId="15512175"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spatial planning</w:t>
            </w:r>
            <w:r w:rsidR="004139F0" w:rsidRPr="0002056A">
              <w:rPr>
                <w:rFonts w:ascii="Georgia" w:eastAsia="Times New Roman" w:hAnsi="Georgia" w:cs="Times New Roman"/>
                <w:color w:val="000000"/>
                <w:sz w:val="10"/>
                <w:szCs w:val="10"/>
                <w:lang w:val="en-GB" w:eastAsia="hu-HU"/>
              </w:rPr>
              <w:t>, development policy planning</w:t>
            </w:r>
          </w:p>
        </w:tc>
        <w:tc>
          <w:tcPr>
            <w:tcW w:w="993" w:type="dxa"/>
            <w:tcBorders>
              <w:top w:val="nil"/>
              <w:left w:val="nil"/>
              <w:bottom w:val="single" w:sz="4" w:space="0" w:color="auto"/>
              <w:right w:val="single" w:sz="4" w:space="0" w:color="auto"/>
            </w:tcBorders>
            <w:vAlign w:val="center"/>
          </w:tcPr>
          <w:p w14:paraId="61F140B7" w14:textId="3B1D2CFA"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presented at the Informal Meeting of Ministers responsible for Spatial Planning and Territorial Development on 19</w:t>
            </w:r>
            <w:r w:rsidRPr="0002056A">
              <w:rPr>
                <w:rFonts w:ascii="Georgia" w:eastAsia="Times New Roman" w:hAnsi="Georgia" w:cs="Times New Roman"/>
                <w:color w:val="000000"/>
                <w:sz w:val="10"/>
                <w:szCs w:val="10"/>
                <w:vertAlign w:val="superscript"/>
                <w:lang w:val="en-GB" w:eastAsia="hu-HU"/>
              </w:rPr>
              <w:t>th</w:t>
            </w:r>
            <w:r w:rsidRPr="0002056A">
              <w:rPr>
                <w:rFonts w:ascii="Georgia" w:eastAsia="Times New Roman" w:hAnsi="Georgia" w:cs="Times New Roman"/>
                <w:color w:val="000000"/>
                <w:sz w:val="10"/>
                <w:szCs w:val="10"/>
                <w:lang w:val="en-GB" w:eastAsia="hu-HU"/>
              </w:rPr>
              <w:t xml:space="preserve"> May 2011 Gödöllő, Hungary.</w:t>
            </w:r>
          </w:p>
        </w:tc>
        <w:tc>
          <w:tcPr>
            <w:tcW w:w="708" w:type="dxa"/>
            <w:tcBorders>
              <w:top w:val="nil"/>
              <w:left w:val="nil"/>
              <w:bottom w:val="single" w:sz="4" w:space="0" w:color="auto"/>
              <w:right w:val="single" w:sz="4" w:space="0" w:color="auto"/>
            </w:tcBorders>
            <w:vAlign w:val="center"/>
          </w:tcPr>
          <w:p w14:paraId="7F4C9BBF" w14:textId="6953537A"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background study</w:t>
            </w:r>
          </w:p>
        </w:tc>
        <w:tc>
          <w:tcPr>
            <w:tcW w:w="851" w:type="dxa"/>
            <w:tcBorders>
              <w:top w:val="nil"/>
              <w:left w:val="nil"/>
              <w:bottom w:val="single" w:sz="4" w:space="0" w:color="auto"/>
              <w:right w:val="single" w:sz="4" w:space="0" w:color="auto"/>
            </w:tcBorders>
            <w:vAlign w:val="center"/>
          </w:tcPr>
          <w:p w14:paraId="38FFE479" w14:textId="3CB6554C"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BECD9FC" w14:textId="39F3269E"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8738531" w14:textId="401D455A"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its updated form, the TSO 2011 offered a solid knowledge base for the renewed Territorial Agenda 2020, providing a comprehensive analysis on Europe’s territorial structure and development. It highlighted the diversity of European territories, confronted us with their differences and peculiarities; strengths and potentials; weaknesses and burdens; trends and opportunities and offered a basis for a strategic guide to take territorial aspects into account when seeking responses to challenges and unleashing potentials.</w:t>
            </w:r>
          </w:p>
        </w:tc>
        <w:tc>
          <w:tcPr>
            <w:tcW w:w="2268" w:type="dxa"/>
            <w:tcBorders>
              <w:top w:val="nil"/>
              <w:left w:val="nil"/>
              <w:bottom w:val="single" w:sz="4" w:space="0" w:color="auto"/>
              <w:right w:val="single" w:sz="8" w:space="0" w:color="auto"/>
            </w:tcBorders>
            <w:vAlign w:val="center"/>
          </w:tcPr>
          <w:p w14:paraId="62C9912D" w14:textId="3DFA7240"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delimitation of European sub-regions; subject of document analysis to examine the weight of climate adaptation in spatial planning</w:t>
            </w:r>
          </w:p>
        </w:tc>
      </w:tr>
      <w:tr w:rsidR="00336238" w:rsidRPr="0002056A" w14:paraId="1B925CEC"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103521C" w14:textId="0442A66C" w:rsidR="00336238" w:rsidRPr="0002056A" w:rsidRDefault="00336238" w:rsidP="00336238">
            <w:pPr>
              <w:spacing w:after="0"/>
              <w:rPr>
                <w:rFonts w:ascii="Georgia" w:hAnsi="Georgia"/>
                <w:b/>
                <w:bCs/>
                <w:i/>
                <w:iCs/>
                <w:color w:val="000000"/>
                <w:sz w:val="14"/>
                <w:szCs w:val="14"/>
                <w:lang w:val="en-GB"/>
              </w:rPr>
            </w:pPr>
            <w:r w:rsidRPr="0002056A">
              <w:rPr>
                <w:rFonts w:ascii="Georgia" w:hAnsi="Georgia"/>
                <w:b/>
                <w:bCs/>
                <w:i/>
                <w:iCs/>
                <w:color w:val="000000"/>
                <w:sz w:val="14"/>
                <w:szCs w:val="14"/>
                <w:lang w:val="en-GB"/>
              </w:rPr>
              <w:t>Davidse, B.J.; Othengrafen, M.; Deppisch, S.</w:t>
            </w:r>
          </w:p>
        </w:tc>
        <w:tc>
          <w:tcPr>
            <w:tcW w:w="705" w:type="dxa"/>
            <w:tcBorders>
              <w:top w:val="nil"/>
              <w:left w:val="nil"/>
              <w:bottom w:val="single" w:sz="4" w:space="0" w:color="auto"/>
              <w:right w:val="single" w:sz="4" w:space="0" w:color="auto"/>
            </w:tcBorders>
            <w:noWrap/>
            <w:vAlign w:val="center"/>
          </w:tcPr>
          <w:p w14:paraId="0771D018" w14:textId="3EF1AA1E" w:rsidR="00336238" w:rsidRPr="0002056A" w:rsidRDefault="00336238" w:rsidP="00336238">
            <w:pPr>
              <w:spacing w:after="0"/>
              <w:jc w:val="center"/>
              <w:rPr>
                <w:rFonts w:ascii="Georgia" w:hAnsi="Georgia"/>
                <w:color w:val="000000"/>
                <w:sz w:val="10"/>
                <w:szCs w:val="10"/>
                <w:lang w:val="en-GB"/>
              </w:rPr>
            </w:pPr>
            <w:r w:rsidRPr="0002056A">
              <w:rPr>
                <w:rFonts w:ascii="Georgia" w:hAnsi="Georgia"/>
                <w:color w:val="000000"/>
                <w:sz w:val="10"/>
                <w:szCs w:val="10"/>
                <w:lang w:val="en-GB"/>
              </w:rPr>
              <w:t>2015</w:t>
            </w:r>
          </w:p>
        </w:tc>
        <w:tc>
          <w:tcPr>
            <w:tcW w:w="1137" w:type="dxa"/>
            <w:tcBorders>
              <w:top w:val="nil"/>
              <w:left w:val="nil"/>
              <w:bottom w:val="single" w:sz="4" w:space="0" w:color="auto"/>
              <w:right w:val="single" w:sz="4" w:space="0" w:color="auto"/>
            </w:tcBorders>
            <w:vAlign w:val="center"/>
          </w:tcPr>
          <w:p w14:paraId="3448ECFB" w14:textId="488FDA6F"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Spatial planning practices of adapting to climate change</w:t>
            </w:r>
          </w:p>
        </w:tc>
        <w:tc>
          <w:tcPr>
            <w:tcW w:w="1134" w:type="dxa"/>
            <w:tcBorders>
              <w:top w:val="nil"/>
              <w:left w:val="nil"/>
              <w:bottom w:val="single" w:sz="4" w:space="0" w:color="auto"/>
              <w:right w:val="single" w:sz="4" w:space="0" w:color="auto"/>
            </w:tcBorders>
            <w:vAlign w:val="center"/>
          </w:tcPr>
          <w:p w14:paraId="6CB81EDD" w14:textId="1C9BC536"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NRL, NRL, NRL</w:t>
            </w:r>
          </w:p>
        </w:tc>
        <w:tc>
          <w:tcPr>
            <w:tcW w:w="708" w:type="dxa"/>
            <w:tcBorders>
              <w:top w:val="nil"/>
              <w:left w:val="nil"/>
              <w:bottom w:val="single" w:sz="4" w:space="0" w:color="auto"/>
              <w:right w:val="single" w:sz="4" w:space="0" w:color="auto"/>
            </w:tcBorders>
            <w:vAlign w:val="center"/>
          </w:tcPr>
          <w:p w14:paraId="6E8501A3" w14:textId="4ED03695"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Nordregio</w:t>
            </w:r>
          </w:p>
        </w:tc>
        <w:tc>
          <w:tcPr>
            <w:tcW w:w="851" w:type="dxa"/>
            <w:tcBorders>
              <w:top w:val="nil"/>
              <w:left w:val="nil"/>
              <w:bottom w:val="single" w:sz="4" w:space="0" w:color="auto"/>
              <w:right w:val="single" w:sz="4" w:space="0" w:color="auto"/>
            </w:tcBorders>
            <w:noWrap/>
            <w:vAlign w:val="center"/>
          </w:tcPr>
          <w:p w14:paraId="7F9CC611" w14:textId="3E1E2C74"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spatial planning, land use planning, climate adaptation</w:t>
            </w:r>
          </w:p>
        </w:tc>
        <w:tc>
          <w:tcPr>
            <w:tcW w:w="993" w:type="dxa"/>
            <w:tcBorders>
              <w:top w:val="nil"/>
              <w:left w:val="nil"/>
              <w:bottom w:val="single" w:sz="4" w:space="0" w:color="auto"/>
              <w:right w:val="single" w:sz="4" w:space="0" w:color="auto"/>
            </w:tcBorders>
            <w:vAlign w:val="center"/>
          </w:tcPr>
          <w:p w14:paraId="3C67841F" w14:textId="01286130"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European Journal of Spatial Development No 57., March 2015</w:t>
            </w:r>
          </w:p>
        </w:tc>
        <w:tc>
          <w:tcPr>
            <w:tcW w:w="708" w:type="dxa"/>
            <w:tcBorders>
              <w:top w:val="nil"/>
              <w:left w:val="nil"/>
              <w:bottom w:val="single" w:sz="4" w:space="0" w:color="auto"/>
              <w:right w:val="single" w:sz="4" w:space="0" w:color="auto"/>
            </w:tcBorders>
            <w:vAlign w:val="center"/>
          </w:tcPr>
          <w:p w14:paraId="6A445C2C" w14:textId="6CD96E76"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article</w:t>
            </w:r>
          </w:p>
        </w:tc>
        <w:tc>
          <w:tcPr>
            <w:tcW w:w="851" w:type="dxa"/>
            <w:tcBorders>
              <w:top w:val="nil"/>
              <w:left w:val="nil"/>
              <w:bottom w:val="single" w:sz="4" w:space="0" w:color="auto"/>
              <w:right w:val="single" w:sz="4" w:space="0" w:color="auto"/>
            </w:tcBorders>
            <w:vAlign w:val="center"/>
          </w:tcPr>
          <w:p w14:paraId="5B90E5B1" w14:textId="38AA627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yes</w:t>
            </w:r>
          </w:p>
        </w:tc>
        <w:tc>
          <w:tcPr>
            <w:tcW w:w="708" w:type="dxa"/>
            <w:tcBorders>
              <w:top w:val="nil"/>
              <w:left w:val="nil"/>
              <w:bottom w:val="single" w:sz="4" w:space="0" w:color="auto"/>
              <w:right w:val="single" w:sz="8" w:space="0" w:color="auto"/>
            </w:tcBorders>
            <w:vAlign w:val="center"/>
          </w:tcPr>
          <w:p w14:paraId="60C88BBE" w14:textId="7B90538E"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primary</w:t>
            </w:r>
          </w:p>
        </w:tc>
        <w:tc>
          <w:tcPr>
            <w:tcW w:w="3686" w:type="dxa"/>
            <w:tcBorders>
              <w:top w:val="nil"/>
              <w:left w:val="nil"/>
              <w:bottom w:val="single" w:sz="4" w:space="0" w:color="auto"/>
              <w:right w:val="single" w:sz="8" w:space="0" w:color="auto"/>
            </w:tcBorders>
            <w:vAlign w:val="center"/>
          </w:tcPr>
          <w:p w14:paraId="08A5ED11" w14:textId="0D3BD3A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Introduces spatial planning’s role in climate adaptation and adaptation approaches in spatial planning. They emphasize that avoidance should get bigger weight than impact minimisation – even is spatial planning.</w:t>
            </w:r>
          </w:p>
        </w:tc>
        <w:tc>
          <w:tcPr>
            <w:tcW w:w="2268" w:type="dxa"/>
            <w:tcBorders>
              <w:top w:val="nil"/>
              <w:left w:val="nil"/>
              <w:bottom w:val="single" w:sz="4" w:space="0" w:color="auto"/>
              <w:right w:val="single" w:sz="8" w:space="0" w:color="auto"/>
            </w:tcBorders>
            <w:vAlign w:val="center"/>
          </w:tcPr>
          <w:p w14:paraId="60844E03" w14:textId="6C178F8A"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spatial planning’s role and function; adaptation approaches in spatial planning. It gives a detailed description of adaptation’s spatiality.</w:t>
            </w:r>
          </w:p>
        </w:tc>
      </w:tr>
      <w:tr w:rsidR="00336238" w:rsidRPr="0002056A" w14:paraId="2BC70179"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BE7271C" w14:textId="1754CC29" w:rsidR="00336238" w:rsidRPr="0002056A" w:rsidRDefault="00336238" w:rsidP="00336238">
            <w:pPr>
              <w:rPr>
                <w:rFonts w:ascii="Georgia" w:hAnsi="Georgia" w:cstheme="minorHAnsi"/>
                <w:b/>
                <w:bCs/>
                <w:i/>
                <w:color w:val="000000"/>
                <w:sz w:val="14"/>
                <w:szCs w:val="14"/>
                <w:lang w:val="en-GB"/>
              </w:rPr>
            </w:pPr>
            <w:r w:rsidRPr="0002056A">
              <w:rPr>
                <w:rFonts w:ascii="Georgia" w:hAnsi="Georgia" w:cstheme="minorHAnsi"/>
                <w:b/>
                <w:bCs/>
                <w:i/>
                <w:color w:val="000000"/>
                <w:sz w:val="14"/>
                <w:szCs w:val="14"/>
                <w:lang w:val="en-GB"/>
              </w:rPr>
              <w:t>Davies, A.; Hooks, G.; Knox-Hayes, J.; Liévanos, R.S.</w:t>
            </w:r>
            <w:r w:rsidRPr="0002056A">
              <w:rPr>
                <w:rFonts w:ascii="Georgia" w:eastAsia="Times New Roman" w:hAnsi="Georgia" w:cstheme="minorHAnsi"/>
                <w:i/>
                <w:color w:val="2A2A2A"/>
                <w:sz w:val="14"/>
                <w:szCs w:val="14"/>
                <w:lang w:val="en-GB" w:eastAsia="hu-HU"/>
              </w:rPr>
              <w:t xml:space="preserve"> </w:t>
            </w:r>
          </w:p>
        </w:tc>
        <w:tc>
          <w:tcPr>
            <w:tcW w:w="705" w:type="dxa"/>
            <w:tcBorders>
              <w:top w:val="nil"/>
              <w:left w:val="nil"/>
              <w:bottom w:val="single" w:sz="4" w:space="0" w:color="auto"/>
              <w:right w:val="single" w:sz="4" w:space="0" w:color="auto"/>
            </w:tcBorders>
            <w:noWrap/>
            <w:vAlign w:val="center"/>
          </w:tcPr>
          <w:p w14:paraId="1DD43AFC" w14:textId="7F7AB4E9" w:rsidR="00336238" w:rsidRPr="0002056A" w:rsidRDefault="00336238" w:rsidP="00336238">
            <w:pPr>
              <w:spacing w:after="0"/>
              <w:jc w:val="center"/>
              <w:rPr>
                <w:rFonts w:ascii="Georgia" w:hAnsi="Georgia"/>
                <w:color w:val="000000"/>
                <w:sz w:val="10"/>
                <w:szCs w:val="10"/>
                <w:lang w:val="en-GB"/>
              </w:rPr>
            </w:pPr>
            <w:r w:rsidRPr="0002056A">
              <w:rPr>
                <w:rFonts w:ascii="Georgia" w:hAnsi="Georgia"/>
                <w:color w:val="000000"/>
                <w:sz w:val="10"/>
                <w:szCs w:val="10"/>
                <w:lang w:val="en-GB"/>
              </w:rPr>
              <w:t>2020</w:t>
            </w:r>
          </w:p>
        </w:tc>
        <w:tc>
          <w:tcPr>
            <w:tcW w:w="1137" w:type="dxa"/>
            <w:tcBorders>
              <w:top w:val="nil"/>
              <w:left w:val="nil"/>
              <w:bottom w:val="single" w:sz="4" w:space="0" w:color="auto"/>
              <w:right w:val="single" w:sz="4" w:space="0" w:color="auto"/>
            </w:tcBorders>
            <w:vAlign w:val="center"/>
          </w:tcPr>
          <w:p w14:paraId="71E798E8" w14:textId="610D6682" w:rsidR="00336238" w:rsidRPr="0002056A" w:rsidRDefault="00336238" w:rsidP="00336238">
            <w:pPr>
              <w:spacing w:after="0"/>
              <w:rPr>
                <w:rFonts w:ascii="Georgia" w:hAnsi="Georgia"/>
                <w:color w:val="000000"/>
                <w:sz w:val="10"/>
                <w:szCs w:val="10"/>
                <w:lang w:val="en-GB"/>
              </w:rPr>
            </w:pPr>
            <w:r w:rsidRPr="0002056A">
              <w:rPr>
                <w:rFonts w:ascii="Georgia" w:eastAsia="Times New Roman" w:hAnsi="Georgia" w:cs="Times New Roman"/>
                <w:color w:val="000000"/>
                <w:sz w:val="10"/>
                <w:szCs w:val="10"/>
                <w:lang w:val="en-GB" w:eastAsia="hu-HU"/>
              </w:rPr>
              <w:t>Riskscapes and the socio-spatial challenges of climate change.</w:t>
            </w:r>
          </w:p>
        </w:tc>
        <w:tc>
          <w:tcPr>
            <w:tcW w:w="1134" w:type="dxa"/>
            <w:tcBorders>
              <w:top w:val="nil"/>
              <w:left w:val="nil"/>
              <w:bottom w:val="single" w:sz="4" w:space="0" w:color="auto"/>
              <w:right w:val="single" w:sz="4" w:space="0" w:color="auto"/>
            </w:tcBorders>
            <w:vAlign w:val="center"/>
          </w:tcPr>
          <w:p w14:paraId="5CE1E16F" w14:textId="6634FEAC"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IRL, CAN, USA, USA</w:t>
            </w:r>
          </w:p>
        </w:tc>
        <w:tc>
          <w:tcPr>
            <w:tcW w:w="708" w:type="dxa"/>
            <w:tcBorders>
              <w:top w:val="nil"/>
              <w:left w:val="nil"/>
              <w:bottom w:val="single" w:sz="4" w:space="0" w:color="auto"/>
              <w:right w:val="single" w:sz="4" w:space="0" w:color="auto"/>
            </w:tcBorders>
            <w:vAlign w:val="center"/>
          </w:tcPr>
          <w:p w14:paraId="6092418E" w14:textId="418657E8"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Oxford Academics</w:t>
            </w:r>
          </w:p>
        </w:tc>
        <w:tc>
          <w:tcPr>
            <w:tcW w:w="851" w:type="dxa"/>
            <w:tcBorders>
              <w:top w:val="nil"/>
              <w:left w:val="nil"/>
              <w:bottom w:val="single" w:sz="4" w:space="0" w:color="auto"/>
              <w:right w:val="single" w:sz="4" w:space="0" w:color="auto"/>
            </w:tcBorders>
            <w:noWrap/>
            <w:vAlign w:val="center"/>
          </w:tcPr>
          <w:p w14:paraId="65E9C371" w14:textId="2605E774"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sociology, urban planning</w:t>
            </w:r>
          </w:p>
        </w:tc>
        <w:tc>
          <w:tcPr>
            <w:tcW w:w="993" w:type="dxa"/>
            <w:tcBorders>
              <w:top w:val="nil"/>
              <w:left w:val="nil"/>
              <w:bottom w:val="single" w:sz="4" w:space="0" w:color="auto"/>
              <w:right w:val="single" w:sz="4" w:space="0" w:color="auto"/>
            </w:tcBorders>
            <w:vAlign w:val="center"/>
          </w:tcPr>
          <w:p w14:paraId="53FBC49B" w14:textId="5DEFF1A3"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 xml:space="preserve">Cambridge Journal of Regions, Economy and Society, Volume 13, Issue 2, July 2020, Pages 197–213. </w:t>
            </w:r>
            <w:hyperlink r:id="rId148" w:history="1">
              <w:r w:rsidRPr="0002056A">
                <w:rPr>
                  <w:rFonts w:ascii="Georgia" w:hAnsi="Georgia"/>
                  <w:color w:val="000000"/>
                  <w:sz w:val="10"/>
                  <w:szCs w:val="10"/>
                  <w:lang w:val="en-GB"/>
                </w:rPr>
                <w:t>https://doi.org/10.1093/cjres/rsaa016</w:t>
              </w:r>
            </w:hyperlink>
          </w:p>
        </w:tc>
        <w:tc>
          <w:tcPr>
            <w:tcW w:w="708" w:type="dxa"/>
            <w:tcBorders>
              <w:top w:val="nil"/>
              <w:left w:val="nil"/>
              <w:bottom w:val="single" w:sz="4" w:space="0" w:color="auto"/>
              <w:right w:val="single" w:sz="4" w:space="0" w:color="auto"/>
            </w:tcBorders>
            <w:vAlign w:val="center"/>
          </w:tcPr>
          <w:p w14:paraId="7CB24020" w14:textId="471B403E"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article</w:t>
            </w:r>
          </w:p>
        </w:tc>
        <w:tc>
          <w:tcPr>
            <w:tcW w:w="851" w:type="dxa"/>
            <w:tcBorders>
              <w:top w:val="nil"/>
              <w:left w:val="nil"/>
              <w:bottom w:val="single" w:sz="4" w:space="0" w:color="auto"/>
              <w:right w:val="single" w:sz="4" w:space="0" w:color="auto"/>
            </w:tcBorders>
            <w:vAlign w:val="center"/>
          </w:tcPr>
          <w:p w14:paraId="5D531950" w14:textId="7B7C7392"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yes</w:t>
            </w:r>
          </w:p>
        </w:tc>
        <w:tc>
          <w:tcPr>
            <w:tcW w:w="708" w:type="dxa"/>
            <w:tcBorders>
              <w:top w:val="nil"/>
              <w:left w:val="nil"/>
              <w:bottom w:val="single" w:sz="4" w:space="0" w:color="auto"/>
              <w:right w:val="single" w:sz="8" w:space="0" w:color="auto"/>
            </w:tcBorders>
            <w:vAlign w:val="center"/>
          </w:tcPr>
          <w:p w14:paraId="57FEFE7C" w14:textId="706A9B34"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primary</w:t>
            </w:r>
          </w:p>
        </w:tc>
        <w:tc>
          <w:tcPr>
            <w:tcW w:w="3686" w:type="dxa"/>
            <w:tcBorders>
              <w:top w:val="nil"/>
              <w:left w:val="nil"/>
              <w:bottom w:val="single" w:sz="4" w:space="0" w:color="auto"/>
              <w:right w:val="single" w:sz="8" w:space="0" w:color="auto"/>
            </w:tcBorders>
            <w:vAlign w:val="center"/>
          </w:tcPr>
          <w:p w14:paraId="6C75AE84" w14:textId="34FA9A2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w:t>
            </w:r>
            <w:r w:rsidR="00875741" w:rsidRPr="0002056A">
              <w:rPr>
                <w:rFonts w:ascii="Georgia" w:eastAsia="Times New Roman" w:hAnsi="Georgia" w:cs="Times New Roman"/>
                <w:color w:val="000000"/>
                <w:sz w:val="10"/>
                <w:szCs w:val="10"/>
                <w:lang w:val="en-GB" w:eastAsia="hu-HU"/>
              </w:rPr>
              <w:t>talks</w:t>
            </w:r>
            <w:r w:rsidRPr="0002056A">
              <w:rPr>
                <w:rFonts w:ascii="Georgia" w:eastAsia="Times New Roman" w:hAnsi="Georgia" w:cs="Times New Roman"/>
                <w:color w:val="000000"/>
                <w:sz w:val="10"/>
                <w:szCs w:val="10"/>
                <w:lang w:val="en-GB" w:eastAsia="hu-HU"/>
              </w:rPr>
              <w:t xml:space="preserve"> directly about riskscapes (a.k.a. risk environment, as the landscape of risks). The authors state </w:t>
            </w:r>
            <w:r w:rsidR="00E55451" w:rsidRPr="0002056A">
              <w:rPr>
                <w:rFonts w:ascii="Georgia" w:eastAsia="Times New Roman" w:hAnsi="Georgia" w:cs="Times New Roman"/>
                <w:color w:val="000000"/>
                <w:sz w:val="10"/>
                <w:szCs w:val="10"/>
                <w:lang w:val="en-GB" w:eastAsia="hu-HU"/>
              </w:rPr>
              <w:t>that</w:t>
            </w:r>
            <w:r w:rsidRPr="0002056A">
              <w:rPr>
                <w:rFonts w:ascii="Georgia" w:eastAsia="Times New Roman" w:hAnsi="Georgia" w:cs="Times New Roman"/>
                <w:color w:val="000000"/>
                <w:sz w:val="10"/>
                <w:szCs w:val="10"/>
                <w:lang w:val="en-GB" w:eastAsia="hu-HU"/>
              </w:rPr>
              <w:t xml:space="preserve"> climate change risks, and their interaction with other “riskscapes”, remain understudied. Riskscapes in the authors’ view encompass different viewpoints on the threats across space, time, individuals and collectives. The approach through understanding of the spatial, temporal, economic and sociological dimensions of climate change and riskscapes. brings together two interlinked, themes: (i) governance and institutional responses and (ii) vulnerabilities and inequalities. Riskscapes encompassing different points of view in time and space on risk that highlight the “real-and-imagined geographies based on individual and collective experience. However, explicit examinations of climate change riskscapes and their interaction with other riskscapes remain comparatively understudied. In separate fields scholars have already documented that place matters when considering risk. Exposure to risk and its consequences varies by where a social actor lives, works and the multiplicity of other contexts in which they engage in social interaction; considering the complexities, nuances and place-specificities of riskscapes and climate change is now more important than ever. </w:t>
            </w:r>
          </w:p>
        </w:tc>
        <w:tc>
          <w:tcPr>
            <w:tcW w:w="2268" w:type="dxa"/>
            <w:tcBorders>
              <w:top w:val="nil"/>
              <w:left w:val="nil"/>
              <w:bottom w:val="single" w:sz="4" w:space="0" w:color="auto"/>
              <w:right w:val="single" w:sz="8" w:space="0" w:color="auto"/>
            </w:tcBorders>
            <w:vAlign w:val="center"/>
          </w:tcPr>
          <w:p w14:paraId="79B4E520" w14:textId="6A3FFD75"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Using the concept of riskscapes highlights the social, temporal and spatial texture of risk and calls attention to interactions among risks and their “cumulative impact” across several dimensions of human life and the biophysical environment. The authors illustrate how spatial, social, cultural, religious and political structures affect the experience of disaster and demonstrate the relevance of adopting a riskscapes frame when considering climate change risks and their governance. It extends our understanding of riskscapes with respect to territorial coverage, making explicit connections between the temporality and spatiality of riskscapes. Although riskscapes highlight the unique characteristics and the context of specific places, they also draw together important lessons of governance, planning and socio-ecological engagement that are critical to building resilience at the local, regional, national and global scales.</w:t>
            </w:r>
          </w:p>
        </w:tc>
      </w:tr>
      <w:tr w:rsidR="00336238" w:rsidRPr="0002056A" w14:paraId="67100E74"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C035621" w14:textId="069D69A4" w:rsidR="00336238" w:rsidRPr="0002056A" w:rsidRDefault="00336238" w:rsidP="00336238">
            <w:pPr>
              <w:spacing w:after="0"/>
              <w:rPr>
                <w:rFonts w:ascii="Georgia" w:hAnsi="Georgia"/>
                <w:b/>
                <w:bCs/>
                <w:i/>
                <w:iCs/>
                <w:color w:val="000000"/>
                <w:sz w:val="14"/>
                <w:szCs w:val="14"/>
                <w:lang w:val="en-GB"/>
              </w:rPr>
            </w:pPr>
            <w:r w:rsidRPr="0002056A">
              <w:rPr>
                <w:rFonts w:ascii="Georgia" w:hAnsi="Georgia"/>
                <w:b/>
                <w:bCs/>
                <w:i/>
                <w:iCs/>
                <w:color w:val="000000"/>
                <w:sz w:val="14"/>
                <w:szCs w:val="14"/>
                <w:lang w:val="en-GB"/>
              </w:rPr>
              <w:t>Devine-Wright, P.</w:t>
            </w:r>
          </w:p>
        </w:tc>
        <w:tc>
          <w:tcPr>
            <w:tcW w:w="705" w:type="dxa"/>
            <w:tcBorders>
              <w:top w:val="nil"/>
              <w:left w:val="nil"/>
              <w:bottom w:val="single" w:sz="4" w:space="0" w:color="auto"/>
              <w:right w:val="single" w:sz="4" w:space="0" w:color="auto"/>
            </w:tcBorders>
            <w:noWrap/>
            <w:vAlign w:val="center"/>
          </w:tcPr>
          <w:p w14:paraId="370C0149" w14:textId="64B2B7EB" w:rsidR="00336238" w:rsidRPr="0002056A" w:rsidRDefault="00336238" w:rsidP="00336238">
            <w:pPr>
              <w:spacing w:after="0"/>
              <w:jc w:val="center"/>
              <w:rPr>
                <w:rFonts w:ascii="Georgia" w:hAnsi="Georgia"/>
                <w:color w:val="000000"/>
                <w:sz w:val="10"/>
                <w:szCs w:val="10"/>
                <w:lang w:val="en-GB"/>
              </w:rPr>
            </w:pPr>
            <w:r w:rsidRPr="0002056A">
              <w:rPr>
                <w:rFonts w:ascii="Georgia" w:hAnsi="Georgia"/>
                <w:color w:val="000000"/>
                <w:sz w:val="10"/>
                <w:szCs w:val="10"/>
                <w:lang w:val="en-GB"/>
              </w:rPr>
              <w:t>2012</w:t>
            </w:r>
          </w:p>
        </w:tc>
        <w:tc>
          <w:tcPr>
            <w:tcW w:w="1137" w:type="dxa"/>
            <w:tcBorders>
              <w:top w:val="nil"/>
              <w:left w:val="nil"/>
              <w:bottom w:val="single" w:sz="4" w:space="0" w:color="auto"/>
              <w:right w:val="single" w:sz="4" w:space="0" w:color="auto"/>
            </w:tcBorders>
            <w:vAlign w:val="center"/>
          </w:tcPr>
          <w:p w14:paraId="629A2A6E" w14:textId="4564EEEC"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Think global, act local? The relevance of place attachments and place identities in a climate changed world</w:t>
            </w:r>
          </w:p>
        </w:tc>
        <w:tc>
          <w:tcPr>
            <w:tcW w:w="1134" w:type="dxa"/>
            <w:tcBorders>
              <w:top w:val="nil"/>
              <w:left w:val="nil"/>
              <w:bottom w:val="single" w:sz="4" w:space="0" w:color="auto"/>
              <w:right w:val="single" w:sz="4" w:space="0" w:color="auto"/>
            </w:tcBorders>
            <w:vAlign w:val="center"/>
          </w:tcPr>
          <w:p w14:paraId="4F5AA0CA" w14:textId="2B290A8D"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UKG</w:t>
            </w:r>
          </w:p>
        </w:tc>
        <w:tc>
          <w:tcPr>
            <w:tcW w:w="708" w:type="dxa"/>
            <w:tcBorders>
              <w:top w:val="nil"/>
              <w:left w:val="nil"/>
              <w:bottom w:val="single" w:sz="4" w:space="0" w:color="auto"/>
              <w:right w:val="single" w:sz="4" w:space="0" w:color="auto"/>
            </w:tcBorders>
            <w:vAlign w:val="center"/>
          </w:tcPr>
          <w:p w14:paraId="62D755A0" w14:textId="210A6655"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Science Direct</w:t>
            </w:r>
          </w:p>
        </w:tc>
        <w:tc>
          <w:tcPr>
            <w:tcW w:w="851" w:type="dxa"/>
            <w:tcBorders>
              <w:top w:val="nil"/>
              <w:left w:val="nil"/>
              <w:bottom w:val="single" w:sz="4" w:space="0" w:color="auto"/>
              <w:right w:val="single" w:sz="4" w:space="0" w:color="auto"/>
            </w:tcBorders>
            <w:noWrap/>
            <w:vAlign w:val="center"/>
          </w:tcPr>
          <w:p w14:paraId="79FCB8B5" w14:textId="3587E6A2"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climate policy, climate adaptation planning</w:t>
            </w:r>
          </w:p>
        </w:tc>
        <w:tc>
          <w:tcPr>
            <w:tcW w:w="993" w:type="dxa"/>
            <w:tcBorders>
              <w:top w:val="nil"/>
              <w:left w:val="nil"/>
              <w:bottom w:val="single" w:sz="4" w:space="0" w:color="auto"/>
              <w:right w:val="single" w:sz="4" w:space="0" w:color="auto"/>
            </w:tcBorders>
            <w:vAlign w:val="center"/>
          </w:tcPr>
          <w:p w14:paraId="6F46F2EF" w14:textId="0E37B11C"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Global Environmental Change, Volume 23, Issue 1, February 2013, Pages 61-69. https://doi.org/10.1016/j.gloenvcha.2012.08.003</w:t>
            </w:r>
          </w:p>
        </w:tc>
        <w:tc>
          <w:tcPr>
            <w:tcW w:w="708" w:type="dxa"/>
            <w:tcBorders>
              <w:top w:val="nil"/>
              <w:left w:val="nil"/>
              <w:bottom w:val="single" w:sz="4" w:space="0" w:color="auto"/>
              <w:right w:val="single" w:sz="4" w:space="0" w:color="auto"/>
            </w:tcBorders>
            <w:vAlign w:val="center"/>
          </w:tcPr>
          <w:p w14:paraId="0FE2AC58" w14:textId="468F362F"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article</w:t>
            </w:r>
          </w:p>
        </w:tc>
        <w:tc>
          <w:tcPr>
            <w:tcW w:w="851" w:type="dxa"/>
            <w:tcBorders>
              <w:top w:val="nil"/>
              <w:left w:val="nil"/>
              <w:bottom w:val="single" w:sz="4" w:space="0" w:color="auto"/>
              <w:right w:val="single" w:sz="4" w:space="0" w:color="auto"/>
            </w:tcBorders>
            <w:vAlign w:val="center"/>
          </w:tcPr>
          <w:p w14:paraId="05FA66A4" w14:textId="7F1E756C"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yes</w:t>
            </w:r>
          </w:p>
        </w:tc>
        <w:tc>
          <w:tcPr>
            <w:tcW w:w="708" w:type="dxa"/>
            <w:tcBorders>
              <w:top w:val="nil"/>
              <w:left w:val="nil"/>
              <w:bottom w:val="single" w:sz="4" w:space="0" w:color="auto"/>
              <w:right w:val="single" w:sz="8" w:space="0" w:color="auto"/>
            </w:tcBorders>
            <w:vAlign w:val="center"/>
          </w:tcPr>
          <w:p w14:paraId="72405DAB" w14:textId="4E8BB3F5"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primary</w:t>
            </w:r>
          </w:p>
        </w:tc>
        <w:tc>
          <w:tcPr>
            <w:tcW w:w="3686" w:type="dxa"/>
            <w:tcBorders>
              <w:top w:val="nil"/>
              <w:left w:val="nil"/>
              <w:bottom w:val="single" w:sz="4" w:space="0" w:color="auto"/>
              <w:right w:val="single" w:sz="8" w:space="0" w:color="auto"/>
            </w:tcBorders>
            <w:vAlign w:val="center"/>
          </w:tcPr>
          <w:p w14:paraId="2C53B6F6"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article takes up and extends Feitelson's argument for more systematic research on place attachments and climate change. First, the paper critically reviews interdisciplinary literature on place attachment and the related concept of place identity, drawing on scholarship in human geography, environmental and social psychology. </w:t>
            </w:r>
          </w:p>
          <w:p w14:paraId="2A565CE3" w14:textId="04B49DB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4E363C5E" w14:textId="0E3FDE6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concludes with five recommendations for future research: to capture place attachments and identities at global as well as local scales; to integrate qualitative and quantitative methods that capture constructions of place as well as intensity of attachments and identifications; to investigate links between attachments, identities and collective actions, particular ‘NIMBY’ resistance to adaptation and mitigation strategies; to apply greater precision when investigating spatial frames of risk communication; and to investigate links between global attachments and identities, environmental worldviews and climate change engagement. </w:t>
            </w:r>
          </w:p>
        </w:tc>
      </w:tr>
      <w:tr w:rsidR="00336238" w:rsidRPr="0002056A" w14:paraId="4F831ACA" w14:textId="77777777" w:rsidTr="00D57247">
        <w:trPr>
          <w:trHeight w:val="926"/>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913D848" w14:textId="6035F2D5" w:rsidR="00336238" w:rsidRPr="0002056A" w:rsidRDefault="00336238" w:rsidP="00037E02">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Directorate General for Regional Policy </w:t>
            </w:r>
          </w:p>
          <w:p w14:paraId="5592BC76" w14:textId="5596F668" w:rsidR="00336238" w:rsidRPr="0002056A" w:rsidRDefault="00336238" w:rsidP="00037E02">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7954D800" w14:textId="002CDC95" w:rsidR="00336238" w:rsidRPr="0002056A" w:rsidRDefault="00336238" w:rsidP="00037E02">
            <w:pPr>
              <w:spacing w:after="0"/>
              <w:jc w:val="center"/>
              <w:rPr>
                <w:rFonts w:ascii="Georgia" w:hAnsi="Georgia"/>
                <w:color w:val="000000"/>
                <w:sz w:val="10"/>
                <w:szCs w:val="10"/>
                <w:lang w:val="en-GB"/>
              </w:rPr>
            </w:pPr>
            <w:r w:rsidRPr="0002056A">
              <w:rPr>
                <w:rFonts w:ascii="Georgia" w:hAnsi="Georgia"/>
                <w:color w:val="000000"/>
                <w:sz w:val="10"/>
                <w:szCs w:val="10"/>
                <w:lang w:val="en-GB"/>
              </w:rPr>
              <w:t>2009</w:t>
            </w:r>
          </w:p>
        </w:tc>
        <w:tc>
          <w:tcPr>
            <w:tcW w:w="1137" w:type="dxa"/>
            <w:tcBorders>
              <w:top w:val="nil"/>
              <w:left w:val="nil"/>
              <w:bottom w:val="single" w:sz="4" w:space="0" w:color="auto"/>
              <w:right w:val="single" w:sz="4" w:space="0" w:color="auto"/>
            </w:tcBorders>
            <w:vAlign w:val="center"/>
          </w:tcPr>
          <w:p w14:paraId="46EF6FBC" w14:textId="267AC58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Regions 2020 – The Climate Change Challenge for European Regions</w:t>
            </w:r>
          </w:p>
        </w:tc>
        <w:tc>
          <w:tcPr>
            <w:tcW w:w="1134" w:type="dxa"/>
            <w:tcBorders>
              <w:top w:val="nil"/>
              <w:left w:val="nil"/>
              <w:bottom w:val="single" w:sz="4" w:space="0" w:color="auto"/>
              <w:right w:val="single" w:sz="4" w:space="0" w:color="auto"/>
            </w:tcBorders>
            <w:vAlign w:val="center"/>
          </w:tcPr>
          <w:p w14:paraId="6A9E6353" w14:textId="2A9B894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EU</w:t>
            </w:r>
          </w:p>
        </w:tc>
        <w:tc>
          <w:tcPr>
            <w:tcW w:w="708" w:type="dxa"/>
            <w:tcBorders>
              <w:top w:val="nil"/>
              <w:left w:val="nil"/>
              <w:bottom w:val="single" w:sz="4" w:space="0" w:color="auto"/>
              <w:right w:val="single" w:sz="4" w:space="0" w:color="auto"/>
            </w:tcBorders>
            <w:vAlign w:val="center"/>
          </w:tcPr>
          <w:p w14:paraId="595553CC" w14:textId="1B2CC511"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DG Regio</w:t>
            </w:r>
          </w:p>
        </w:tc>
        <w:tc>
          <w:tcPr>
            <w:tcW w:w="851" w:type="dxa"/>
            <w:tcBorders>
              <w:top w:val="nil"/>
              <w:left w:val="nil"/>
              <w:bottom w:val="single" w:sz="4" w:space="0" w:color="auto"/>
              <w:right w:val="single" w:sz="4" w:space="0" w:color="auto"/>
            </w:tcBorders>
            <w:noWrap/>
            <w:vAlign w:val="center"/>
          </w:tcPr>
          <w:p w14:paraId="397CA17C" w14:textId="24543DF7"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climate policy, climate adaptation planning</w:t>
            </w:r>
          </w:p>
        </w:tc>
        <w:tc>
          <w:tcPr>
            <w:tcW w:w="993" w:type="dxa"/>
            <w:tcBorders>
              <w:top w:val="nil"/>
              <w:left w:val="nil"/>
              <w:bottom w:val="single" w:sz="4" w:space="0" w:color="auto"/>
              <w:right w:val="single" w:sz="4" w:space="0" w:color="auto"/>
            </w:tcBorders>
            <w:vAlign w:val="center"/>
          </w:tcPr>
          <w:p w14:paraId="7D4BECDB" w14:textId="0C9A405D"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Online at: http://ec.europa.eu/regional_policy/sources/docoffic/working/regions2020/pdf/regions2020_climat.pdf (17.9.2010) Brüssel 2009</w:t>
            </w:r>
          </w:p>
        </w:tc>
        <w:tc>
          <w:tcPr>
            <w:tcW w:w="708" w:type="dxa"/>
            <w:tcBorders>
              <w:top w:val="nil"/>
              <w:left w:val="nil"/>
              <w:bottom w:val="single" w:sz="4" w:space="0" w:color="auto"/>
              <w:right w:val="single" w:sz="4" w:space="0" w:color="auto"/>
            </w:tcBorders>
            <w:vAlign w:val="center"/>
          </w:tcPr>
          <w:p w14:paraId="64CA9374" w14:textId="5FD9947B"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policy paper</w:t>
            </w:r>
          </w:p>
        </w:tc>
        <w:tc>
          <w:tcPr>
            <w:tcW w:w="851" w:type="dxa"/>
            <w:tcBorders>
              <w:top w:val="nil"/>
              <w:left w:val="nil"/>
              <w:bottom w:val="single" w:sz="4" w:space="0" w:color="auto"/>
              <w:right w:val="single" w:sz="4" w:space="0" w:color="auto"/>
            </w:tcBorders>
            <w:vAlign w:val="center"/>
          </w:tcPr>
          <w:p w14:paraId="4A87B9C2" w14:textId="1244734B"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no</w:t>
            </w:r>
          </w:p>
        </w:tc>
        <w:tc>
          <w:tcPr>
            <w:tcW w:w="708" w:type="dxa"/>
            <w:tcBorders>
              <w:top w:val="nil"/>
              <w:left w:val="nil"/>
              <w:bottom w:val="single" w:sz="4" w:space="0" w:color="auto"/>
              <w:right w:val="single" w:sz="8" w:space="0" w:color="auto"/>
            </w:tcBorders>
            <w:vAlign w:val="center"/>
          </w:tcPr>
          <w:p w14:paraId="53EE218A" w14:textId="0952D5D4" w:rsidR="00336238" w:rsidRPr="0002056A" w:rsidRDefault="00336238" w:rsidP="00336238">
            <w:pPr>
              <w:spacing w:after="0"/>
              <w:rPr>
                <w:rFonts w:ascii="Georgia" w:hAnsi="Georgia"/>
                <w:color w:val="000000"/>
                <w:sz w:val="10"/>
                <w:szCs w:val="10"/>
                <w:lang w:val="en-GB"/>
              </w:rPr>
            </w:pPr>
            <w:r w:rsidRPr="0002056A">
              <w:rPr>
                <w:rFonts w:ascii="Georgia" w:hAnsi="Georgia"/>
                <w:color w:val="000000"/>
                <w:sz w:val="10"/>
                <w:szCs w:val="10"/>
                <w:lang w:val="en-GB"/>
              </w:rPr>
              <w:t>primary</w:t>
            </w:r>
          </w:p>
        </w:tc>
        <w:tc>
          <w:tcPr>
            <w:tcW w:w="3686" w:type="dxa"/>
            <w:tcBorders>
              <w:top w:val="nil"/>
              <w:left w:val="nil"/>
              <w:bottom w:val="single" w:sz="4" w:space="0" w:color="auto"/>
              <w:right w:val="single" w:sz="8" w:space="0" w:color="auto"/>
            </w:tcBorders>
            <w:vAlign w:val="center"/>
          </w:tcPr>
          <w:p w14:paraId="718991B5" w14:textId="652C0DF0"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Th3 paper summarizes main findings regarding changes in climate conditions in Europe, outlines some of the impacts of climate change on socio-economic conditions and identifies the regional distribution of these impacts. Preliminary conclusions are drawn in respect of the impact of climate change on regional growth potential, sustainability and quality of life.</w:t>
            </w:r>
          </w:p>
        </w:tc>
        <w:tc>
          <w:tcPr>
            <w:tcW w:w="2268" w:type="dxa"/>
            <w:tcBorders>
              <w:top w:val="nil"/>
              <w:left w:val="nil"/>
              <w:bottom w:val="single" w:sz="4" w:space="0" w:color="auto"/>
              <w:right w:val="single" w:sz="8" w:space="0" w:color="auto"/>
            </w:tcBorders>
            <w:vAlign w:val="center"/>
          </w:tcPr>
          <w:p w14:paraId="45A7C025" w14:textId="417FF4B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document provides a good xample for the use of ESPON-delimited climate change-related macro regions of Europe in decision supporting materials.</w:t>
            </w:r>
          </w:p>
        </w:tc>
      </w:tr>
      <w:tr w:rsidR="00336238" w:rsidRPr="0002056A" w14:paraId="11F44E1D" w14:textId="77777777" w:rsidTr="00D57247">
        <w:trPr>
          <w:trHeight w:val="7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AA48784" w14:textId="09B698E2"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Di Gregorio, M.; Nurrochmat, D.R.; Paavolaa, J.; Sarib, I.M.; Fatorellia, L.; Pramovab, E.; Locatelli, B.; Brockhaus, M.; Kusumadewia, S.D.</w:t>
            </w:r>
          </w:p>
        </w:tc>
        <w:tc>
          <w:tcPr>
            <w:tcW w:w="705" w:type="dxa"/>
            <w:tcBorders>
              <w:top w:val="nil"/>
              <w:left w:val="nil"/>
              <w:bottom w:val="single" w:sz="4" w:space="0" w:color="auto"/>
              <w:right w:val="single" w:sz="4" w:space="0" w:color="auto"/>
            </w:tcBorders>
            <w:vAlign w:val="center"/>
            <w:hideMark/>
          </w:tcPr>
          <w:p w14:paraId="54EFA4A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088B6785"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policy integration in the land use sector: Mitigation, adaptation and sustainable development linkages. </w:t>
            </w:r>
          </w:p>
        </w:tc>
        <w:tc>
          <w:tcPr>
            <w:tcW w:w="1134" w:type="dxa"/>
            <w:tcBorders>
              <w:top w:val="nil"/>
              <w:left w:val="nil"/>
              <w:bottom w:val="single" w:sz="4" w:space="0" w:color="auto"/>
              <w:right w:val="single" w:sz="4" w:space="0" w:color="auto"/>
            </w:tcBorders>
            <w:vAlign w:val="center"/>
            <w:hideMark/>
          </w:tcPr>
          <w:p w14:paraId="670F012D"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INDO, INDO, UKG, INDO, INDO,INDO, INDO, UKG, INDO</w:t>
            </w:r>
          </w:p>
        </w:tc>
        <w:tc>
          <w:tcPr>
            <w:tcW w:w="708" w:type="dxa"/>
            <w:tcBorders>
              <w:top w:val="nil"/>
              <w:left w:val="nil"/>
              <w:bottom w:val="single" w:sz="4" w:space="0" w:color="auto"/>
              <w:right w:val="single" w:sz="4" w:space="0" w:color="auto"/>
            </w:tcBorders>
            <w:vAlign w:val="center"/>
            <w:hideMark/>
          </w:tcPr>
          <w:p w14:paraId="45AD0D7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1AEA5A3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 use planning, urban planning</w:t>
            </w:r>
          </w:p>
        </w:tc>
        <w:tc>
          <w:tcPr>
            <w:tcW w:w="993" w:type="dxa"/>
            <w:tcBorders>
              <w:top w:val="nil"/>
              <w:left w:val="nil"/>
              <w:bottom w:val="single" w:sz="4" w:space="0" w:color="auto"/>
              <w:right w:val="single" w:sz="4" w:space="0" w:color="auto"/>
            </w:tcBorders>
            <w:vAlign w:val="center"/>
            <w:hideMark/>
          </w:tcPr>
          <w:p w14:paraId="2B938423"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Science &amp; Policy 67 (2017) pp. 35–43</w:t>
            </w:r>
          </w:p>
        </w:tc>
        <w:tc>
          <w:tcPr>
            <w:tcW w:w="708" w:type="dxa"/>
            <w:tcBorders>
              <w:top w:val="nil"/>
              <w:left w:val="nil"/>
              <w:bottom w:val="single" w:sz="4" w:space="0" w:color="auto"/>
              <w:right w:val="single" w:sz="4" w:space="0" w:color="auto"/>
            </w:tcBorders>
            <w:vAlign w:val="center"/>
            <w:hideMark/>
          </w:tcPr>
          <w:p w14:paraId="5541073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ABF5E7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A96E02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9212BFA" w14:textId="61AF0620"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article re-conceptualizes Climate Policy Integration (CPI) in the land use sector to highlight the need to assess the level of integration of mitigation and adaptation objectives and policies to minimize trade-offs and to exploit synergies. It suggests that effective CPI in the land use sector requires i) internal climate policy coherence between mitigation and adaptation objectives and policies; ii) external climate policy coherence between climate change and development objectives; iii) vertical policy integration to mainstream climate change into sectoral policies </w:t>
            </w:r>
            <w:r w:rsidR="00875741" w:rsidRPr="0002056A">
              <w:rPr>
                <w:rFonts w:ascii="Georgia" w:eastAsia="Times New Roman" w:hAnsi="Georgia" w:cs="Times New Roman"/>
                <w:color w:val="000000"/>
                <w:sz w:val="10"/>
                <w:szCs w:val="10"/>
                <w:lang w:val="en-GB" w:eastAsia="hu-HU"/>
              </w:rPr>
              <w:t>and</w:t>
            </w:r>
            <w:r w:rsidRPr="0002056A">
              <w:rPr>
                <w:rFonts w:ascii="Georgia" w:eastAsia="Times New Roman" w:hAnsi="Georgia" w:cs="Times New Roman"/>
                <w:color w:val="000000"/>
                <w:sz w:val="10"/>
                <w:szCs w:val="10"/>
                <w:lang w:val="en-GB" w:eastAsia="hu-HU"/>
              </w:rPr>
              <w:t xml:space="preserve"> iv) horizontal policy integration by overarching governance structures for cross-sectoral coordination. This framework is used to examine CPI in the land use sector of Indonesia.</w:t>
            </w:r>
          </w:p>
        </w:tc>
        <w:tc>
          <w:tcPr>
            <w:tcW w:w="2268" w:type="dxa"/>
            <w:tcBorders>
              <w:top w:val="nil"/>
              <w:left w:val="nil"/>
              <w:bottom w:val="single" w:sz="4" w:space="0" w:color="auto"/>
              <w:right w:val="single" w:sz="8" w:space="0" w:color="auto"/>
            </w:tcBorders>
            <w:vAlign w:val="center"/>
          </w:tcPr>
          <w:p w14:paraId="38A0F56E"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Introduces the 4 main level of climate policy mainstreaming.</w:t>
            </w:r>
          </w:p>
        </w:tc>
      </w:tr>
      <w:tr w:rsidR="00336238" w:rsidRPr="0002056A" w14:paraId="308D455F" w14:textId="77777777" w:rsidTr="00D57247">
        <w:trPr>
          <w:trHeight w:val="7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DB12B5B" w14:textId="09C3FABA"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Dosch, F., Porsche, L., Schuster, P. </w:t>
            </w:r>
          </w:p>
        </w:tc>
        <w:tc>
          <w:tcPr>
            <w:tcW w:w="705" w:type="dxa"/>
            <w:tcBorders>
              <w:top w:val="nil"/>
              <w:left w:val="nil"/>
              <w:bottom w:val="single" w:sz="4" w:space="0" w:color="auto"/>
              <w:right w:val="single" w:sz="4" w:space="0" w:color="auto"/>
            </w:tcBorders>
            <w:vAlign w:val="center"/>
          </w:tcPr>
          <w:p w14:paraId="20D91083" w14:textId="573E9FB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425B2BE2" w14:textId="1CD2979E"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Anpassung an den Klimawandel aus europäischer Perspektive.</w:t>
            </w:r>
          </w:p>
        </w:tc>
        <w:tc>
          <w:tcPr>
            <w:tcW w:w="1134" w:type="dxa"/>
            <w:tcBorders>
              <w:top w:val="nil"/>
              <w:left w:val="nil"/>
              <w:bottom w:val="single" w:sz="4" w:space="0" w:color="auto"/>
              <w:right w:val="single" w:sz="4" w:space="0" w:color="auto"/>
            </w:tcBorders>
            <w:vAlign w:val="center"/>
          </w:tcPr>
          <w:p w14:paraId="3EAF6314" w14:textId="0CEED40B"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w:t>
            </w:r>
          </w:p>
        </w:tc>
        <w:tc>
          <w:tcPr>
            <w:tcW w:w="708" w:type="dxa"/>
            <w:tcBorders>
              <w:top w:val="nil"/>
              <w:left w:val="nil"/>
              <w:bottom w:val="single" w:sz="4" w:space="0" w:color="auto"/>
              <w:right w:val="single" w:sz="4" w:space="0" w:color="auto"/>
            </w:tcBorders>
            <w:vAlign w:val="center"/>
          </w:tcPr>
          <w:p w14:paraId="6978D845" w14:textId="4945411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BBSR</w:t>
            </w:r>
          </w:p>
        </w:tc>
        <w:tc>
          <w:tcPr>
            <w:tcW w:w="851" w:type="dxa"/>
            <w:tcBorders>
              <w:top w:val="nil"/>
              <w:left w:val="nil"/>
              <w:bottom w:val="single" w:sz="4" w:space="0" w:color="auto"/>
              <w:right w:val="single" w:sz="4" w:space="0" w:color="auto"/>
            </w:tcBorders>
            <w:vAlign w:val="center"/>
          </w:tcPr>
          <w:p w14:paraId="5C0DBF62" w14:textId="02B4695E"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geography, regional development</w:t>
            </w:r>
          </w:p>
        </w:tc>
        <w:tc>
          <w:tcPr>
            <w:tcW w:w="993" w:type="dxa"/>
            <w:tcBorders>
              <w:top w:val="nil"/>
              <w:left w:val="nil"/>
              <w:bottom w:val="single" w:sz="4" w:space="0" w:color="auto"/>
              <w:right w:val="single" w:sz="4" w:space="0" w:color="auto"/>
            </w:tcBorders>
            <w:vAlign w:val="center"/>
          </w:tcPr>
          <w:p w14:paraId="1673F728" w14:textId="2444E604"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Informationen zur Raumentwicklung, No 6/7. 2008, pp.381-394.</w:t>
            </w:r>
          </w:p>
        </w:tc>
        <w:tc>
          <w:tcPr>
            <w:tcW w:w="708" w:type="dxa"/>
            <w:tcBorders>
              <w:top w:val="nil"/>
              <w:left w:val="nil"/>
              <w:bottom w:val="single" w:sz="4" w:space="0" w:color="auto"/>
              <w:right w:val="single" w:sz="4" w:space="0" w:color="auto"/>
            </w:tcBorders>
            <w:vAlign w:val="center"/>
          </w:tcPr>
          <w:p w14:paraId="79DD8A3A" w14:textId="77C31F5D"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30CC4F6" w14:textId="355C5520"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BECEECD" w14:textId="323A8318"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B921BB8" w14:textId="76BF0148"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summarises the results of </w:t>
            </w:r>
            <w:r w:rsidR="00875741" w:rsidRPr="0002056A">
              <w:rPr>
                <w:rFonts w:ascii="Georgia" w:eastAsia="Times New Roman" w:hAnsi="Georgia" w:cs="Times New Roman"/>
                <w:color w:val="000000"/>
                <w:sz w:val="10"/>
                <w:szCs w:val="10"/>
                <w:lang w:val="en-GB" w:eastAsia="hu-HU"/>
              </w:rPr>
              <w:t>research</w:t>
            </w:r>
            <w:r w:rsidRPr="0002056A">
              <w:rPr>
                <w:rFonts w:ascii="Georgia" w:eastAsia="Times New Roman" w:hAnsi="Georgia" w:cs="Times New Roman"/>
                <w:color w:val="000000"/>
                <w:sz w:val="10"/>
                <w:szCs w:val="10"/>
                <w:lang w:val="en-GB" w:eastAsia="hu-HU"/>
              </w:rPr>
              <w:t xml:space="preserve"> from the time of the first generation of National Adaptation Strategies of Europe. It mentions that Strategic approach was missing in adaptation policy; no connections were analysed bet ween spatial planning and adaptation policy and the risk governance cycle. Nevertheless, numerous adaptation- and spatial planning-related sectoral actions could be identified in the analysed countries, first of all in water and flood management, but risk management and urban planning also showed some perfect examples.</w:t>
            </w:r>
          </w:p>
        </w:tc>
        <w:tc>
          <w:tcPr>
            <w:tcW w:w="2268" w:type="dxa"/>
            <w:tcBorders>
              <w:top w:val="nil"/>
              <w:left w:val="nil"/>
              <w:bottom w:val="single" w:sz="4" w:space="0" w:color="auto"/>
              <w:right w:val="single" w:sz="8" w:space="0" w:color="auto"/>
            </w:tcBorders>
            <w:vAlign w:val="center"/>
          </w:tcPr>
          <w:p w14:paraId="1F3E353E" w14:textId="12075F12"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is an example of used methodology. The basic tool applied by the research was narrative description of national adaptation strategies, concentrating especially of the interventions identified within these or in other sectoral national strategies, in 5 special fields connected to spatial planning. No quantitative assessment of spatial performance or emergence of spatial aspects were applied, only the presence of the mentioned intervention fields was analysed in the strategies.</w:t>
            </w:r>
          </w:p>
        </w:tc>
      </w:tr>
      <w:tr w:rsidR="00336238" w:rsidRPr="0002056A" w14:paraId="376EE9C0" w14:textId="77777777" w:rsidTr="00D57247">
        <w:trPr>
          <w:trHeight w:val="7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50A4317" w14:textId="3FA6ACEA"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Dombi, M. </w:t>
            </w:r>
          </w:p>
          <w:p w14:paraId="63718F7E"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169AC698" w14:textId="2A5B165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4AC16553" w14:textId="6C286CE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Types of planning systems and effects on construction material volumes: An explanatory analysis in Europe.</w:t>
            </w:r>
          </w:p>
        </w:tc>
        <w:tc>
          <w:tcPr>
            <w:tcW w:w="1134" w:type="dxa"/>
            <w:tcBorders>
              <w:top w:val="nil"/>
              <w:left w:val="nil"/>
              <w:bottom w:val="single" w:sz="4" w:space="0" w:color="auto"/>
              <w:right w:val="single" w:sz="4" w:space="0" w:color="auto"/>
            </w:tcBorders>
            <w:vAlign w:val="center"/>
          </w:tcPr>
          <w:p w14:paraId="7858EC27" w14:textId="19FD636E"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06688D8E" w14:textId="40A82112"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740B3DF3" w14:textId="539D0A89"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economy, spatial planning</w:t>
            </w:r>
          </w:p>
        </w:tc>
        <w:tc>
          <w:tcPr>
            <w:tcW w:w="993" w:type="dxa"/>
            <w:tcBorders>
              <w:top w:val="nil"/>
              <w:left w:val="nil"/>
              <w:bottom w:val="single" w:sz="4" w:space="0" w:color="auto"/>
              <w:right w:val="single" w:sz="4" w:space="0" w:color="auto"/>
            </w:tcBorders>
            <w:vAlign w:val="center"/>
          </w:tcPr>
          <w:p w14:paraId="6E548A69" w14:textId="49E20602"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 Use Policy 109 (2021) 105682.</w:t>
            </w:r>
          </w:p>
        </w:tc>
        <w:tc>
          <w:tcPr>
            <w:tcW w:w="708" w:type="dxa"/>
            <w:tcBorders>
              <w:top w:val="nil"/>
              <w:left w:val="nil"/>
              <w:bottom w:val="single" w:sz="4" w:space="0" w:color="auto"/>
              <w:right w:val="single" w:sz="4" w:space="0" w:color="auto"/>
            </w:tcBorders>
            <w:vAlign w:val="center"/>
          </w:tcPr>
          <w:p w14:paraId="3C4ED727" w14:textId="6A3F46EC"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7A0DA7F" w14:textId="1890A8B9"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0EB001F" w14:textId="00A584A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27071C4" w14:textId="1CCB500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Based on a panel dataset of 35 European countries for 1995–2017, the article assesses the effect of governance and spatial planning factors, as well as of core socio-economic indicators (namely, GDP per capita, urbanization, and economic structure) at the national level According to the results, the types of spatial governance and planning systems significantly shape the effects on construction material use. Such effects range from 67–215% relative to the most widespread system, i.e., the conformative system.</w:t>
            </w:r>
          </w:p>
        </w:tc>
        <w:tc>
          <w:tcPr>
            <w:tcW w:w="2268" w:type="dxa"/>
            <w:tcBorders>
              <w:top w:val="nil"/>
              <w:left w:val="nil"/>
              <w:bottom w:val="single" w:sz="4" w:space="0" w:color="auto"/>
              <w:right w:val="single" w:sz="8" w:space="0" w:color="auto"/>
            </w:tcBorders>
            <w:vAlign w:val="center"/>
          </w:tcPr>
          <w:p w14:paraId="6EC93122" w14:textId="02231741"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provides classification of European national spatial planning activities for the dissertation’s correlation analysis.</w:t>
            </w:r>
          </w:p>
        </w:tc>
      </w:tr>
      <w:tr w:rsidR="00336238" w:rsidRPr="0002056A" w14:paraId="31E0FBF8"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4655725"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Dunn, W.N.</w:t>
            </w:r>
          </w:p>
        </w:tc>
        <w:tc>
          <w:tcPr>
            <w:tcW w:w="705" w:type="dxa"/>
            <w:tcBorders>
              <w:top w:val="nil"/>
              <w:left w:val="nil"/>
              <w:bottom w:val="single" w:sz="4" w:space="0" w:color="auto"/>
              <w:right w:val="single" w:sz="4" w:space="0" w:color="auto"/>
            </w:tcBorders>
            <w:noWrap/>
            <w:vAlign w:val="center"/>
            <w:hideMark/>
          </w:tcPr>
          <w:p w14:paraId="1ECD118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2004</w:t>
            </w:r>
          </w:p>
        </w:tc>
        <w:tc>
          <w:tcPr>
            <w:tcW w:w="1137" w:type="dxa"/>
            <w:tcBorders>
              <w:top w:val="nil"/>
              <w:left w:val="nil"/>
              <w:bottom w:val="single" w:sz="4" w:space="0" w:color="auto"/>
              <w:right w:val="single" w:sz="4" w:space="0" w:color="auto"/>
            </w:tcBorders>
            <w:vAlign w:val="center"/>
            <w:hideMark/>
          </w:tcPr>
          <w:p w14:paraId="3C25BE15"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Public Policy Analysis. An Introduction.</w:t>
            </w:r>
          </w:p>
        </w:tc>
        <w:tc>
          <w:tcPr>
            <w:tcW w:w="1134" w:type="dxa"/>
            <w:tcBorders>
              <w:top w:val="nil"/>
              <w:left w:val="nil"/>
              <w:bottom w:val="single" w:sz="4" w:space="0" w:color="auto"/>
              <w:right w:val="single" w:sz="4" w:space="0" w:color="auto"/>
            </w:tcBorders>
            <w:vAlign w:val="center"/>
            <w:hideMark/>
          </w:tcPr>
          <w:p w14:paraId="0EFA104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2A4E8BA5"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2250005A"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evaluation theory, methodology</w:t>
            </w:r>
          </w:p>
        </w:tc>
        <w:tc>
          <w:tcPr>
            <w:tcW w:w="993" w:type="dxa"/>
            <w:tcBorders>
              <w:top w:val="nil"/>
              <w:left w:val="nil"/>
              <w:bottom w:val="single" w:sz="4" w:space="0" w:color="auto"/>
              <w:right w:val="single" w:sz="4" w:space="0" w:color="auto"/>
            </w:tcBorders>
            <w:vAlign w:val="center"/>
            <w:hideMark/>
          </w:tcPr>
          <w:p w14:paraId="722A3424"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100130976393</w:t>
            </w:r>
          </w:p>
        </w:tc>
        <w:tc>
          <w:tcPr>
            <w:tcW w:w="708" w:type="dxa"/>
            <w:tcBorders>
              <w:top w:val="nil"/>
              <w:left w:val="nil"/>
              <w:bottom w:val="single" w:sz="4" w:space="0" w:color="auto"/>
              <w:right w:val="single" w:sz="4" w:space="0" w:color="auto"/>
            </w:tcBorders>
            <w:vAlign w:val="center"/>
            <w:hideMark/>
          </w:tcPr>
          <w:p w14:paraId="581F32CD"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3FECC7B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9B6071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73A5711"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problem-oriented, integrated, multidisciplinary synthesis of concepts and methods of public policy analysis.</w:t>
            </w:r>
          </w:p>
        </w:tc>
        <w:tc>
          <w:tcPr>
            <w:tcW w:w="2268" w:type="dxa"/>
            <w:tcBorders>
              <w:top w:val="nil"/>
              <w:left w:val="nil"/>
              <w:bottom w:val="single" w:sz="4" w:space="0" w:color="auto"/>
              <w:right w:val="single" w:sz="8" w:space="0" w:color="auto"/>
            </w:tcBorders>
            <w:vAlign w:val="center"/>
          </w:tcPr>
          <w:p w14:paraId="742B080E"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public policy-oriented definitions / concepts of strategic planning.</w:t>
            </w:r>
          </w:p>
        </w:tc>
      </w:tr>
      <w:tr w:rsidR="00336238" w:rsidRPr="0002056A" w14:paraId="0731B0C6"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F2F2EBD"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Dusek, T.</w:t>
            </w:r>
          </w:p>
          <w:p w14:paraId="7020D3BC"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3667D3A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2004</w:t>
            </w:r>
          </w:p>
        </w:tc>
        <w:tc>
          <w:tcPr>
            <w:tcW w:w="1137" w:type="dxa"/>
            <w:tcBorders>
              <w:top w:val="nil"/>
              <w:left w:val="nil"/>
              <w:bottom w:val="single" w:sz="4" w:space="0" w:color="auto"/>
              <w:right w:val="single" w:sz="4" w:space="0" w:color="auto"/>
            </w:tcBorders>
            <w:vAlign w:val="center"/>
          </w:tcPr>
          <w:p w14:paraId="482F66F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területi elemzések alapjai. </w:t>
            </w:r>
          </w:p>
        </w:tc>
        <w:tc>
          <w:tcPr>
            <w:tcW w:w="1134" w:type="dxa"/>
            <w:tcBorders>
              <w:top w:val="nil"/>
              <w:left w:val="nil"/>
              <w:bottom w:val="single" w:sz="4" w:space="0" w:color="auto"/>
              <w:right w:val="single" w:sz="4" w:space="0" w:color="auto"/>
            </w:tcBorders>
            <w:vAlign w:val="center"/>
          </w:tcPr>
          <w:p w14:paraId="5D8ED00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4ACF676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ELTE-TTK, Regionális Földrajzi Tanszék, Budapest.</w:t>
            </w:r>
          </w:p>
        </w:tc>
        <w:tc>
          <w:tcPr>
            <w:tcW w:w="851" w:type="dxa"/>
            <w:tcBorders>
              <w:top w:val="nil"/>
              <w:left w:val="nil"/>
              <w:bottom w:val="single" w:sz="4" w:space="0" w:color="auto"/>
              <w:right w:val="single" w:sz="4" w:space="0" w:color="auto"/>
            </w:tcBorders>
            <w:vAlign w:val="center"/>
          </w:tcPr>
          <w:p w14:paraId="11BE7924" w14:textId="77777777" w:rsidR="00336238" w:rsidRPr="0002056A" w:rsidDel="0068412F"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533A1FB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Regionális tudományi tanulmányok 10. </w:t>
            </w:r>
          </w:p>
        </w:tc>
        <w:tc>
          <w:tcPr>
            <w:tcW w:w="708" w:type="dxa"/>
            <w:tcBorders>
              <w:top w:val="nil"/>
              <w:left w:val="nil"/>
              <w:bottom w:val="single" w:sz="4" w:space="0" w:color="auto"/>
              <w:right w:val="single" w:sz="4" w:space="0" w:color="auto"/>
            </w:tcBorders>
            <w:vAlign w:val="center"/>
          </w:tcPr>
          <w:p w14:paraId="77DE72F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2BED20E8"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314408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AFBF8CB"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purpose of the Author's work is to shed light on the fundamental problems of the territorial investigation of society, taking into account the analytical possibilities and the wide range of methodological questions related to them. The first half of the book focuses on the more plausible theoretical and methodological issues, while the second half discusses specific application problems and methodological possibilities related to these and which can be interpreted as their consequences.</w:t>
            </w:r>
          </w:p>
        </w:tc>
        <w:tc>
          <w:tcPr>
            <w:tcW w:w="2268" w:type="dxa"/>
            <w:tcBorders>
              <w:top w:val="nil"/>
              <w:left w:val="nil"/>
              <w:bottom w:val="single" w:sz="4" w:space="0" w:color="auto"/>
              <w:right w:val="single" w:sz="8" w:space="0" w:color="auto"/>
            </w:tcBorders>
            <w:vAlign w:val="center"/>
          </w:tcPr>
          <w:p w14:paraId="2F8472B7"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space interpretation in connection with regional analyses.</w:t>
            </w:r>
          </w:p>
        </w:tc>
      </w:tr>
      <w:tr w:rsidR="00336238" w:rsidRPr="0002056A" w14:paraId="7A6B6E01"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8574AB0"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hyperlink r:id="rId149" w:history="1">
              <w:r w:rsidRPr="0002056A">
                <w:rPr>
                  <w:rFonts w:ascii="Georgia" w:eastAsia="Times New Roman" w:hAnsi="Georgia" w:cs="Times New Roman"/>
                  <w:b/>
                  <w:bCs/>
                  <w:i/>
                  <w:iCs/>
                  <w:color w:val="000000"/>
                  <w:sz w:val="14"/>
                  <w:szCs w:val="14"/>
                  <w:lang w:val="en-GB" w:eastAsia="hu-HU"/>
                </w:rPr>
                <w:t xml:space="preserve">Edmunds, R., Marchant, T. </w:t>
              </w:r>
            </w:hyperlink>
          </w:p>
        </w:tc>
        <w:tc>
          <w:tcPr>
            <w:tcW w:w="705" w:type="dxa"/>
            <w:tcBorders>
              <w:top w:val="nil"/>
              <w:left w:val="nil"/>
              <w:bottom w:val="single" w:sz="4" w:space="0" w:color="auto"/>
              <w:right w:val="single" w:sz="4" w:space="0" w:color="auto"/>
            </w:tcBorders>
            <w:noWrap/>
            <w:vAlign w:val="center"/>
            <w:hideMark/>
          </w:tcPr>
          <w:p w14:paraId="67D9029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hideMark/>
          </w:tcPr>
          <w:p w14:paraId="0B459E6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Official Statistics and Monitoring</w:t>
            </w:r>
          </w:p>
          <w:p w14:paraId="08DB4BD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and Evaluation Systems</w:t>
            </w:r>
          </w:p>
          <w:p w14:paraId="5FF9FA5B"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Developing Countries:</w:t>
            </w:r>
          </w:p>
          <w:p w14:paraId="1406612F"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Friends or Foes? </w:t>
            </w:r>
          </w:p>
        </w:tc>
        <w:tc>
          <w:tcPr>
            <w:tcW w:w="1134" w:type="dxa"/>
            <w:tcBorders>
              <w:top w:val="nil"/>
              <w:left w:val="nil"/>
              <w:bottom w:val="single" w:sz="4" w:space="0" w:color="auto"/>
              <w:right w:val="single" w:sz="4" w:space="0" w:color="auto"/>
            </w:tcBorders>
            <w:vAlign w:val="center"/>
            <w:hideMark/>
          </w:tcPr>
          <w:p w14:paraId="53CAFFA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2DBF3AC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851" w:type="dxa"/>
            <w:tcBorders>
              <w:top w:val="nil"/>
              <w:left w:val="nil"/>
              <w:bottom w:val="single" w:sz="4" w:space="0" w:color="auto"/>
              <w:right w:val="single" w:sz="4" w:space="0" w:color="auto"/>
            </w:tcBorders>
            <w:vAlign w:val="center"/>
            <w:hideMark/>
          </w:tcPr>
          <w:p w14:paraId="1C3EE79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Evaluation theory, methodology</w:t>
            </w:r>
          </w:p>
        </w:tc>
        <w:tc>
          <w:tcPr>
            <w:tcW w:w="993" w:type="dxa"/>
            <w:tcBorders>
              <w:top w:val="nil"/>
              <w:left w:val="nil"/>
              <w:bottom w:val="single" w:sz="4" w:space="0" w:color="auto"/>
              <w:right w:val="single" w:sz="4" w:space="0" w:color="auto"/>
            </w:tcBorders>
            <w:vAlign w:val="center"/>
            <w:hideMark/>
          </w:tcPr>
          <w:p w14:paraId="3446888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Partnership in Statistics for Development in the 21st Century (PARIS21). Retrieved from </w:t>
            </w:r>
            <w:hyperlink r:id="rId150" w:history="1">
              <w:r w:rsidRPr="0002056A">
                <w:rPr>
                  <w:rStyle w:val="Hiperhivatkozs"/>
                  <w:rFonts w:ascii="Georgia" w:eastAsia="Times New Roman" w:hAnsi="Georgia" w:cs="Times New Roman"/>
                  <w:sz w:val="10"/>
                  <w:szCs w:val="10"/>
                  <w:lang w:val="en-GB" w:eastAsia="hu-HU"/>
                </w:rPr>
                <w:t>https://paris21.org/sites/default/files/3638.pdf</w:t>
              </w:r>
            </w:hyperlink>
          </w:p>
        </w:tc>
        <w:tc>
          <w:tcPr>
            <w:tcW w:w="708" w:type="dxa"/>
            <w:tcBorders>
              <w:top w:val="nil"/>
              <w:left w:val="nil"/>
              <w:bottom w:val="single" w:sz="4" w:space="0" w:color="auto"/>
              <w:right w:val="single" w:sz="4" w:space="0" w:color="auto"/>
            </w:tcBorders>
            <w:vAlign w:val="center"/>
            <w:hideMark/>
          </w:tcPr>
          <w:p w14:paraId="10EFAD1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hideMark/>
          </w:tcPr>
          <w:p w14:paraId="55D0C26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4BE718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91579BE"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explores the linkages between official statistics and monitoring and evaluation (M&amp;E) processes within the context of low-income countries and donor supported poverty reduction strategies. Whilst the analysis does not specifically include middle-income countries some of the conclusions may be</w:t>
            </w:r>
          </w:p>
          <w:p w14:paraId="27EC4EF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relevant to them</w:t>
            </w:r>
          </w:p>
        </w:tc>
        <w:tc>
          <w:tcPr>
            <w:tcW w:w="2268" w:type="dxa"/>
            <w:tcBorders>
              <w:top w:val="nil"/>
              <w:left w:val="nil"/>
              <w:bottom w:val="single" w:sz="4" w:space="0" w:color="auto"/>
              <w:right w:val="single" w:sz="8" w:space="0" w:color="auto"/>
            </w:tcBorders>
            <w:vAlign w:val="center"/>
          </w:tcPr>
          <w:p w14:paraId="2F9ECEAC"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main definitions of MRE as well as main methodological challenges.</w:t>
            </w:r>
          </w:p>
        </w:tc>
      </w:tr>
      <w:tr w:rsidR="00336238" w:rsidRPr="0002056A" w14:paraId="46A03B8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A7ED44D" w14:textId="46D1CB4A"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ESPON </w:t>
            </w:r>
          </w:p>
        </w:tc>
        <w:tc>
          <w:tcPr>
            <w:tcW w:w="705" w:type="dxa"/>
            <w:tcBorders>
              <w:top w:val="nil"/>
              <w:left w:val="nil"/>
              <w:bottom w:val="single" w:sz="4" w:space="0" w:color="auto"/>
              <w:right w:val="single" w:sz="4" w:space="0" w:color="auto"/>
            </w:tcBorders>
            <w:noWrap/>
            <w:vAlign w:val="center"/>
          </w:tcPr>
          <w:p w14:paraId="5EA36AA8" w14:textId="2BEFBE9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1D7C46D9" w14:textId="19FCBBE4"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ESPON Climate&gt; Climate Change and Territorial Effects on Regions and Local Economies Applied Research 2013/1/4 Final Report Version 31/5/2011</w:t>
            </w:r>
          </w:p>
          <w:p w14:paraId="3E3FA352" w14:textId="43B6BD63"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Executive Summary</w:t>
            </w:r>
          </w:p>
        </w:tc>
        <w:tc>
          <w:tcPr>
            <w:tcW w:w="1134" w:type="dxa"/>
            <w:tcBorders>
              <w:top w:val="nil"/>
              <w:left w:val="nil"/>
              <w:bottom w:val="single" w:sz="4" w:space="0" w:color="auto"/>
              <w:right w:val="single" w:sz="4" w:space="0" w:color="auto"/>
            </w:tcBorders>
            <w:vAlign w:val="center"/>
          </w:tcPr>
          <w:p w14:paraId="2A695708" w14:textId="6731473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63CAA5F" w14:textId="18203F99"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ESPON and IRPD</w:t>
            </w:r>
          </w:p>
        </w:tc>
        <w:tc>
          <w:tcPr>
            <w:tcW w:w="851" w:type="dxa"/>
            <w:tcBorders>
              <w:top w:val="nil"/>
              <w:left w:val="nil"/>
              <w:bottom w:val="single" w:sz="4" w:space="0" w:color="auto"/>
              <w:right w:val="single" w:sz="4" w:space="0" w:color="auto"/>
            </w:tcBorders>
            <w:vAlign w:val="center"/>
          </w:tcPr>
          <w:p w14:paraId="0060B789" w14:textId="4E91B1F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regional study</w:t>
            </w:r>
          </w:p>
        </w:tc>
        <w:tc>
          <w:tcPr>
            <w:tcW w:w="993" w:type="dxa"/>
            <w:tcBorders>
              <w:top w:val="nil"/>
              <w:left w:val="nil"/>
              <w:bottom w:val="single" w:sz="4" w:space="0" w:color="auto"/>
              <w:right w:val="single" w:sz="4" w:space="0" w:color="auto"/>
            </w:tcBorders>
            <w:vAlign w:val="center"/>
          </w:tcPr>
          <w:p w14:paraId="5BF30F5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978-2-919777-04-4</w:t>
            </w:r>
          </w:p>
          <w:p w14:paraId="196DBF04" w14:textId="16A045A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ESPON &amp; IRPUD, TU Dortmund, 2011.</w:t>
            </w:r>
          </w:p>
        </w:tc>
        <w:tc>
          <w:tcPr>
            <w:tcW w:w="708" w:type="dxa"/>
            <w:tcBorders>
              <w:top w:val="nil"/>
              <w:left w:val="nil"/>
              <w:bottom w:val="single" w:sz="4" w:space="0" w:color="auto"/>
              <w:right w:val="single" w:sz="4" w:space="0" w:color="auto"/>
            </w:tcBorders>
            <w:vAlign w:val="center"/>
          </w:tcPr>
          <w:p w14:paraId="2245B16E" w14:textId="1F194609"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final research report</w:t>
            </w:r>
          </w:p>
        </w:tc>
        <w:tc>
          <w:tcPr>
            <w:tcW w:w="851" w:type="dxa"/>
            <w:tcBorders>
              <w:top w:val="nil"/>
              <w:left w:val="nil"/>
              <w:bottom w:val="single" w:sz="4" w:space="0" w:color="auto"/>
              <w:right w:val="single" w:sz="4" w:space="0" w:color="auto"/>
            </w:tcBorders>
            <w:vAlign w:val="center"/>
          </w:tcPr>
          <w:p w14:paraId="66B49AE9" w14:textId="4BD7524A"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9A7D9C7" w14:textId="07991874"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75A67CE" w14:textId="5FE7D1E5"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Territorial development is generally considered as very important for dealing with climate change. The EU White Paper „Adapting to climate change: Towards a European framework for action” explicitly relates to spatial planning and territorial development, respectively. In the EU Territorial </w:t>
            </w:r>
            <w:r w:rsidR="00875741" w:rsidRPr="0002056A">
              <w:rPr>
                <w:rFonts w:ascii="Georgia" w:eastAsia="Times New Roman" w:hAnsi="Georgia" w:cs="Times New Roman"/>
                <w:color w:val="000000"/>
                <w:sz w:val="10"/>
                <w:szCs w:val="10"/>
                <w:lang w:val="en-GB" w:eastAsia="hu-HU"/>
              </w:rPr>
              <w:t>Agenda,</w:t>
            </w:r>
            <w:r w:rsidRPr="0002056A">
              <w:rPr>
                <w:rFonts w:ascii="Georgia" w:eastAsia="Times New Roman" w:hAnsi="Georgia" w:cs="Times New Roman"/>
                <w:color w:val="000000"/>
                <w:sz w:val="10"/>
                <w:szCs w:val="10"/>
                <w:lang w:val="en-GB" w:eastAsia="hu-HU"/>
              </w:rPr>
              <w:t xml:space="preserve"> it is stipulated under Priority 5 that further work is required to develop and intensify territorial cohesion policy, particularly with respect to the consequences of territorially differentiated adaptation strategies. However, territorially differentiated adaptation strategies call for an evidence basis. This is what the ESPON Climate project is mainly about</w:t>
            </w:r>
            <w:r w:rsidR="006E7B44" w:rsidRPr="0002056A">
              <w:rPr>
                <w:rFonts w:ascii="Georgia" w:eastAsia="Times New Roman" w:hAnsi="Georgia" w:cs="Times New Roman"/>
                <w:color w:val="000000"/>
                <w:sz w:val="10"/>
                <w:szCs w:val="10"/>
                <w:lang w:val="en-GB" w:eastAsia="hu-HU"/>
              </w:rPr>
              <w:t>.</w:t>
            </w:r>
          </w:p>
        </w:tc>
        <w:tc>
          <w:tcPr>
            <w:tcW w:w="2268" w:type="dxa"/>
            <w:tcBorders>
              <w:top w:val="nil"/>
              <w:left w:val="nil"/>
              <w:bottom w:val="single" w:sz="4" w:space="0" w:color="auto"/>
              <w:right w:val="single" w:sz="8" w:space="0" w:color="auto"/>
            </w:tcBorders>
            <w:vAlign w:val="center"/>
          </w:tcPr>
          <w:p w14:paraId="624D32BC" w14:textId="66C3980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Introducing basic climate challenge macro regions and their spatial development implications.</w:t>
            </w:r>
            <w:r w:rsidR="006E7B44" w:rsidRPr="0002056A">
              <w:rPr>
                <w:rFonts w:ascii="Georgia" w:eastAsia="Times New Roman" w:hAnsi="Georgia" w:cs="Times New Roman"/>
                <w:color w:val="000000"/>
                <w:sz w:val="10"/>
                <w:szCs w:val="10"/>
                <w:lang w:val="en-GB" w:eastAsia="hu-HU"/>
              </w:rPr>
              <w:t xml:space="preserve"> providing a pan-European vulnerability assessment as a basis for identifying regional typologies of climate change exposure, sensitivity, impact and vulnerability. </w:t>
            </w:r>
          </w:p>
        </w:tc>
      </w:tr>
      <w:tr w:rsidR="00336238" w:rsidRPr="0002056A" w14:paraId="179EB9C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6680E2F"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p w14:paraId="60F4D140" w14:textId="77777777" w:rsidR="00336238" w:rsidRPr="0002056A" w:rsidRDefault="00336238" w:rsidP="00336238">
            <w:pPr>
              <w:spacing w:after="0" w:line="240" w:lineRule="auto"/>
              <w:ind w:left="360"/>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2B0C7C9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tcPr>
          <w:p w14:paraId="19145565" w14:textId="6E2B41CA"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TO THE SPRING EUROPEAN COUNCIL. Working together for growth and jobs A new start for the Lisbon Strategy. Communication from President Barroso in agreement with Vice-President Verheugen</w:t>
            </w:r>
          </w:p>
        </w:tc>
        <w:tc>
          <w:tcPr>
            <w:tcW w:w="1134" w:type="dxa"/>
            <w:tcBorders>
              <w:top w:val="nil"/>
              <w:left w:val="nil"/>
              <w:bottom w:val="single" w:sz="4" w:space="0" w:color="auto"/>
              <w:right w:val="single" w:sz="4" w:space="0" w:color="auto"/>
            </w:tcBorders>
            <w:vAlign w:val="center"/>
          </w:tcPr>
          <w:p w14:paraId="3C1CC16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6358C94"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3F5EC7A8" w14:textId="77777777" w:rsidR="00336238" w:rsidRPr="0002056A" w:rsidDel="0068412F"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321E5338" w14:textId="6A92822B"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Brussels, 2.2.2005 </w:t>
            </w:r>
            <w:r w:rsidR="009E5BD0" w:rsidRPr="0002056A">
              <w:rPr>
                <w:rFonts w:ascii="Georgia" w:eastAsia="Times New Roman" w:hAnsi="Georgia" w:cs="Times New Roman"/>
                <w:color w:val="000000"/>
                <w:sz w:val="10"/>
                <w:szCs w:val="10"/>
                <w:lang w:val="en-GB" w:eastAsia="hu-HU"/>
              </w:rPr>
              <w:t>COM (</w:t>
            </w:r>
            <w:r w:rsidRPr="0002056A">
              <w:rPr>
                <w:rFonts w:ascii="Georgia" w:eastAsia="Times New Roman" w:hAnsi="Georgia" w:cs="Times New Roman"/>
                <w:color w:val="000000"/>
                <w:sz w:val="10"/>
                <w:szCs w:val="10"/>
                <w:lang w:val="en-GB" w:eastAsia="hu-HU"/>
              </w:rPr>
              <w:t>2005) 24 final {</w:t>
            </w:r>
            <w:r w:rsidR="009E5BD0" w:rsidRPr="0002056A">
              <w:rPr>
                <w:rFonts w:ascii="Georgia" w:eastAsia="Times New Roman" w:hAnsi="Georgia" w:cs="Times New Roman"/>
                <w:color w:val="000000"/>
                <w:sz w:val="10"/>
                <w:szCs w:val="10"/>
                <w:lang w:val="en-GB" w:eastAsia="hu-HU"/>
              </w:rPr>
              <w:t>SEC (</w:t>
            </w:r>
            <w:r w:rsidRPr="0002056A">
              <w:rPr>
                <w:rFonts w:ascii="Georgia" w:eastAsia="Times New Roman" w:hAnsi="Georgia" w:cs="Times New Roman"/>
                <w:color w:val="000000"/>
                <w:sz w:val="10"/>
                <w:szCs w:val="10"/>
                <w:lang w:val="en-GB" w:eastAsia="hu-HU"/>
              </w:rPr>
              <w:t>2005) 192} {</w:t>
            </w:r>
            <w:r w:rsidR="009E5BD0" w:rsidRPr="0002056A">
              <w:rPr>
                <w:rFonts w:ascii="Georgia" w:eastAsia="Times New Roman" w:hAnsi="Georgia" w:cs="Times New Roman"/>
                <w:color w:val="000000"/>
                <w:sz w:val="10"/>
                <w:szCs w:val="10"/>
                <w:lang w:val="en-GB" w:eastAsia="hu-HU"/>
              </w:rPr>
              <w:t>SEC (</w:t>
            </w:r>
            <w:r w:rsidRPr="0002056A">
              <w:rPr>
                <w:rFonts w:ascii="Georgia" w:eastAsia="Times New Roman" w:hAnsi="Georgia" w:cs="Times New Roman"/>
                <w:color w:val="000000"/>
                <w:sz w:val="10"/>
                <w:szCs w:val="10"/>
                <w:lang w:val="en-GB" w:eastAsia="hu-HU"/>
              </w:rPr>
              <w:t>2005) 193}</w:t>
            </w:r>
          </w:p>
        </w:tc>
        <w:tc>
          <w:tcPr>
            <w:tcW w:w="708" w:type="dxa"/>
            <w:tcBorders>
              <w:top w:val="nil"/>
              <w:left w:val="nil"/>
              <w:bottom w:val="single" w:sz="4" w:space="0" w:color="auto"/>
              <w:right w:val="single" w:sz="4" w:space="0" w:color="auto"/>
            </w:tcBorders>
            <w:vAlign w:val="center"/>
          </w:tcPr>
          <w:p w14:paraId="506B675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4368E9F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AE5B09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8B50366"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Communication from President Barroso in agreement with Vice-President Verheugen on the Spring European Council - Working together for growth and jobs - A new start for the Lisbon Strategy. </w:t>
            </w:r>
          </w:p>
        </w:tc>
        <w:tc>
          <w:tcPr>
            <w:tcW w:w="2268" w:type="dxa"/>
            <w:tcBorders>
              <w:top w:val="nil"/>
              <w:left w:val="nil"/>
              <w:bottom w:val="single" w:sz="4" w:space="0" w:color="auto"/>
              <w:right w:val="single" w:sz="8" w:space="0" w:color="auto"/>
            </w:tcBorders>
            <w:vAlign w:val="center"/>
          </w:tcPr>
          <w:p w14:paraId="635038C5" w14:textId="5A675056"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657155E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7819483"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European Commission </w:t>
            </w:r>
          </w:p>
          <w:p w14:paraId="3F6E4669"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048FFC6B" w14:textId="512B3CBB"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tcPr>
          <w:p w14:paraId="4E04128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p>
          <w:p w14:paraId="53C6D40C" w14:textId="77777777" w:rsidR="0037054F" w:rsidRPr="0002056A" w:rsidRDefault="0037054F" w:rsidP="00336238">
            <w:pPr>
              <w:spacing w:after="0" w:line="240" w:lineRule="auto"/>
              <w:rPr>
                <w:rFonts w:ascii="Georgia" w:eastAsia="Times New Roman" w:hAnsi="Georgia" w:cs="Times New Roman"/>
                <w:color w:val="000000"/>
                <w:sz w:val="10"/>
                <w:szCs w:val="10"/>
                <w:lang w:val="en-GB" w:eastAsia="hu-HU"/>
              </w:rPr>
            </w:pPr>
          </w:p>
          <w:p w14:paraId="0D48942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FROM THE COMMISSION TO THE COUNCIL, THE</w:t>
            </w:r>
          </w:p>
          <w:p w14:paraId="43A74DAB" w14:textId="005F4EB9"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PARLIAMENT, THE EUROPEAN ECONOMIC AND SOCIAL</w:t>
            </w:r>
            <w:r w:rsidR="0037054F"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COMMITTEE AND THE COMMITTEE OF THE REGIONS</w:t>
            </w:r>
            <w:r w:rsidR="0037054F"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Winning the Battle Against Global Climate Change</w:t>
            </w:r>
          </w:p>
          <w:p w14:paraId="5A1B532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p>
          <w:p w14:paraId="14969E82" w14:textId="77777777" w:rsidR="0037054F" w:rsidRPr="0002056A" w:rsidRDefault="0037054F" w:rsidP="00336238">
            <w:pPr>
              <w:spacing w:after="0" w:line="240" w:lineRule="auto"/>
              <w:rPr>
                <w:rFonts w:ascii="Georgia" w:eastAsia="Times New Roman" w:hAnsi="Georgia" w:cs="Times New Roman"/>
                <w:color w:val="000000"/>
                <w:sz w:val="10"/>
                <w:szCs w:val="10"/>
                <w:lang w:val="en-GB" w:eastAsia="hu-HU"/>
              </w:rPr>
            </w:pPr>
          </w:p>
          <w:p w14:paraId="22D35948" w14:textId="3EAF54AF" w:rsidR="0037054F" w:rsidRPr="0002056A" w:rsidRDefault="0037054F" w:rsidP="00336238">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2114F2C7" w14:textId="1A1DC9C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BB28B0B" w14:textId="03D1EA34"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4B8CFB2A" w14:textId="27126E63"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41A7A25B"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Brussels, 9.2.2005</w:t>
            </w:r>
          </w:p>
          <w:p w14:paraId="570C558C" w14:textId="2520214E" w:rsidR="00336238" w:rsidRPr="0002056A" w:rsidRDefault="009E5BD0"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 (</w:t>
            </w:r>
            <w:r w:rsidR="00336238" w:rsidRPr="0002056A">
              <w:rPr>
                <w:rFonts w:ascii="Georgia" w:eastAsia="Times New Roman" w:hAnsi="Georgia" w:cs="Times New Roman"/>
                <w:color w:val="000000"/>
                <w:sz w:val="10"/>
                <w:szCs w:val="10"/>
                <w:lang w:val="en-GB" w:eastAsia="hu-HU"/>
              </w:rPr>
              <w:t>2005) 35 final</w:t>
            </w:r>
          </w:p>
          <w:p w14:paraId="7A8C4FBF" w14:textId="0E2848D8"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t>
            </w:r>
            <w:r w:rsidR="009E5BD0" w:rsidRPr="0002056A">
              <w:rPr>
                <w:rFonts w:ascii="Georgia" w:eastAsia="Times New Roman" w:hAnsi="Georgia" w:cs="Times New Roman"/>
                <w:color w:val="000000"/>
                <w:sz w:val="10"/>
                <w:szCs w:val="10"/>
                <w:lang w:val="en-GB" w:eastAsia="hu-HU"/>
              </w:rPr>
              <w:t>SEC (</w:t>
            </w:r>
            <w:r w:rsidRPr="0002056A">
              <w:rPr>
                <w:rFonts w:ascii="Georgia" w:eastAsia="Times New Roman" w:hAnsi="Georgia" w:cs="Times New Roman"/>
                <w:color w:val="000000"/>
                <w:sz w:val="10"/>
                <w:szCs w:val="10"/>
                <w:lang w:val="en-GB" w:eastAsia="hu-HU"/>
              </w:rPr>
              <w:t>2005) 180}</w:t>
            </w:r>
          </w:p>
        </w:tc>
        <w:tc>
          <w:tcPr>
            <w:tcW w:w="708" w:type="dxa"/>
            <w:tcBorders>
              <w:top w:val="nil"/>
              <w:left w:val="nil"/>
              <w:bottom w:val="single" w:sz="4" w:space="0" w:color="auto"/>
              <w:right w:val="single" w:sz="4" w:space="0" w:color="auto"/>
            </w:tcBorders>
            <w:vAlign w:val="center"/>
          </w:tcPr>
          <w:p w14:paraId="73DC5C40" w14:textId="1883DD96"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67CC0BD8" w14:textId="15D8898E"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9EF3C68" w14:textId="2F21B9B2"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9ED1A95" w14:textId="08C76D3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key European Commission communication launching the Second European Climate Change Programme (ECCP II) in February 2005, outlining strategies to meet Kyoto Protocol commitments and integrate climate action with the Lisbon Strategy for growth, focusing on cost-effective emission reductions through wider sector inclusion (aviation, maritime, forestry, non-CO2 gases), emissions trading, international cooperation, and energy efficiency, especially in transport and power generation.</w:t>
            </w:r>
          </w:p>
        </w:tc>
        <w:tc>
          <w:tcPr>
            <w:tcW w:w="2268" w:type="dxa"/>
            <w:tcBorders>
              <w:top w:val="nil"/>
              <w:left w:val="nil"/>
              <w:bottom w:val="single" w:sz="4" w:space="0" w:color="auto"/>
              <w:right w:val="single" w:sz="8" w:space="0" w:color="auto"/>
            </w:tcBorders>
            <w:vAlign w:val="center"/>
          </w:tcPr>
          <w:p w14:paraId="68216D77" w14:textId="3C01A00E"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document, as an important milestone in the </w:t>
            </w:r>
            <w:r w:rsidR="009E5BD0" w:rsidRPr="0002056A">
              <w:rPr>
                <w:rFonts w:ascii="Georgia" w:eastAsia="Times New Roman" w:hAnsi="Georgia" w:cs="Times New Roman"/>
                <w:color w:val="000000"/>
                <w:sz w:val="10"/>
                <w:szCs w:val="10"/>
                <w:lang w:val="en-GB" w:eastAsia="hu-HU"/>
              </w:rPr>
              <w:t>EU’s Road</w:t>
            </w:r>
            <w:r w:rsidRPr="0002056A">
              <w:rPr>
                <w:rFonts w:ascii="Georgia" w:eastAsia="Times New Roman" w:hAnsi="Georgia" w:cs="Times New Roman"/>
                <w:color w:val="000000"/>
                <w:sz w:val="10"/>
                <w:szCs w:val="10"/>
                <w:lang w:val="en-GB" w:eastAsia="hu-HU"/>
              </w:rPr>
              <w:t xml:space="preserve"> to organised community-level adaptation policy climate neutrality serves as a key information source and example.</w:t>
            </w:r>
          </w:p>
        </w:tc>
      </w:tr>
      <w:tr w:rsidR="00336238" w:rsidRPr="0002056A" w14:paraId="55C6CFBF"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2C9413B" w14:textId="4F4A772D"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Commission</w:t>
            </w:r>
          </w:p>
        </w:tc>
        <w:tc>
          <w:tcPr>
            <w:tcW w:w="705" w:type="dxa"/>
            <w:tcBorders>
              <w:top w:val="nil"/>
              <w:left w:val="nil"/>
              <w:bottom w:val="single" w:sz="4" w:space="0" w:color="auto"/>
              <w:right w:val="single" w:sz="4" w:space="0" w:color="auto"/>
            </w:tcBorders>
            <w:noWrap/>
            <w:vAlign w:val="center"/>
          </w:tcPr>
          <w:p w14:paraId="5DD85C82" w14:textId="7D8EA549"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5061CC87" w14:textId="6AF4FC6E"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Adapting to climate change: towards a European framework for action. White paper</w:t>
            </w:r>
          </w:p>
        </w:tc>
        <w:tc>
          <w:tcPr>
            <w:tcW w:w="1134" w:type="dxa"/>
            <w:tcBorders>
              <w:top w:val="nil"/>
              <w:left w:val="nil"/>
              <w:bottom w:val="single" w:sz="4" w:space="0" w:color="auto"/>
              <w:right w:val="single" w:sz="4" w:space="0" w:color="auto"/>
            </w:tcBorders>
            <w:vAlign w:val="center"/>
          </w:tcPr>
          <w:p w14:paraId="52F0470F" w14:textId="59C23003"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66E2F97E" w14:textId="09B8C03B"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2C8A37F5" w14:textId="3B329BC2"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policy</w:t>
            </w:r>
          </w:p>
        </w:tc>
        <w:tc>
          <w:tcPr>
            <w:tcW w:w="993" w:type="dxa"/>
            <w:tcBorders>
              <w:top w:val="nil"/>
              <w:left w:val="nil"/>
              <w:bottom w:val="single" w:sz="4" w:space="0" w:color="auto"/>
              <w:right w:val="single" w:sz="4" w:space="0" w:color="auto"/>
            </w:tcBorders>
            <w:vAlign w:val="center"/>
          </w:tcPr>
          <w:p w14:paraId="773820F4" w14:textId="400DFD72"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Online at: http://eur-lex.europa.eu/LexUriServ/LexUriServ.do? uri=</w:t>
            </w:r>
            <w:r w:rsidR="009E5BD0" w:rsidRPr="0002056A">
              <w:rPr>
                <w:rFonts w:ascii="Georgia" w:eastAsia="Times New Roman" w:hAnsi="Georgia" w:cs="Times New Roman"/>
                <w:color w:val="000000"/>
                <w:sz w:val="10"/>
                <w:szCs w:val="10"/>
                <w:lang w:val="en-GB" w:eastAsia="hu-HU"/>
              </w:rPr>
              <w:t xml:space="preserve">COM: 2009:0147: </w:t>
            </w:r>
            <w:r w:rsidR="0035098D" w:rsidRPr="0002056A">
              <w:rPr>
                <w:rFonts w:ascii="Georgia" w:eastAsia="Times New Roman" w:hAnsi="Georgia" w:cs="Times New Roman"/>
                <w:color w:val="000000"/>
                <w:sz w:val="10"/>
                <w:szCs w:val="10"/>
                <w:lang w:val="en-GB" w:eastAsia="hu-HU"/>
              </w:rPr>
              <w:t>FIN: EN</w:t>
            </w:r>
            <w:r w:rsidRPr="0002056A">
              <w:rPr>
                <w:rFonts w:ascii="Georgia" w:eastAsia="Times New Roman" w:hAnsi="Georgia" w:cs="Times New Roman"/>
                <w:color w:val="000000"/>
                <w:sz w:val="10"/>
                <w:szCs w:val="10"/>
                <w:lang w:val="en-GB" w:eastAsia="hu-HU"/>
              </w:rPr>
              <w:t xml:space="preserve">:PDF (17.9.2010) </w:t>
            </w:r>
          </w:p>
          <w:p w14:paraId="4D917C08" w14:textId="72CAAAF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61502A6D" w14:textId="640EF4B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Commission: STAFF WORKING DOCUMENT</w:t>
            </w:r>
          </w:p>
        </w:tc>
        <w:tc>
          <w:tcPr>
            <w:tcW w:w="851" w:type="dxa"/>
            <w:tcBorders>
              <w:top w:val="nil"/>
              <w:left w:val="nil"/>
              <w:bottom w:val="single" w:sz="4" w:space="0" w:color="auto"/>
              <w:right w:val="single" w:sz="4" w:space="0" w:color="auto"/>
            </w:tcBorders>
            <w:vAlign w:val="center"/>
          </w:tcPr>
          <w:p w14:paraId="5B788A89" w14:textId="32D8F554"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A679C09" w14:textId="48486478"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3D9DF2F" w14:textId="71449AB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EU </w:t>
            </w:r>
            <w:r w:rsidR="007133D4" w:rsidRPr="0002056A">
              <w:rPr>
                <w:rFonts w:ascii="Georgia" w:eastAsia="Times New Roman" w:hAnsi="Georgia" w:cs="Times New Roman"/>
                <w:color w:val="000000"/>
                <w:sz w:val="10"/>
                <w:szCs w:val="10"/>
                <w:lang w:val="en-GB" w:eastAsia="hu-HU"/>
              </w:rPr>
              <w:t>Commission’s</w:t>
            </w:r>
            <w:r w:rsidRPr="0002056A">
              <w:rPr>
                <w:rFonts w:ascii="Georgia" w:eastAsia="Times New Roman" w:hAnsi="Georgia" w:cs="Times New Roman"/>
                <w:color w:val="000000"/>
                <w:sz w:val="10"/>
                <w:szCs w:val="10"/>
                <w:lang w:val="en-GB" w:eastAsia="hu-HU"/>
              </w:rPr>
              <w:t xml:space="preserve"> White Paper sets out a framework to reduce the EU’s vulnerability to the impact of climate change. It builds on the wide-ranging consultation launched in 2007 by the Green Paper on Adapting to Climate Change in Europe and further research efforts that identified action to be taken in the short-term. The framework is designed to evolve as further evidence becomes available. It will complement action by Member States and support wider international efforts to adapt to climate change, particularly in developing countries. The EU is working with other partner countries in the UNFCCC2 towards a post-2012 climate agreement which will address adaptation as well as mitigation. The Commission's proposals in this context are set out in the Communication entitled “Towards a comprehensive climate change agreement in Copenhagen”.</w:t>
            </w:r>
          </w:p>
        </w:tc>
        <w:tc>
          <w:tcPr>
            <w:tcW w:w="2268" w:type="dxa"/>
            <w:tcBorders>
              <w:top w:val="nil"/>
              <w:left w:val="nil"/>
              <w:bottom w:val="single" w:sz="4" w:space="0" w:color="auto"/>
              <w:right w:val="single" w:sz="8" w:space="0" w:color="auto"/>
            </w:tcBorders>
            <w:vAlign w:val="center"/>
          </w:tcPr>
          <w:p w14:paraId="4853E6B7" w14:textId="5E6A388D"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document, </w:t>
            </w:r>
            <w:r w:rsidR="009E5BD0" w:rsidRPr="0002056A">
              <w:rPr>
                <w:rFonts w:ascii="Georgia" w:eastAsia="Times New Roman" w:hAnsi="Georgia" w:cs="Times New Roman"/>
                <w:color w:val="000000"/>
                <w:sz w:val="10"/>
                <w:szCs w:val="10"/>
                <w:lang w:val="en-GB" w:eastAsia="hu-HU"/>
              </w:rPr>
              <w:t>similarly,</w:t>
            </w:r>
            <w:r w:rsidRPr="0002056A">
              <w:rPr>
                <w:rFonts w:ascii="Georgia" w:eastAsia="Times New Roman" w:hAnsi="Georgia" w:cs="Times New Roman"/>
                <w:color w:val="000000"/>
                <w:sz w:val="10"/>
                <w:szCs w:val="10"/>
                <w:lang w:val="en-GB" w:eastAsia="hu-HU"/>
              </w:rPr>
              <w:t xml:space="preserve"> to the one mentioned by the previous record as an important milestone in the EU’s road to organised community-level adaptation policy climate neutrality serves as a key information source and example.</w:t>
            </w:r>
          </w:p>
        </w:tc>
      </w:tr>
      <w:tr w:rsidR="00336238" w:rsidRPr="0002056A" w14:paraId="0AA779F9"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63F9208" w14:textId="6BE10A8F"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 Commission </w:t>
            </w:r>
          </w:p>
        </w:tc>
        <w:tc>
          <w:tcPr>
            <w:tcW w:w="705" w:type="dxa"/>
            <w:tcBorders>
              <w:top w:val="nil"/>
              <w:left w:val="nil"/>
              <w:bottom w:val="single" w:sz="4" w:space="0" w:color="auto"/>
              <w:right w:val="single" w:sz="4" w:space="0" w:color="auto"/>
            </w:tcBorders>
            <w:noWrap/>
            <w:vAlign w:val="center"/>
          </w:tcPr>
          <w:p w14:paraId="3FD2171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79CDCE6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20 20 by 2020 Europe’s climate change opportunity. </w:t>
            </w:r>
          </w:p>
        </w:tc>
        <w:tc>
          <w:tcPr>
            <w:tcW w:w="1134" w:type="dxa"/>
            <w:tcBorders>
              <w:top w:val="nil"/>
              <w:left w:val="nil"/>
              <w:bottom w:val="single" w:sz="4" w:space="0" w:color="auto"/>
              <w:right w:val="single" w:sz="4" w:space="0" w:color="auto"/>
            </w:tcBorders>
            <w:vAlign w:val="center"/>
          </w:tcPr>
          <w:p w14:paraId="67747D4A"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7AF7767E"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0289AE39" w14:textId="77777777" w:rsidR="00336238" w:rsidRPr="0002056A" w:rsidDel="0068412F"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76ED6A4A" w14:textId="25419A3D" w:rsidR="00336238" w:rsidRPr="0002056A" w:rsidRDefault="009E5BD0"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 (</w:t>
            </w:r>
            <w:r w:rsidR="00336238" w:rsidRPr="0002056A">
              <w:rPr>
                <w:rFonts w:ascii="Georgia" w:eastAsia="Times New Roman" w:hAnsi="Georgia" w:cs="Times New Roman"/>
                <w:color w:val="000000"/>
                <w:sz w:val="10"/>
                <w:szCs w:val="10"/>
                <w:lang w:val="en-GB" w:eastAsia="hu-HU"/>
              </w:rPr>
              <w:t>2008) 30 final Brussels, 23.1.2008</w:t>
            </w:r>
          </w:p>
        </w:tc>
        <w:tc>
          <w:tcPr>
            <w:tcW w:w="708" w:type="dxa"/>
            <w:tcBorders>
              <w:top w:val="nil"/>
              <w:left w:val="nil"/>
              <w:bottom w:val="single" w:sz="4" w:space="0" w:color="auto"/>
              <w:right w:val="single" w:sz="4" w:space="0" w:color="auto"/>
            </w:tcBorders>
            <w:vAlign w:val="center"/>
          </w:tcPr>
          <w:p w14:paraId="0D1391D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42CDF64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726E35EB"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9176BB0"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from the Commission to the European Parliament, the Council, the European Economic and Social Committee and the Committee of the Regions.</w:t>
            </w:r>
          </w:p>
        </w:tc>
        <w:tc>
          <w:tcPr>
            <w:tcW w:w="2268" w:type="dxa"/>
            <w:tcBorders>
              <w:top w:val="nil"/>
              <w:left w:val="nil"/>
              <w:bottom w:val="single" w:sz="4" w:space="0" w:color="auto"/>
              <w:right w:val="single" w:sz="8" w:space="0" w:color="auto"/>
            </w:tcBorders>
            <w:vAlign w:val="center"/>
          </w:tcPr>
          <w:p w14:paraId="628B0764" w14:textId="78E634C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2212C833"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5FEF57C"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 Commission </w:t>
            </w:r>
          </w:p>
        </w:tc>
        <w:tc>
          <w:tcPr>
            <w:tcW w:w="705" w:type="dxa"/>
            <w:tcBorders>
              <w:top w:val="nil"/>
              <w:left w:val="nil"/>
              <w:bottom w:val="single" w:sz="4" w:space="0" w:color="auto"/>
              <w:right w:val="single" w:sz="4" w:space="0" w:color="auto"/>
            </w:tcBorders>
            <w:noWrap/>
            <w:vAlign w:val="center"/>
          </w:tcPr>
          <w:p w14:paraId="311C807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2D786C8F"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EU2020 – Az intelligens, fenntartható és inkluzív növekedés stratégiája. </w:t>
            </w:r>
          </w:p>
        </w:tc>
        <w:tc>
          <w:tcPr>
            <w:tcW w:w="1134" w:type="dxa"/>
            <w:tcBorders>
              <w:top w:val="nil"/>
              <w:left w:val="nil"/>
              <w:bottom w:val="single" w:sz="4" w:space="0" w:color="auto"/>
              <w:right w:val="single" w:sz="4" w:space="0" w:color="auto"/>
            </w:tcBorders>
            <w:vAlign w:val="center"/>
          </w:tcPr>
          <w:p w14:paraId="7FE966F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81EFFD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1849E8A6" w14:textId="77777777" w:rsidR="00336238" w:rsidRPr="0002056A" w:rsidDel="0068412F"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666EE059" w14:textId="1923D454"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Európai Bizottság, Brüsszel, 2010.3.3. </w:t>
            </w:r>
            <w:r w:rsidR="009E5BD0" w:rsidRPr="0002056A">
              <w:rPr>
                <w:rFonts w:ascii="Georgia" w:eastAsia="Times New Roman" w:hAnsi="Georgia" w:cs="Times New Roman"/>
                <w:color w:val="000000"/>
                <w:sz w:val="10"/>
                <w:szCs w:val="10"/>
                <w:lang w:val="en-GB" w:eastAsia="hu-HU"/>
              </w:rPr>
              <w:t>COM (</w:t>
            </w:r>
            <w:r w:rsidRPr="0002056A">
              <w:rPr>
                <w:rFonts w:ascii="Georgia" w:eastAsia="Times New Roman" w:hAnsi="Georgia" w:cs="Times New Roman"/>
                <w:color w:val="000000"/>
                <w:sz w:val="10"/>
                <w:szCs w:val="10"/>
                <w:lang w:val="en-GB" w:eastAsia="hu-HU"/>
              </w:rPr>
              <w:t>2010).</w:t>
            </w:r>
          </w:p>
        </w:tc>
        <w:tc>
          <w:tcPr>
            <w:tcW w:w="708" w:type="dxa"/>
            <w:tcBorders>
              <w:top w:val="nil"/>
              <w:left w:val="nil"/>
              <w:bottom w:val="single" w:sz="4" w:space="0" w:color="auto"/>
              <w:right w:val="single" w:sz="4" w:space="0" w:color="auto"/>
            </w:tcBorders>
            <w:vAlign w:val="center"/>
          </w:tcPr>
          <w:p w14:paraId="46A1B17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strategy</w:t>
            </w:r>
          </w:p>
        </w:tc>
        <w:tc>
          <w:tcPr>
            <w:tcW w:w="851" w:type="dxa"/>
            <w:tcBorders>
              <w:top w:val="nil"/>
              <w:left w:val="nil"/>
              <w:bottom w:val="single" w:sz="4" w:space="0" w:color="auto"/>
              <w:right w:val="single" w:sz="4" w:space="0" w:color="auto"/>
            </w:tcBorders>
            <w:vAlign w:val="center"/>
          </w:tcPr>
          <w:p w14:paraId="4421003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112E2E0"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C96867E"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of the European Commission on the document "EUROPE 2020 - Strategy for smart, sustainable and inclusive growth".</w:t>
            </w:r>
          </w:p>
        </w:tc>
        <w:tc>
          <w:tcPr>
            <w:tcW w:w="2268" w:type="dxa"/>
            <w:tcBorders>
              <w:top w:val="nil"/>
              <w:left w:val="nil"/>
              <w:bottom w:val="single" w:sz="4" w:space="0" w:color="auto"/>
              <w:right w:val="single" w:sz="8" w:space="0" w:color="auto"/>
            </w:tcBorders>
            <w:vAlign w:val="center"/>
          </w:tcPr>
          <w:p w14:paraId="05B23E75" w14:textId="4BB19775"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65DAAB2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597211F"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tc>
        <w:tc>
          <w:tcPr>
            <w:tcW w:w="705" w:type="dxa"/>
            <w:tcBorders>
              <w:top w:val="nil"/>
              <w:left w:val="nil"/>
              <w:bottom w:val="single" w:sz="4" w:space="0" w:color="auto"/>
              <w:right w:val="single" w:sz="4" w:space="0" w:color="auto"/>
            </w:tcBorders>
            <w:noWrap/>
            <w:vAlign w:val="center"/>
          </w:tcPr>
          <w:p w14:paraId="51DE7EDF"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1999</w:t>
            </w:r>
          </w:p>
        </w:tc>
        <w:tc>
          <w:tcPr>
            <w:tcW w:w="1137" w:type="dxa"/>
            <w:tcBorders>
              <w:top w:val="nil"/>
              <w:left w:val="nil"/>
              <w:bottom w:val="single" w:sz="4" w:space="0" w:color="auto"/>
              <w:right w:val="single" w:sz="4" w:space="0" w:color="auto"/>
            </w:tcBorders>
            <w:vAlign w:val="center"/>
          </w:tcPr>
          <w:p w14:paraId="5FB61E55"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Spatial Development Perspective Towards Balanced and Sustainable Development of the Territory of the European Union (ESDP).</w:t>
            </w:r>
          </w:p>
        </w:tc>
        <w:tc>
          <w:tcPr>
            <w:tcW w:w="1134" w:type="dxa"/>
            <w:tcBorders>
              <w:top w:val="nil"/>
              <w:left w:val="nil"/>
              <w:bottom w:val="single" w:sz="4" w:space="0" w:color="auto"/>
              <w:right w:val="single" w:sz="4" w:space="0" w:color="auto"/>
            </w:tcBorders>
            <w:vAlign w:val="center"/>
          </w:tcPr>
          <w:p w14:paraId="68B67D3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BEF8F9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70653693" w14:textId="77777777" w:rsidR="00336238" w:rsidRPr="0002056A" w:rsidDel="0068412F"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75EB9C9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Agreed at the Informal Council of Ministers responsible for Spatial Planning in Potsdam, May 1999</w:t>
            </w:r>
          </w:p>
        </w:tc>
        <w:tc>
          <w:tcPr>
            <w:tcW w:w="708" w:type="dxa"/>
            <w:tcBorders>
              <w:top w:val="nil"/>
              <w:left w:val="nil"/>
              <w:bottom w:val="single" w:sz="4" w:space="0" w:color="auto"/>
              <w:right w:val="single" w:sz="4" w:space="0" w:color="auto"/>
            </w:tcBorders>
            <w:vAlign w:val="center"/>
          </w:tcPr>
          <w:p w14:paraId="6AE40C9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strategy</w:t>
            </w:r>
          </w:p>
        </w:tc>
        <w:tc>
          <w:tcPr>
            <w:tcW w:w="851" w:type="dxa"/>
            <w:tcBorders>
              <w:top w:val="nil"/>
              <w:left w:val="nil"/>
              <w:bottom w:val="single" w:sz="4" w:space="0" w:color="auto"/>
              <w:right w:val="single" w:sz="4" w:space="0" w:color="auto"/>
            </w:tcBorders>
            <w:vAlign w:val="center"/>
          </w:tcPr>
          <w:p w14:paraId="49C33FA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626D412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4847C53" w14:textId="5A30B670" w:rsidR="00336238" w:rsidRPr="0002056A" w:rsidRDefault="00336238" w:rsidP="0037054F">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Ministers responsible for Spatial Planning in the Member States of the European Union and the member of</w:t>
            </w:r>
            <w:r w:rsidR="0037054F"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the European Commission responsible for Regional Policy emphasized in Potsdam that the conclusion of the political</w:t>
            </w:r>
            <w:r w:rsidR="0037054F"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eastAsia="hu-HU"/>
              </w:rPr>
              <w:t>debate on the European Spatial Development Perspective (ESDP) was an important step in the progress towards European integration</w:t>
            </w:r>
          </w:p>
        </w:tc>
        <w:tc>
          <w:tcPr>
            <w:tcW w:w="2268" w:type="dxa"/>
            <w:tcBorders>
              <w:top w:val="nil"/>
              <w:left w:val="nil"/>
              <w:bottom w:val="single" w:sz="4" w:space="0" w:color="auto"/>
              <w:right w:val="single" w:sz="8" w:space="0" w:color="auto"/>
            </w:tcBorders>
            <w:vAlign w:val="center"/>
          </w:tcPr>
          <w:p w14:paraId="79A263C6" w14:textId="4451C2C9"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070F04B1"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0E4B357"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Commission</w:t>
            </w:r>
          </w:p>
        </w:tc>
        <w:tc>
          <w:tcPr>
            <w:tcW w:w="705" w:type="dxa"/>
            <w:tcBorders>
              <w:top w:val="nil"/>
              <w:left w:val="nil"/>
              <w:bottom w:val="single" w:sz="4" w:space="0" w:color="auto"/>
              <w:right w:val="single" w:sz="4" w:space="0" w:color="auto"/>
            </w:tcBorders>
            <w:vAlign w:val="center"/>
            <w:hideMark/>
          </w:tcPr>
          <w:p w14:paraId="30C0BE9D"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6D5D54BD"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Communication: “An EU Strategy on Adaptation to CC», </w:t>
            </w:r>
          </w:p>
        </w:tc>
        <w:tc>
          <w:tcPr>
            <w:tcW w:w="1134" w:type="dxa"/>
            <w:tcBorders>
              <w:top w:val="nil"/>
              <w:left w:val="nil"/>
              <w:bottom w:val="single" w:sz="4" w:space="0" w:color="auto"/>
              <w:right w:val="single" w:sz="4" w:space="0" w:color="auto"/>
            </w:tcBorders>
            <w:vAlign w:val="center"/>
            <w:hideMark/>
          </w:tcPr>
          <w:p w14:paraId="3088D058"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hideMark/>
          </w:tcPr>
          <w:p w14:paraId="0BAD993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EC</w:t>
            </w:r>
          </w:p>
        </w:tc>
        <w:tc>
          <w:tcPr>
            <w:tcW w:w="851" w:type="dxa"/>
            <w:tcBorders>
              <w:top w:val="nil"/>
              <w:left w:val="nil"/>
              <w:bottom w:val="single" w:sz="4" w:space="0" w:color="auto"/>
              <w:right w:val="single" w:sz="4" w:space="0" w:color="auto"/>
            </w:tcBorders>
            <w:vAlign w:val="center"/>
            <w:hideMark/>
          </w:tcPr>
          <w:p w14:paraId="1DDB6CE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05EDD44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 (2013) 216. Brussel/Strasbourg, 2013.</w:t>
            </w:r>
          </w:p>
        </w:tc>
        <w:tc>
          <w:tcPr>
            <w:tcW w:w="708" w:type="dxa"/>
            <w:tcBorders>
              <w:top w:val="nil"/>
              <w:left w:val="nil"/>
              <w:bottom w:val="single" w:sz="4" w:space="0" w:color="auto"/>
              <w:right w:val="single" w:sz="4" w:space="0" w:color="auto"/>
            </w:tcBorders>
            <w:vAlign w:val="center"/>
            <w:hideMark/>
          </w:tcPr>
          <w:p w14:paraId="0FF5730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paper</w:t>
            </w:r>
          </w:p>
        </w:tc>
        <w:tc>
          <w:tcPr>
            <w:tcW w:w="851" w:type="dxa"/>
            <w:tcBorders>
              <w:top w:val="nil"/>
              <w:left w:val="nil"/>
              <w:bottom w:val="single" w:sz="4" w:space="0" w:color="auto"/>
              <w:right w:val="single" w:sz="4" w:space="0" w:color="auto"/>
            </w:tcBorders>
            <w:vAlign w:val="center"/>
            <w:hideMark/>
          </w:tcPr>
          <w:p w14:paraId="564A6EB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0087466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0A43C39"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first EU-level adaptation strategy.</w:t>
            </w:r>
          </w:p>
        </w:tc>
        <w:tc>
          <w:tcPr>
            <w:tcW w:w="2268" w:type="dxa"/>
            <w:tcBorders>
              <w:top w:val="nil"/>
              <w:left w:val="nil"/>
              <w:bottom w:val="single" w:sz="4" w:space="0" w:color="auto"/>
              <w:right w:val="single" w:sz="8" w:space="0" w:color="auto"/>
            </w:tcBorders>
            <w:vAlign w:val="center"/>
          </w:tcPr>
          <w:p w14:paraId="17A74501" w14:textId="1633B40F"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Important milestone in the EU adaptation </w:t>
            </w:r>
            <w:r w:rsidR="009E5BD0" w:rsidRPr="0002056A">
              <w:rPr>
                <w:rFonts w:ascii="Georgia" w:eastAsia="Times New Roman" w:hAnsi="Georgia" w:cs="Times New Roman"/>
                <w:color w:val="000000"/>
                <w:sz w:val="10"/>
                <w:szCs w:val="10"/>
                <w:lang w:val="en-GB" w:eastAsia="hu-HU"/>
              </w:rPr>
              <w:t>policymaking</w:t>
            </w:r>
            <w:r w:rsidRPr="0002056A">
              <w:rPr>
                <w:rFonts w:ascii="Georgia" w:eastAsia="Times New Roman" w:hAnsi="Georgia" w:cs="Times New Roman"/>
                <w:color w:val="000000"/>
                <w:sz w:val="10"/>
                <w:szCs w:val="10"/>
                <w:lang w:val="en-GB" w:eastAsia="hu-HU"/>
              </w:rPr>
              <w:t>.</w:t>
            </w:r>
          </w:p>
        </w:tc>
      </w:tr>
      <w:tr w:rsidR="00336238" w:rsidRPr="0002056A" w14:paraId="0C868F2C"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62444B6" w14:textId="77777777" w:rsidR="007A7602" w:rsidRPr="0002056A" w:rsidRDefault="007A7602" w:rsidP="00336238">
            <w:pPr>
              <w:spacing w:after="0" w:line="240" w:lineRule="auto"/>
              <w:rPr>
                <w:rFonts w:ascii="Georgia" w:eastAsia="Times New Roman" w:hAnsi="Georgia" w:cs="Times New Roman"/>
                <w:b/>
                <w:bCs/>
                <w:i/>
                <w:iCs/>
                <w:color w:val="000000"/>
                <w:sz w:val="14"/>
                <w:szCs w:val="14"/>
                <w:lang w:val="en-GB" w:eastAsia="hu-HU"/>
              </w:rPr>
            </w:pPr>
          </w:p>
          <w:p w14:paraId="6633BF28" w14:textId="25A2159F"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 Commission </w:t>
            </w:r>
          </w:p>
          <w:p w14:paraId="10F55C39" w14:textId="77777777" w:rsidR="007A7602" w:rsidRPr="0002056A" w:rsidRDefault="007A7602" w:rsidP="00336238">
            <w:pPr>
              <w:spacing w:after="0" w:line="240" w:lineRule="auto"/>
              <w:rPr>
                <w:rFonts w:ascii="Georgia" w:eastAsia="Times New Roman" w:hAnsi="Georgia" w:cs="Times New Roman"/>
                <w:b/>
                <w:bCs/>
                <w:i/>
                <w:iCs/>
                <w:color w:val="000000"/>
                <w:sz w:val="14"/>
                <w:szCs w:val="14"/>
                <w:lang w:val="en-GB" w:eastAsia="hu-HU"/>
              </w:rPr>
            </w:pPr>
          </w:p>
          <w:p w14:paraId="6A395EF5"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35FCDFC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tcPr>
          <w:p w14:paraId="4120C787"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2030 Climate and Energy Policy Framework. </w:t>
            </w:r>
          </w:p>
        </w:tc>
        <w:tc>
          <w:tcPr>
            <w:tcW w:w="1134" w:type="dxa"/>
            <w:tcBorders>
              <w:top w:val="nil"/>
              <w:left w:val="nil"/>
              <w:bottom w:val="single" w:sz="4" w:space="0" w:color="auto"/>
              <w:right w:val="single" w:sz="4" w:space="0" w:color="auto"/>
            </w:tcBorders>
            <w:vAlign w:val="center"/>
          </w:tcPr>
          <w:p w14:paraId="21936CC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FC09C8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0B41D484"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and energy policy</w:t>
            </w:r>
          </w:p>
        </w:tc>
        <w:tc>
          <w:tcPr>
            <w:tcW w:w="993" w:type="dxa"/>
            <w:tcBorders>
              <w:top w:val="nil"/>
              <w:left w:val="nil"/>
              <w:bottom w:val="single" w:sz="4" w:space="0" w:color="auto"/>
              <w:right w:val="single" w:sz="4" w:space="0" w:color="auto"/>
            </w:tcBorders>
            <w:vAlign w:val="center"/>
          </w:tcPr>
          <w:p w14:paraId="77828DE3"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EUCO 169/14 CO EUR 13 CONCL 5. Brussels, 24 October 2014</w:t>
            </w:r>
          </w:p>
        </w:tc>
        <w:tc>
          <w:tcPr>
            <w:tcW w:w="708" w:type="dxa"/>
            <w:tcBorders>
              <w:top w:val="nil"/>
              <w:left w:val="nil"/>
              <w:bottom w:val="single" w:sz="4" w:space="0" w:color="auto"/>
              <w:right w:val="single" w:sz="4" w:space="0" w:color="auto"/>
            </w:tcBorders>
            <w:vAlign w:val="center"/>
          </w:tcPr>
          <w:p w14:paraId="668A37A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framework</w:t>
            </w:r>
          </w:p>
        </w:tc>
        <w:tc>
          <w:tcPr>
            <w:tcW w:w="851" w:type="dxa"/>
            <w:tcBorders>
              <w:top w:val="nil"/>
              <w:left w:val="nil"/>
              <w:bottom w:val="single" w:sz="4" w:space="0" w:color="auto"/>
              <w:right w:val="single" w:sz="4" w:space="0" w:color="auto"/>
            </w:tcBorders>
            <w:vAlign w:val="center"/>
          </w:tcPr>
          <w:p w14:paraId="5F86A53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B7CFFC1"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6C619D"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2030 climate and energy framework includes EU-wide targets and policy objectives for the period from 2021 to 2030</w:t>
            </w:r>
          </w:p>
        </w:tc>
        <w:tc>
          <w:tcPr>
            <w:tcW w:w="2268" w:type="dxa"/>
            <w:tcBorders>
              <w:top w:val="nil"/>
              <w:left w:val="nil"/>
              <w:bottom w:val="single" w:sz="4" w:space="0" w:color="auto"/>
              <w:right w:val="single" w:sz="8" w:space="0" w:color="auto"/>
            </w:tcBorders>
            <w:vAlign w:val="center"/>
          </w:tcPr>
          <w:p w14:paraId="79E976FC" w14:textId="687F6EB0"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framework,</w:t>
            </w:r>
            <w:r w:rsidRPr="0002056A">
              <w:rPr>
                <w:rFonts w:ascii="Georgia" w:eastAsia="Times New Roman" w:hAnsi="Georgia" w:cs="Times New Roman"/>
                <w:color w:val="000000"/>
                <w:sz w:val="10"/>
                <w:szCs w:val="10"/>
                <w:lang w:val="en-GB" w:eastAsia="hu-HU"/>
              </w:rPr>
              <w:t xml:space="preserve"> we can examine the degree of adaptation’s presence within the development directions.</w:t>
            </w:r>
          </w:p>
        </w:tc>
      </w:tr>
      <w:tr w:rsidR="00336238" w:rsidRPr="0002056A" w14:paraId="54BC4992"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12F3492"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 Commission </w:t>
            </w:r>
          </w:p>
          <w:p w14:paraId="2B00979D"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0C51BF4"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34CE4924" w14:textId="7FBE98F5"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Communication from the Commission </w:t>
            </w:r>
            <w:r w:rsidR="009E5BD0" w:rsidRPr="0002056A">
              <w:rPr>
                <w:rFonts w:ascii="Georgia" w:eastAsia="Times New Roman" w:hAnsi="Georgia" w:cs="Times New Roman"/>
                <w:color w:val="000000"/>
                <w:sz w:val="10"/>
                <w:szCs w:val="10"/>
                <w:lang w:val="en-GB" w:eastAsia="hu-HU"/>
              </w:rPr>
              <w:t>a</w:t>
            </w:r>
            <w:r w:rsidRPr="0002056A">
              <w:rPr>
                <w:rFonts w:ascii="Georgia" w:eastAsia="Times New Roman" w:hAnsi="Georgia" w:cs="Times New Roman"/>
                <w:color w:val="000000"/>
                <w:sz w:val="10"/>
                <w:szCs w:val="10"/>
                <w:lang w:val="en-GB" w:eastAsia="hu-HU"/>
              </w:rPr>
              <w:t xml:space="preserve"> Sustainable Europe for a Better World: A European Union Strategy for Sustainable Development </w:t>
            </w:r>
          </w:p>
        </w:tc>
        <w:tc>
          <w:tcPr>
            <w:tcW w:w="1134" w:type="dxa"/>
            <w:tcBorders>
              <w:top w:val="nil"/>
              <w:left w:val="nil"/>
              <w:bottom w:val="single" w:sz="4" w:space="0" w:color="auto"/>
              <w:right w:val="single" w:sz="4" w:space="0" w:color="auto"/>
            </w:tcBorders>
            <w:vAlign w:val="center"/>
          </w:tcPr>
          <w:p w14:paraId="68D8BA5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D70F098"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50CAED61"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 policy</w:t>
            </w:r>
          </w:p>
        </w:tc>
        <w:tc>
          <w:tcPr>
            <w:tcW w:w="993" w:type="dxa"/>
            <w:tcBorders>
              <w:top w:val="nil"/>
              <w:left w:val="nil"/>
              <w:bottom w:val="single" w:sz="4" w:space="0" w:color="auto"/>
              <w:right w:val="single" w:sz="4" w:space="0" w:color="auto"/>
            </w:tcBorders>
            <w:vAlign w:val="center"/>
          </w:tcPr>
          <w:p w14:paraId="14018D3D" w14:textId="2F7138F0"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COM/2001/0264 final */</w:t>
            </w:r>
          </w:p>
        </w:tc>
        <w:tc>
          <w:tcPr>
            <w:tcW w:w="708" w:type="dxa"/>
            <w:tcBorders>
              <w:top w:val="nil"/>
              <w:left w:val="nil"/>
              <w:bottom w:val="single" w:sz="4" w:space="0" w:color="auto"/>
              <w:right w:val="single" w:sz="4" w:space="0" w:color="auto"/>
            </w:tcBorders>
            <w:vAlign w:val="center"/>
          </w:tcPr>
          <w:p w14:paraId="1A941F5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3F82758A"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AE4066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8D74E86"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FROM THE COMMISSION A Sustainable Europe for a Better World: A European Union Strategy for Sustainable Development (Commission's proposal to the Gothenburg European Council)</w:t>
            </w:r>
          </w:p>
        </w:tc>
        <w:tc>
          <w:tcPr>
            <w:tcW w:w="2268" w:type="dxa"/>
            <w:tcBorders>
              <w:top w:val="nil"/>
              <w:left w:val="nil"/>
              <w:bottom w:val="single" w:sz="4" w:space="0" w:color="auto"/>
              <w:right w:val="single" w:sz="8" w:space="0" w:color="auto"/>
            </w:tcBorders>
            <w:vAlign w:val="center"/>
          </w:tcPr>
          <w:p w14:paraId="26EC5D19" w14:textId="4D0D426C"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357FF7D8"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65F3670"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 Commission </w:t>
            </w:r>
          </w:p>
        </w:tc>
        <w:tc>
          <w:tcPr>
            <w:tcW w:w="705" w:type="dxa"/>
            <w:tcBorders>
              <w:top w:val="nil"/>
              <w:left w:val="nil"/>
              <w:bottom w:val="single" w:sz="4" w:space="0" w:color="auto"/>
              <w:right w:val="single" w:sz="4" w:space="0" w:color="auto"/>
            </w:tcBorders>
            <w:vAlign w:val="center"/>
          </w:tcPr>
          <w:p w14:paraId="1DB83CB5"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3FFDB350"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REFLECTION PAPER TOWARDS A SUSTAINABLE EUROPE BY 2030. </w:t>
            </w:r>
          </w:p>
        </w:tc>
        <w:tc>
          <w:tcPr>
            <w:tcW w:w="1134" w:type="dxa"/>
            <w:tcBorders>
              <w:top w:val="nil"/>
              <w:left w:val="nil"/>
              <w:bottom w:val="single" w:sz="4" w:space="0" w:color="auto"/>
              <w:right w:val="single" w:sz="4" w:space="0" w:color="auto"/>
            </w:tcBorders>
            <w:vAlign w:val="center"/>
          </w:tcPr>
          <w:p w14:paraId="02D4C97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840FBE6"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300C661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 policy</w:t>
            </w:r>
          </w:p>
        </w:tc>
        <w:tc>
          <w:tcPr>
            <w:tcW w:w="993" w:type="dxa"/>
            <w:tcBorders>
              <w:top w:val="nil"/>
              <w:left w:val="nil"/>
              <w:bottom w:val="single" w:sz="4" w:space="0" w:color="auto"/>
              <w:right w:val="single" w:sz="4" w:space="0" w:color="auto"/>
            </w:tcBorders>
            <w:vAlign w:val="center"/>
          </w:tcPr>
          <w:p w14:paraId="66B598C2"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Commission COM (2019)22 of 30 January 2019, Brussels.</w:t>
            </w:r>
          </w:p>
        </w:tc>
        <w:tc>
          <w:tcPr>
            <w:tcW w:w="708" w:type="dxa"/>
            <w:tcBorders>
              <w:top w:val="nil"/>
              <w:left w:val="nil"/>
              <w:bottom w:val="single" w:sz="4" w:space="0" w:color="auto"/>
              <w:right w:val="single" w:sz="4" w:space="0" w:color="auto"/>
            </w:tcBorders>
            <w:vAlign w:val="center"/>
          </w:tcPr>
          <w:p w14:paraId="5FB235D9"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reflection paper</w:t>
            </w:r>
          </w:p>
        </w:tc>
        <w:tc>
          <w:tcPr>
            <w:tcW w:w="851" w:type="dxa"/>
            <w:tcBorders>
              <w:top w:val="nil"/>
              <w:left w:val="nil"/>
              <w:bottom w:val="single" w:sz="4" w:space="0" w:color="auto"/>
              <w:right w:val="single" w:sz="4" w:space="0" w:color="auto"/>
            </w:tcBorders>
            <w:vAlign w:val="center"/>
          </w:tcPr>
          <w:p w14:paraId="52C8AAD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774EA7E2"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F8B88A2"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 deliver an EU-wide, overarching, long-term Sustainable Development Strategy accompanied by a comprehensive implementation plan to achieve the SDGs by 2030</w:t>
            </w:r>
          </w:p>
        </w:tc>
        <w:tc>
          <w:tcPr>
            <w:tcW w:w="2268" w:type="dxa"/>
            <w:tcBorders>
              <w:top w:val="nil"/>
              <w:left w:val="nil"/>
              <w:bottom w:val="single" w:sz="4" w:space="0" w:color="auto"/>
              <w:right w:val="single" w:sz="8" w:space="0" w:color="auto"/>
            </w:tcBorders>
            <w:vAlign w:val="center"/>
          </w:tcPr>
          <w:p w14:paraId="47056852" w14:textId="0A12951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26E1FAB5"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953DC15" w14:textId="77777777"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European Commission </w:t>
            </w:r>
          </w:p>
        </w:tc>
        <w:tc>
          <w:tcPr>
            <w:tcW w:w="705" w:type="dxa"/>
            <w:tcBorders>
              <w:top w:val="nil"/>
              <w:left w:val="nil"/>
              <w:bottom w:val="single" w:sz="4" w:space="0" w:color="auto"/>
              <w:right w:val="single" w:sz="4" w:space="0" w:color="auto"/>
            </w:tcBorders>
            <w:vAlign w:val="center"/>
          </w:tcPr>
          <w:p w14:paraId="712ED77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2D0CAEC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strategy for smart, sustainable and inclusive growth: EUROPE 2020 – A European strategy for smart, sustainable and inclusive growth. </w:t>
            </w:r>
          </w:p>
        </w:tc>
        <w:tc>
          <w:tcPr>
            <w:tcW w:w="1134" w:type="dxa"/>
            <w:tcBorders>
              <w:top w:val="nil"/>
              <w:left w:val="nil"/>
              <w:bottom w:val="single" w:sz="4" w:space="0" w:color="auto"/>
              <w:right w:val="single" w:sz="4" w:space="0" w:color="auto"/>
            </w:tcBorders>
            <w:vAlign w:val="center"/>
          </w:tcPr>
          <w:p w14:paraId="5A9A955C"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7760CEAC"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57E59E09" w14:textId="77777777"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1EEC9B5C" w14:textId="61C0EA66"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Brussels, 3.3.2010 </w:t>
            </w:r>
            <w:r w:rsidR="009E5BD0" w:rsidRPr="0002056A">
              <w:rPr>
                <w:rFonts w:ascii="Georgia" w:eastAsia="Times New Roman" w:hAnsi="Georgia" w:cs="Times New Roman"/>
                <w:color w:val="000000"/>
                <w:sz w:val="10"/>
                <w:szCs w:val="10"/>
                <w:lang w:val="en-GB" w:eastAsia="hu-HU"/>
              </w:rPr>
              <w:t>COM (</w:t>
            </w:r>
            <w:r w:rsidRPr="0002056A">
              <w:rPr>
                <w:rFonts w:ascii="Georgia" w:eastAsia="Times New Roman" w:hAnsi="Georgia" w:cs="Times New Roman"/>
                <w:color w:val="000000"/>
                <w:sz w:val="10"/>
                <w:szCs w:val="10"/>
                <w:lang w:val="en-GB" w:eastAsia="hu-HU"/>
              </w:rPr>
              <w:t>2010) 2020</w:t>
            </w:r>
          </w:p>
        </w:tc>
        <w:tc>
          <w:tcPr>
            <w:tcW w:w="708" w:type="dxa"/>
            <w:tcBorders>
              <w:top w:val="nil"/>
              <w:left w:val="nil"/>
              <w:bottom w:val="single" w:sz="4" w:space="0" w:color="auto"/>
              <w:right w:val="single" w:sz="4" w:space="0" w:color="auto"/>
            </w:tcBorders>
            <w:vAlign w:val="center"/>
          </w:tcPr>
          <w:p w14:paraId="7610D4F6"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strategy</w:t>
            </w:r>
          </w:p>
        </w:tc>
        <w:tc>
          <w:tcPr>
            <w:tcW w:w="851" w:type="dxa"/>
            <w:tcBorders>
              <w:top w:val="nil"/>
              <w:left w:val="nil"/>
              <w:bottom w:val="single" w:sz="4" w:space="0" w:color="auto"/>
              <w:right w:val="single" w:sz="4" w:space="0" w:color="auto"/>
            </w:tcBorders>
            <w:vAlign w:val="center"/>
          </w:tcPr>
          <w:p w14:paraId="7EC6D893"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D6F7F4E" w14:textId="77777777"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973AF93" w14:textId="77777777"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from the Commission on A strategy for smart, sustainable and inclusive growth: EUROPE 2020 – A European strategy for smart, sustainable and inclusive growth</w:t>
            </w:r>
          </w:p>
        </w:tc>
        <w:tc>
          <w:tcPr>
            <w:tcW w:w="2268" w:type="dxa"/>
            <w:tcBorders>
              <w:top w:val="nil"/>
              <w:left w:val="nil"/>
              <w:bottom w:val="single" w:sz="4" w:space="0" w:color="auto"/>
              <w:right w:val="single" w:sz="8" w:space="0" w:color="auto"/>
            </w:tcBorders>
            <w:vAlign w:val="center"/>
          </w:tcPr>
          <w:p w14:paraId="562364E1" w14:textId="6956CD70"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9E5BD0" w:rsidRPr="0002056A">
              <w:rPr>
                <w:rFonts w:ascii="Georgia" w:eastAsia="Times New Roman" w:hAnsi="Georgia" w:cs="Times New Roman"/>
                <w:color w:val="000000"/>
                <w:sz w:val="10"/>
                <w:szCs w:val="10"/>
                <w:lang w:val="en-GB" w:eastAsia="hu-HU"/>
              </w:rPr>
              <w:t>document,</w:t>
            </w:r>
            <w:r w:rsidRPr="0002056A">
              <w:rPr>
                <w:rFonts w:ascii="Georgia" w:eastAsia="Times New Roman" w:hAnsi="Georgia" w:cs="Times New Roman"/>
                <w:color w:val="000000"/>
                <w:sz w:val="10"/>
                <w:szCs w:val="10"/>
                <w:lang w:val="en-GB" w:eastAsia="hu-HU"/>
              </w:rPr>
              <w:t xml:space="preserve"> we can examine the degree of adaptation’s presence in the strategy.</w:t>
            </w:r>
          </w:p>
        </w:tc>
      </w:tr>
      <w:tr w:rsidR="00336238" w:rsidRPr="0002056A" w14:paraId="0AF7C518"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021F536" w14:textId="4064B2D2" w:rsidR="00336238" w:rsidRPr="0002056A" w:rsidRDefault="00336238" w:rsidP="00336238">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tc>
        <w:tc>
          <w:tcPr>
            <w:tcW w:w="705" w:type="dxa"/>
            <w:tcBorders>
              <w:top w:val="nil"/>
              <w:left w:val="nil"/>
              <w:bottom w:val="single" w:sz="4" w:space="0" w:color="auto"/>
              <w:right w:val="single" w:sz="4" w:space="0" w:color="auto"/>
            </w:tcBorders>
            <w:vAlign w:val="center"/>
          </w:tcPr>
          <w:p w14:paraId="61C90291" w14:textId="336B0988"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77745F72" w14:textId="467C8E5D"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hAnsi="Georgia"/>
                <w:sz w:val="10"/>
                <w:szCs w:val="10"/>
                <w:lang w:val="en-GB"/>
              </w:rPr>
              <w:t xml:space="preserve">Annex IX: Horizontal assessment of the adaptation preparedness country fiches. </w:t>
            </w:r>
          </w:p>
        </w:tc>
        <w:tc>
          <w:tcPr>
            <w:tcW w:w="1134" w:type="dxa"/>
            <w:tcBorders>
              <w:top w:val="nil"/>
              <w:left w:val="nil"/>
              <w:bottom w:val="single" w:sz="4" w:space="0" w:color="auto"/>
              <w:right w:val="single" w:sz="4" w:space="0" w:color="auto"/>
            </w:tcBorders>
            <w:vAlign w:val="center"/>
          </w:tcPr>
          <w:p w14:paraId="467E9266" w14:textId="3910C995"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00C321CF" w14:textId="54122E3F"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58F4B201" w14:textId="690C4A26"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policy</w:t>
            </w:r>
          </w:p>
        </w:tc>
        <w:tc>
          <w:tcPr>
            <w:tcW w:w="993" w:type="dxa"/>
            <w:tcBorders>
              <w:top w:val="nil"/>
              <w:left w:val="nil"/>
              <w:bottom w:val="single" w:sz="4" w:space="0" w:color="auto"/>
              <w:right w:val="single" w:sz="4" w:space="0" w:color="auto"/>
            </w:tcBorders>
            <w:vAlign w:val="center"/>
          </w:tcPr>
          <w:p w14:paraId="3E5DA5DC" w14:textId="336E5895" w:rsidR="00336238" w:rsidRPr="0002056A" w:rsidRDefault="00336238" w:rsidP="00336238">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https://ec.europa.eu/clima/sites/clima/files/adapta tion/what/docs/horizontal_assessment_en.pdf</w:t>
            </w:r>
          </w:p>
        </w:tc>
        <w:tc>
          <w:tcPr>
            <w:tcW w:w="708" w:type="dxa"/>
            <w:tcBorders>
              <w:top w:val="nil"/>
              <w:left w:val="nil"/>
              <w:bottom w:val="single" w:sz="4" w:space="0" w:color="auto"/>
              <w:right w:val="single" w:sz="4" w:space="0" w:color="auto"/>
            </w:tcBorders>
            <w:vAlign w:val="center"/>
          </w:tcPr>
          <w:p w14:paraId="29B0B187" w14:textId="5C397C0F"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7A976241" w14:textId="6042C84E"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CA14C21" w14:textId="7D0B383E" w:rsidR="00336238" w:rsidRPr="0002056A" w:rsidRDefault="00336238" w:rsidP="00336238">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2F252D8" w14:textId="456E8693"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hAnsi="Georgia"/>
                <w:sz w:val="10"/>
                <w:szCs w:val="10"/>
                <w:lang w:val="en-GB"/>
              </w:rPr>
              <w:t>Horizontal assessment of the adaptation preparedness in EU member states</w:t>
            </w:r>
          </w:p>
        </w:tc>
        <w:tc>
          <w:tcPr>
            <w:tcW w:w="2268" w:type="dxa"/>
            <w:tcBorders>
              <w:top w:val="nil"/>
              <w:left w:val="nil"/>
              <w:bottom w:val="single" w:sz="4" w:space="0" w:color="auto"/>
              <w:right w:val="single" w:sz="8" w:space="0" w:color="auto"/>
            </w:tcBorders>
            <w:vAlign w:val="center"/>
          </w:tcPr>
          <w:p w14:paraId="556125E6" w14:textId="751B9B51" w:rsidR="00336238" w:rsidRPr="0002056A" w:rsidRDefault="00336238" w:rsidP="00336238">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assessment offers important policy-oriented </w:t>
            </w:r>
            <w:r w:rsidR="007133D4" w:rsidRPr="0002056A">
              <w:rPr>
                <w:rFonts w:ascii="Georgia" w:eastAsia="Times New Roman" w:hAnsi="Georgia" w:cs="Times New Roman"/>
                <w:color w:val="000000"/>
                <w:sz w:val="10"/>
                <w:szCs w:val="10"/>
                <w:lang w:val="en-GB" w:eastAsia="hu-HU"/>
              </w:rPr>
              <w:t>information</w:t>
            </w:r>
            <w:r w:rsidRPr="0002056A">
              <w:rPr>
                <w:rFonts w:ascii="Georgia" w:eastAsia="Times New Roman" w:hAnsi="Georgia" w:cs="Times New Roman"/>
                <w:color w:val="000000"/>
                <w:sz w:val="10"/>
                <w:szCs w:val="10"/>
                <w:lang w:val="en-GB" w:eastAsia="hu-HU"/>
              </w:rPr>
              <w:t xml:space="preserve"> on national adaptation </w:t>
            </w:r>
            <w:r w:rsidR="007133D4" w:rsidRPr="0002056A">
              <w:rPr>
                <w:rFonts w:ascii="Georgia" w:eastAsia="Times New Roman" w:hAnsi="Georgia" w:cs="Times New Roman"/>
                <w:color w:val="000000"/>
                <w:sz w:val="10"/>
                <w:szCs w:val="10"/>
                <w:lang w:val="en-GB" w:eastAsia="hu-HU"/>
              </w:rPr>
              <w:t>performances</w:t>
            </w:r>
            <w:r w:rsidRPr="0002056A">
              <w:rPr>
                <w:rFonts w:ascii="Georgia" w:eastAsia="Times New Roman" w:hAnsi="Georgia" w:cs="Times New Roman"/>
                <w:color w:val="000000"/>
                <w:sz w:val="10"/>
                <w:szCs w:val="10"/>
                <w:lang w:val="en-GB" w:eastAsia="hu-HU"/>
              </w:rPr>
              <w:t>.</w:t>
            </w:r>
          </w:p>
        </w:tc>
      </w:tr>
      <w:tr w:rsidR="00A71E4B" w:rsidRPr="0002056A" w14:paraId="7C91F7CB"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9789342" w14:textId="1ADB3972"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tc>
        <w:tc>
          <w:tcPr>
            <w:tcW w:w="705" w:type="dxa"/>
            <w:tcBorders>
              <w:top w:val="nil"/>
              <w:left w:val="nil"/>
              <w:bottom w:val="single" w:sz="4" w:space="0" w:color="auto"/>
              <w:right w:val="single" w:sz="4" w:space="0" w:color="auto"/>
            </w:tcBorders>
            <w:vAlign w:val="center"/>
          </w:tcPr>
          <w:p w14:paraId="11B61575" w14:textId="78BC364E" w:rsidR="00A71E4B" w:rsidRPr="0002056A" w:rsidRDefault="00A71E4B" w:rsidP="00A71E4B">
            <w:pPr>
              <w:spacing w:after="0" w:line="240" w:lineRule="auto"/>
              <w:jc w:val="center"/>
              <w:rPr>
                <w:rFonts w:ascii="Georgia" w:eastAsia="Times New Roman" w:hAnsi="Georgia" w:cs="Times New Roman"/>
                <w:iCs/>
                <w:smallCaps/>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1161F21D" w14:textId="437B4715"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REGULATION (EU) 2018/1999 OF THE EUROPEAN PARLIAMENT AND OF THE COUNCIL of 11 December 2018 on the Governance of the Energy Union and Climate Action, </w:t>
            </w:r>
          </w:p>
        </w:tc>
        <w:tc>
          <w:tcPr>
            <w:tcW w:w="1134" w:type="dxa"/>
            <w:tcBorders>
              <w:top w:val="nil"/>
              <w:left w:val="nil"/>
              <w:bottom w:val="single" w:sz="4" w:space="0" w:color="auto"/>
              <w:right w:val="single" w:sz="4" w:space="0" w:color="auto"/>
            </w:tcBorders>
            <w:vAlign w:val="center"/>
          </w:tcPr>
          <w:p w14:paraId="7591F662" w14:textId="5B27E392"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7BA6021D" w14:textId="24523002"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2AABFDC2" w14:textId="000879A6"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policy</w:t>
            </w:r>
          </w:p>
        </w:tc>
        <w:tc>
          <w:tcPr>
            <w:tcW w:w="993" w:type="dxa"/>
            <w:tcBorders>
              <w:top w:val="nil"/>
              <w:left w:val="nil"/>
              <w:bottom w:val="single" w:sz="4" w:space="0" w:color="auto"/>
              <w:right w:val="single" w:sz="4" w:space="0" w:color="auto"/>
            </w:tcBorders>
            <w:vAlign w:val="center"/>
          </w:tcPr>
          <w:p w14:paraId="2332D29F" w14:textId="538B0717" w:rsidR="00A71E4B" w:rsidRPr="0002056A" w:rsidRDefault="002434CE" w:rsidP="00A71E4B">
            <w:pPr>
              <w:spacing w:after="0" w:line="240" w:lineRule="auto"/>
              <w:rPr>
                <w:rFonts w:ascii="Georgia" w:hAnsi="Georgia"/>
                <w:sz w:val="10"/>
                <w:szCs w:val="10"/>
                <w:lang w:val="en-GB"/>
              </w:rPr>
            </w:pPr>
            <w:r w:rsidRPr="0002056A">
              <w:rPr>
                <w:rFonts w:ascii="Georgia" w:hAnsi="Georgia"/>
                <w:sz w:val="10"/>
                <w:szCs w:val="10"/>
                <w:lang w:val="en-GB"/>
              </w:rPr>
              <w:t>11 December 2018 on the Governance of the Energy Union and Climate Action, amending Regulations (EC) No 663</w:t>
            </w:r>
          </w:p>
        </w:tc>
        <w:tc>
          <w:tcPr>
            <w:tcW w:w="708" w:type="dxa"/>
            <w:tcBorders>
              <w:top w:val="nil"/>
              <w:left w:val="nil"/>
              <w:bottom w:val="single" w:sz="4" w:space="0" w:color="auto"/>
              <w:right w:val="single" w:sz="4" w:space="0" w:color="auto"/>
            </w:tcBorders>
            <w:vAlign w:val="center"/>
          </w:tcPr>
          <w:p w14:paraId="6FC6DAC0" w14:textId="399AB545"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3AC2F269" w14:textId="7F28E876"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63DA66F5" w14:textId="5F6AF33F"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CACA36A" w14:textId="54117474" w:rsidR="00A71E4B" w:rsidRPr="0002056A" w:rsidRDefault="00A71E4B" w:rsidP="00A71E4B">
            <w:pPr>
              <w:spacing w:after="0" w:line="240" w:lineRule="auto"/>
              <w:jc w:val="both"/>
              <w:rPr>
                <w:rFonts w:ascii="Georgia" w:hAnsi="Georgia"/>
                <w:sz w:val="10"/>
                <w:szCs w:val="10"/>
                <w:lang w:val="en-GB"/>
              </w:rPr>
            </w:pPr>
            <w:r w:rsidRPr="0002056A">
              <w:rPr>
                <w:rFonts w:ascii="Georgia" w:eastAsia="Times New Roman" w:hAnsi="Georgia" w:cs="Times New Roman"/>
                <w:color w:val="000000"/>
                <w:sz w:val="10"/>
                <w:szCs w:val="10"/>
                <w:lang w:val="en-GB" w:eastAsia="hu-HU"/>
              </w:rPr>
              <w:t xml:space="preserve">Communication from the Commission to the European Parliament, the Council, about </w:t>
            </w:r>
            <w:r w:rsidR="006940C2" w:rsidRPr="0002056A">
              <w:rPr>
                <w:rFonts w:ascii="Georgia" w:eastAsia="Times New Roman" w:hAnsi="Georgia" w:cs="Times New Roman"/>
                <w:color w:val="000000"/>
                <w:sz w:val="10"/>
                <w:szCs w:val="10"/>
                <w:lang w:val="en-GB" w:eastAsia="hu-HU"/>
              </w:rPr>
              <w:t>the</w:t>
            </w:r>
            <w:r w:rsidR="003B57E8" w:rsidRPr="0002056A">
              <w:rPr>
                <w:rFonts w:ascii="Georgia" w:eastAsia="Times New Roman" w:hAnsi="Georgia" w:cs="Times New Roman"/>
                <w:color w:val="000000"/>
                <w:sz w:val="10"/>
                <w:szCs w:val="10"/>
                <w:lang w:val="en-GB" w:eastAsia="hu-HU"/>
              </w:rPr>
              <w:t xml:space="preserve"> monitoring and reporting of national adaptation measures under the EU climate policy framework, based on Regulation (EU) 1999/2018 (GovReg)</w:t>
            </w:r>
            <w:r w:rsidR="00CF5B9A" w:rsidRPr="0002056A">
              <w:rPr>
                <w:rFonts w:ascii="Georgia" w:eastAsia="Times New Roman" w:hAnsi="Georgia" w:cs="Times New Roman"/>
                <w:color w:val="000000"/>
                <w:sz w:val="10"/>
                <w:szCs w:val="10"/>
                <w:lang w:val="en-GB" w:eastAsia="hu-HU"/>
              </w:rPr>
              <w:t>.</w:t>
            </w:r>
          </w:p>
        </w:tc>
        <w:tc>
          <w:tcPr>
            <w:tcW w:w="2268" w:type="dxa"/>
            <w:tcBorders>
              <w:top w:val="nil"/>
              <w:left w:val="nil"/>
              <w:bottom w:val="single" w:sz="4" w:space="0" w:color="auto"/>
              <w:right w:val="single" w:sz="8" w:space="0" w:color="auto"/>
            </w:tcBorders>
            <w:vAlign w:val="center"/>
          </w:tcPr>
          <w:p w14:paraId="1605EE41" w14:textId="0F2CB889" w:rsidR="00A71E4B" w:rsidRPr="0002056A" w:rsidRDefault="00CF5B9A"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requires Member States to regularly report on the implementation of their integrated national energy and climate plans (NECPs), including climate adaptation actions, to the Commission every two years to ensure that climate objectives are achieved.</w:t>
            </w:r>
          </w:p>
        </w:tc>
      </w:tr>
      <w:tr w:rsidR="00A71E4B" w:rsidRPr="0002056A" w14:paraId="272455FD" w14:textId="77777777" w:rsidTr="00D57247">
        <w:trPr>
          <w:trHeight w:val="7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65BCBF8" w14:textId="77777777"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p w14:paraId="4AACB73E" w14:textId="77777777"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EFEB0AB"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6BCC8695"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Európai Zöld Megállapodás. Célkitűzéseink megvalósítása.</w:t>
            </w:r>
          </w:p>
        </w:tc>
        <w:tc>
          <w:tcPr>
            <w:tcW w:w="1134" w:type="dxa"/>
            <w:tcBorders>
              <w:top w:val="nil"/>
              <w:left w:val="nil"/>
              <w:bottom w:val="single" w:sz="4" w:space="0" w:color="auto"/>
              <w:right w:val="single" w:sz="4" w:space="0" w:color="auto"/>
            </w:tcBorders>
            <w:vAlign w:val="center"/>
          </w:tcPr>
          <w:p w14:paraId="2053E2A4"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4D2A5F41"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6D952ADC"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0E9A297E" w14:textId="1071BBDE"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 december 12-i 2011/833/EU bizottsági határozat által került végrehajtásra (HL L 330., 2011.12.14., 39. o.). Luxemburg: Az Európai Unió Kiadó Hivatala, 2021. PDF ISBN 978-92-76-39501-0</w:t>
            </w:r>
          </w:p>
        </w:tc>
        <w:tc>
          <w:tcPr>
            <w:tcW w:w="708" w:type="dxa"/>
            <w:tcBorders>
              <w:top w:val="nil"/>
              <w:left w:val="nil"/>
              <w:bottom w:val="single" w:sz="4" w:space="0" w:color="auto"/>
              <w:right w:val="single" w:sz="4" w:space="0" w:color="auto"/>
            </w:tcBorders>
            <w:vAlign w:val="center"/>
          </w:tcPr>
          <w:p w14:paraId="4B368C15"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strategy</w:t>
            </w:r>
          </w:p>
        </w:tc>
        <w:tc>
          <w:tcPr>
            <w:tcW w:w="851" w:type="dxa"/>
            <w:tcBorders>
              <w:top w:val="nil"/>
              <w:left w:val="nil"/>
              <w:bottom w:val="single" w:sz="4" w:space="0" w:color="auto"/>
              <w:right w:val="single" w:sz="4" w:space="0" w:color="auto"/>
            </w:tcBorders>
            <w:vAlign w:val="center"/>
          </w:tcPr>
          <w:p w14:paraId="06A8DC25"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7123B1B"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1722F1C" w14:textId="77777777"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Developed by the European Commission in late 2019, the European Green Deal is a roadmap to realign Europe’s economy with the trajectory to net zero, help implement the Paris Agreement and build a more sustainable and fairer society.</w:t>
            </w:r>
          </w:p>
        </w:tc>
        <w:tc>
          <w:tcPr>
            <w:tcW w:w="2268" w:type="dxa"/>
            <w:tcBorders>
              <w:top w:val="nil"/>
              <w:left w:val="nil"/>
              <w:bottom w:val="single" w:sz="4" w:space="0" w:color="auto"/>
              <w:right w:val="single" w:sz="8" w:space="0" w:color="auto"/>
            </w:tcBorders>
            <w:vAlign w:val="center"/>
          </w:tcPr>
          <w:p w14:paraId="048616C6" w14:textId="47CA5883"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6940C2" w:rsidRPr="0002056A">
              <w:rPr>
                <w:rFonts w:ascii="Georgia" w:eastAsia="Times New Roman" w:hAnsi="Georgia" w:cs="Times New Roman"/>
                <w:color w:val="000000"/>
                <w:sz w:val="10"/>
                <w:szCs w:val="10"/>
                <w:lang w:val="en-GB" w:eastAsia="hu-HU"/>
              </w:rPr>
              <w:t>framework,</w:t>
            </w:r>
            <w:r w:rsidRPr="0002056A">
              <w:rPr>
                <w:rFonts w:ascii="Georgia" w:eastAsia="Times New Roman" w:hAnsi="Georgia" w:cs="Times New Roman"/>
                <w:color w:val="000000"/>
                <w:sz w:val="10"/>
                <w:szCs w:val="10"/>
                <w:lang w:val="en-GB" w:eastAsia="hu-HU"/>
              </w:rPr>
              <w:t xml:space="preserve"> we can examine the degree of adaptation’s presence within the development directions.</w:t>
            </w:r>
          </w:p>
        </w:tc>
      </w:tr>
      <w:tr w:rsidR="00A71E4B" w:rsidRPr="0002056A" w14:paraId="16A9CDD2"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8039D42" w14:textId="77777777"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Commission </w:t>
            </w:r>
          </w:p>
          <w:p w14:paraId="7DB4B85A" w14:textId="77777777"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19114A8F"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47661F26"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‘Fit for 55’: delivering the EU’s 2030 Climate Target on the Way to Climate Neutrality. </w:t>
            </w:r>
          </w:p>
        </w:tc>
        <w:tc>
          <w:tcPr>
            <w:tcW w:w="1134" w:type="dxa"/>
            <w:tcBorders>
              <w:top w:val="nil"/>
              <w:left w:val="nil"/>
              <w:bottom w:val="single" w:sz="4" w:space="0" w:color="auto"/>
              <w:right w:val="single" w:sz="4" w:space="0" w:color="auto"/>
            </w:tcBorders>
            <w:vAlign w:val="center"/>
          </w:tcPr>
          <w:p w14:paraId="33C5CE6C"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468CC200"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20FB5FC1"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66953C36" w14:textId="0F1DEA04"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Communication from the Commission to the European Parliament, the Council, The European Economic and Social Committee and the Committee of the Regions. Brussels, 14.7.2021. </w:t>
            </w:r>
            <w:r w:rsidR="006940C2" w:rsidRPr="0002056A">
              <w:rPr>
                <w:rFonts w:ascii="Georgia" w:eastAsia="Times New Roman" w:hAnsi="Georgia" w:cs="Times New Roman"/>
                <w:color w:val="000000"/>
                <w:sz w:val="10"/>
                <w:szCs w:val="10"/>
                <w:lang w:val="en-GB" w:eastAsia="hu-HU"/>
              </w:rPr>
              <w:t>COM (</w:t>
            </w:r>
            <w:r w:rsidRPr="0002056A">
              <w:rPr>
                <w:rFonts w:ascii="Georgia" w:eastAsia="Times New Roman" w:hAnsi="Georgia" w:cs="Times New Roman"/>
                <w:color w:val="000000"/>
                <w:sz w:val="10"/>
                <w:szCs w:val="10"/>
                <w:lang w:val="en-GB" w:eastAsia="hu-HU"/>
              </w:rPr>
              <w:t>2021) 550 final.</w:t>
            </w:r>
          </w:p>
        </w:tc>
        <w:tc>
          <w:tcPr>
            <w:tcW w:w="708" w:type="dxa"/>
            <w:tcBorders>
              <w:top w:val="nil"/>
              <w:left w:val="nil"/>
              <w:bottom w:val="single" w:sz="4" w:space="0" w:color="auto"/>
              <w:right w:val="single" w:sz="4" w:space="0" w:color="auto"/>
            </w:tcBorders>
            <w:vAlign w:val="center"/>
          </w:tcPr>
          <w:p w14:paraId="0633E04D"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strategy</w:t>
            </w:r>
          </w:p>
        </w:tc>
        <w:tc>
          <w:tcPr>
            <w:tcW w:w="851" w:type="dxa"/>
            <w:tcBorders>
              <w:top w:val="nil"/>
              <w:left w:val="nil"/>
              <w:bottom w:val="single" w:sz="4" w:space="0" w:color="auto"/>
              <w:right w:val="single" w:sz="4" w:space="0" w:color="auto"/>
            </w:tcBorders>
            <w:vAlign w:val="center"/>
          </w:tcPr>
          <w:p w14:paraId="0F30A70B"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88505E5"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240052D" w14:textId="77777777"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“Fit for 55” package is a set of proposals to revise and update EU legislation and to put in place new initiatives with the aim of ensuring that EU policies are into line with the climate goals agreed by the Council and the European Parliament.</w:t>
            </w:r>
          </w:p>
        </w:tc>
        <w:tc>
          <w:tcPr>
            <w:tcW w:w="2268" w:type="dxa"/>
            <w:tcBorders>
              <w:top w:val="nil"/>
              <w:left w:val="nil"/>
              <w:bottom w:val="single" w:sz="4" w:space="0" w:color="auto"/>
              <w:right w:val="single" w:sz="8" w:space="0" w:color="auto"/>
            </w:tcBorders>
            <w:vAlign w:val="center"/>
          </w:tcPr>
          <w:p w14:paraId="6D1340CC" w14:textId="1BFFF389"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6940C2" w:rsidRPr="0002056A">
              <w:rPr>
                <w:rFonts w:ascii="Georgia" w:eastAsia="Times New Roman" w:hAnsi="Georgia" w:cs="Times New Roman"/>
                <w:color w:val="000000"/>
                <w:sz w:val="10"/>
                <w:szCs w:val="10"/>
                <w:lang w:val="en-GB" w:eastAsia="hu-HU"/>
              </w:rPr>
              <w:t>framework,</w:t>
            </w:r>
            <w:r w:rsidRPr="0002056A">
              <w:rPr>
                <w:rFonts w:ascii="Georgia" w:eastAsia="Times New Roman" w:hAnsi="Georgia" w:cs="Times New Roman"/>
                <w:color w:val="000000"/>
                <w:sz w:val="10"/>
                <w:szCs w:val="10"/>
                <w:lang w:val="en-GB" w:eastAsia="hu-HU"/>
              </w:rPr>
              <w:t xml:space="preserve"> we can examine the degree of adaptation’s presence within the development directions.</w:t>
            </w:r>
          </w:p>
        </w:tc>
      </w:tr>
      <w:tr w:rsidR="00A71E4B" w:rsidRPr="0002056A" w14:paraId="19528688"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B49B780" w14:textId="35467FBE" w:rsidR="00A71E4B" w:rsidRPr="0002056A" w:rsidRDefault="00A71E4B" w:rsidP="00A71E4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w:t>
            </w:r>
            <w:r w:rsidR="007133D4" w:rsidRPr="0002056A">
              <w:rPr>
                <w:rFonts w:ascii="Georgia" w:eastAsia="Times New Roman" w:hAnsi="Georgia" w:cs="Times New Roman"/>
                <w:b/>
                <w:bCs/>
                <w:i/>
                <w:iCs/>
                <w:color w:val="000000"/>
                <w:sz w:val="14"/>
                <w:szCs w:val="14"/>
                <w:lang w:val="en-GB" w:eastAsia="hu-HU"/>
              </w:rPr>
              <w:t>Commission</w:t>
            </w:r>
            <w:r w:rsidRPr="0002056A">
              <w:rPr>
                <w:rFonts w:ascii="Georgia" w:eastAsia="Times New Roman" w:hAnsi="Georgia" w:cs="Times New Roman"/>
                <w:b/>
                <w:bCs/>
                <w:i/>
                <w:iCs/>
                <w:color w:val="000000"/>
                <w:sz w:val="14"/>
                <w:szCs w:val="14"/>
                <w:lang w:val="en-GB" w:eastAsia="hu-HU"/>
              </w:rPr>
              <w:t xml:space="preserve"> </w:t>
            </w:r>
          </w:p>
        </w:tc>
        <w:tc>
          <w:tcPr>
            <w:tcW w:w="705" w:type="dxa"/>
            <w:tcBorders>
              <w:top w:val="nil"/>
              <w:left w:val="nil"/>
              <w:bottom w:val="single" w:sz="4" w:space="0" w:color="auto"/>
              <w:right w:val="single" w:sz="4" w:space="0" w:color="auto"/>
            </w:tcBorders>
            <w:vAlign w:val="center"/>
            <w:hideMark/>
          </w:tcPr>
          <w:p w14:paraId="2611648C"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hideMark/>
          </w:tcPr>
          <w:p w14:paraId="044B076F"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Communication from the Commission to the European Parliament, the Council; the European Economic and Social Committee and the Committee of the Regions on Forging a climate-resilient Europe – the new EU Strategy on Adaptation to CC.</w:t>
            </w:r>
          </w:p>
        </w:tc>
        <w:tc>
          <w:tcPr>
            <w:tcW w:w="1134" w:type="dxa"/>
            <w:tcBorders>
              <w:top w:val="nil"/>
              <w:left w:val="nil"/>
              <w:bottom w:val="single" w:sz="4" w:space="0" w:color="auto"/>
              <w:right w:val="single" w:sz="4" w:space="0" w:color="auto"/>
            </w:tcBorders>
            <w:vAlign w:val="center"/>
            <w:hideMark/>
          </w:tcPr>
          <w:p w14:paraId="4D68E61F"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hideMark/>
          </w:tcPr>
          <w:p w14:paraId="4C5100F6"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EC</w:t>
            </w:r>
          </w:p>
        </w:tc>
        <w:tc>
          <w:tcPr>
            <w:tcW w:w="851" w:type="dxa"/>
            <w:tcBorders>
              <w:top w:val="nil"/>
              <w:left w:val="nil"/>
              <w:bottom w:val="single" w:sz="4" w:space="0" w:color="auto"/>
              <w:right w:val="single" w:sz="4" w:space="0" w:color="auto"/>
            </w:tcBorders>
            <w:vAlign w:val="center"/>
            <w:hideMark/>
          </w:tcPr>
          <w:p w14:paraId="5A9EC511"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17FB0601" w14:textId="77777777" w:rsidR="00A71E4B" w:rsidRPr="0002056A" w:rsidRDefault="00A71E4B" w:rsidP="00A71E4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COM/2021/82 final. Brussel/Strasbourg, 2021.</w:t>
            </w:r>
          </w:p>
        </w:tc>
        <w:tc>
          <w:tcPr>
            <w:tcW w:w="708" w:type="dxa"/>
            <w:tcBorders>
              <w:top w:val="nil"/>
              <w:left w:val="nil"/>
              <w:bottom w:val="single" w:sz="4" w:space="0" w:color="auto"/>
              <w:right w:val="single" w:sz="4" w:space="0" w:color="auto"/>
            </w:tcBorders>
            <w:vAlign w:val="center"/>
            <w:hideMark/>
          </w:tcPr>
          <w:p w14:paraId="14220C43"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paper</w:t>
            </w:r>
          </w:p>
        </w:tc>
        <w:tc>
          <w:tcPr>
            <w:tcW w:w="851" w:type="dxa"/>
            <w:tcBorders>
              <w:top w:val="nil"/>
              <w:left w:val="nil"/>
              <w:bottom w:val="single" w:sz="4" w:space="0" w:color="auto"/>
              <w:right w:val="single" w:sz="4" w:space="0" w:color="auto"/>
            </w:tcBorders>
            <w:vAlign w:val="center"/>
            <w:hideMark/>
          </w:tcPr>
          <w:p w14:paraId="793D2D25"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3AF9D73B" w14:textId="77777777" w:rsidR="00A71E4B" w:rsidRPr="0002056A" w:rsidRDefault="00A71E4B" w:rsidP="00A71E4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DC2D6C4" w14:textId="77777777"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updated, revised second version of the first EU-level adaptation strategy.</w:t>
            </w:r>
          </w:p>
        </w:tc>
        <w:tc>
          <w:tcPr>
            <w:tcW w:w="2268" w:type="dxa"/>
            <w:tcBorders>
              <w:top w:val="nil"/>
              <w:left w:val="nil"/>
              <w:bottom w:val="single" w:sz="4" w:space="0" w:color="auto"/>
              <w:right w:val="single" w:sz="8" w:space="0" w:color="auto"/>
            </w:tcBorders>
            <w:vAlign w:val="center"/>
          </w:tcPr>
          <w:p w14:paraId="56B5D8FF" w14:textId="25896E13" w:rsidR="00A71E4B" w:rsidRPr="0002056A" w:rsidRDefault="00A71E4B" w:rsidP="00A71E4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Important milestone in the EU adaptation </w:t>
            </w:r>
            <w:r w:rsidR="006940C2" w:rsidRPr="0002056A">
              <w:rPr>
                <w:rFonts w:ascii="Georgia" w:eastAsia="Times New Roman" w:hAnsi="Georgia" w:cs="Times New Roman"/>
                <w:color w:val="000000"/>
                <w:sz w:val="10"/>
                <w:szCs w:val="10"/>
                <w:lang w:val="en-GB" w:eastAsia="hu-HU"/>
              </w:rPr>
              <w:t>policymaking</w:t>
            </w:r>
            <w:r w:rsidRPr="0002056A">
              <w:rPr>
                <w:rFonts w:ascii="Georgia" w:eastAsia="Times New Roman" w:hAnsi="Georgia" w:cs="Times New Roman"/>
                <w:color w:val="000000"/>
                <w:sz w:val="10"/>
                <w:szCs w:val="10"/>
                <w:lang w:val="en-GB" w:eastAsia="hu-HU"/>
              </w:rPr>
              <w:t>.</w:t>
            </w:r>
          </w:p>
        </w:tc>
      </w:tr>
      <w:tr w:rsidR="00123BAB" w:rsidRPr="0002056A" w14:paraId="4751F40F"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DFFC55C"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Council </w:t>
            </w:r>
          </w:p>
        </w:tc>
        <w:tc>
          <w:tcPr>
            <w:tcW w:w="705" w:type="dxa"/>
            <w:tcBorders>
              <w:top w:val="nil"/>
              <w:left w:val="nil"/>
              <w:bottom w:val="single" w:sz="4" w:space="0" w:color="auto"/>
              <w:right w:val="single" w:sz="4" w:space="0" w:color="auto"/>
            </w:tcBorders>
            <w:vAlign w:val="center"/>
          </w:tcPr>
          <w:p w14:paraId="2843058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2000</w:t>
            </w:r>
          </w:p>
        </w:tc>
        <w:tc>
          <w:tcPr>
            <w:tcW w:w="1137" w:type="dxa"/>
            <w:tcBorders>
              <w:top w:val="nil"/>
              <w:left w:val="nil"/>
              <w:bottom w:val="single" w:sz="4" w:space="0" w:color="auto"/>
              <w:right w:val="single" w:sz="4" w:space="0" w:color="auto"/>
            </w:tcBorders>
            <w:vAlign w:val="center"/>
          </w:tcPr>
          <w:p w14:paraId="2E3710B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LISBON EUROPEAN COUNCIL PRESIDENCY CONCLUSIONS. </w:t>
            </w:r>
          </w:p>
        </w:tc>
        <w:tc>
          <w:tcPr>
            <w:tcW w:w="1134" w:type="dxa"/>
            <w:tcBorders>
              <w:top w:val="nil"/>
              <w:left w:val="nil"/>
              <w:bottom w:val="single" w:sz="4" w:space="0" w:color="auto"/>
              <w:right w:val="single" w:sz="4" w:space="0" w:color="auto"/>
            </w:tcBorders>
            <w:vAlign w:val="center"/>
          </w:tcPr>
          <w:p w14:paraId="1188F0B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4D871A6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530BF82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policy</w:t>
            </w:r>
          </w:p>
        </w:tc>
        <w:tc>
          <w:tcPr>
            <w:tcW w:w="993" w:type="dxa"/>
            <w:tcBorders>
              <w:top w:val="nil"/>
              <w:left w:val="nil"/>
              <w:bottom w:val="single" w:sz="4" w:space="0" w:color="auto"/>
              <w:right w:val="single" w:sz="4" w:space="0" w:color="auto"/>
            </w:tcBorders>
            <w:vAlign w:val="center"/>
          </w:tcPr>
          <w:p w14:paraId="0D3B756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Lisbon, 23. and 24. March 2000</w:t>
            </w:r>
          </w:p>
        </w:tc>
        <w:tc>
          <w:tcPr>
            <w:tcW w:w="708" w:type="dxa"/>
            <w:tcBorders>
              <w:top w:val="nil"/>
              <w:left w:val="nil"/>
              <w:bottom w:val="single" w:sz="4" w:space="0" w:color="auto"/>
              <w:right w:val="single" w:sz="4" w:space="0" w:color="auto"/>
            </w:tcBorders>
            <w:vAlign w:val="center"/>
          </w:tcPr>
          <w:p w14:paraId="3D14326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communication</w:t>
            </w:r>
          </w:p>
        </w:tc>
        <w:tc>
          <w:tcPr>
            <w:tcW w:w="851" w:type="dxa"/>
            <w:tcBorders>
              <w:top w:val="nil"/>
              <w:left w:val="nil"/>
              <w:bottom w:val="single" w:sz="4" w:space="0" w:color="auto"/>
              <w:right w:val="single" w:sz="4" w:space="0" w:color="auto"/>
            </w:tcBorders>
            <w:vAlign w:val="center"/>
          </w:tcPr>
          <w:p w14:paraId="4ADEA3E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A4208B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5538BC"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European Council held a special meeting on 23-24 March 2000 in Lisbon to agree a new strategic goal for the Union in order to strengthen employment, economic reform and social cohesion as part of a knowledge-based economy.</w:t>
            </w:r>
          </w:p>
        </w:tc>
        <w:tc>
          <w:tcPr>
            <w:tcW w:w="2268" w:type="dxa"/>
            <w:tcBorders>
              <w:top w:val="nil"/>
              <w:left w:val="nil"/>
              <w:bottom w:val="single" w:sz="4" w:space="0" w:color="auto"/>
              <w:right w:val="single" w:sz="8" w:space="0" w:color="auto"/>
            </w:tcBorders>
            <w:vAlign w:val="center"/>
          </w:tcPr>
          <w:p w14:paraId="0A6E5F7D" w14:textId="07723676"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the analysis of the </w:t>
            </w:r>
            <w:r w:rsidR="006940C2" w:rsidRPr="0002056A">
              <w:rPr>
                <w:rFonts w:ascii="Georgia" w:eastAsia="Times New Roman" w:hAnsi="Georgia" w:cs="Times New Roman"/>
                <w:color w:val="000000"/>
                <w:sz w:val="10"/>
                <w:szCs w:val="10"/>
                <w:lang w:val="en-GB" w:eastAsia="hu-HU"/>
              </w:rPr>
              <w:t>framework,</w:t>
            </w:r>
            <w:r w:rsidRPr="0002056A">
              <w:rPr>
                <w:rFonts w:ascii="Georgia" w:eastAsia="Times New Roman" w:hAnsi="Georgia" w:cs="Times New Roman"/>
                <w:color w:val="000000"/>
                <w:sz w:val="10"/>
                <w:szCs w:val="10"/>
                <w:lang w:val="en-GB" w:eastAsia="hu-HU"/>
              </w:rPr>
              <w:t xml:space="preserve"> we can examine the degree of adaptation’s presence within the development directions.</w:t>
            </w:r>
          </w:p>
        </w:tc>
      </w:tr>
      <w:tr w:rsidR="00123BAB" w:rsidRPr="0002056A" w14:paraId="3D030F81" w14:textId="77777777" w:rsidTr="00D57247">
        <w:trPr>
          <w:trHeight w:val="11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E0CBF63"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European Environmental Agency </w:t>
            </w:r>
          </w:p>
        </w:tc>
        <w:tc>
          <w:tcPr>
            <w:tcW w:w="705" w:type="dxa"/>
            <w:tcBorders>
              <w:top w:val="nil"/>
              <w:left w:val="nil"/>
              <w:bottom w:val="single" w:sz="4" w:space="0" w:color="auto"/>
              <w:right w:val="single" w:sz="4" w:space="0" w:color="auto"/>
            </w:tcBorders>
            <w:vAlign w:val="center"/>
            <w:hideMark/>
          </w:tcPr>
          <w:p w14:paraId="3A170DE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217E62E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CC Impacts and Vulnerability in Europe. </w:t>
            </w:r>
          </w:p>
        </w:tc>
        <w:tc>
          <w:tcPr>
            <w:tcW w:w="1134" w:type="dxa"/>
            <w:tcBorders>
              <w:top w:val="nil"/>
              <w:left w:val="nil"/>
              <w:bottom w:val="single" w:sz="4" w:space="0" w:color="auto"/>
              <w:right w:val="single" w:sz="4" w:space="0" w:color="auto"/>
            </w:tcBorders>
            <w:vAlign w:val="center"/>
            <w:hideMark/>
          </w:tcPr>
          <w:p w14:paraId="08A583B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hideMark/>
          </w:tcPr>
          <w:p w14:paraId="50BB2C7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hideMark/>
          </w:tcPr>
          <w:p w14:paraId="37A4DBE5" w14:textId="12C663C4"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adaptation </w:t>
            </w:r>
          </w:p>
        </w:tc>
        <w:tc>
          <w:tcPr>
            <w:tcW w:w="993" w:type="dxa"/>
            <w:tcBorders>
              <w:top w:val="nil"/>
              <w:left w:val="nil"/>
              <w:bottom w:val="single" w:sz="4" w:space="0" w:color="auto"/>
              <w:right w:val="single" w:sz="4" w:space="0" w:color="auto"/>
            </w:tcBorders>
            <w:vAlign w:val="center"/>
            <w:hideMark/>
          </w:tcPr>
          <w:p w14:paraId="4A94A8C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EEA report No 12/2012 Downloaded from: </w:t>
            </w:r>
            <w:hyperlink r:id="rId151" w:history="1">
              <w:r w:rsidRPr="0002056A">
                <w:rPr>
                  <w:rStyle w:val="Hiperhivatkozs"/>
                  <w:rFonts w:ascii="Georgia" w:eastAsia="Times New Roman" w:hAnsi="Georgia" w:cs="Times New Roman"/>
                  <w:sz w:val="10"/>
                  <w:szCs w:val="10"/>
                  <w:lang w:val="en-GB" w:eastAsia="hu-HU"/>
                </w:rPr>
                <w:t>http://www.eea.europa.eu/publications/climate-impacts-and-vulnerability-2012</w:t>
              </w:r>
            </w:hyperlink>
            <w:r w:rsidRPr="0002056A">
              <w:rPr>
                <w:rFonts w:ascii="Georgia" w:eastAsia="Times New Roman" w:hAnsi="Georgia" w:cs="Times New Roman"/>
                <w:color w:val="000000"/>
                <w:sz w:val="10"/>
                <w:szCs w:val="10"/>
                <w:lang w:val="en-GB" w:eastAsia="hu-HU"/>
              </w:rPr>
              <w:t>.</w:t>
            </w:r>
          </w:p>
        </w:tc>
        <w:tc>
          <w:tcPr>
            <w:tcW w:w="708" w:type="dxa"/>
            <w:tcBorders>
              <w:top w:val="nil"/>
              <w:left w:val="nil"/>
              <w:bottom w:val="single" w:sz="4" w:space="0" w:color="auto"/>
              <w:right w:val="single" w:sz="4" w:space="0" w:color="auto"/>
            </w:tcBorders>
            <w:vAlign w:val="center"/>
            <w:hideMark/>
          </w:tcPr>
          <w:p w14:paraId="441C745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12A7624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3A730F1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B17E85C" w14:textId="6F0001B2"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European Environment Agency (EEA) report presents information on past and projected climate change and related impacts in Europe, based on a range of indicators. The report also assesses the vulnerability of society, human health and ecosystems in Europe and identifies those regions in Europe most at risk from climate change. Furthermore, the report discusses the </w:t>
            </w:r>
            <w:r w:rsidR="006940C2" w:rsidRPr="0002056A">
              <w:rPr>
                <w:rFonts w:ascii="Georgia" w:eastAsia="Times New Roman" w:hAnsi="Georgia" w:cs="Times New Roman"/>
                <w:color w:val="000000"/>
                <w:sz w:val="10"/>
                <w:szCs w:val="10"/>
                <w:lang w:val="en-GB" w:eastAsia="hu-HU"/>
              </w:rPr>
              <w:t>principal</w:t>
            </w:r>
            <w:r w:rsidRPr="0002056A">
              <w:rPr>
                <w:rFonts w:ascii="Georgia" w:eastAsia="Times New Roman" w:hAnsi="Georgia" w:cs="Times New Roman"/>
                <w:color w:val="000000"/>
                <w:sz w:val="10"/>
                <w:szCs w:val="10"/>
                <w:lang w:val="en-GB" w:eastAsia="hu-HU"/>
              </w:rPr>
              <w:t xml:space="preserve"> sources of uncertainty for the indicators and notes how monitoring and scenario development can improve our understanding of climate change, its impacts and related vulnerabilities</w:t>
            </w:r>
          </w:p>
        </w:tc>
        <w:tc>
          <w:tcPr>
            <w:tcW w:w="2268" w:type="dxa"/>
            <w:tcBorders>
              <w:top w:val="nil"/>
              <w:left w:val="nil"/>
              <w:bottom w:val="single" w:sz="4" w:space="0" w:color="auto"/>
              <w:right w:val="single" w:sz="8" w:space="0" w:color="auto"/>
            </w:tcBorders>
            <w:vAlign w:val="center"/>
          </w:tcPr>
          <w:p w14:paraId="0F39F1E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gives an overview of European climate impacts and vulnerabilities.</w:t>
            </w:r>
          </w:p>
        </w:tc>
      </w:tr>
      <w:tr w:rsidR="00123BAB" w:rsidRPr="0002056A" w14:paraId="3A442872"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9768BC0"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Environmental Agency</w:t>
            </w:r>
          </w:p>
        </w:tc>
        <w:tc>
          <w:tcPr>
            <w:tcW w:w="705" w:type="dxa"/>
            <w:tcBorders>
              <w:top w:val="nil"/>
              <w:left w:val="nil"/>
              <w:bottom w:val="single" w:sz="4" w:space="0" w:color="auto"/>
              <w:right w:val="single" w:sz="4" w:space="0" w:color="auto"/>
            </w:tcBorders>
            <w:vAlign w:val="center"/>
          </w:tcPr>
          <w:p w14:paraId="13DC0DF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7C10353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National monitoring, reporting and evaluation of climate change adaptation in Europe. EEA </w:t>
            </w:r>
          </w:p>
        </w:tc>
        <w:tc>
          <w:tcPr>
            <w:tcW w:w="1134" w:type="dxa"/>
            <w:tcBorders>
              <w:top w:val="nil"/>
              <w:left w:val="nil"/>
              <w:bottom w:val="single" w:sz="4" w:space="0" w:color="auto"/>
              <w:right w:val="single" w:sz="4" w:space="0" w:color="auto"/>
            </w:tcBorders>
            <w:vAlign w:val="center"/>
          </w:tcPr>
          <w:p w14:paraId="14D738B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1FA73F9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6E4024E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2DD58F7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Environment Agency, 2015</w:t>
            </w:r>
            <w:r w:rsidRPr="0002056A">
              <w:rPr>
                <w:rFonts w:ascii="Georgia" w:eastAsia="Times New Roman" w:hAnsi="Georgia" w:cs="Times New Roman"/>
                <w:color w:val="000000"/>
                <w:sz w:val="10"/>
                <w:szCs w:val="10"/>
                <w:lang w:val="en-GB" w:eastAsia="hu-HU"/>
              </w:rPr>
              <w:br/>
            </w:r>
            <w:r w:rsidRPr="0002056A">
              <w:rPr>
                <w:rFonts w:ascii="Georgia" w:eastAsia="Times New Roman" w:hAnsi="Georgia" w:cs="Times New Roman"/>
                <w:color w:val="000000"/>
                <w:sz w:val="10"/>
                <w:szCs w:val="10"/>
                <w:lang w:val="en-GB" w:eastAsia="hu-HU"/>
              </w:rPr>
              <w:br/>
              <w:t>Publications Office of the European Union, 2015</w:t>
            </w:r>
            <w:r w:rsidRPr="0002056A">
              <w:rPr>
                <w:rFonts w:ascii="Georgia" w:eastAsia="Times New Roman" w:hAnsi="Georgia" w:cs="Times New Roman"/>
                <w:color w:val="000000"/>
                <w:sz w:val="10"/>
                <w:szCs w:val="10"/>
                <w:lang w:val="en-GB" w:eastAsia="hu-HU"/>
              </w:rPr>
              <w:br/>
              <w:t>ISBN 978-92-9213-705-2</w:t>
            </w:r>
            <w:r w:rsidRPr="0002056A">
              <w:rPr>
                <w:rFonts w:ascii="Georgia" w:eastAsia="Times New Roman" w:hAnsi="Georgia" w:cs="Times New Roman"/>
                <w:color w:val="000000"/>
                <w:sz w:val="10"/>
                <w:szCs w:val="10"/>
                <w:lang w:val="en-GB" w:eastAsia="hu-HU"/>
              </w:rPr>
              <w:br/>
              <w:t>ISSN 1725-2237</w:t>
            </w:r>
            <w:r w:rsidRPr="0002056A">
              <w:rPr>
                <w:rFonts w:ascii="Georgia" w:eastAsia="Times New Roman" w:hAnsi="Georgia" w:cs="Times New Roman"/>
                <w:color w:val="000000"/>
                <w:sz w:val="10"/>
                <w:szCs w:val="10"/>
                <w:lang w:val="en-GB" w:eastAsia="hu-HU"/>
              </w:rPr>
              <w:br/>
              <w:t>doi:10.2800/629559</w:t>
            </w:r>
          </w:p>
        </w:tc>
        <w:tc>
          <w:tcPr>
            <w:tcW w:w="708" w:type="dxa"/>
            <w:tcBorders>
              <w:top w:val="nil"/>
              <w:left w:val="nil"/>
              <w:bottom w:val="single" w:sz="4" w:space="0" w:color="auto"/>
              <w:right w:val="single" w:sz="4" w:space="0" w:color="auto"/>
            </w:tcBorders>
            <w:vAlign w:val="center"/>
          </w:tcPr>
          <w:p w14:paraId="74ED62F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51FB0B1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6E5CF1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945AB39"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provides new insights into national MRE systems, the first attempt to consolidate emerging information across European countries.</w:t>
            </w:r>
          </w:p>
        </w:tc>
        <w:tc>
          <w:tcPr>
            <w:tcW w:w="2268" w:type="dxa"/>
            <w:tcBorders>
              <w:top w:val="nil"/>
              <w:left w:val="nil"/>
              <w:bottom w:val="single" w:sz="4" w:space="0" w:color="auto"/>
              <w:right w:val="single" w:sz="8" w:space="0" w:color="auto"/>
            </w:tcBorders>
            <w:vAlign w:val="center"/>
          </w:tcPr>
          <w:p w14:paraId="60C680B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comprises useful practical information about 1) drivers/purposes; 2) governance and participation; 3) methodological approaches; 4) adaptation policy communication.</w:t>
            </w:r>
          </w:p>
        </w:tc>
      </w:tr>
      <w:tr w:rsidR="00123BAB" w:rsidRPr="0002056A" w14:paraId="3F72E798" w14:textId="77777777" w:rsidTr="00D57247">
        <w:trPr>
          <w:trHeight w:val="249"/>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3D079F3"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European Environmental Agency </w:t>
            </w:r>
          </w:p>
        </w:tc>
        <w:tc>
          <w:tcPr>
            <w:tcW w:w="705" w:type="dxa"/>
            <w:tcBorders>
              <w:top w:val="nil"/>
              <w:left w:val="nil"/>
              <w:bottom w:val="single" w:sz="4" w:space="0" w:color="auto"/>
              <w:right w:val="single" w:sz="4" w:space="0" w:color="auto"/>
            </w:tcBorders>
            <w:vAlign w:val="center"/>
          </w:tcPr>
          <w:p w14:paraId="4FE345A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5CF30FF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Environment and climate policy evaluation. </w:t>
            </w:r>
          </w:p>
        </w:tc>
        <w:tc>
          <w:tcPr>
            <w:tcW w:w="1134" w:type="dxa"/>
            <w:tcBorders>
              <w:top w:val="nil"/>
              <w:left w:val="nil"/>
              <w:bottom w:val="single" w:sz="4" w:space="0" w:color="auto"/>
              <w:right w:val="single" w:sz="4" w:space="0" w:color="auto"/>
            </w:tcBorders>
            <w:vAlign w:val="center"/>
          </w:tcPr>
          <w:p w14:paraId="73B89F2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0CBF1B0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1A7D80E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5BC6630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 Report No 18/2016. European Environmental Agency, Luxembourg.</w:t>
            </w:r>
          </w:p>
        </w:tc>
        <w:tc>
          <w:tcPr>
            <w:tcW w:w="708" w:type="dxa"/>
            <w:tcBorders>
              <w:top w:val="nil"/>
              <w:left w:val="nil"/>
              <w:bottom w:val="single" w:sz="4" w:space="0" w:color="auto"/>
              <w:right w:val="single" w:sz="4" w:space="0" w:color="auto"/>
            </w:tcBorders>
            <w:vAlign w:val="center"/>
          </w:tcPr>
          <w:p w14:paraId="64D1BFD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5DBA3D3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CCBBFE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F8DAEA0" w14:textId="3FBB5F6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publication aims to facilitate this dialogue with professional evaluators and evaluation users </w:t>
            </w:r>
            <w:r w:rsidR="006940C2" w:rsidRPr="0002056A">
              <w:rPr>
                <w:rFonts w:ascii="Georgia" w:eastAsia="Times New Roman" w:hAnsi="Georgia" w:cs="Times New Roman"/>
                <w:color w:val="000000"/>
                <w:sz w:val="10"/>
                <w:szCs w:val="10"/>
                <w:lang w:val="en-GB" w:eastAsia="hu-HU"/>
              </w:rPr>
              <w:t>by</w:t>
            </w:r>
            <w:r w:rsidRPr="0002056A">
              <w:rPr>
                <w:rFonts w:ascii="Georgia" w:eastAsia="Times New Roman" w:hAnsi="Georgia" w:cs="Times New Roman"/>
                <w:color w:val="000000"/>
                <w:sz w:val="10"/>
                <w:szCs w:val="10"/>
                <w:lang w:val="en-GB" w:eastAsia="hu-HU"/>
              </w:rPr>
              <w:t xml:space="preserve"> 1) setting out how the EEA currently approaches a number of key issues related to environment and climate policy evaluation; 2) discussing practical approaches for environmental evaluation, in the form of an “Evaluator's toolbox” of this publication.</w:t>
            </w:r>
          </w:p>
        </w:tc>
        <w:tc>
          <w:tcPr>
            <w:tcW w:w="2268" w:type="dxa"/>
            <w:tcBorders>
              <w:top w:val="nil"/>
              <w:left w:val="nil"/>
              <w:bottom w:val="single" w:sz="4" w:space="0" w:color="auto"/>
              <w:right w:val="single" w:sz="8" w:space="0" w:color="auto"/>
            </w:tcBorders>
            <w:vAlign w:val="center"/>
          </w:tcPr>
          <w:p w14:paraId="3971025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a summary about the European national adaptation MRE situation</w:t>
            </w:r>
          </w:p>
        </w:tc>
      </w:tr>
      <w:tr w:rsidR="00123BAB" w:rsidRPr="0002056A" w14:paraId="0A7273E4"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62B89F6"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Environmental Agency</w:t>
            </w:r>
          </w:p>
        </w:tc>
        <w:tc>
          <w:tcPr>
            <w:tcW w:w="705" w:type="dxa"/>
            <w:tcBorders>
              <w:top w:val="nil"/>
              <w:left w:val="nil"/>
              <w:bottom w:val="single" w:sz="4" w:space="0" w:color="auto"/>
              <w:right w:val="single" w:sz="4" w:space="0" w:color="auto"/>
            </w:tcBorders>
            <w:vAlign w:val="center"/>
          </w:tcPr>
          <w:p w14:paraId="3F5870B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tcPr>
          <w:p w14:paraId="3EEA02B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Monitoring and evaluation of national adaptation policies throughout the policy cycle</w:t>
            </w:r>
          </w:p>
        </w:tc>
        <w:tc>
          <w:tcPr>
            <w:tcW w:w="1134" w:type="dxa"/>
            <w:tcBorders>
              <w:top w:val="nil"/>
              <w:left w:val="nil"/>
              <w:bottom w:val="single" w:sz="4" w:space="0" w:color="auto"/>
              <w:right w:val="single" w:sz="4" w:space="0" w:color="auto"/>
            </w:tcBorders>
            <w:vAlign w:val="center"/>
          </w:tcPr>
          <w:p w14:paraId="3276EA3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1704219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148A518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1965E16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 Report No 06/2020</w:t>
            </w:r>
          </w:p>
          <w:p w14:paraId="748461C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Environmental Agency, Luxembourg.</w:t>
            </w:r>
          </w:p>
        </w:tc>
        <w:tc>
          <w:tcPr>
            <w:tcW w:w="708" w:type="dxa"/>
            <w:tcBorders>
              <w:top w:val="nil"/>
              <w:left w:val="nil"/>
              <w:bottom w:val="single" w:sz="4" w:space="0" w:color="auto"/>
              <w:right w:val="single" w:sz="4" w:space="0" w:color="auto"/>
            </w:tcBorders>
            <w:vAlign w:val="center"/>
          </w:tcPr>
          <w:p w14:paraId="15A85F8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776542C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2BF1DB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8E2C3AC"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report provides an overview of country developments in terms of strategies and plans for climate change adaptation (CCA) and their implementation in a context of global and European policy frameworks. </w:t>
            </w:r>
          </w:p>
        </w:tc>
        <w:tc>
          <w:tcPr>
            <w:tcW w:w="2268" w:type="dxa"/>
            <w:tcBorders>
              <w:top w:val="nil"/>
              <w:left w:val="nil"/>
              <w:bottom w:val="single" w:sz="4" w:space="0" w:color="auto"/>
              <w:right w:val="single" w:sz="8" w:space="0" w:color="auto"/>
            </w:tcBorders>
            <w:vAlign w:val="center"/>
          </w:tcPr>
          <w:p w14:paraId="2E799C6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brings together lessons learned — at the national level — on adaptation monitoring, reporting and evaluation (MRE), future directions and opportunities for mutual learning on evaluating CCA strategies and plans at national and European levels and the implications of emerging reporting requirements from relevant EU policies to improve evaluation at the EU level.</w:t>
            </w:r>
          </w:p>
        </w:tc>
      </w:tr>
      <w:tr w:rsidR="00123BAB" w:rsidRPr="0002056A" w14:paraId="701DDCB5"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3D49C16" w14:textId="7B4CDE2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Environmental Agency</w:t>
            </w:r>
          </w:p>
        </w:tc>
        <w:tc>
          <w:tcPr>
            <w:tcW w:w="705" w:type="dxa"/>
            <w:tcBorders>
              <w:top w:val="nil"/>
              <w:left w:val="nil"/>
              <w:bottom w:val="single" w:sz="4" w:space="0" w:color="auto"/>
              <w:right w:val="single" w:sz="4" w:space="0" w:color="auto"/>
            </w:tcBorders>
            <w:vAlign w:val="center"/>
          </w:tcPr>
          <w:p w14:paraId="6E74E2E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15320C9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Advancing towards climate resilience in Europe – Status of reported national adaptation actions in 2021</w:t>
            </w:r>
          </w:p>
        </w:tc>
        <w:tc>
          <w:tcPr>
            <w:tcW w:w="1134" w:type="dxa"/>
            <w:tcBorders>
              <w:top w:val="nil"/>
              <w:left w:val="nil"/>
              <w:bottom w:val="single" w:sz="4" w:space="0" w:color="auto"/>
              <w:right w:val="single" w:sz="4" w:space="0" w:color="auto"/>
            </w:tcBorders>
            <w:vAlign w:val="center"/>
          </w:tcPr>
          <w:p w14:paraId="3C18DD5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0EFEAB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2F0CF48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1F0CDA4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 Report No11/2022</w:t>
            </w:r>
          </w:p>
          <w:p w14:paraId="4B1E680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Environmental Agency, Luxembourg.</w:t>
            </w:r>
          </w:p>
        </w:tc>
        <w:tc>
          <w:tcPr>
            <w:tcW w:w="708" w:type="dxa"/>
            <w:tcBorders>
              <w:top w:val="nil"/>
              <w:left w:val="nil"/>
              <w:bottom w:val="single" w:sz="4" w:space="0" w:color="auto"/>
              <w:right w:val="single" w:sz="4" w:space="0" w:color="auto"/>
            </w:tcBorders>
            <w:vAlign w:val="center"/>
          </w:tcPr>
          <w:p w14:paraId="6888A72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5D819D9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087B7E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1A79B33" w14:textId="7DF0C78A"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report provides an overview </w:t>
            </w:r>
            <w:r w:rsidR="007133D4" w:rsidRPr="0002056A">
              <w:rPr>
                <w:rFonts w:ascii="Georgia" w:eastAsia="Times New Roman" w:hAnsi="Georgia" w:cs="Times New Roman"/>
                <w:color w:val="000000"/>
                <w:sz w:val="10"/>
                <w:szCs w:val="10"/>
                <w:lang w:val="en-GB" w:eastAsia="hu-HU"/>
              </w:rPr>
              <w:t>of</w:t>
            </w:r>
            <w:r w:rsidRPr="0002056A">
              <w:rPr>
                <w:rFonts w:ascii="Georgia" w:eastAsia="Times New Roman" w:hAnsi="Georgia" w:cs="Times New Roman"/>
                <w:color w:val="000000"/>
                <w:sz w:val="10"/>
                <w:szCs w:val="10"/>
                <w:lang w:val="en-GB" w:eastAsia="hu-HU"/>
              </w:rPr>
              <w:t xml:space="preserve"> EU MSs and </w:t>
            </w:r>
            <w:r w:rsidR="007133D4" w:rsidRPr="0002056A">
              <w:rPr>
                <w:rFonts w:ascii="Georgia" w:eastAsia="Times New Roman" w:hAnsi="Georgia" w:cs="Times New Roman"/>
                <w:color w:val="000000"/>
                <w:sz w:val="10"/>
                <w:szCs w:val="10"/>
                <w:lang w:val="en-GB" w:eastAsia="hu-HU"/>
              </w:rPr>
              <w:t>Türkiye</w:t>
            </w:r>
            <w:r w:rsidRPr="0002056A">
              <w:rPr>
                <w:rFonts w:ascii="Georgia" w:eastAsia="Times New Roman" w:hAnsi="Georgia" w:cs="Times New Roman"/>
                <w:color w:val="000000"/>
                <w:sz w:val="10"/>
                <w:szCs w:val="10"/>
                <w:lang w:val="en-GB" w:eastAsia="hu-HU"/>
              </w:rPr>
              <w:t xml:space="preserve"> ‘s adaptation to CC and their reporting on adaptation actions. It concentrates on 5 main fields: CC-related hazards, vulnerabilities and risks; adaptation policies/priorities; adaptation governance; implementation and financing; MRE.</w:t>
            </w:r>
          </w:p>
        </w:tc>
        <w:tc>
          <w:tcPr>
            <w:tcW w:w="2268" w:type="dxa"/>
            <w:tcBorders>
              <w:top w:val="nil"/>
              <w:left w:val="nil"/>
              <w:bottom w:val="single" w:sz="4" w:space="0" w:color="auto"/>
              <w:right w:val="single" w:sz="8" w:space="0" w:color="auto"/>
            </w:tcBorders>
            <w:vAlign w:val="center"/>
          </w:tcPr>
          <w:p w14:paraId="15F9AB6D"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Knowledge base has improved over time through CRAs; identifies the most frequent hazards and affected sectors. EU instruments, transboundary, CBC and macro-regional cooperation can support national adaptation. </w:t>
            </w:r>
          </w:p>
          <w:p w14:paraId="26323B68"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Only few MSs has dedicated adaptation funds, earmarked budgets for adaptation financing. Growing number of MSs conduct adaptation MRE. M more frequently than R and E.</w:t>
            </w:r>
          </w:p>
        </w:tc>
      </w:tr>
      <w:tr w:rsidR="00123BAB" w:rsidRPr="0002056A" w14:paraId="167AD0C4"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3759EF3" w14:textId="4EF382CB"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European Environmental Agency</w:t>
            </w:r>
          </w:p>
        </w:tc>
        <w:tc>
          <w:tcPr>
            <w:tcW w:w="705" w:type="dxa"/>
            <w:tcBorders>
              <w:top w:val="nil"/>
              <w:left w:val="nil"/>
              <w:bottom w:val="single" w:sz="4" w:space="0" w:color="auto"/>
              <w:right w:val="single" w:sz="4" w:space="0" w:color="auto"/>
            </w:tcBorders>
            <w:vAlign w:val="center"/>
          </w:tcPr>
          <w:p w14:paraId="525F7358" w14:textId="6F38D47A"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2024</w:t>
            </w:r>
          </w:p>
        </w:tc>
        <w:tc>
          <w:tcPr>
            <w:tcW w:w="1137" w:type="dxa"/>
            <w:tcBorders>
              <w:top w:val="nil"/>
              <w:left w:val="nil"/>
              <w:bottom w:val="single" w:sz="4" w:space="0" w:color="auto"/>
              <w:right w:val="single" w:sz="4" w:space="0" w:color="auto"/>
            </w:tcBorders>
            <w:vAlign w:val="center"/>
          </w:tcPr>
          <w:p w14:paraId="291B2E4C" w14:textId="692D627B"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European Climate Risk </w:t>
            </w:r>
            <w:r w:rsidR="007133D4" w:rsidRPr="0002056A">
              <w:rPr>
                <w:rFonts w:ascii="Georgia" w:eastAsia="Times New Roman" w:hAnsi="Georgia" w:cs="Times New Roman"/>
                <w:color w:val="000000"/>
                <w:sz w:val="10"/>
                <w:szCs w:val="10"/>
                <w:lang w:val="en-GB" w:eastAsia="hu-HU"/>
              </w:rPr>
              <w:t>Assessment Executive</w:t>
            </w:r>
            <w:r w:rsidRPr="0002056A">
              <w:rPr>
                <w:rFonts w:ascii="Georgia" w:eastAsia="Times New Roman" w:hAnsi="Georgia" w:cs="Times New Roman"/>
                <w:color w:val="000000"/>
                <w:sz w:val="10"/>
                <w:szCs w:val="10"/>
                <w:lang w:val="en-GB" w:eastAsia="hu-HU"/>
              </w:rPr>
              <w:t xml:space="preserve"> summary </w:t>
            </w:r>
          </w:p>
          <w:p w14:paraId="32D8D11C" w14:textId="12CBE524"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 Report 01/2024</w:t>
            </w:r>
          </w:p>
        </w:tc>
        <w:tc>
          <w:tcPr>
            <w:tcW w:w="1134" w:type="dxa"/>
            <w:tcBorders>
              <w:top w:val="nil"/>
              <w:left w:val="nil"/>
              <w:bottom w:val="single" w:sz="4" w:space="0" w:color="auto"/>
              <w:right w:val="single" w:sz="4" w:space="0" w:color="auto"/>
            </w:tcBorders>
            <w:vAlign w:val="center"/>
          </w:tcPr>
          <w:p w14:paraId="42DAE65B" w14:textId="10D2833B"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62C3F9F6" w14:textId="4F4E663D"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13594875" w14:textId="13BEFCA8"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0BDA9D3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 Report 01/2024.</w:t>
            </w:r>
          </w:p>
          <w:p w14:paraId="0D888C04" w14:textId="4519DA5B"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Luxembourg: Publications Office of the European Union, 2024</w:t>
            </w:r>
          </w:p>
          <w:p w14:paraId="4A702AC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978-92-9480-627-7</w:t>
            </w:r>
          </w:p>
          <w:p w14:paraId="4C26E0E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ISSN 1977-8449</w:t>
            </w:r>
          </w:p>
          <w:p w14:paraId="633D6E2B" w14:textId="0A8EBD03"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doi:10.2800/204249</w:t>
            </w:r>
          </w:p>
        </w:tc>
        <w:tc>
          <w:tcPr>
            <w:tcW w:w="708" w:type="dxa"/>
            <w:tcBorders>
              <w:top w:val="nil"/>
              <w:left w:val="nil"/>
              <w:bottom w:val="single" w:sz="4" w:space="0" w:color="auto"/>
              <w:right w:val="single" w:sz="4" w:space="0" w:color="auto"/>
            </w:tcBorders>
            <w:vAlign w:val="center"/>
          </w:tcPr>
          <w:p w14:paraId="46B85444" w14:textId="445818BB"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28859D14" w14:textId="02B98F29"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8E7E315" w14:textId="23B5C77A"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2FF55CC" w14:textId="4028FAB7" w:rsidR="00123BAB" w:rsidRPr="0002056A" w:rsidRDefault="00123BAB" w:rsidP="00123BAB">
            <w:pP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first European Climate Risk Assessment (EUCRA) identifies 36 climate risks that pose a threat to Europe’s energy and food security, ecosystems, infrastructure, water resources, financial stability, and people’s health. It shows that many of these risks have already reached critical levels and can become catastrophic without urgent and decisive action. The knowledge in this first-of-its-kind assessment is synthesised to support strategic policymaking.</w:t>
            </w:r>
          </w:p>
        </w:tc>
        <w:tc>
          <w:tcPr>
            <w:tcW w:w="2268" w:type="dxa"/>
            <w:tcBorders>
              <w:top w:val="nil"/>
              <w:left w:val="nil"/>
              <w:bottom w:val="single" w:sz="4" w:space="0" w:color="auto"/>
              <w:right w:val="single" w:sz="8" w:space="0" w:color="auto"/>
            </w:tcBorders>
            <w:vAlign w:val="center"/>
          </w:tcPr>
          <w:p w14:paraId="788B63A6" w14:textId="673A543C"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Beyond the numerous important information it provides, the EUCRA even applies a macro regional classification for the European continent that was one of the </w:t>
            </w:r>
            <w:r w:rsidR="006940C2" w:rsidRPr="0002056A">
              <w:rPr>
                <w:rFonts w:ascii="Georgia" w:eastAsia="Times New Roman" w:hAnsi="Georgia" w:cs="Times New Roman"/>
                <w:color w:val="000000"/>
                <w:sz w:val="10"/>
                <w:szCs w:val="10"/>
                <w:lang w:val="en-GB" w:eastAsia="hu-HU"/>
              </w:rPr>
              <w:t>bases</w:t>
            </w:r>
            <w:r w:rsidRPr="0002056A">
              <w:rPr>
                <w:rFonts w:ascii="Georgia" w:eastAsia="Times New Roman" w:hAnsi="Georgia" w:cs="Times New Roman"/>
                <w:color w:val="000000"/>
                <w:sz w:val="10"/>
                <w:szCs w:val="10"/>
                <w:lang w:val="en-GB" w:eastAsia="hu-HU"/>
              </w:rPr>
              <w:t xml:space="preserve"> of the dissertation’s macro regional assessments.</w:t>
            </w:r>
          </w:p>
        </w:tc>
      </w:tr>
      <w:tr w:rsidR="00123BAB" w:rsidRPr="0002056A" w14:paraId="39682DE2"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4BCA5E9" w14:textId="224CC332"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Faludi, A.</w:t>
            </w:r>
          </w:p>
        </w:tc>
        <w:tc>
          <w:tcPr>
            <w:tcW w:w="705" w:type="dxa"/>
            <w:tcBorders>
              <w:top w:val="nil"/>
              <w:left w:val="nil"/>
              <w:bottom w:val="single" w:sz="4" w:space="0" w:color="auto"/>
              <w:right w:val="single" w:sz="4" w:space="0" w:color="auto"/>
            </w:tcBorders>
            <w:vAlign w:val="center"/>
          </w:tcPr>
          <w:p w14:paraId="0435CB72" w14:textId="6DB95F20"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tcPr>
          <w:p w14:paraId="1ECA78E8" w14:textId="6CE0BCD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 cohesion, territorialism, territoriality and soft planning: a critical review</w:t>
            </w:r>
          </w:p>
        </w:tc>
        <w:tc>
          <w:tcPr>
            <w:tcW w:w="1134" w:type="dxa"/>
            <w:tcBorders>
              <w:top w:val="nil"/>
              <w:left w:val="nil"/>
              <w:bottom w:val="single" w:sz="4" w:space="0" w:color="auto"/>
              <w:right w:val="single" w:sz="4" w:space="0" w:color="auto"/>
            </w:tcBorders>
            <w:vAlign w:val="center"/>
          </w:tcPr>
          <w:p w14:paraId="588D215D" w14:textId="67352CC9"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w:t>
            </w:r>
          </w:p>
        </w:tc>
        <w:tc>
          <w:tcPr>
            <w:tcW w:w="708" w:type="dxa"/>
            <w:tcBorders>
              <w:top w:val="nil"/>
              <w:left w:val="nil"/>
              <w:bottom w:val="single" w:sz="4" w:space="0" w:color="auto"/>
              <w:right w:val="single" w:sz="4" w:space="0" w:color="auto"/>
            </w:tcBorders>
            <w:vAlign w:val="center"/>
          </w:tcPr>
          <w:p w14:paraId="3945D8C2" w14:textId="45D7B5D8"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Publications</w:t>
            </w:r>
          </w:p>
        </w:tc>
        <w:tc>
          <w:tcPr>
            <w:tcW w:w="851" w:type="dxa"/>
            <w:tcBorders>
              <w:top w:val="nil"/>
              <w:left w:val="nil"/>
              <w:bottom w:val="single" w:sz="4" w:space="0" w:color="auto"/>
              <w:right w:val="single" w:sz="4" w:space="0" w:color="auto"/>
            </w:tcBorders>
            <w:vAlign w:val="center"/>
          </w:tcPr>
          <w:p w14:paraId="47995A80" w14:textId="2CBDABF2"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1AC952EE" w14:textId="3A12BB8A"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 and Planning A, 2013, Volume 14, pp 1302-1317</w:t>
            </w:r>
          </w:p>
          <w:p w14:paraId="6131BA0A" w14:textId="0D646FB1"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doi: 10.1068a45299</w:t>
            </w:r>
          </w:p>
        </w:tc>
        <w:tc>
          <w:tcPr>
            <w:tcW w:w="708" w:type="dxa"/>
            <w:tcBorders>
              <w:top w:val="nil"/>
              <w:left w:val="nil"/>
              <w:bottom w:val="single" w:sz="4" w:space="0" w:color="auto"/>
              <w:right w:val="single" w:sz="4" w:space="0" w:color="auto"/>
            </w:tcBorders>
            <w:vAlign w:val="center"/>
          </w:tcPr>
          <w:p w14:paraId="4BBAEDCB" w14:textId="13BC1A21"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D416E9E" w14:textId="32432A6C"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23D967D" w14:textId="55BF412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FC3133F" w14:textId="3649A092"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alert planners involved in EU spatial planning that common sense answers do not exist for the question: “what territory is?”. It mentions the planning literature then relatively new feature, the articulation of soft spaces instead of hard ones.</w:t>
            </w:r>
          </w:p>
        </w:tc>
        <w:tc>
          <w:tcPr>
            <w:tcW w:w="2268" w:type="dxa"/>
            <w:tcBorders>
              <w:top w:val="nil"/>
              <w:left w:val="nil"/>
              <w:bottom w:val="single" w:sz="4" w:space="0" w:color="auto"/>
              <w:right w:val="single" w:sz="8" w:space="0" w:color="auto"/>
            </w:tcBorders>
            <w:vAlign w:val="center"/>
          </w:tcPr>
          <w:p w14:paraId="79C64FEB" w14:textId="44CFCB33"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w:t>
            </w:r>
            <w:r w:rsidR="006940C2" w:rsidRPr="0002056A">
              <w:rPr>
                <w:rFonts w:ascii="Georgia" w:eastAsia="Times New Roman" w:hAnsi="Georgia" w:cs="Times New Roman"/>
                <w:color w:val="000000"/>
                <w:sz w:val="10"/>
                <w:szCs w:val="10"/>
                <w:lang w:val="en-GB" w:eastAsia="hu-HU"/>
              </w:rPr>
              <w:t>adds</w:t>
            </w:r>
            <w:r w:rsidRPr="0002056A">
              <w:rPr>
                <w:rFonts w:ascii="Georgia" w:eastAsia="Times New Roman" w:hAnsi="Georgia" w:cs="Times New Roman"/>
                <w:color w:val="000000"/>
                <w:sz w:val="10"/>
                <w:szCs w:val="10"/>
                <w:lang w:val="en-GB" w:eastAsia="hu-HU"/>
              </w:rPr>
              <w:t xml:space="preserve"> new points to the definitions of </w:t>
            </w:r>
            <w:r w:rsidR="007133D4" w:rsidRPr="0002056A">
              <w:rPr>
                <w:rFonts w:ascii="Georgia" w:eastAsia="Times New Roman" w:hAnsi="Georgia" w:cs="Times New Roman"/>
                <w:color w:val="000000"/>
                <w:sz w:val="10"/>
                <w:szCs w:val="10"/>
                <w:lang w:val="en-GB" w:eastAsia="hu-HU"/>
              </w:rPr>
              <w:t>territory</w:t>
            </w:r>
            <w:r w:rsidRPr="0002056A">
              <w:rPr>
                <w:rFonts w:ascii="Georgia" w:eastAsia="Times New Roman" w:hAnsi="Georgia" w:cs="Times New Roman"/>
                <w:color w:val="000000"/>
                <w:sz w:val="10"/>
                <w:szCs w:val="10"/>
                <w:lang w:val="en-GB" w:eastAsia="hu-HU"/>
              </w:rPr>
              <w:t>, territorialism, territoriality</w:t>
            </w:r>
          </w:p>
        </w:tc>
      </w:tr>
      <w:tr w:rsidR="00123BAB" w:rsidRPr="0002056A" w14:paraId="763F500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A3A8B24" w14:textId="7315638C"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Faludi, A.</w:t>
            </w:r>
          </w:p>
        </w:tc>
        <w:tc>
          <w:tcPr>
            <w:tcW w:w="705" w:type="dxa"/>
            <w:tcBorders>
              <w:top w:val="nil"/>
              <w:left w:val="nil"/>
              <w:bottom w:val="single" w:sz="4" w:space="0" w:color="auto"/>
              <w:right w:val="single" w:sz="4" w:space="0" w:color="auto"/>
            </w:tcBorders>
            <w:vAlign w:val="center"/>
          </w:tcPr>
          <w:p w14:paraId="32F8EC99" w14:textId="6C14B5C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129981A0" w14:textId="6746BB8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Poverty of Territorialism: Revisiting European Spatial Planning</w:t>
            </w:r>
          </w:p>
        </w:tc>
        <w:tc>
          <w:tcPr>
            <w:tcW w:w="1134" w:type="dxa"/>
            <w:tcBorders>
              <w:top w:val="nil"/>
              <w:left w:val="nil"/>
              <w:bottom w:val="single" w:sz="4" w:space="0" w:color="auto"/>
              <w:right w:val="single" w:sz="4" w:space="0" w:color="auto"/>
            </w:tcBorders>
            <w:vAlign w:val="center"/>
          </w:tcPr>
          <w:p w14:paraId="260E9B03" w14:textId="29F50B8D"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w:t>
            </w:r>
          </w:p>
        </w:tc>
        <w:tc>
          <w:tcPr>
            <w:tcW w:w="708" w:type="dxa"/>
            <w:tcBorders>
              <w:top w:val="nil"/>
              <w:left w:val="nil"/>
              <w:bottom w:val="single" w:sz="4" w:space="0" w:color="auto"/>
              <w:right w:val="single" w:sz="4" w:space="0" w:color="auto"/>
            </w:tcBorders>
            <w:vAlign w:val="center"/>
          </w:tcPr>
          <w:p w14:paraId="195D8B4C" w14:textId="2FDEFF50"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34B5A7D8" w14:textId="1249AEDE"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37F4DD04" w14:textId="39F56A33"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Planning Review 52, no.3: 73-81.</w:t>
            </w:r>
          </w:p>
        </w:tc>
        <w:tc>
          <w:tcPr>
            <w:tcW w:w="708" w:type="dxa"/>
            <w:tcBorders>
              <w:top w:val="nil"/>
              <w:left w:val="nil"/>
              <w:bottom w:val="single" w:sz="4" w:space="0" w:color="auto"/>
              <w:right w:val="single" w:sz="4" w:space="0" w:color="auto"/>
            </w:tcBorders>
            <w:vAlign w:val="center"/>
          </w:tcPr>
          <w:p w14:paraId="47CFAA3C" w14:textId="08758FC0"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4C29A17" w14:textId="21186449"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89E131D" w14:textId="3FCC0C7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3500033" w14:textId="340E4B70"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Under territorialism and the crisis of the European Union the paper shows that this crisis raises questions about what the Union is and should be. Pursuing the neo-medieval alternative, the paper reports on the same author foreseeing overlapping territorial and functional arrangements, like in an empire. It discusses spatial planning in the neomedieval empire where spaces.</w:t>
            </w:r>
          </w:p>
        </w:tc>
        <w:tc>
          <w:tcPr>
            <w:tcW w:w="2268" w:type="dxa"/>
            <w:tcBorders>
              <w:top w:val="nil"/>
              <w:left w:val="nil"/>
              <w:bottom w:val="single" w:sz="4" w:space="0" w:color="auto"/>
              <w:right w:val="single" w:sz="8" w:space="0" w:color="auto"/>
            </w:tcBorders>
            <w:vAlign w:val="center"/>
          </w:tcPr>
          <w:p w14:paraId="4F247500" w14:textId="54FE5F01"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space must no longer be seen through the lens of territorialism. Rather, it should be viewed as overlapping and intersecting areas, each requiring its own governance. The implication for European planning, true also for strategic planning generally, is to abandon the pursuit of spatially integrated policies. Instead, planning should produce parallel and overlapping schemes for various territorial and functional</w:t>
            </w:r>
          </w:p>
        </w:tc>
      </w:tr>
      <w:tr w:rsidR="00123BAB" w:rsidRPr="0002056A" w14:paraId="7FE651BF"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1D3B065" w14:textId="18A854A7" w:rsidR="00123BAB" w:rsidRPr="0002056A" w:rsidRDefault="00123BAB" w:rsidP="00123BAB">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Farbotko, C.</w:t>
            </w:r>
          </w:p>
        </w:tc>
        <w:tc>
          <w:tcPr>
            <w:tcW w:w="705" w:type="dxa"/>
            <w:tcBorders>
              <w:top w:val="nil"/>
              <w:left w:val="nil"/>
              <w:bottom w:val="single" w:sz="4" w:space="0" w:color="auto"/>
              <w:right w:val="single" w:sz="4" w:space="0" w:color="auto"/>
            </w:tcBorders>
            <w:vAlign w:val="center"/>
          </w:tcPr>
          <w:p w14:paraId="1122FD51" w14:textId="335F04FD"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065CD21D" w14:textId="5180D938"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and national security: an agenda for geography</w:t>
            </w:r>
          </w:p>
        </w:tc>
        <w:tc>
          <w:tcPr>
            <w:tcW w:w="1134" w:type="dxa"/>
            <w:tcBorders>
              <w:top w:val="nil"/>
              <w:left w:val="nil"/>
              <w:bottom w:val="single" w:sz="4" w:space="0" w:color="auto"/>
              <w:right w:val="single" w:sz="4" w:space="0" w:color="auto"/>
            </w:tcBorders>
            <w:vAlign w:val="center"/>
          </w:tcPr>
          <w:p w14:paraId="31F5532A" w14:textId="192741D2"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AUS</w:t>
            </w:r>
          </w:p>
        </w:tc>
        <w:tc>
          <w:tcPr>
            <w:tcW w:w="708" w:type="dxa"/>
            <w:tcBorders>
              <w:top w:val="nil"/>
              <w:left w:val="nil"/>
              <w:bottom w:val="single" w:sz="4" w:space="0" w:color="auto"/>
              <w:right w:val="single" w:sz="4" w:space="0" w:color="auto"/>
            </w:tcBorders>
            <w:vAlign w:val="center"/>
          </w:tcPr>
          <w:p w14:paraId="2B8447AD" w14:textId="54B2D104"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0CBE9463" w14:textId="3B34F896"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123876C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hyperlink r:id="rId152" w:history="1">
              <w:r w:rsidRPr="0002056A">
                <w:rPr>
                  <w:rFonts w:ascii="Georgia" w:eastAsia="Times New Roman" w:hAnsi="Georgia" w:cs="Times New Roman"/>
                  <w:color w:val="000000"/>
                  <w:sz w:val="10"/>
                  <w:szCs w:val="10"/>
                  <w:lang w:val="en-GB" w:eastAsia="hu-HU"/>
                </w:rPr>
                <w:t>Australian Geographer</w:t>
              </w:r>
            </w:hyperlink>
          </w:p>
          <w:p w14:paraId="09FDC28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Volume 49, 2018.</w:t>
            </w:r>
          </w:p>
          <w:p w14:paraId="064F59F5" w14:textId="79710654"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hyperlink r:id="rId153" w:history="1">
              <w:r w:rsidRPr="0002056A">
                <w:rPr>
                  <w:rFonts w:ascii="Georgia" w:eastAsia="Times New Roman" w:hAnsi="Georgia" w:cs="Times New Roman"/>
                  <w:color w:val="000000"/>
                  <w:sz w:val="10"/>
                  <w:szCs w:val="10"/>
                  <w:lang w:val="en-GB" w:eastAsia="hu-HU"/>
                </w:rPr>
                <w:t>Issue 2</w:t>
              </w:r>
            </w:hyperlink>
          </w:p>
        </w:tc>
        <w:tc>
          <w:tcPr>
            <w:tcW w:w="708" w:type="dxa"/>
            <w:tcBorders>
              <w:top w:val="nil"/>
              <w:left w:val="nil"/>
              <w:bottom w:val="single" w:sz="4" w:space="0" w:color="auto"/>
              <w:right w:val="single" w:sz="4" w:space="0" w:color="auto"/>
            </w:tcBorders>
            <w:vAlign w:val="center"/>
          </w:tcPr>
          <w:p w14:paraId="2D3AC420" w14:textId="70495968"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282DB56" w14:textId="48F7DE18"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12558AC" w14:textId="68102D89"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0C77D94" w14:textId="59C5274E"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essay urges geographers, working in Australia and internationally, to make ongoing contributions to engagements about the connection of national security, climate change and geography. </w:t>
            </w:r>
          </w:p>
        </w:tc>
        <w:tc>
          <w:tcPr>
            <w:tcW w:w="2268" w:type="dxa"/>
            <w:tcBorders>
              <w:top w:val="nil"/>
              <w:left w:val="nil"/>
              <w:bottom w:val="single" w:sz="4" w:space="0" w:color="auto"/>
              <w:right w:val="single" w:sz="8" w:space="0" w:color="auto"/>
            </w:tcBorders>
            <w:vAlign w:val="center"/>
          </w:tcPr>
          <w:p w14:paraId="002947FF" w14:textId="2508DC61"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Geographic data and analysis pertaining to various aspects of climate change and security are needed in order to shape policy directions and support evidence-based policy making.</w:t>
            </w:r>
          </w:p>
        </w:tc>
      </w:tr>
      <w:tr w:rsidR="00123BAB" w:rsidRPr="0002056A" w14:paraId="1A6A004C" w14:textId="77777777" w:rsidTr="00D57247">
        <w:trPr>
          <w:trHeight w:val="498"/>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4A8FEBB" w14:textId="7390FE00"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Faragó, L.</w:t>
            </w:r>
          </w:p>
        </w:tc>
        <w:tc>
          <w:tcPr>
            <w:tcW w:w="705" w:type="dxa"/>
            <w:tcBorders>
              <w:top w:val="nil"/>
              <w:left w:val="nil"/>
              <w:bottom w:val="single" w:sz="4" w:space="0" w:color="auto"/>
              <w:right w:val="single" w:sz="4" w:space="0" w:color="auto"/>
            </w:tcBorders>
            <w:vAlign w:val="center"/>
            <w:hideMark/>
          </w:tcPr>
          <w:p w14:paraId="22412E9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39A61F5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Térértelmezések – Interpretations of space</w:t>
            </w:r>
          </w:p>
        </w:tc>
        <w:tc>
          <w:tcPr>
            <w:tcW w:w="1134" w:type="dxa"/>
            <w:tcBorders>
              <w:top w:val="nil"/>
              <w:left w:val="nil"/>
              <w:bottom w:val="single" w:sz="4" w:space="0" w:color="auto"/>
              <w:right w:val="single" w:sz="4" w:space="0" w:color="auto"/>
            </w:tcBorders>
            <w:vAlign w:val="center"/>
            <w:hideMark/>
          </w:tcPr>
          <w:p w14:paraId="350D326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5654A06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w:t>
            </w:r>
          </w:p>
        </w:tc>
        <w:tc>
          <w:tcPr>
            <w:tcW w:w="851" w:type="dxa"/>
            <w:tcBorders>
              <w:top w:val="nil"/>
              <w:left w:val="nil"/>
              <w:bottom w:val="single" w:sz="4" w:space="0" w:color="auto"/>
              <w:right w:val="single" w:sz="4" w:space="0" w:color="auto"/>
            </w:tcBorders>
            <w:vAlign w:val="center"/>
            <w:hideMark/>
          </w:tcPr>
          <w:p w14:paraId="079A14E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hideMark/>
          </w:tcPr>
          <w:p w14:paraId="3D202C4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Tér és Társadalom / Space and Society 26. évf., 1. szám, 2012</w:t>
            </w:r>
          </w:p>
        </w:tc>
        <w:tc>
          <w:tcPr>
            <w:tcW w:w="708" w:type="dxa"/>
            <w:tcBorders>
              <w:top w:val="nil"/>
              <w:left w:val="nil"/>
              <w:bottom w:val="single" w:sz="4" w:space="0" w:color="auto"/>
              <w:right w:val="single" w:sz="4" w:space="0" w:color="auto"/>
            </w:tcBorders>
            <w:vAlign w:val="center"/>
            <w:hideMark/>
          </w:tcPr>
          <w:p w14:paraId="164F2AC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762A159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78A821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7AD9688" w14:textId="45E93466"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author discusses the most defining concepts of space in four chapters. It distinguishes the relational/relative space from the absolute spatial perception with an objective approach. It presents the objective material and the dual approach the concept of (subjective) social spaces. Heidegger's concept of space is described in detail. For each interpretation, he refers to their practical consequences. Then points out that the ideas of space and place do not primarily mean a difference in scale, but their meaning is different; there is a specific interaction between the abstract system/structure and the concrete place. The final chapter of the study is everyday </w:t>
            </w:r>
            <w:r w:rsidR="006940C2" w:rsidRPr="0002056A">
              <w:rPr>
                <w:rFonts w:ascii="Georgia" w:eastAsia="Times New Roman" w:hAnsi="Georgia" w:cs="Times New Roman"/>
                <w:color w:val="000000"/>
                <w:sz w:val="10"/>
                <w:szCs w:val="10"/>
                <w:lang w:val="en-GB" w:eastAsia="hu-HU"/>
              </w:rPr>
              <w:t>practice,</w:t>
            </w:r>
            <w:r w:rsidRPr="0002056A">
              <w:rPr>
                <w:rFonts w:ascii="Georgia" w:eastAsia="Times New Roman" w:hAnsi="Georgia" w:cs="Times New Roman"/>
                <w:color w:val="000000"/>
                <w:sz w:val="10"/>
                <w:szCs w:val="10"/>
                <w:lang w:val="en-GB" w:eastAsia="hu-HU"/>
              </w:rPr>
              <w:t xml:space="preserve"> and planning discusses the use of space (concept).</w:t>
            </w:r>
          </w:p>
        </w:tc>
        <w:tc>
          <w:tcPr>
            <w:tcW w:w="2268" w:type="dxa"/>
            <w:tcBorders>
              <w:top w:val="nil"/>
              <w:left w:val="nil"/>
              <w:bottom w:val="single" w:sz="4" w:space="0" w:color="auto"/>
              <w:right w:val="single" w:sz="8" w:space="0" w:color="auto"/>
            </w:tcBorders>
            <w:vAlign w:val="center"/>
          </w:tcPr>
          <w:p w14:paraId="4974A1A5"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provides a comprehensive overview of space interpretations of spatial disciplines</w:t>
            </w:r>
          </w:p>
        </w:tc>
      </w:tr>
      <w:tr w:rsidR="00123BAB" w:rsidRPr="0002056A" w14:paraId="33461C5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F9A36C7"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Faragó, T. </w:t>
            </w:r>
          </w:p>
        </w:tc>
        <w:tc>
          <w:tcPr>
            <w:tcW w:w="705" w:type="dxa"/>
            <w:tcBorders>
              <w:top w:val="nil"/>
              <w:left w:val="nil"/>
              <w:bottom w:val="single" w:sz="4" w:space="0" w:color="auto"/>
              <w:right w:val="single" w:sz="4" w:space="0" w:color="auto"/>
            </w:tcBorders>
            <w:vAlign w:val="center"/>
            <w:hideMark/>
          </w:tcPr>
          <w:p w14:paraId="0A3461F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169EE2F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Új nemzetközi éghajlatvédelmi megállapodás.</w:t>
            </w:r>
          </w:p>
        </w:tc>
        <w:tc>
          <w:tcPr>
            <w:tcW w:w="1134" w:type="dxa"/>
            <w:tcBorders>
              <w:top w:val="nil"/>
              <w:left w:val="nil"/>
              <w:bottom w:val="single" w:sz="4" w:space="0" w:color="auto"/>
              <w:right w:val="single" w:sz="4" w:space="0" w:color="auto"/>
            </w:tcBorders>
            <w:noWrap/>
            <w:vAlign w:val="center"/>
            <w:hideMark/>
          </w:tcPr>
          <w:p w14:paraId="687644A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shd w:val="clear" w:color="000000" w:fill="FFFFFF"/>
            <w:vAlign w:val="center"/>
            <w:hideMark/>
          </w:tcPr>
          <w:p w14:paraId="1C3548A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Magyar Energetikai Társaság</w:t>
            </w:r>
          </w:p>
        </w:tc>
        <w:tc>
          <w:tcPr>
            <w:tcW w:w="851" w:type="dxa"/>
            <w:tcBorders>
              <w:top w:val="nil"/>
              <w:left w:val="nil"/>
              <w:bottom w:val="single" w:sz="4" w:space="0" w:color="auto"/>
              <w:right w:val="single" w:sz="4" w:space="0" w:color="auto"/>
            </w:tcBorders>
            <w:vAlign w:val="center"/>
            <w:hideMark/>
          </w:tcPr>
          <w:p w14:paraId="43305A0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30F9821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Magyar Energetika, 2015/5-6, pp. 58-61.</w:t>
            </w:r>
          </w:p>
        </w:tc>
        <w:tc>
          <w:tcPr>
            <w:tcW w:w="708" w:type="dxa"/>
            <w:tcBorders>
              <w:top w:val="nil"/>
              <w:left w:val="nil"/>
              <w:bottom w:val="single" w:sz="4" w:space="0" w:color="auto"/>
              <w:right w:val="single" w:sz="4" w:space="0" w:color="auto"/>
            </w:tcBorders>
            <w:vAlign w:val="center"/>
            <w:hideMark/>
          </w:tcPr>
          <w:p w14:paraId="6F00D99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0EA84DE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9C1348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4087C2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Right before the Paris Agreement the author overviewed the expected results.</w:t>
            </w:r>
          </w:p>
        </w:tc>
        <w:tc>
          <w:tcPr>
            <w:tcW w:w="2268" w:type="dxa"/>
            <w:tcBorders>
              <w:top w:val="nil"/>
              <w:left w:val="nil"/>
              <w:bottom w:val="single" w:sz="4" w:space="0" w:color="auto"/>
              <w:right w:val="single" w:sz="8" w:space="0" w:color="auto"/>
            </w:tcBorders>
            <w:vAlign w:val="center"/>
          </w:tcPr>
          <w:p w14:paraId="448EBF1A"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introduction of the international climate policy yields and consequences of the Paris Agreement</w:t>
            </w:r>
          </w:p>
        </w:tc>
      </w:tr>
      <w:tr w:rsidR="00123BAB" w:rsidRPr="0002056A" w14:paraId="1BE75820"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52C795A" w14:textId="4BB1E70F"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Fayol, H.</w:t>
            </w:r>
          </w:p>
          <w:p w14:paraId="3E21F81B"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3837EEE3" w14:textId="74A63DFE"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1916</w:t>
            </w:r>
          </w:p>
        </w:tc>
        <w:tc>
          <w:tcPr>
            <w:tcW w:w="1137" w:type="dxa"/>
            <w:tcBorders>
              <w:top w:val="nil"/>
              <w:left w:val="nil"/>
              <w:bottom w:val="single" w:sz="4" w:space="0" w:color="auto"/>
              <w:right w:val="single" w:sz="4" w:space="0" w:color="auto"/>
            </w:tcBorders>
            <w:vAlign w:val="center"/>
          </w:tcPr>
          <w:p w14:paraId="54D45474" w14:textId="01A02F7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General and Industrial Management.</w:t>
            </w:r>
          </w:p>
        </w:tc>
        <w:tc>
          <w:tcPr>
            <w:tcW w:w="1134" w:type="dxa"/>
            <w:tcBorders>
              <w:top w:val="nil"/>
              <w:left w:val="nil"/>
              <w:bottom w:val="single" w:sz="4" w:space="0" w:color="auto"/>
              <w:right w:val="single" w:sz="4" w:space="0" w:color="auto"/>
            </w:tcBorders>
            <w:noWrap/>
            <w:vAlign w:val="center"/>
          </w:tcPr>
          <w:p w14:paraId="70B8C5BF" w14:textId="47403D9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w:t>
            </w:r>
          </w:p>
        </w:tc>
        <w:tc>
          <w:tcPr>
            <w:tcW w:w="708" w:type="dxa"/>
            <w:tcBorders>
              <w:top w:val="nil"/>
              <w:left w:val="nil"/>
              <w:bottom w:val="single" w:sz="4" w:space="0" w:color="auto"/>
              <w:right w:val="single" w:sz="4" w:space="0" w:color="auto"/>
            </w:tcBorders>
            <w:shd w:val="clear" w:color="000000" w:fill="FFFFFF"/>
            <w:vAlign w:val="center"/>
          </w:tcPr>
          <w:p w14:paraId="7B8727E5" w14:textId="32E04A4C"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Pitman and Sons Ltd</w:t>
            </w:r>
          </w:p>
        </w:tc>
        <w:tc>
          <w:tcPr>
            <w:tcW w:w="851" w:type="dxa"/>
            <w:tcBorders>
              <w:top w:val="nil"/>
              <w:left w:val="nil"/>
              <w:bottom w:val="single" w:sz="4" w:space="0" w:color="auto"/>
              <w:right w:val="single" w:sz="4" w:space="0" w:color="auto"/>
            </w:tcBorders>
            <w:vAlign w:val="center"/>
          </w:tcPr>
          <w:p w14:paraId="0B12719C" w14:textId="401216D9"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management studies, economics</w:t>
            </w:r>
          </w:p>
        </w:tc>
        <w:tc>
          <w:tcPr>
            <w:tcW w:w="993" w:type="dxa"/>
            <w:tcBorders>
              <w:top w:val="nil"/>
              <w:left w:val="nil"/>
              <w:bottom w:val="single" w:sz="4" w:space="0" w:color="auto"/>
              <w:right w:val="single" w:sz="4" w:space="0" w:color="auto"/>
            </w:tcBorders>
            <w:vAlign w:val="center"/>
          </w:tcPr>
          <w:p w14:paraId="5D9D130F" w14:textId="0A6B87A3"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First English Volume.Pitman and Sons Ltd., 110 pages, London, 1946.</w:t>
            </w:r>
          </w:p>
        </w:tc>
        <w:tc>
          <w:tcPr>
            <w:tcW w:w="708" w:type="dxa"/>
            <w:tcBorders>
              <w:top w:val="nil"/>
              <w:left w:val="nil"/>
              <w:bottom w:val="single" w:sz="4" w:space="0" w:color="auto"/>
              <w:right w:val="single" w:sz="4" w:space="0" w:color="auto"/>
            </w:tcBorders>
            <w:vAlign w:val="center"/>
          </w:tcPr>
          <w:p w14:paraId="6DF118CA" w14:textId="53DE6478"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5550DE44" w14:textId="5ED88E3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A6BAB4D" w14:textId="34D5DF2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F975F39" w14:textId="53A95E53"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its seminal work, Henri Fayol, a French mining engineer and management theorist, lays out the fundamental principles of modern management.</w:t>
            </w:r>
          </w:p>
        </w:tc>
        <w:tc>
          <w:tcPr>
            <w:tcW w:w="2268" w:type="dxa"/>
            <w:tcBorders>
              <w:top w:val="nil"/>
              <w:left w:val="nil"/>
              <w:bottom w:val="single" w:sz="4" w:space="0" w:color="auto"/>
              <w:right w:val="single" w:sz="8" w:space="0" w:color="auto"/>
            </w:tcBorders>
            <w:vAlign w:val="center"/>
          </w:tcPr>
          <w:p w14:paraId="5D2CD4AA" w14:textId="461E24B4"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provides definition for management-related concepts as planning and monitoring and evaluation.</w:t>
            </w:r>
          </w:p>
        </w:tc>
      </w:tr>
      <w:tr w:rsidR="00123BAB" w:rsidRPr="0002056A" w14:paraId="1333D518"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3BB0669"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Feldmeyer, D.; Wilden, D.; Kind, Ch.; Kaiser, Th.; Goldschmidt, R.; Diller, Ch.; Birkmann. J.</w:t>
            </w:r>
          </w:p>
        </w:tc>
        <w:tc>
          <w:tcPr>
            <w:tcW w:w="705" w:type="dxa"/>
            <w:tcBorders>
              <w:top w:val="nil"/>
              <w:left w:val="nil"/>
              <w:bottom w:val="single" w:sz="4" w:space="0" w:color="auto"/>
              <w:right w:val="single" w:sz="4" w:space="0" w:color="auto"/>
            </w:tcBorders>
            <w:vAlign w:val="center"/>
          </w:tcPr>
          <w:p w14:paraId="58F1AFD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4AF32F0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Indicators for monitoring urban climate change resilience and adaptation</w:t>
            </w:r>
          </w:p>
        </w:tc>
        <w:tc>
          <w:tcPr>
            <w:tcW w:w="1134" w:type="dxa"/>
            <w:tcBorders>
              <w:top w:val="nil"/>
              <w:left w:val="nil"/>
              <w:bottom w:val="single" w:sz="4" w:space="0" w:color="auto"/>
              <w:right w:val="single" w:sz="4" w:space="0" w:color="auto"/>
            </w:tcBorders>
            <w:noWrap/>
            <w:vAlign w:val="center"/>
          </w:tcPr>
          <w:p w14:paraId="6E5F352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 GER, GER, GER, GER, GER</w:t>
            </w:r>
          </w:p>
        </w:tc>
        <w:tc>
          <w:tcPr>
            <w:tcW w:w="708" w:type="dxa"/>
            <w:tcBorders>
              <w:top w:val="nil"/>
              <w:left w:val="nil"/>
              <w:bottom w:val="single" w:sz="4" w:space="0" w:color="auto"/>
              <w:right w:val="single" w:sz="4" w:space="0" w:color="auto"/>
            </w:tcBorders>
            <w:shd w:val="clear" w:color="000000" w:fill="FFFFFF"/>
            <w:vAlign w:val="center"/>
          </w:tcPr>
          <w:p w14:paraId="5586A8F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MDPI</w:t>
            </w:r>
          </w:p>
        </w:tc>
        <w:tc>
          <w:tcPr>
            <w:tcW w:w="851" w:type="dxa"/>
            <w:tcBorders>
              <w:top w:val="nil"/>
              <w:left w:val="nil"/>
              <w:bottom w:val="single" w:sz="4" w:space="0" w:color="auto"/>
              <w:right w:val="single" w:sz="4" w:space="0" w:color="auto"/>
            </w:tcBorders>
            <w:vAlign w:val="center"/>
          </w:tcPr>
          <w:p w14:paraId="2A0D654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MRE</w:t>
            </w:r>
          </w:p>
        </w:tc>
        <w:tc>
          <w:tcPr>
            <w:tcW w:w="993" w:type="dxa"/>
            <w:tcBorders>
              <w:top w:val="nil"/>
              <w:left w:val="nil"/>
              <w:bottom w:val="single" w:sz="4" w:space="0" w:color="auto"/>
              <w:right w:val="single" w:sz="4" w:space="0" w:color="auto"/>
            </w:tcBorders>
            <w:vAlign w:val="center"/>
          </w:tcPr>
          <w:p w14:paraId="5EF2075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Sustainability, 2019, 11, 2931</w:t>
            </w:r>
          </w:p>
        </w:tc>
        <w:tc>
          <w:tcPr>
            <w:tcW w:w="708" w:type="dxa"/>
            <w:tcBorders>
              <w:top w:val="nil"/>
              <w:left w:val="nil"/>
              <w:bottom w:val="single" w:sz="4" w:space="0" w:color="auto"/>
              <w:right w:val="single" w:sz="4" w:space="0" w:color="auto"/>
            </w:tcBorders>
            <w:vAlign w:val="center"/>
          </w:tcPr>
          <w:p w14:paraId="06106C3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F13A0F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F1305A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7CD0DBE" w14:textId="3724A719"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is based on literature review, online survey, validation workshop and sectoral </w:t>
            </w:r>
            <w:r w:rsidR="006940C2" w:rsidRPr="0002056A">
              <w:rPr>
                <w:rFonts w:ascii="Georgia" w:eastAsia="Times New Roman" w:hAnsi="Georgia" w:cs="Times New Roman"/>
                <w:color w:val="000000"/>
                <w:sz w:val="10"/>
                <w:szCs w:val="10"/>
                <w:lang w:val="en-GB" w:eastAsia="hu-HU"/>
              </w:rPr>
              <w:t>experts’</w:t>
            </w:r>
            <w:r w:rsidRPr="0002056A">
              <w:rPr>
                <w:rFonts w:ascii="Georgia" w:eastAsia="Times New Roman" w:hAnsi="Georgia" w:cs="Times New Roman"/>
                <w:color w:val="000000"/>
                <w:sz w:val="10"/>
                <w:szCs w:val="10"/>
                <w:lang w:val="en-GB" w:eastAsia="hu-HU"/>
              </w:rPr>
              <w:t xml:space="preserve"> quality control, the article provides an indicator set to measure urban climate resilience and monitor adaptation activities</w:t>
            </w:r>
          </w:p>
        </w:tc>
        <w:tc>
          <w:tcPr>
            <w:tcW w:w="2268" w:type="dxa"/>
            <w:tcBorders>
              <w:top w:val="nil"/>
              <w:left w:val="nil"/>
              <w:bottom w:val="single" w:sz="4" w:space="0" w:color="auto"/>
              <w:right w:val="single" w:sz="8" w:space="0" w:color="auto"/>
            </w:tcBorders>
            <w:vAlign w:val="center"/>
          </w:tcPr>
          <w:p w14:paraId="20951ADA"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identified 24 indicators distributed over 24 action fields.</w:t>
            </w:r>
          </w:p>
        </w:tc>
      </w:tr>
      <w:tr w:rsidR="00123BAB" w:rsidRPr="0002056A" w14:paraId="2A4DFB76" w14:textId="77777777" w:rsidTr="00D57247">
        <w:trPr>
          <w:trHeight w:val="1017"/>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682C087"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Fellmann, T.</w:t>
            </w:r>
          </w:p>
        </w:tc>
        <w:tc>
          <w:tcPr>
            <w:tcW w:w="705" w:type="dxa"/>
            <w:tcBorders>
              <w:top w:val="nil"/>
              <w:left w:val="nil"/>
              <w:bottom w:val="single" w:sz="4" w:space="0" w:color="auto"/>
              <w:right w:val="single" w:sz="4" w:space="0" w:color="auto"/>
            </w:tcBorders>
            <w:vAlign w:val="center"/>
            <w:hideMark/>
          </w:tcPr>
          <w:p w14:paraId="2120C77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01912AE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assessment of climate change related vulnerability in the agricultural sector: Reviewing conceptual frameworks. </w:t>
            </w:r>
          </w:p>
        </w:tc>
        <w:tc>
          <w:tcPr>
            <w:tcW w:w="1134" w:type="dxa"/>
            <w:tcBorders>
              <w:top w:val="nil"/>
              <w:left w:val="nil"/>
              <w:bottom w:val="single" w:sz="4" w:space="0" w:color="auto"/>
              <w:right w:val="single" w:sz="4" w:space="0" w:color="auto"/>
            </w:tcBorders>
            <w:vAlign w:val="center"/>
            <w:hideMark/>
          </w:tcPr>
          <w:p w14:paraId="392881E4" w14:textId="46462F6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708" w:type="dxa"/>
            <w:tcBorders>
              <w:top w:val="nil"/>
              <w:left w:val="nil"/>
              <w:bottom w:val="single" w:sz="4" w:space="0" w:color="auto"/>
              <w:right w:val="single" w:sz="4" w:space="0" w:color="auto"/>
            </w:tcBorders>
            <w:shd w:val="clear" w:color="000000" w:fill="FFFFFF"/>
            <w:vAlign w:val="center"/>
            <w:hideMark/>
          </w:tcPr>
          <w:p w14:paraId="620BDFB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851" w:type="dxa"/>
            <w:tcBorders>
              <w:top w:val="nil"/>
              <w:left w:val="nil"/>
              <w:bottom w:val="single" w:sz="4" w:space="0" w:color="auto"/>
              <w:right w:val="single" w:sz="4" w:space="0" w:color="auto"/>
            </w:tcBorders>
            <w:vAlign w:val="center"/>
            <w:hideMark/>
          </w:tcPr>
          <w:p w14:paraId="7C927D9E"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1AEA063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Building resilience for adaptation to climate change in the agriculture sector, 23, 37. Proceedings of a Joint FAO/OECD Workshop</w:t>
            </w:r>
            <w:r w:rsidRPr="0002056A">
              <w:rPr>
                <w:rFonts w:ascii="Georgia" w:eastAsia="Times New Roman" w:hAnsi="Georgia" w:cs="Times New Roman"/>
                <w:color w:val="000000"/>
                <w:sz w:val="10"/>
                <w:szCs w:val="10"/>
                <w:lang w:val="en-GB" w:eastAsia="hu-HU"/>
              </w:rPr>
              <w:br/>
              <w:t>23–24 April 2012</w:t>
            </w:r>
            <w:r w:rsidRPr="0002056A">
              <w:rPr>
                <w:rFonts w:ascii="Georgia" w:eastAsia="Times New Roman" w:hAnsi="Georgia" w:cs="Times New Roman"/>
                <w:color w:val="000000"/>
                <w:sz w:val="10"/>
                <w:szCs w:val="10"/>
                <w:lang w:val="en-GB" w:eastAsia="hu-HU"/>
              </w:rPr>
              <w:br/>
              <w:t>Edited by Meybeck, Lankoski, Redfern, Azzu and Gitz</w:t>
            </w:r>
          </w:p>
        </w:tc>
        <w:tc>
          <w:tcPr>
            <w:tcW w:w="708" w:type="dxa"/>
            <w:tcBorders>
              <w:top w:val="nil"/>
              <w:left w:val="nil"/>
              <w:bottom w:val="single" w:sz="4" w:space="0" w:color="auto"/>
              <w:right w:val="single" w:sz="4" w:space="0" w:color="auto"/>
            </w:tcBorders>
            <w:vAlign w:val="center"/>
            <w:hideMark/>
          </w:tcPr>
          <w:p w14:paraId="1EFC5FF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hideMark/>
          </w:tcPr>
          <w:p w14:paraId="52F967B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50D603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D307A9E"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provides a review of conceptual frameworks for the assessment of climate change related vulnerability and give some examples of their application to the agricultural sector. Therefore, the paper reviews existing interpretations, concepts and frameworks of vulnerability approaches in the climate change context.</w:t>
            </w:r>
          </w:p>
        </w:tc>
        <w:tc>
          <w:tcPr>
            <w:tcW w:w="2268" w:type="dxa"/>
            <w:tcBorders>
              <w:top w:val="nil"/>
              <w:left w:val="nil"/>
              <w:bottom w:val="single" w:sz="4" w:space="0" w:color="auto"/>
              <w:right w:val="single" w:sz="8" w:space="0" w:color="auto"/>
            </w:tcBorders>
            <w:vAlign w:val="center"/>
          </w:tcPr>
          <w:p w14:paraId="37DCBD11"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serves as an example for studies dealing with vulnerability’s particular sectoral aspects.</w:t>
            </w:r>
          </w:p>
        </w:tc>
      </w:tr>
      <w:tr w:rsidR="00123BAB" w:rsidRPr="0002056A" w14:paraId="676B29DD" w14:textId="77777777" w:rsidTr="00D57247">
        <w:trPr>
          <w:trHeight w:val="649"/>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CB49FE2"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Fleischhauer, M., Greiving, S., Wanczura, S.</w:t>
            </w:r>
          </w:p>
        </w:tc>
        <w:tc>
          <w:tcPr>
            <w:tcW w:w="705" w:type="dxa"/>
            <w:tcBorders>
              <w:top w:val="nil"/>
              <w:left w:val="nil"/>
              <w:bottom w:val="single" w:sz="4" w:space="0" w:color="auto"/>
              <w:right w:val="single" w:sz="4" w:space="0" w:color="auto"/>
            </w:tcBorders>
            <w:vAlign w:val="center"/>
            <w:hideMark/>
          </w:tcPr>
          <w:p w14:paraId="0866558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hideMark/>
          </w:tcPr>
          <w:p w14:paraId="58ECE1C1" w14:textId="6E035A8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Terriorial planning for the management of risk in Europe</w:t>
            </w:r>
          </w:p>
        </w:tc>
        <w:tc>
          <w:tcPr>
            <w:tcW w:w="1134" w:type="dxa"/>
            <w:tcBorders>
              <w:top w:val="nil"/>
              <w:left w:val="nil"/>
              <w:bottom w:val="single" w:sz="4" w:space="0" w:color="auto"/>
              <w:right w:val="single" w:sz="4" w:space="0" w:color="auto"/>
            </w:tcBorders>
            <w:vAlign w:val="center"/>
            <w:hideMark/>
          </w:tcPr>
          <w:p w14:paraId="129D99A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w:t>
            </w:r>
          </w:p>
        </w:tc>
        <w:tc>
          <w:tcPr>
            <w:tcW w:w="708" w:type="dxa"/>
            <w:tcBorders>
              <w:top w:val="nil"/>
              <w:left w:val="nil"/>
              <w:bottom w:val="single" w:sz="4" w:space="0" w:color="auto"/>
              <w:right w:val="single" w:sz="4" w:space="0" w:color="auto"/>
            </w:tcBorders>
            <w:shd w:val="clear" w:color="000000" w:fill="FFFFFF"/>
            <w:vAlign w:val="center"/>
            <w:hideMark/>
          </w:tcPr>
          <w:p w14:paraId="431C952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Universität Dortmund</w:t>
            </w:r>
          </w:p>
        </w:tc>
        <w:tc>
          <w:tcPr>
            <w:tcW w:w="851" w:type="dxa"/>
            <w:tcBorders>
              <w:top w:val="nil"/>
              <w:left w:val="nil"/>
              <w:bottom w:val="single" w:sz="4" w:space="0" w:color="auto"/>
              <w:right w:val="single" w:sz="4" w:space="0" w:color="auto"/>
            </w:tcBorders>
            <w:vAlign w:val="center"/>
            <w:hideMark/>
          </w:tcPr>
          <w:p w14:paraId="3A91D75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hideMark/>
          </w:tcPr>
          <w:p w14:paraId="07FE57CF" w14:textId="142B3371"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Boletín de la A.G.E. Nº 45 – 2007, </w:t>
            </w:r>
            <w:r w:rsidR="007133D4">
              <w:rPr>
                <w:rFonts w:ascii="Georgia" w:eastAsia="Times New Roman" w:hAnsi="Georgia" w:cs="Times New Roman"/>
                <w:color w:val="000000"/>
                <w:sz w:val="10"/>
                <w:szCs w:val="10"/>
                <w:lang w:val="en-GB" w:eastAsia="hu-HU"/>
              </w:rPr>
              <w:t>pp</w:t>
            </w:r>
            <w:r w:rsidRPr="0002056A">
              <w:rPr>
                <w:rFonts w:ascii="Georgia" w:eastAsia="Times New Roman" w:hAnsi="Georgia" w:cs="Times New Roman"/>
                <w:color w:val="000000"/>
                <w:sz w:val="10"/>
                <w:szCs w:val="10"/>
                <w:lang w:val="en-GB" w:eastAsia="hu-HU"/>
              </w:rPr>
              <w:t>. 383-388</w:t>
            </w:r>
          </w:p>
        </w:tc>
        <w:tc>
          <w:tcPr>
            <w:tcW w:w="708" w:type="dxa"/>
            <w:tcBorders>
              <w:top w:val="nil"/>
              <w:left w:val="nil"/>
              <w:bottom w:val="single" w:sz="4" w:space="0" w:color="auto"/>
              <w:right w:val="single" w:sz="4" w:space="0" w:color="auto"/>
            </w:tcBorders>
            <w:vAlign w:val="center"/>
            <w:hideMark/>
          </w:tcPr>
          <w:p w14:paraId="437B4CB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C3A918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1DEE80E0"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1D2E31F"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333333"/>
                <w:sz w:val="10"/>
                <w:szCs w:val="10"/>
                <w:shd w:val="clear" w:color="auto" w:fill="FFFFFF"/>
                <w:lang w:val="en-GB"/>
              </w:rPr>
              <w:t xml:space="preserve">This paper presents the results of an assessment made as a part of the research project «Applied Multi Risk mapping of Natural Hazards for Impact Assessment» (ARMONIA). The aim was to identify which aspects in the disaster management cycle are covered by spatial planning in planning practice in the European Union Member States Finland, France, Germany, Greece, Italy, Poland, Spain and the United Kingdom. The results have shown that spatial planning is only one of many actors in risk management that it is in general not involved in risk assessment, multi-risk assessment approaches are not used in planning practice and that risk indicators are hardly and vulnerability indicators not at all used. </w:t>
            </w:r>
          </w:p>
        </w:tc>
        <w:tc>
          <w:tcPr>
            <w:tcW w:w="2268" w:type="dxa"/>
            <w:tcBorders>
              <w:top w:val="nil"/>
              <w:left w:val="nil"/>
              <w:bottom w:val="single" w:sz="4" w:space="0" w:color="auto"/>
              <w:right w:val="single" w:sz="8" w:space="0" w:color="auto"/>
            </w:tcBorders>
            <w:vAlign w:val="center"/>
          </w:tcPr>
          <w:p w14:paraId="725FFC9E"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333333"/>
                <w:sz w:val="10"/>
                <w:szCs w:val="10"/>
                <w:shd w:val="clear" w:color="auto" w:fill="FFFFFF"/>
                <w:lang w:val="en-GB"/>
              </w:rPr>
              <w:t>The article interprets the role of spatial planning in natural risk assessment and management.</w:t>
            </w:r>
          </w:p>
        </w:tc>
      </w:tr>
      <w:tr w:rsidR="00123BAB" w:rsidRPr="0002056A" w14:paraId="133C20A6" w14:textId="77777777" w:rsidTr="00D57247">
        <w:trPr>
          <w:trHeight w:val="12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531F5DA"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Ford, J., Berrang-Ford, L.</w:t>
            </w:r>
          </w:p>
        </w:tc>
        <w:tc>
          <w:tcPr>
            <w:tcW w:w="705" w:type="dxa"/>
            <w:tcBorders>
              <w:top w:val="nil"/>
              <w:left w:val="nil"/>
              <w:bottom w:val="single" w:sz="4" w:space="0" w:color="auto"/>
              <w:right w:val="single" w:sz="4" w:space="0" w:color="auto"/>
            </w:tcBorders>
            <w:vAlign w:val="center"/>
            <w:hideMark/>
          </w:tcPr>
          <w:p w14:paraId="38B17B9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0BE04AE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4Cs of adaptation tracking: consistency, comparability, comprehensiveness, coherency. </w:t>
            </w:r>
          </w:p>
        </w:tc>
        <w:tc>
          <w:tcPr>
            <w:tcW w:w="1134" w:type="dxa"/>
            <w:tcBorders>
              <w:top w:val="nil"/>
              <w:left w:val="nil"/>
              <w:bottom w:val="single" w:sz="4" w:space="0" w:color="auto"/>
              <w:right w:val="single" w:sz="4" w:space="0" w:color="auto"/>
            </w:tcBorders>
            <w:vAlign w:val="center"/>
            <w:hideMark/>
          </w:tcPr>
          <w:p w14:paraId="36A6F02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 CAN</w:t>
            </w:r>
          </w:p>
        </w:tc>
        <w:tc>
          <w:tcPr>
            <w:tcW w:w="708" w:type="dxa"/>
            <w:tcBorders>
              <w:top w:val="nil"/>
              <w:left w:val="nil"/>
              <w:bottom w:val="single" w:sz="4" w:space="0" w:color="auto"/>
              <w:right w:val="single" w:sz="4" w:space="0" w:color="auto"/>
            </w:tcBorders>
            <w:shd w:val="clear" w:color="000000" w:fill="FFFFFF"/>
            <w:vAlign w:val="center"/>
            <w:hideMark/>
          </w:tcPr>
          <w:p w14:paraId="3D57559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5A7B6AC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4BBB535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Mitigation Adaptation Strategies Global Change 21., 839–859 (2016). </w:t>
            </w:r>
            <w:hyperlink r:id="rId154" w:history="1">
              <w:r w:rsidRPr="0002056A">
                <w:rPr>
                  <w:rStyle w:val="Hiperhivatkozs"/>
                  <w:rFonts w:ascii="Georgia" w:eastAsia="Times New Roman" w:hAnsi="Georgia" w:cs="Times New Roman"/>
                  <w:sz w:val="10"/>
                  <w:szCs w:val="10"/>
                  <w:lang w:val="en-GB" w:eastAsia="hu-HU"/>
                </w:rPr>
                <w:t>https://doi.org/10.1007/s11027-014-9627-7</w:t>
              </w:r>
            </w:hyperlink>
          </w:p>
        </w:tc>
        <w:tc>
          <w:tcPr>
            <w:tcW w:w="708" w:type="dxa"/>
            <w:tcBorders>
              <w:top w:val="nil"/>
              <w:left w:val="nil"/>
              <w:bottom w:val="single" w:sz="4" w:space="0" w:color="auto"/>
              <w:right w:val="single" w:sz="4" w:space="0" w:color="auto"/>
            </w:tcBorders>
            <w:vAlign w:val="center"/>
            <w:hideMark/>
          </w:tcPr>
          <w:p w14:paraId="6C7919A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7CDA0ED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477E24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62FF8F0" w14:textId="77777777"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 xml:space="preserve">The paper outlines key methodological considerations necessary for adaptation tracking research to produce systematic, rigorous, comparable, and usable insights that can capture the current state of adaptation globally, provide the basis for characterizing and evaluating adaptations taking place, facilitate examination of what conditions explain differences in adaptation action across jurisdictions, and can underpin the monitoring of change in adaptation over time. </w:t>
            </w:r>
          </w:p>
        </w:tc>
        <w:tc>
          <w:tcPr>
            <w:tcW w:w="2268" w:type="dxa"/>
            <w:tcBorders>
              <w:top w:val="nil"/>
              <w:left w:val="nil"/>
              <w:bottom w:val="single" w:sz="4" w:space="0" w:color="auto"/>
              <w:right w:val="single" w:sz="8" w:space="0" w:color="auto"/>
            </w:tcBorders>
            <w:vAlign w:val="center"/>
          </w:tcPr>
          <w:p w14:paraId="496DC56F" w14:textId="45F64286"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The article argues that approaches to adaptation tracking need to (i) utilize a consistent and operational conceptualization of adaptation, (ii) focus on comparable units of analysis, (iii) use and develop comprehensive datasets on adaptation action, and (iv) be coherent with our understanding of what constitutes real adaptation. Collectively, these form the 4Cs of adaptation tracking (consistency, comparability, comprehensiveness, and coherency).</w:t>
            </w:r>
          </w:p>
        </w:tc>
      </w:tr>
      <w:tr w:rsidR="00123BAB" w:rsidRPr="0002056A" w14:paraId="5F33B70C" w14:textId="77777777" w:rsidTr="00D57247">
        <w:trPr>
          <w:trHeight w:val="12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4948BAE" w14:textId="6AE2B585"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Foucault, M.</w:t>
            </w:r>
          </w:p>
        </w:tc>
        <w:tc>
          <w:tcPr>
            <w:tcW w:w="705" w:type="dxa"/>
            <w:tcBorders>
              <w:top w:val="nil"/>
              <w:left w:val="nil"/>
              <w:bottom w:val="single" w:sz="4" w:space="0" w:color="auto"/>
              <w:right w:val="single" w:sz="4" w:space="0" w:color="auto"/>
            </w:tcBorders>
            <w:vAlign w:val="center"/>
          </w:tcPr>
          <w:p w14:paraId="21BF441E" w14:textId="4CBA1040"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41A4E553" w14:textId="06F3C1C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Security, territory, population</w:t>
            </w:r>
          </w:p>
        </w:tc>
        <w:tc>
          <w:tcPr>
            <w:tcW w:w="1134" w:type="dxa"/>
            <w:tcBorders>
              <w:top w:val="nil"/>
              <w:left w:val="nil"/>
              <w:bottom w:val="single" w:sz="4" w:space="0" w:color="auto"/>
              <w:right w:val="single" w:sz="4" w:space="0" w:color="auto"/>
            </w:tcBorders>
            <w:vAlign w:val="center"/>
          </w:tcPr>
          <w:p w14:paraId="6DFE845B" w14:textId="46286621"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w:t>
            </w:r>
          </w:p>
        </w:tc>
        <w:tc>
          <w:tcPr>
            <w:tcW w:w="708" w:type="dxa"/>
            <w:tcBorders>
              <w:top w:val="nil"/>
              <w:left w:val="nil"/>
              <w:bottom w:val="single" w:sz="4" w:space="0" w:color="auto"/>
              <w:right w:val="single" w:sz="4" w:space="0" w:color="auto"/>
            </w:tcBorders>
            <w:shd w:val="clear" w:color="000000" w:fill="FFFFFF"/>
            <w:vAlign w:val="center"/>
          </w:tcPr>
          <w:p w14:paraId="582883C7" w14:textId="0035201F"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 Martin Press</w:t>
            </w:r>
          </w:p>
        </w:tc>
        <w:tc>
          <w:tcPr>
            <w:tcW w:w="851" w:type="dxa"/>
            <w:tcBorders>
              <w:top w:val="nil"/>
              <w:left w:val="nil"/>
              <w:bottom w:val="single" w:sz="4" w:space="0" w:color="auto"/>
              <w:right w:val="single" w:sz="4" w:space="0" w:color="auto"/>
            </w:tcBorders>
            <w:vAlign w:val="center"/>
          </w:tcPr>
          <w:p w14:paraId="255458B7" w14:textId="1C120D9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philosophy</w:t>
            </w:r>
          </w:p>
        </w:tc>
        <w:tc>
          <w:tcPr>
            <w:tcW w:w="993" w:type="dxa"/>
            <w:tcBorders>
              <w:top w:val="nil"/>
              <w:left w:val="nil"/>
              <w:bottom w:val="single" w:sz="4" w:space="0" w:color="auto"/>
              <w:right w:val="single" w:sz="4" w:space="0" w:color="auto"/>
            </w:tcBorders>
            <w:vAlign w:val="center"/>
          </w:tcPr>
          <w:p w14:paraId="2FDC1BC7" w14:textId="395E9FF3"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 Martins Press, 2007.</w:t>
            </w:r>
          </w:p>
        </w:tc>
        <w:tc>
          <w:tcPr>
            <w:tcW w:w="708" w:type="dxa"/>
            <w:tcBorders>
              <w:top w:val="nil"/>
              <w:left w:val="nil"/>
              <w:bottom w:val="single" w:sz="4" w:space="0" w:color="auto"/>
              <w:right w:val="single" w:sz="4" w:space="0" w:color="auto"/>
            </w:tcBorders>
            <w:vAlign w:val="center"/>
          </w:tcPr>
          <w:p w14:paraId="2A227D15" w14:textId="0C324ECD"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082555AA" w14:textId="0ECF5ECE"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B5415BB" w14:textId="4474B47E"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3D2588A" w14:textId="5B3CFB93"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 xml:space="preserve">The book, especially its fourth chapter focuses on a history of "governmentality" from the first centuries of the Christian era to the emergence of the modern nation state.  </w:t>
            </w:r>
          </w:p>
        </w:tc>
        <w:tc>
          <w:tcPr>
            <w:tcW w:w="2268" w:type="dxa"/>
            <w:tcBorders>
              <w:top w:val="nil"/>
              <w:left w:val="nil"/>
              <w:bottom w:val="single" w:sz="4" w:space="0" w:color="auto"/>
              <w:right w:val="single" w:sz="8" w:space="0" w:color="auto"/>
            </w:tcBorders>
            <w:vAlign w:val="center"/>
          </w:tcPr>
          <w:p w14:paraId="379B630D" w14:textId="3E05029A"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 xml:space="preserve">Space </w:t>
            </w:r>
            <w:r w:rsidR="006940C2" w:rsidRPr="0002056A">
              <w:rPr>
                <w:rFonts w:ascii="Georgia" w:hAnsi="Georgia" w:cstheme="minorHAnsi"/>
                <w:color w:val="333333"/>
                <w:sz w:val="10"/>
                <w:szCs w:val="10"/>
                <w:shd w:val="clear" w:color="auto" w:fill="FFFFFF"/>
                <w:lang w:val="en-GB"/>
              </w:rPr>
              <w:t>concepts</w:t>
            </w:r>
            <w:r w:rsidRPr="0002056A">
              <w:rPr>
                <w:rFonts w:ascii="Georgia" w:hAnsi="Georgia" w:cstheme="minorHAnsi"/>
                <w:color w:val="333333"/>
                <w:sz w:val="10"/>
                <w:szCs w:val="10"/>
                <w:shd w:val="clear" w:color="auto" w:fill="FFFFFF"/>
                <w:lang w:val="en-GB"/>
              </w:rPr>
              <w:t xml:space="preserve"> introduce by the book is utilizable. The book, especially its fourth chapter focuses on a history of "governmentality" from the first centuries of the Christian era to the emergence of the modern nation state. </w:t>
            </w:r>
          </w:p>
        </w:tc>
      </w:tr>
      <w:tr w:rsidR="00123BAB" w:rsidRPr="0002056A" w14:paraId="65492755" w14:textId="77777777" w:rsidTr="00D57247">
        <w:trPr>
          <w:trHeight w:val="12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38AE317" w14:textId="49E88A4A"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Fröhlich, C., Selby, J., Dahi, O., &amp; Hulme, M. </w:t>
            </w:r>
          </w:p>
        </w:tc>
        <w:tc>
          <w:tcPr>
            <w:tcW w:w="705" w:type="dxa"/>
            <w:tcBorders>
              <w:top w:val="nil"/>
              <w:left w:val="nil"/>
              <w:bottom w:val="single" w:sz="4" w:space="0" w:color="auto"/>
              <w:right w:val="single" w:sz="4" w:space="0" w:color="auto"/>
            </w:tcBorders>
            <w:vAlign w:val="center"/>
          </w:tcPr>
          <w:p w14:paraId="22369C16" w14:textId="7BF36008"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240EAA59" w14:textId="49B98E7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and the Syrian civil war revisited.</w:t>
            </w:r>
            <w:r w:rsidRPr="0002056A">
              <w:rPr>
                <w:rFonts w:ascii="Georgia" w:hAnsi="Georgia"/>
                <w:color w:val="2196D1"/>
                <w:sz w:val="10"/>
                <w:szCs w:val="10"/>
                <w:lang w:val="en-GB"/>
              </w:rPr>
              <w:t xml:space="preserve"> </w:t>
            </w:r>
          </w:p>
        </w:tc>
        <w:tc>
          <w:tcPr>
            <w:tcW w:w="1134" w:type="dxa"/>
            <w:tcBorders>
              <w:top w:val="nil"/>
              <w:left w:val="nil"/>
              <w:bottom w:val="single" w:sz="4" w:space="0" w:color="auto"/>
              <w:right w:val="single" w:sz="4" w:space="0" w:color="auto"/>
            </w:tcBorders>
            <w:vAlign w:val="center"/>
          </w:tcPr>
          <w:p w14:paraId="61A9CE34" w14:textId="43899CA1"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GER, UKG, UKG, UKG </w:t>
            </w:r>
          </w:p>
        </w:tc>
        <w:tc>
          <w:tcPr>
            <w:tcW w:w="708" w:type="dxa"/>
            <w:tcBorders>
              <w:top w:val="nil"/>
              <w:left w:val="nil"/>
              <w:bottom w:val="single" w:sz="4" w:space="0" w:color="auto"/>
              <w:right w:val="single" w:sz="4" w:space="0" w:color="auto"/>
            </w:tcBorders>
            <w:shd w:val="clear" w:color="000000" w:fill="FFFFFF"/>
            <w:vAlign w:val="center"/>
          </w:tcPr>
          <w:p w14:paraId="4A5891BB" w14:textId="1AFB1D7B"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w:t>
            </w:r>
          </w:p>
        </w:tc>
        <w:tc>
          <w:tcPr>
            <w:tcW w:w="851" w:type="dxa"/>
            <w:tcBorders>
              <w:top w:val="nil"/>
              <w:left w:val="nil"/>
              <w:bottom w:val="single" w:sz="4" w:space="0" w:color="auto"/>
              <w:right w:val="single" w:sz="4" w:space="0" w:color="auto"/>
            </w:tcBorders>
            <w:vAlign w:val="center"/>
          </w:tcPr>
          <w:p w14:paraId="42DBA1E7" w14:textId="5D2E3A8B"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political geography</w:t>
            </w:r>
          </w:p>
        </w:tc>
        <w:tc>
          <w:tcPr>
            <w:tcW w:w="993" w:type="dxa"/>
            <w:tcBorders>
              <w:top w:val="nil"/>
              <w:left w:val="nil"/>
              <w:bottom w:val="single" w:sz="4" w:space="0" w:color="auto"/>
              <w:right w:val="single" w:sz="4" w:space="0" w:color="auto"/>
            </w:tcBorders>
            <w:vAlign w:val="center"/>
          </w:tcPr>
          <w:p w14:paraId="7EDEF521" w14:textId="6E9B01C8"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hAnsi="Georgia"/>
                <w:i/>
                <w:iCs/>
                <w:color w:val="2196D1"/>
                <w:sz w:val="10"/>
                <w:szCs w:val="10"/>
                <w:lang w:val="en-GB"/>
              </w:rPr>
              <w:t>Political Geography, 60</w:t>
            </w:r>
            <w:r w:rsidRPr="0002056A">
              <w:rPr>
                <w:rFonts w:ascii="Georgia" w:hAnsi="Georgia"/>
                <w:color w:val="2196D1"/>
                <w:sz w:val="10"/>
                <w:szCs w:val="10"/>
                <w:lang w:val="en-GB"/>
              </w:rPr>
              <w:t>, 232</w:t>
            </w:r>
            <w:r w:rsidRPr="0002056A">
              <w:rPr>
                <w:rFonts w:ascii="Georgia" w:hAnsi="Georgia" w:cs="STIX"/>
                <w:color w:val="2196D1"/>
                <w:sz w:val="10"/>
                <w:szCs w:val="10"/>
                <w:lang w:val="en-GB"/>
              </w:rPr>
              <w:t>–</w:t>
            </w:r>
            <w:r w:rsidRPr="0002056A">
              <w:rPr>
                <w:rFonts w:ascii="Georgia" w:hAnsi="Georgia"/>
                <w:color w:val="2196D1"/>
                <w:sz w:val="10"/>
                <w:szCs w:val="10"/>
                <w:lang w:val="en-GB"/>
              </w:rPr>
              <w:t>244</w:t>
            </w:r>
            <w:r w:rsidRPr="0002056A">
              <w:rPr>
                <w:rFonts w:ascii="Georgia" w:hAnsi="Georgia"/>
                <w:sz w:val="10"/>
                <w:szCs w:val="10"/>
                <w:lang w:val="en-GB"/>
              </w:rPr>
              <w:t>.</w:t>
            </w:r>
          </w:p>
        </w:tc>
        <w:tc>
          <w:tcPr>
            <w:tcW w:w="708" w:type="dxa"/>
            <w:tcBorders>
              <w:top w:val="nil"/>
              <w:left w:val="nil"/>
              <w:bottom w:val="single" w:sz="4" w:space="0" w:color="auto"/>
              <w:right w:val="single" w:sz="4" w:space="0" w:color="auto"/>
            </w:tcBorders>
            <w:vAlign w:val="center"/>
          </w:tcPr>
          <w:p w14:paraId="4A6EE780" w14:textId="77891250"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BB404BA" w14:textId="609087CA"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4260446" w14:textId="23B62C9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17ECDD2" w14:textId="2DD1A713"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 xml:space="preserve">For proponents of the view that anthropogenic climate change will become a ‘threat multiplier’ for instability in the decades ahead, the Syrian civil war has become a recurring reference point, providing apparently compelling evidence that such conflict effects are already with us. According to this view, human-induced climatic change was a contributory factor in the extreme drought experienced within Syria prior to its civil war; this drought in turn led to large-scale migration; and this migration in turn exacerbated the socio-economic stresses that underpinned Syria's descent into war. This article provides a systematic interrogation of these </w:t>
            </w:r>
            <w:r w:rsidR="006940C2" w:rsidRPr="0002056A">
              <w:rPr>
                <w:rFonts w:ascii="Georgia" w:hAnsi="Georgia" w:cstheme="minorHAnsi"/>
                <w:color w:val="333333"/>
                <w:sz w:val="10"/>
                <w:szCs w:val="10"/>
                <w:shd w:val="clear" w:color="auto" w:fill="FFFFFF"/>
                <w:lang w:val="en-GB"/>
              </w:rPr>
              <w:t>claims and</w:t>
            </w:r>
            <w:r w:rsidRPr="0002056A">
              <w:rPr>
                <w:rFonts w:ascii="Georgia" w:hAnsi="Georgia" w:cstheme="minorHAnsi"/>
                <w:color w:val="333333"/>
                <w:sz w:val="10"/>
                <w:szCs w:val="10"/>
                <w:shd w:val="clear" w:color="auto" w:fill="FFFFFF"/>
                <w:lang w:val="en-GB"/>
              </w:rPr>
              <w:t xml:space="preserve"> finds little merit to them.</w:t>
            </w:r>
          </w:p>
        </w:tc>
        <w:tc>
          <w:tcPr>
            <w:tcW w:w="2268" w:type="dxa"/>
            <w:tcBorders>
              <w:top w:val="nil"/>
              <w:left w:val="nil"/>
              <w:bottom w:val="single" w:sz="4" w:space="0" w:color="auto"/>
              <w:right w:val="single" w:sz="8" w:space="0" w:color="auto"/>
            </w:tcBorders>
            <w:vAlign w:val="center"/>
          </w:tcPr>
          <w:p w14:paraId="18AAA358" w14:textId="022B703F" w:rsidR="00123BAB" w:rsidRPr="0002056A" w:rsidRDefault="00123BAB" w:rsidP="00123BAB">
            <w:pPr>
              <w:spacing w:after="0" w:line="240" w:lineRule="auto"/>
              <w:jc w:val="both"/>
              <w:rPr>
                <w:rFonts w:ascii="Georgia" w:hAnsi="Georgia" w:cstheme="minorHAnsi"/>
                <w:color w:val="333333"/>
                <w:sz w:val="10"/>
                <w:szCs w:val="10"/>
                <w:shd w:val="clear" w:color="auto" w:fill="FFFFFF"/>
                <w:lang w:val="en-GB"/>
              </w:rPr>
            </w:pPr>
            <w:r w:rsidRPr="0002056A">
              <w:rPr>
                <w:rFonts w:ascii="Georgia" w:hAnsi="Georgia" w:cstheme="minorHAnsi"/>
                <w:color w:val="333333"/>
                <w:sz w:val="10"/>
                <w:szCs w:val="10"/>
                <w:shd w:val="clear" w:color="auto" w:fill="FFFFFF"/>
                <w:lang w:val="en-GB"/>
              </w:rPr>
              <w:t>The Syria case, the article finds, does not support ‘threat multiplier’ views of the impacts of climate change; to the contrary, we conclude, policymakers, commentators and scholars alike should exercise far greater caution when drawing such linkages or when securitising climate change.</w:t>
            </w:r>
          </w:p>
        </w:tc>
      </w:tr>
      <w:tr w:rsidR="00123BAB" w:rsidRPr="0002056A" w14:paraId="30FE0456" w14:textId="77777777" w:rsidTr="00D57247">
        <w:trPr>
          <w:trHeight w:val="12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4BD344F"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Fuldauer, L.I.; Adshead, D., Thacker, S.; Gall, S.; Hall, J.W.</w:t>
            </w:r>
          </w:p>
        </w:tc>
        <w:tc>
          <w:tcPr>
            <w:tcW w:w="705" w:type="dxa"/>
            <w:tcBorders>
              <w:top w:val="nil"/>
              <w:left w:val="nil"/>
              <w:bottom w:val="single" w:sz="4" w:space="0" w:color="auto"/>
              <w:right w:val="single" w:sz="4" w:space="0" w:color="auto"/>
            </w:tcBorders>
            <w:vAlign w:val="center"/>
          </w:tcPr>
          <w:p w14:paraId="698C706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4BC1C22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Evaluating the benefits of national adaptation to reduce climate risks and contribute to the Sustainable Development Goals</w:t>
            </w:r>
          </w:p>
        </w:tc>
        <w:tc>
          <w:tcPr>
            <w:tcW w:w="1134" w:type="dxa"/>
            <w:tcBorders>
              <w:top w:val="nil"/>
              <w:left w:val="nil"/>
              <w:bottom w:val="single" w:sz="4" w:space="0" w:color="auto"/>
              <w:right w:val="single" w:sz="4" w:space="0" w:color="auto"/>
            </w:tcBorders>
            <w:vAlign w:val="center"/>
          </w:tcPr>
          <w:p w14:paraId="6341AFE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SWE, UKG, UKG, UKG</w:t>
            </w:r>
          </w:p>
        </w:tc>
        <w:tc>
          <w:tcPr>
            <w:tcW w:w="708" w:type="dxa"/>
            <w:tcBorders>
              <w:top w:val="nil"/>
              <w:left w:val="nil"/>
              <w:bottom w:val="single" w:sz="4" w:space="0" w:color="auto"/>
              <w:right w:val="single" w:sz="4" w:space="0" w:color="auto"/>
            </w:tcBorders>
            <w:shd w:val="clear" w:color="000000" w:fill="FFFFFF"/>
            <w:vAlign w:val="center"/>
          </w:tcPr>
          <w:p w14:paraId="6A06F08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w:t>
            </w:r>
          </w:p>
        </w:tc>
        <w:tc>
          <w:tcPr>
            <w:tcW w:w="851" w:type="dxa"/>
            <w:tcBorders>
              <w:top w:val="nil"/>
              <w:left w:val="nil"/>
              <w:bottom w:val="single" w:sz="4" w:space="0" w:color="auto"/>
              <w:right w:val="single" w:sz="4" w:space="0" w:color="auto"/>
            </w:tcBorders>
            <w:vAlign w:val="center"/>
          </w:tcPr>
          <w:p w14:paraId="2747998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sustainable development</w:t>
            </w:r>
          </w:p>
        </w:tc>
        <w:tc>
          <w:tcPr>
            <w:tcW w:w="993" w:type="dxa"/>
            <w:tcBorders>
              <w:top w:val="nil"/>
              <w:left w:val="nil"/>
              <w:bottom w:val="single" w:sz="4" w:space="0" w:color="auto"/>
              <w:right w:val="single" w:sz="4" w:space="0" w:color="auto"/>
            </w:tcBorders>
            <w:vAlign w:val="center"/>
          </w:tcPr>
          <w:p w14:paraId="00D8D7D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Global Environmental Change 76 (2022)</w:t>
            </w:r>
          </w:p>
        </w:tc>
        <w:tc>
          <w:tcPr>
            <w:tcW w:w="708" w:type="dxa"/>
            <w:tcBorders>
              <w:top w:val="nil"/>
              <w:left w:val="nil"/>
              <w:bottom w:val="single" w:sz="4" w:space="0" w:color="auto"/>
              <w:right w:val="single" w:sz="4" w:space="0" w:color="auto"/>
            </w:tcBorders>
            <w:vAlign w:val="center"/>
          </w:tcPr>
          <w:p w14:paraId="19DDDF4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FCB5DC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7DA002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1450B2C"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applies a methodological process that allows national decision makers to evaluate the total SDG benefit of adapting specific assets or areas against climate change and help decision makers to develop spatially explicit adaptation strategies at national level and better evaluate sustainable development strategies.</w:t>
            </w:r>
          </w:p>
        </w:tc>
        <w:tc>
          <w:tcPr>
            <w:tcW w:w="2268" w:type="dxa"/>
            <w:tcBorders>
              <w:top w:val="nil"/>
              <w:left w:val="nil"/>
              <w:bottom w:val="single" w:sz="4" w:space="0" w:color="auto"/>
              <w:right w:val="single" w:sz="8" w:space="0" w:color="auto"/>
            </w:tcBorders>
            <w:vAlign w:val="center"/>
          </w:tcPr>
          <w:p w14:paraId="40CA6E80"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developed a methodology for better consideration of SDGs and sustainable aspects in adaptation policies</w:t>
            </w:r>
          </w:p>
        </w:tc>
      </w:tr>
      <w:tr w:rsidR="00123BAB" w:rsidRPr="0002056A" w14:paraId="7E0BF6FE" w14:textId="77777777" w:rsidTr="00D57247">
        <w:trPr>
          <w:trHeight w:val="7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BF916EF"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Füssel H.M.; Klein R.J.T.</w:t>
            </w:r>
          </w:p>
        </w:tc>
        <w:tc>
          <w:tcPr>
            <w:tcW w:w="705" w:type="dxa"/>
            <w:tcBorders>
              <w:top w:val="nil"/>
              <w:left w:val="nil"/>
              <w:bottom w:val="single" w:sz="4" w:space="0" w:color="auto"/>
              <w:right w:val="single" w:sz="4" w:space="0" w:color="auto"/>
            </w:tcBorders>
            <w:vAlign w:val="center"/>
            <w:hideMark/>
          </w:tcPr>
          <w:p w14:paraId="3DF19170"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2006</w:t>
            </w:r>
          </w:p>
        </w:tc>
        <w:tc>
          <w:tcPr>
            <w:tcW w:w="1137" w:type="dxa"/>
            <w:tcBorders>
              <w:top w:val="nil"/>
              <w:left w:val="nil"/>
              <w:bottom w:val="single" w:sz="4" w:space="0" w:color="auto"/>
              <w:right w:val="single" w:sz="4" w:space="0" w:color="auto"/>
            </w:tcBorders>
            <w:vAlign w:val="center"/>
            <w:hideMark/>
          </w:tcPr>
          <w:p w14:paraId="77653B8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change vulnerability assessments: an evolution of conceptual thinking. </w:t>
            </w:r>
          </w:p>
        </w:tc>
        <w:tc>
          <w:tcPr>
            <w:tcW w:w="1134" w:type="dxa"/>
            <w:tcBorders>
              <w:top w:val="nil"/>
              <w:left w:val="nil"/>
              <w:bottom w:val="single" w:sz="4" w:space="0" w:color="auto"/>
              <w:right w:val="single" w:sz="4" w:space="0" w:color="auto"/>
            </w:tcBorders>
            <w:vAlign w:val="center"/>
            <w:hideMark/>
          </w:tcPr>
          <w:p w14:paraId="01A94240"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w:t>
            </w:r>
          </w:p>
        </w:tc>
        <w:tc>
          <w:tcPr>
            <w:tcW w:w="708" w:type="dxa"/>
            <w:tcBorders>
              <w:top w:val="nil"/>
              <w:left w:val="nil"/>
              <w:bottom w:val="single" w:sz="4" w:space="0" w:color="auto"/>
              <w:right w:val="single" w:sz="4" w:space="0" w:color="auto"/>
            </w:tcBorders>
            <w:shd w:val="clear" w:color="000000" w:fill="FFFFFF"/>
            <w:vAlign w:val="center"/>
            <w:hideMark/>
          </w:tcPr>
          <w:p w14:paraId="555F382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40F97AF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monitoring, evaluation</w:t>
            </w:r>
          </w:p>
        </w:tc>
        <w:tc>
          <w:tcPr>
            <w:tcW w:w="993" w:type="dxa"/>
            <w:tcBorders>
              <w:top w:val="nil"/>
              <w:left w:val="nil"/>
              <w:bottom w:val="single" w:sz="4" w:space="0" w:color="auto"/>
              <w:right w:val="single" w:sz="4" w:space="0" w:color="auto"/>
            </w:tcBorders>
            <w:vAlign w:val="center"/>
            <w:hideMark/>
          </w:tcPr>
          <w:p w14:paraId="3DEF62B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Climatic Change 75, 301–329 (2006). </w:t>
            </w:r>
            <w:hyperlink r:id="rId155" w:history="1">
              <w:r w:rsidRPr="0002056A">
                <w:rPr>
                  <w:rStyle w:val="Hiperhivatkozs"/>
                  <w:rFonts w:ascii="Georgia" w:eastAsia="Times New Roman" w:hAnsi="Georgia" w:cs="Times New Roman"/>
                  <w:sz w:val="10"/>
                  <w:szCs w:val="10"/>
                  <w:lang w:val="en-GB" w:eastAsia="hu-HU"/>
                </w:rPr>
                <w:t>https://doi.org/10.1007/s10584-006-0329-3</w:t>
              </w:r>
            </w:hyperlink>
          </w:p>
        </w:tc>
        <w:tc>
          <w:tcPr>
            <w:tcW w:w="708" w:type="dxa"/>
            <w:tcBorders>
              <w:top w:val="nil"/>
              <w:left w:val="nil"/>
              <w:bottom w:val="single" w:sz="4" w:space="0" w:color="auto"/>
              <w:right w:val="single" w:sz="4" w:space="0" w:color="auto"/>
            </w:tcBorders>
            <w:vAlign w:val="center"/>
            <w:hideMark/>
          </w:tcPr>
          <w:p w14:paraId="23AC0D6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1A8A33D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2F333F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71C7BEC"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reviews the historical development of the conceptual ideas underpinning assessments of vulnerability to climate change. We distinguish climate impact assessment, first- and second-generation vulnerability assessment, and adaptation policy assessment. </w:t>
            </w:r>
          </w:p>
        </w:tc>
        <w:tc>
          <w:tcPr>
            <w:tcW w:w="2268" w:type="dxa"/>
            <w:tcBorders>
              <w:top w:val="nil"/>
              <w:left w:val="nil"/>
              <w:bottom w:val="single" w:sz="4" w:space="0" w:color="auto"/>
              <w:right w:val="single" w:sz="8" w:space="0" w:color="auto"/>
            </w:tcBorders>
            <w:vAlign w:val="center"/>
          </w:tcPr>
          <w:p w14:paraId="6ACAB844"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introduced different vulnerability assessment methods.</w:t>
            </w:r>
          </w:p>
        </w:tc>
      </w:tr>
      <w:tr w:rsidR="00123BAB" w:rsidRPr="0002056A" w14:paraId="0FB8297C"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C0F7CDD"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Geneletti, D.; Zardo, L.</w:t>
            </w:r>
          </w:p>
        </w:tc>
        <w:tc>
          <w:tcPr>
            <w:tcW w:w="705" w:type="dxa"/>
            <w:tcBorders>
              <w:top w:val="nil"/>
              <w:left w:val="nil"/>
              <w:bottom w:val="single" w:sz="4" w:space="0" w:color="auto"/>
              <w:right w:val="single" w:sz="4" w:space="0" w:color="auto"/>
            </w:tcBorders>
            <w:vAlign w:val="center"/>
            <w:hideMark/>
          </w:tcPr>
          <w:p w14:paraId="6935F73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hideMark/>
          </w:tcPr>
          <w:p w14:paraId="565AA78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Ecosystem-based adaptation in cities: An analysis of European urban climate adaptation plans. </w:t>
            </w:r>
          </w:p>
        </w:tc>
        <w:tc>
          <w:tcPr>
            <w:tcW w:w="1134" w:type="dxa"/>
            <w:tcBorders>
              <w:top w:val="nil"/>
              <w:left w:val="nil"/>
              <w:bottom w:val="single" w:sz="4" w:space="0" w:color="auto"/>
              <w:right w:val="single" w:sz="4" w:space="0" w:color="auto"/>
            </w:tcBorders>
            <w:vAlign w:val="center"/>
            <w:hideMark/>
          </w:tcPr>
          <w:p w14:paraId="6EDA44C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 ITA</w:t>
            </w:r>
          </w:p>
        </w:tc>
        <w:tc>
          <w:tcPr>
            <w:tcW w:w="708" w:type="dxa"/>
            <w:tcBorders>
              <w:top w:val="nil"/>
              <w:left w:val="nil"/>
              <w:bottom w:val="single" w:sz="4" w:space="0" w:color="auto"/>
              <w:right w:val="single" w:sz="4" w:space="0" w:color="auto"/>
            </w:tcBorders>
            <w:vAlign w:val="center"/>
            <w:hideMark/>
          </w:tcPr>
          <w:p w14:paraId="468E6D5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6105D95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 use planning, urban planning</w:t>
            </w:r>
          </w:p>
        </w:tc>
        <w:tc>
          <w:tcPr>
            <w:tcW w:w="993" w:type="dxa"/>
            <w:tcBorders>
              <w:top w:val="nil"/>
              <w:left w:val="nil"/>
              <w:bottom w:val="single" w:sz="4" w:space="0" w:color="auto"/>
              <w:right w:val="single" w:sz="4" w:space="0" w:color="auto"/>
            </w:tcBorders>
            <w:vAlign w:val="center"/>
            <w:hideMark/>
          </w:tcPr>
          <w:p w14:paraId="387052B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 Use Policy 50 (2016) pp. 38–47.</w:t>
            </w:r>
          </w:p>
        </w:tc>
        <w:tc>
          <w:tcPr>
            <w:tcW w:w="708" w:type="dxa"/>
            <w:tcBorders>
              <w:top w:val="nil"/>
              <w:left w:val="nil"/>
              <w:bottom w:val="single" w:sz="4" w:space="0" w:color="auto"/>
              <w:right w:val="single" w:sz="4" w:space="0" w:color="auto"/>
            </w:tcBorders>
            <w:vAlign w:val="center"/>
            <w:hideMark/>
          </w:tcPr>
          <w:p w14:paraId="482254C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81C354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1D33F75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DA3F687" w14:textId="1BF9F8AF"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Nowadays little information is available on the combination of these two issues, i.e., the actual inclusion of EbA measures in climate adaptation plans at the urban level. This paper addresses this gap by developing a framework to analyse the treatment of EbA in urban level climate </w:t>
            </w:r>
            <w:r w:rsidR="006940C2" w:rsidRPr="0002056A">
              <w:rPr>
                <w:rFonts w:ascii="Georgia" w:eastAsia="Times New Roman" w:hAnsi="Georgia" w:cs="Times New Roman"/>
                <w:color w:val="000000"/>
                <w:sz w:val="10"/>
                <w:szCs w:val="10"/>
                <w:lang w:val="en-GB" w:eastAsia="hu-HU"/>
              </w:rPr>
              <w:t>planning and</w:t>
            </w:r>
            <w:r w:rsidRPr="0002056A">
              <w:rPr>
                <w:rFonts w:ascii="Georgia" w:eastAsia="Times New Roman" w:hAnsi="Georgia" w:cs="Times New Roman"/>
                <w:color w:val="000000"/>
                <w:sz w:val="10"/>
                <w:szCs w:val="10"/>
                <w:lang w:val="en-GB" w:eastAsia="hu-HU"/>
              </w:rPr>
              <w:t xml:space="preserve"> apply it to a sample of climate adaptation plans in Europe.</w:t>
            </w:r>
          </w:p>
        </w:tc>
        <w:tc>
          <w:tcPr>
            <w:tcW w:w="2268" w:type="dxa"/>
            <w:tcBorders>
              <w:top w:val="nil"/>
              <w:left w:val="nil"/>
              <w:bottom w:val="single" w:sz="4" w:space="0" w:color="auto"/>
              <w:right w:val="single" w:sz="8" w:space="0" w:color="auto"/>
            </w:tcBorders>
            <w:vAlign w:val="center"/>
          </w:tcPr>
          <w:p w14:paraId="46358EE8"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historical development of adaptation policy and especially the evolution of the so-called ecosystem-, or nature-based adaptation measures.</w:t>
            </w:r>
          </w:p>
        </w:tc>
      </w:tr>
      <w:tr w:rsidR="00123BAB" w:rsidRPr="0002056A" w14:paraId="42B3D328"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71C2D4D"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GIZ</w:t>
            </w:r>
          </w:p>
        </w:tc>
        <w:tc>
          <w:tcPr>
            <w:tcW w:w="705" w:type="dxa"/>
            <w:tcBorders>
              <w:top w:val="nil"/>
              <w:left w:val="nil"/>
              <w:bottom w:val="single" w:sz="4" w:space="0" w:color="auto"/>
              <w:right w:val="single" w:sz="4" w:space="0" w:color="auto"/>
            </w:tcBorders>
            <w:vAlign w:val="center"/>
          </w:tcPr>
          <w:p w14:paraId="7F029FB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tcPr>
          <w:p w14:paraId="22B6FB6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Recommendation for Adaptation M&amp;E in Practice</w:t>
            </w:r>
          </w:p>
        </w:tc>
        <w:tc>
          <w:tcPr>
            <w:tcW w:w="1134" w:type="dxa"/>
            <w:tcBorders>
              <w:top w:val="nil"/>
              <w:left w:val="nil"/>
              <w:bottom w:val="single" w:sz="4" w:space="0" w:color="auto"/>
              <w:right w:val="single" w:sz="4" w:space="0" w:color="auto"/>
            </w:tcBorders>
            <w:vAlign w:val="center"/>
          </w:tcPr>
          <w:p w14:paraId="60D7DEC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54899CB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GIZ</w:t>
            </w:r>
          </w:p>
        </w:tc>
        <w:tc>
          <w:tcPr>
            <w:tcW w:w="851" w:type="dxa"/>
            <w:tcBorders>
              <w:top w:val="nil"/>
              <w:left w:val="nil"/>
              <w:bottom w:val="single" w:sz="4" w:space="0" w:color="auto"/>
              <w:right w:val="single" w:sz="4" w:space="0" w:color="auto"/>
            </w:tcBorders>
            <w:vAlign w:val="center"/>
          </w:tcPr>
          <w:p w14:paraId="3E4E8D1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MRE</w:t>
            </w:r>
          </w:p>
        </w:tc>
        <w:tc>
          <w:tcPr>
            <w:tcW w:w="993" w:type="dxa"/>
            <w:tcBorders>
              <w:top w:val="nil"/>
              <w:left w:val="nil"/>
              <w:bottom w:val="single" w:sz="4" w:space="0" w:color="auto"/>
              <w:right w:val="single" w:sz="4" w:space="0" w:color="auto"/>
            </w:tcBorders>
            <w:vAlign w:val="center"/>
          </w:tcPr>
          <w:p w14:paraId="6688BA46" w14:textId="77777777" w:rsidR="00123BAB" w:rsidRPr="00D82E46" w:rsidRDefault="00123BAB" w:rsidP="00123BAB">
            <w:pPr>
              <w:spacing w:after="0" w:line="240" w:lineRule="auto"/>
              <w:rPr>
                <w:rFonts w:ascii="Georgia" w:eastAsia="Times New Roman" w:hAnsi="Georgia" w:cs="Times New Roman"/>
                <w:color w:val="000000"/>
                <w:sz w:val="8"/>
                <w:szCs w:val="8"/>
                <w:lang w:val="en-GB" w:eastAsia="hu-HU"/>
              </w:rPr>
            </w:pPr>
            <w:r w:rsidRPr="00D82E46">
              <w:rPr>
                <w:rFonts w:ascii="Georgia" w:eastAsia="Times New Roman" w:hAnsi="Georgia" w:cs="Times New Roman"/>
                <w:color w:val="000000"/>
                <w:sz w:val="8"/>
                <w:szCs w:val="8"/>
                <w:lang w:val="en-GB" w:eastAsia="hu-HU"/>
              </w:rPr>
              <w:t>Experiences from the project ‘Inventory of Methods for Adaptation to Climate Change (IMACC)’ on behalf of the</w:t>
            </w:r>
          </w:p>
          <w:p w14:paraId="265EEB5E" w14:textId="77777777" w:rsidR="00123BAB" w:rsidRPr="00D82E46" w:rsidRDefault="00123BAB" w:rsidP="00123BAB">
            <w:pPr>
              <w:spacing w:after="0" w:line="240" w:lineRule="auto"/>
              <w:rPr>
                <w:rFonts w:ascii="Georgia" w:eastAsia="Times New Roman" w:hAnsi="Georgia" w:cs="Times New Roman"/>
                <w:color w:val="000000"/>
                <w:sz w:val="8"/>
                <w:szCs w:val="8"/>
                <w:lang w:val="en-GB" w:eastAsia="hu-HU"/>
              </w:rPr>
            </w:pPr>
            <w:r w:rsidRPr="00D82E46">
              <w:rPr>
                <w:rFonts w:ascii="Georgia" w:eastAsia="Times New Roman" w:hAnsi="Georgia" w:cs="Times New Roman"/>
                <w:color w:val="000000"/>
                <w:sz w:val="8"/>
                <w:szCs w:val="8"/>
                <w:lang w:val="en-GB" w:eastAsia="hu-HU"/>
              </w:rPr>
              <w:t>German Federal Ministry for the Environment, Nature Conservation and Nuclear Safety (BMU), the project</w:t>
            </w:r>
          </w:p>
          <w:p w14:paraId="22784A1F" w14:textId="77777777" w:rsidR="00123BAB" w:rsidRPr="00D82E46" w:rsidRDefault="00123BAB" w:rsidP="00123BAB">
            <w:pPr>
              <w:spacing w:after="0" w:line="240" w:lineRule="auto"/>
              <w:rPr>
                <w:rFonts w:ascii="Georgia" w:eastAsia="Times New Roman" w:hAnsi="Georgia" w:cs="Times New Roman"/>
                <w:color w:val="000000"/>
                <w:sz w:val="8"/>
                <w:szCs w:val="8"/>
                <w:lang w:val="en-GB" w:eastAsia="hu-HU"/>
              </w:rPr>
            </w:pPr>
            <w:r w:rsidRPr="00D82E46">
              <w:rPr>
                <w:rFonts w:ascii="Georgia" w:eastAsia="Times New Roman" w:hAnsi="Georgia" w:cs="Times New Roman"/>
                <w:color w:val="000000"/>
                <w:sz w:val="8"/>
                <w:szCs w:val="8"/>
                <w:lang w:val="en-GB" w:eastAsia="hu-HU"/>
              </w:rPr>
              <w:t>‘Effective Adaptation Finance (M+E Adapt)’ as well as the ‘Climate protection programme for developing</w:t>
            </w:r>
          </w:p>
          <w:p w14:paraId="7BC039FC" w14:textId="53927A49" w:rsidR="00123BAB" w:rsidRPr="00D82E46" w:rsidRDefault="0035098D" w:rsidP="00123BAB">
            <w:pPr>
              <w:spacing w:after="0" w:line="240" w:lineRule="auto"/>
              <w:rPr>
                <w:rFonts w:ascii="Georgia" w:eastAsia="Times New Roman" w:hAnsi="Georgia" w:cs="Times New Roman"/>
                <w:color w:val="000000"/>
                <w:sz w:val="8"/>
                <w:szCs w:val="8"/>
                <w:lang w:val="en-GB" w:eastAsia="hu-HU"/>
              </w:rPr>
            </w:pPr>
            <w:r w:rsidRPr="00D82E46">
              <w:rPr>
                <w:rFonts w:ascii="Georgia" w:eastAsia="Times New Roman" w:hAnsi="Georgia" w:cs="Times New Roman"/>
                <w:color w:val="000000"/>
                <w:sz w:val="8"/>
                <w:szCs w:val="8"/>
                <w:lang w:val="en-GB" w:eastAsia="hu-HU"/>
              </w:rPr>
              <w:t>countries</w:t>
            </w:r>
            <w:r w:rsidR="00123BAB" w:rsidRPr="00D82E46">
              <w:rPr>
                <w:rFonts w:ascii="Georgia" w:eastAsia="Times New Roman" w:hAnsi="Georgia" w:cs="Times New Roman"/>
                <w:color w:val="000000"/>
                <w:sz w:val="8"/>
                <w:szCs w:val="8"/>
                <w:lang w:val="en-GB" w:eastAsia="hu-HU"/>
              </w:rPr>
              <w:t xml:space="preserve"> </w:t>
            </w:r>
          </w:p>
        </w:tc>
        <w:tc>
          <w:tcPr>
            <w:tcW w:w="708" w:type="dxa"/>
            <w:tcBorders>
              <w:top w:val="nil"/>
              <w:left w:val="nil"/>
              <w:bottom w:val="single" w:sz="4" w:space="0" w:color="auto"/>
              <w:right w:val="single" w:sz="4" w:space="0" w:color="auto"/>
            </w:tcBorders>
            <w:vAlign w:val="center"/>
          </w:tcPr>
          <w:p w14:paraId="187D77A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discussion paper</w:t>
            </w:r>
          </w:p>
        </w:tc>
        <w:tc>
          <w:tcPr>
            <w:tcW w:w="851" w:type="dxa"/>
            <w:tcBorders>
              <w:top w:val="nil"/>
              <w:left w:val="nil"/>
              <w:bottom w:val="single" w:sz="4" w:space="0" w:color="auto"/>
              <w:right w:val="single" w:sz="4" w:space="0" w:color="auto"/>
            </w:tcBorders>
            <w:vAlign w:val="center"/>
          </w:tcPr>
          <w:p w14:paraId="2063115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39DE74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BBDE44F"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provides a synthesis of the experiences made so far with adaptation monitoring and evaluation to provide key messages for adaptation practitioners and decision makers</w:t>
            </w:r>
          </w:p>
        </w:tc>
        <w:tc>
          <w:tcPr>
            <w:tcW w:w="2268" w:type="dxa"/>
            <w:tcBorders>
              <w:top w:val="nil"/>
              <w:left w:val="nil"/>
              <w:bottom w:val="single" w:sz="4" w:space="0" w:color="auto"/>
              <w:right w:val="single" w:sz="8" w:space="0" w:color="auto"/>
            </w:tcBorders>
            <w:vAlign w:val="center"/>
          </w:tcPr>
          <w:p w14:paraId="2EEC84EA"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provides practical recommendations for MRE system development at national level, in 5 steps: analysis and description of the context; identifying levels and methodologies, indicator definitions with baselines and data sources; setting up the concrete system; utilization of MRE results.</w:t>
            </w:r>
          </w:p>
        </w:tc>
      </w:tr>
      <w:tr w:rsidR="00123BAB" w:rsidRPr="0002056A" w14:paraId="19B853D5"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B890AF"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Goonesekera, S.M.; Olazabal. M.</w:t>
            </w:r>
          </w:p>
        </w:tc>
        <w:tc>
          <w:tcPr>
            <w:tcW w:w="705" w:type="dxa"/>
            <w:tcBorders>
              <w:top w:val="nil"/>
              <w:left w:val="nil"/>
              <w:bottom w:val="single" w:sz="4" w:space="0" w:color="auto"/>
              <w:right w:val="single" w:sz="4" w:space="0" w:color="auto"/>
            </w:tcBorders>
            <w:vAlign w:val="center"/>
          </w:tcPr>
          <w:p w14:paraId="4E93334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00243E3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Indicators and Metrics: State of Local Policy Practice</w:t>
            </w:r>
          </w:p>
        </w:tc>
        <w:tc>
          <w:tcPr>
            <w:tcW w:w="1134" w:type="dxa"/>
            <w:tcBorders>
              <w:top w:val="nil"/>
              <w:left w:val="nil"/>
              <w:bottom w:val="single" w:sz="4" w:space="0" w:color="auto"/>
              <w:right w:val="single" w:sz="4" w:space="0" w:color="auto"/>
            </w:tcBorders>
            <w:vAlign w:val="center"/>
          </w:tcPr>
          <w:p w14:paraId="09734F4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ESP</w:t>
            </w:r>
          </w:p>
        </w:tc>
        <w:tc>
          <w:tcPr>
            <w:tcW w:w="708" w:type="dxa"/>
            <w:tcBorders>
              <w:top w:val="nil"/>
              <w:left w:val="nil"/>
              <w:bottom w:val="single" w:sz="4" w:space="0" w:color="auto"/>
              <w:right w:val="single" w:sz="4" w:space="0" w:color="auto"/>
            </w:tcBorders>
            <w:vAlign w:val="center"/>
          </w:tcPr>
          <w:p w14:paraId="27B5DA7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068C11B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MRE, urban planning</w:t>
            </w:r>
          </w:p>
        </w:tc>
        <w:tc>
          <w:tcPr>
            <w:tcW w:w="993" w:type="dxa"/>
            <w:tcBorders>
              <w:top w:val="nil"/>
              <w:left w:val="nil"/>
              <w:bottom w:val="single" w:sz="4" w:space="0" w:color="auto"/>
              <w:right w:val="single" w:sz="4" w:space="0" w:color="auto"/>
            </w:tcBorders>
            <w:vAlign w:val="center"/>
          </w:tcPr>
          <w:p w14:paraId="4690976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Ecological Indicators 145 (2022)</w:t>
            </w:r>
          </w:p>
        </w:tc>
        <w:tc>
          <w:tcPr>
            <w:tcW w:w="708" w:type="dxa"/>
            <w:tcBorders>
              <w:top w:val="nil"/>
              <w:left w:val="nil"/>
              <w:bottom w:val="single" w:sz="4" w:space="0" w:color="auto"/>
              <w:right w:val="single" w:sz="4" w:space="0" w:color="auto"/>
            </w:tcBorders>
            <w:vAlign w:val="center"/>
          </w:tcPr>
          <w:p w14:paraId="340CF43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7000CC9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9B4F5E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E4A51F1"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Surveying the 136 largest coastal cities worldwide to examine their used indicators and metrics to track climate adaptation. </w:t>
            </w:r>
          </w:p>
        </w:tc>
        <w:tc>
          <w:tcPr>
            <w:tcW w:w="2268" w:type="dxa"/>
            <w:tcBorders>
              <w:top w:val="nil"/>
              <w:left w:val="nil"/>
              <w:bottom w:val="single" w:sz="4" w:space="0" w:color="auto"/>
              <w:right w:val="single" w:sz="8" w:space="0" w:color="auto"/>
            </w:tcBorders>
            <w:vAlign w:val="center"/>
          </w:tcPr>
          <w:p w14:paraId="64367F23"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compiled and coded 1971 indicators of which 1841 focus fully or partially on adaptation related aspects.</w:t>
            </w:r>
          </w:p>
        </w:tc>
      </w:tr>
      <w:tr w:rsidR="00123BAB" w:rsidRPr="0002056A" w14:paraId="3D4F350A" w14:textId="77777777" w:rsidTr="00427D63">
        <w:trPr>
          <w:trHeight w:val="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682A637" w14:textId="691C72AF"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Greiving, S.; Fleischhauer, M.; Wanczura, S.</w:t>
            </w:r>
          </w:p>
        </w:tc>
        <w:tc>
          <w:tcPr>
            <w:tcW w:w="705" w:type="dxa"/>
            <w:tcBorders>
              <w:top w:val="nil"/>
              <w:left w:val="nil"/>
              <w:bottom w:val="single" w:sz="4" w:space="0" w:color="auto"/>
              <w:right w:val="single" w:sz="4" w:space="0" w:color="auto"/>
            </w:tcBorders>
            <w:vAlign w:val="center"/>
          </w:tcPr>
          <w:p w14:paraId="3D2F8597" w14:textId="6B841C36"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463B420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Management of natural hazards in Europe: The role of spatial planning in selected EU member states</w:t>
            </w:r>
          </w:p>
          <w:p w14:paraId="6324C42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1484EA67" w14:textId="6A60A42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w:t>
            </w:r>
          </w:p>
        </w:tc>
        <w:tc>
          <w:tcPr>
            <w:tcW w:w="708" w:type="dxa"/>
            <w:tcBorders>
              <w:top w:val="nil"/>
              <w:left w:val="nil"/>
              <w:bottom w:val="single" w:sz="4" w:space="0" w:color="auto"/>
              <w:right w:val="single" w:sz="4" w:space="0" w:color="auto"/>
            </w:tcBorders>
            <w:vAlign w:val="center"/>
          </w:tcPr>
          <w:p w14:paraId="4A211EAD" w14:textId="1885C941"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73A2A198" w14:textId="5F8683B9"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46784A7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Journal of Environmental Planning and Management </w:t>
            </w:r>
          </w:p>
          <w:p w14:paraId="411E40C0" w14:textId="08D6BEC4" w:rsidR="00123BAB" w:rsidRPr="0002056A" w:rsidRDefault="00123BAB" w:rsidP="00427D6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Vol</w:t>
            </w:r>
            <w:r w:rsidR="000A66AD">
              <w:rPr>
                <w:rFonts w:ascii="Georgia" w:eastAsia="Times New Roman" w:hAnsi="Georgia" w:cs="Times New Roman"/>
                <w:color w:val="000000"/>
                <w:sz w:val="10"/>
                <w:szCs w:val="10"/>
                <w:lang w:val="en-GB" w:eastAsia="hu-HU"/>
              </w:rPr>
              <w:t>.</w:t>
            </w:r>
            <w:r w:rsidRPr="0002056A">
              <w:rPr>
                <w:rFonts w:ascii="Georgia" w:eastAsia="Times New Roman" w:hAnsi="Georgia" w:cs="Times New Roman"/>
                <w:color w:val="000000"/>
                <w:sz w:val="10"/>
                <w:szCs w:val="10"/>
                <w:lang w:val="en-GB" w:eastAsia="hu-HU"/>
              </w:rPr>
              <w:t xml:space="preserve"> 49, Issue 5</w:t>
            </w:r>
          </w:p>
        </w:tc>
        <w:tc>
          <w:tcPr>
            <w:tcW w:w="708" w:type="dxa"/>
            <w:tcBorders>
              <w:top w:val="nil"/>
              <w:left w:val="nil"/>
              <w:bottom w:val="single" w:sz="4" w:space="0" w:color="auto"/>
              <w:right w:val="single" w:sz="4" w:space="0" w:color="auto"/>
            </w:tcBorders>
            <w:vAlign w:val="center"/>
          </w:tcPr>
          <w:p w14:paraId="40A6DB65" w14:textId="014586F5"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C3B7CC5" w14:textId="635715A1"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12E6B8D" w14:textId="1EE5BD46"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CE10632" w14:textId="5AE7E3B8"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Guiding question of the study is which role spatial planning (at the regional and local level) can play in dealing with natural hazards. </w:t>
            </w:r>
          </w:p>
        </w:tc>
        <w:tc>
          <w:tcPr>
            <w:tcW w:w="2268" w:type="dxa"/>
            <w:tcBorders>
              <w:top w:val="nil"/>
              <w:left w:val="nil"/>
              <w:bottom w:val="single" w:sz="4" w:space="0" w:color="auto"/>
              <w:right w:val="single" w:sz="8" w:space="0" w:color="auto"/>
            </w:tcBorders>
            <w:vAlign w:val="center"/>
          </w:tcPr>
          <w:p w14:paraId="7FB77D4F" w14:textId="03689206" w:rsidR="00123BAB" w:rsidRPr="0002056A" w:rsidRDefault="00123BAB" w:rsidP="00427D6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Limits of formal spatial planning instruments; spatial planning as one of many actors. </w:t>
            </w:r>
          </w:p>
        </w:tc>
      </w:tr>
      <w:tr w:rsidR="00123BAB" w:rsidRPr="0002056A" w14:paraId="07608C48" w14:textId="77777777" w:rsidTr="00D57247">
        <w:trPr>
          <w:trHeight w:val="64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F74DE5B"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Greiving, S. – Fleischhauer, M.</w:t>
            </w:r>
          </w:p>
        </w:tc>
        <w:tc>
          <w:tcPr>
            <w:tcW w:w="705" w:type="dxa"/>
            <w:tcBorders>
              <w:top w:val="nil"/>
              <w:left w:val="nil"/>
              <w:bottom w:val="single" w:sz="4" w:space="0" w:color="auto"/>
              <w:right w:val="single" w:sz="4" w:space="0" w:color="auto"/>
            </w:tcBorders>
            <w:vAlign w:val="center"/>
            <w:hideMark/>
          </w:tcPr>
          <w:p w14:paraId="518329F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hideMark/>
          </w:tcPr>
          <w:p w14:paraId="2FECD71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National strategies of European countries for climate change adaptation: A review from a spatial planning and territorial development perspective</w:t>
            </w:r>
          </w:p>
        </w:tc>
        <w:tc>
          <w:tcPr>
            <w:tcW w:w="1134" w:type="dxa"/>
            <w:tcBorders>
              <w:top w:val="nil"/>
              <w:left w:val="nil"/>
              <w:bottom w:val="single" w:sz="4" w:space="0" w:color="auto"/>
              <w:right w:val="single" w:sz="4" w:space="0" w:color="auto"/>
            </w:tcBorders>
            <w:vAlign w:val="center"/>
            <w:hideMark/>
          </w:tcPr>
          <w:p w14:paraId="2C03A32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w:t>
            </w:r>
          </w:p>
        </w:tc>
        <w:tc>
          <w:tcPr>
            <w:tcW w:w="708" w:type="dxa"/>
            <w:tcBorders>
              <w:top w:val="nil"/>
              <w:left w:val="nil"/>
              <w:bottom w:val="single" w:sz="4" w:space="0" w:color="auto"/>
              <w:right w:val="single" w:sz="4" w:space="0" w:color="auto"/>
            </w:tcBorders>
            <w:vAlign w:val="center"/>
            <w:hideMark/>
          </w:tcPr>
          <w:p w14:paraId="22980D2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German Federal Ministry of Transport, Building and Urban Development (BMVBS)</w:t>
            </w:r>
            <w:r w:rsidRPr="0002056A">
              <w:rPr>
                <w:rFonts w:ascii="Georgia" w:eastAsia="Times New Roman" w:hAnsi="Georgia" w:cs="Times New Roman"/>
                <w:color w:val="000000"/>
                <w:sz w:val="10"/>
                <w:szCs w:val="10"/>
                <w:lang w:val="en-GB" w:eastAsia="hu-HU"/>
              </w:rPr>
              <w:br/>
              <w:t>Scientific Support</w:t>
            </w:r>
          </w:p>
        </w:tc>
        <w:tc>
          <w:tcPr>
            <w:tcW w:w="851" w:type="dxa"/>
            <w:tcBorders>
              <w:top w:val="nil"/>
              <w:left w:val="nil"/>
              <w:bottom w:val="single" w:sz="4" w:space="0" w:color="auto"/>
              <w:right w:val="single" w:sz="4" w:space="0" w:color="auto"/>
            </w:tcBorders>
            <w:vAlign w:val="center"/>
            <w:hideMark/>
          </w:tcPr>
          <w:p w14:paraId="3E3D6B2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climate adaptation</w:t>
            </w:r>
          </w:p>
        </w:tc>
        <w:tc>
          <w:tcPr>
            <w:tcW w:w="993" w:type="dxa"/>
            <w:tcBorders>
              <w:top w:val="nil"/>
              <w:left w:val="nil"/>
              <w:bottom w:val="single" w:sz="4" w:space="0" w:color="auto"/>
              <w:right w:val="single" w:sz="4" w:space="0" w:color="auto"/>
            </w:tcBorders>
            <w:vAlign w:val="center"/>
            <w:hideMark/>
          </w:tcPr>
          <w:p w14:paraId="5544BD2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BMVBS-Online-Publikation, No. 21/2010</w:t>
            </w:r>
          </w:p>
        </w:tc>
        <w:tc>
          <w:tcPr>
            <w:tcW w:w="708" w:type="dxa"/>
            <w:tcBorders>
              <w:top w:val="nil"/>
              <w:left w:val="nil"/>
              <w:bottom w:val="single" w:sz="4" w:space="0" w:color="auto"/>
              <w:right w:val="single" w:sz="4" w:space="0" w:color="auto"/>
            </w:tcBorders>
            <w:vAlign w:val="center"/>
            <w:hideMark/>
          </w:tcPr>
          <w:p w14:paraId="4918DF3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5A38830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508281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4F603A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provides an overview and systematic characterisation of different national approaches for climate policy strategic planning from spatial planning/regional development perspective, examine how regionally different climate impacts and admin/political systems influence national adaptation strategies. It grouped adaptation strategies according to spatial planning aspects</w:t>
            </w:r>
          </w:p>
        </w:tc>
        <w:tc>
          <w:tcPr>
            <w:tcW w:w="2268" w:type="dxa"/>
            <w:tcBorders>
              <w:top w:val="nil"/>
              <w:left w:val="nil"/>
              <w:bottom w:val="single" w:sz="4" w:space="0" w:color="auto"/>
              <w:right w:val="single" w:sz="8" w:space="0" w:color="auto"/>
            </w:tcBorders>
            <w:vAlign w:val="center"/>
          </w:tcPr>
          <w:p w14:paraId="4CF79BC0" w14:textId="1070EB91"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Spatial planning is only given minor attention in the assessed </w:t>
            </w:r>
            <w:r w:rsidR="0035098D" w:rsidRPr="0002056A">
              <w:rPr>
                <w:rFonts w:ascii="Georgia" w:eastAsia="Times New Roman" w:hAnsi="Georgia" w:cs="Times New Roman"/>
                <w:color w:val="000000"/>
                <w:sz w:val="10"/>
                <w:szCs w:val="10"/>
                <w:lang w:val="en-GB" w:eastAsia="hu-HU"/>
              </w:rPr>
              <w:t>analyses,</w:t>
            </w:r>
            <w:r w:rsidRPr="0002056A">
              <w:rPr>
                <w:rFonts w:ascii="Georgia" w:eastAsia="Times New Roman" w:hAnsi="Georgia" w:cs="Times New Roman"/>
                <w:color w:val="000000"/>
                <w:sz w:val="10"/>
                <w:szCs w:val="10"/>
                <w:lang w:val="en-GB" w:eastAsia="hu-HU"/>
              </w:rPr>
              <w:t xml:space="preserve"> and its role is one among the sectors. Exposures and planning systems differ strongly.</w:t>
            </w:r>
          </w:p>
          <w:p w14:paraId="521EEC6A"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gives also set of recommendations about the improvement of spatiality in adaptation planning. The territorially specific focuses, geographical scopes, spatial aspects in adaptation got lesser emphasis. Although some special objectives/focuses can be identified in national adaptation strategies in the late 2000s – early 2010s, their addressed sectors and development lines are quite similar. No geographical specificities are reflected in the character and objective system of given national strategies</w:t>
            </w:r>
          </w:p>
        </w:tc>
      </w:tr>
      <w:tr w:rsidR="00123BAB" w:rsidRPr="0002056A" w14:paraId="69D92A04"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DF25D9B"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Greiving, S. – Schmidt-Thome, P. </w:t>
            </w:r>
          </w:p>
        </w:tc>
        <w:tc>
          <w:tcPr>
            <w:tcW w:w="705" w:type="dxa"/>
            <w:tcBorders>
              <w:top w:val="nil"/>
              <w:left w:val="nil"/>
              <w:bottom w:val="single" w:sz="4" w:space="0" w:color="auto"/>
              <w:right w:val="single" w:sz="4" w:space="0" w:color="auto"/>
            </w:tcBorders>
            <w:vAlign w:val="center"/>
            <w:hideMark/>
          </w:tcPr>
          <w:p w14:paraId="75FDC6A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23BB734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climate vulnerabilities and adaptation: a spatial planning perspective</w:t>
            </w:r>
          </w:p>
        </w:tc>
        <w:tc>
          <w:tcPr>
            <w:tcW w:w="1134" w:type="dxa"/>
            <w:tcBorders>
              <w:top w:val="nil"/>
              <w:left w:val="nil"/>
              <w:bottom w:val="single" w:sz="4" w:space="0" w:color="auto"/>
              <w:right w:val="single" w:sz="4" w:space="0" w:color="auto"/>
            </w:tcBorders>
            <w:vAlign w:val="center"/>
            <w:hideMark/>
          </w:tcPr>
          <w:p w14:paraId="694226A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FIN</w:t>
            </w:r>
          </w:p>
        </w:tc>
        <w:tc>
          <w:tcPr>
            <w:tcW w:w="708" w:type="dxa"/>
            <w:tcBorders>
              <w:top w:val="nil"/>
              <w:left w:val="nil"/>
              <w:bottom w:val="single" w:sz="4" w:space="0" w:color="auto"/>
              <w:right w:val="single" w:sz="4" w:space="0" w:color="auto"/>
            </w:tcBorders>
            <w:vAlign w:val="center"/>
            <w:hideMark/>
          </w:tcPr>
          <w:p w14:paraId="29D2004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786095C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climate adaptation</w:t>
            </w:r>
          </w:p>
        </w:tc>
        <w:tc>
          <w:tcPr>
            <w:tcW w:w="993" w:type="dxa"/>
            <w:tcBorders>
              <w:top w:val="nil"/>
              <w:left w:val="nil"/>
              <w:bottom w:val="single" w:sz="4" w:space="0" w:color="auto"/>
              <w:right w:val="single" w:sz="4" w:space="0" w:color="auto"/>
            </w:tcBorders>
            <w:vAlign w:val="center"/>
            <w:hideMark/>
          </w:tcPr>
          <w:p w14:paraId="2C5FD1A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European Planning Studies </w:t>
            </w:r>
            <w:r w:rsidRPr="0002056A">
              <w:rPr>
                <w:rFonts w:ascii="Georgia" w:eastAsia="Times New Roman" w:hAnsi="Georgia" w:cs="Times New Roman"/>
                <w:color w:val="000000"/>
                <w:sz w:val="10"/>
                <w:szCs w:val="10"/>
                <w:lang w:val="en-GB" w:eastAsia="hu-HU"/>
              </w:rPr>
              <w:br/>
              <w:t>Volume 20, 2012 – Issue 1: Climate Change and Sustainable Cities Pages 27-48  Published online: 24 Jan 2012</w:t>
            </w:r>
            <w:r w:rsidRPr="0002056A">
              <w:rPr>
                <w:rFonts w:ascii="Georgia" w:eastAsia="Times New Roman" w:hAnsi="Georgia" w:cs="Times New Roman"/>
                <w:color w:val="000000"/>
                <w:sz w:val="10"/>
                <w:szCs w:val="10"/>
                <w:lang w:val="en-GB" w:eastAsia="hu-HU"/>
              </w:rPr>
              <w:br/>
            </w:r>
            <w:hyperlink r:id="rId156" w:history="1">
              <w:r w:rsidRPr="0002056A">
                <w:rPr>
                  <w:rStyle w:val="Hiperhivatkozs"/>
                  <w:rFonts w:ascii="Georgia" w:eastAsia="Times New Roman" w:hAnsi="Georgia" w:cs="Times New Roman"/>
                  <w:sz w:val="10"/>
                  <w:szCs w:val="10"/>
                  <w:lang w:val="en-GB" w:eastAsia="hu-HU"/>
                </w:rPr>
                <w:t>https://doi.org/10.1080/09654313.2011.638493</w:t>
              </w:r>
            </w:hyperlink>
          </w:p>
        </w:tc>
        <w:tc>
          <w:tcPr>
            <w:tcW w:w="708" w:type="dxa"/>
            <w:tcBorders>
              <w:top w:val="nil"/>
              <w:left w:val="nil"/>
              <w:bottom w:val="single" w:sz="4" w:space="0" w:color="auto"/>
              <w:right w:val="single" w:sz="4" w:space="0" w:color="auto"/>
            </w:tcBorders>
            <w:vAlign w:val="center"/>
            <w:hideMark/>
          </w:tcPr>
          <w:p w14:paraId="72FB015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26FEC6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ACD1E6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A155B31"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analyses the impacts climate change might have on regions and their local economies. Regions clearly differ in view of the complex patterns of climate change impact, but also regarding the given vulnerability and coping capacity. Impacts of climate change can have a marked effect on the functioning of regions and sectors of the society, if not properly addressed. Readiness to adapt to the impacts and lasting changes counts towards vulnerability of the regions. The book builds upon the findings of a project conducted under the European observation network for territorial development and cohesion (ESPON), The ESPON Climate project. </w:t>
            </w:r>
          </w:p>
        </w:tc>
        <w:tc>
          <w:tcPr>
            <w:tcW w:w="2268" w:type="dxa"/>
            <w:tcBorders>
              <w:top w:val="nil"/>
              <w:left w:val="nil"/>
              <w:bottom w:val="single" w:sz="4" w:space="0" w:color="auto"/>
              <w:right w:val="single" w:sz="8" w:space="0" w:color="auto"/>
            </w:tcBorders>
            <w:vAlign w:val="center"/>
          </w:tcPr>
          <w:p w14:paraId="505862F5"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examines spatial planning’s role to undertake a coordinative role conducting multi risk assessments considering all relevant hazards for given regions.</w:t>
            </w:r>
          </w:p>
        </w:tc>
      </w:tr>
      <w:tr w:rsidR="00123BAB" w:rsidRPr="0002056A" w14:paraId="1C81AEB9"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B2DD390"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Greiving, S., Fleischhauer, M.</w:t>
            </w:r>
          </w:p>
        </w:tc>
        <w:tc>
          <w:tcPr>
            <w:tcW w:w="705" w:type="dxa"/>
            <w:tcBorders>
              <w:top w:val="nil"/>
              <w:left w:val="nil"/>
              <w:bottom w:val="single" w:sz="4" w:space="0" w:color="auto"/>
              <w:right w:val="single" w:sz="4" w:space="0" w:color="auto"/>
            </w:tcBorders>
            <w:vAlign w:val="center"/>
            <w:hideMark/>
          </w:tcPr>
          <w:p w14:paraId="381A1BA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5CA45F9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National Climate Change Adaptation Strategies of European States from a Spatial Planning and Development Perspective</w:t>
            </w:r>
          </w:p>
        </w:tc>
        <w:tc>
          <w:tcPr>
            <w:tcW w:w="1134" w:type="dxa"/>
            <w:tcBorders>
              <w:top w:val="nil"/>
              <w:left w:val="nil"/>
              <w:bottom w:val="single" w:sz="4" w:space="0" w:color="auto"/>
              <w:right w:val="single" w:sz="4" w:space="0" w:color="auto"/>
            </w:tcBorders>
            <w:vAlign w:val="center"/>
            <w:hideMark/>
          </w:tcPr>
          <w:p w14:paraId="28F3EFF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w:t>
            </w:r>
          </w:p>
        </w:tc>
        <w:tc>
          <w:tcPr>
            <w:tcW w:w="708" w:type="dxa"/>
            <w:tcBorders>
              <w:top w:val="nil"/>
              <w:left w:val="nil"/>
              <w:bottom w:val="single" w:sz="4" w:space="0" w:color="auto"/>
              <w:right w:val="single" w:sz="4" w:space="0" w:color="auto"/>
            </w:tcBorders>
            <w:vAlign w:val="center"/>
            <w:hideMark/>
          </w:tcPr>
          <w:p w14:paraId="314A5F0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0D2B75A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climate adaptation</w:t>
            </w:r>
          </w:p>
        </w:tc>
        <w:tc>
          <w:tcPr>
            <w:tcW w:w="993" w:type="dxa"/>
            <w:tcBorders>
              <w:top w:val="nil"/>
              <w:left w:val="nil"/>
              <w:bottom w:val="single" w:sz="4" w:space="0" w:color="auto"/>
              <w:right w:val="single" w:sz="4" w:space="0" w:color="auto"/>
            </w:tcBorders>
            <w:vAlign w:val="center"/>
            <w:hideMark/>
          </w:tcPr>
          <w:p w14:paraId="574CEAF8"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European Planning Studies </w:t>
            </w:r>
            <w:r w:rsidRPr="0002056A">
              <w:rPr>
                <w:rFonts w:ascii="Georgia" w:eastAsia="Times New Roman" w:hAnsi="Georgia" w:cs="Times New Roman"/>
                <w:color w:val="000000"/>
                <w:sz w:val="10"/>
                <w:szCs w:val="10"/>
                <w:lang w:val="en-GB" w:eastAsia="hu-HU"/>
              </w:rPr>
              <w:br/>
              <w:t>Climate Change and Sustainable Cities Volume 20, 2012 – Issue 1 pp 27-48</w:t>
            </w:r>
          </w:p>
        </w:tc>
        <w:tc>
          <w:tcPr>
            <w:tcW w:w="708" w:type="dxa"/>
            <w:tcBorders>
              <w:top w:val="nil"/>
              <w:left w:val="nil"/>
              <w:bottom w:val="single" w:sz="4" w:space="0" w:color="auto"/>
              <w:right w:val="single" w:sz="4" w:space="0" w:color="auto"/>
            </w:tcBorders>
            <w:vAlign w:val="center"/>
            <w:hideMark/>
          </w:tcPr>
          <w:p w14:paraId="3CDF167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56EB6E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136C125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4094E15"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333333"/>
                <w:sz w:val="10"/>
                <w:szCs w:val="10"/>
                <w:lang w:val="en-GB"/>
              </w:rPr>
              <w:t>The aim of this article is to give an overview and systematic characterization of different national approaches to developing strategies of climate change adaptation from a spatial planning or regional development perspective, respectively. Based on this analysis, recommendations are made for the implementation of the Territorial Agenda of the European Union. </w:t>
            </w:r>
          </w:p>
        </w:tc>
        <w:tc>
          <w:tcPr>
            <w:tcW w:w="2268" w:type="dxa"/>
            <w:tcBorders>
              <w:top w:val="nil"/>
              <w:left w:val="nil"/>
              <w:bottom w:val="single" w:sz="4" w:space="0" w:color="auto"/>
              <w:right w:val="single" w:sz="8" w:space="0" w:color="auto"/>
            </w:tcBorders>
            <w:vAlign w:val="center"/>
          </w:tcPr>
          <w:p w14:paraId="64053C5D"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Exposures and planning systems differs strongly.</w:t>
            </w:r>
          </w:p>
          <w:p w14:paraId="37E9B997"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gives also set of recommendations about the improvement of spatiality in adaptation planning.</w:t>
            </w:r>
            <w:r w:rsidRPr="0002056A">
              <w:rPr>
                <w:rFonts w:ascii="Georgia" w:hAnsi="Georgia"/>
                <w:sz w:val="10"/>
                <w:szCs w:val="10"/>
                <w:lang w:val="en-GB"/>
              </w:rPr>
              <w:t xml:space="preserve"> </w:t>
            </w:r>
            <w:r w:rsidRPr="0002056A">
              <w:rPr>
                <w:rFonts w:ascii="Georgia" w:eastAsia="Times New Roman" w:hAnsi="Georgia" w:cs="Times New Roman"/>
                <w:color w:val="000000"/>
                <w:sz w:val="10"/>
                <w:szCs w:val="10"/>
                <w:lang w:val="en-GB" w:eastAsia="hu-HU"/>
              </w:rPr>
              <w:t xml:space="preserve">The territorially specific focuses, geographical scopes, spatial aspects in adaptation got lesser emphasis. Although some special objectives/focuses can be identified in national adaptation strategies in the late 2000s – early 2010s, their addressed sectors and development lines are quite similar. </w:t>
            </w:r>
          </w:p>
        </w:tc>
      </w:tr>
      <w:tr w:rsidR="00123BAB" w:rsidRPr="0002056A" w14:paraId="5717951A"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618B305"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Guskey, T. R. </w:t>
            </w:r>
          </w:p>
        </w:tc>
        <w:tc>
          <w:tcPr>
            <w:tcW w:w="705" w:type="dxa"/>
            <w:tcBorders>
              <w:top w:val="nil"/>
              <w:left w:val="nil"/>
              <w:bottom w:val="single" w:sz="4" w:space="0" w:color="auto"/>
              <w:right w:val="single" w:sz="4" w:space="0" w:color="auto"/>
            </w:tcBorders>
            <w:noWrap/>
            <w:vAlign w:val="center"/>
            <w:hideMark/>
          </w:tcPr>
          <w:p w14:paraId="6C98890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2000</w:t>
            </w:r>
          </w:p>
        </w:tc>
        <w:tc>
          <w:tcPr>
            <w:tcW w:w="1137" w:type="dxa"/>
            <w:tcBorders>
              <w:top w:val="nil"/>
              <w:left w:val="nil"/>
              <w:bottom w:val="single" w:sz="4" w:space="0" w:color="auto"/>
              <w:right w:val="single" w:sz="4" w:space="0" w:color="auto"/>
            </w:tcBorders>
            <w:vAlign w:val="center"/>
            <w:hideMark/>
          </w:tcPr>
          <w:p w14:paraId="32CEA77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Evaluating professional development. </w:t>
            </w:r>
          </w:p>
        </w:tc>
        <w:tc>
          <w:tcPr>
            <w:tcW w:w="1134" w:type="dxa"/>
            <w:tcBorders>
              <w:top w:val="nil"/>
              <w:left w:val="nil"/>
              <w:bottom w:val="single" w:sz="4" w:space="0" w:color="auto"/>
              <w:right w:val="single" w:sz="4" w:space="0" w:color="auto"/>
            </w:tcBorders>
            <w:vAlign w:val="center"/>
            <w:hideMark/>
          </w:tcPr>
          <w:p w14:paraId="3CFA6D4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w:t>
            </w:r>
          </w:p>
        </w:tc>
        <w:tc>
          <w:tcPr>
            <w:tcW w:w="708" w:type="dxa"/>
            <w:tcBorders>
              <w:top w:val="nil"/>
              <w:left w:val="nil"/>
              <w:bottom w:val="single" w:sz="4" w:space="0" w:color="auto"/>
              <w:right w:val="single" w:sz="4" w:space="0" w:color="auto"/>
            </w:tcBorders>
            <w:vAlign w:val="center"/>
            <w:hideMark/>
          </w:tcPr>
          <w:p w14:paraId="6E3FCEE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Thousand Oaks, CA</w:t>
            </w:r>
          </w:p>
        </w:tc>
        <w:tc>
          <w:tcPr>
            <w:tcW w:w="851" w:type="dxa"/>
            <w:tcBorders>
              <w:top w:val="nil"/>
              <w:left w:val="nil"/>
              <w:bottom w:val="single" w:sz="4" w:space="0" w:color="auto"/>
              <w:right w:val="single" w:sz="4" w:space="0" w:color="auto"/>
            </w:tcBorders>
            <w:vAlign w:val="center"/>
            <w:hideMark/>
          </w:tcPr>
          <w:p w14:paraId="20F07883" w14:textId="1BBDA236"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Evaluation theory, methodology</w:t>
            </w:r>
          </w:p>
        </w:tc>
        <w:tc>
          <w:tcPr>
            <w:tcW w:w="993" w:type="dxa"/>
            <w:tcBorders>
              <w:top w:val="nil"/>
              <w:left w:val="nil"/>
              <w:bottom w:val="single" w:sz="4" w:space="0" w:color="auto"/>
              <w:right w:val="single" w:sz="4" w:space="0" w:color="auto"/>
            </w:tcBorders>
            <w:vAlign w:val="center"/>
            <w:hideMark/>
          </w:tcPr>
          <w:p w14:paraId="444C0D4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Corwin Press.</w:t>
            </w:r>
          </w:p>
        </w:tc>
        <w:tc>
          <w:tcPr>
            <w:tcW w:w="708" w:type="dxa"/>
            <w:tcBorders>
              <w:top w:val="nil"/>
              <w:left w:val="nil"/>
              <w:bottom w:val="single" w:sz="4" w:space="0" w:color="auto"/>
              <w:right w:val="single" w:sz="4" w:space="0" w:color="auto"/>
            </w:tcBorders>
            <w:vAlign w:val="center"/>
            <w:hideMark/>
          </w:tcPr>
          <w:p w14:paraId="34A67F3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726C193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80FDC1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37C7165" w14:textId="68C6110C"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0F1111"/>
                <w:sz w:val="10"/>
                <w:szCs w:val="10"/>
                <w:shd w:val="clear" w:color="auto" w:fill="FFFFFF"/>
                <w:lang w:val="en-GB"/>
              </w:rPr>
              <w:t>As a practical guide, the book gives a framework to evaluating professional development programs at five increasing levels of sophistication: participants′ reaction to professional development; how much participants learned; evaluating organizational support and change; how participants use their new knowledge and skills; and improvements in student learning</w:t>
            </w:r>
          </w:p>
        </w:tc>
        <w:tc>
          <w:tcPr>
            <w:tcW w:w="2268" w:type="dxa"/>
            <w:tcBorders>
              <w:top w:val="nil"/>
              <w:left w:val="nil"/>
              <w:bottom w:val="single" w:sz="4" w:space="0" w:color="auto"/>
              <w:right w:val="single" w:sz="8" w:space="0" w:color="auto"/>
            </w:tcBorders>
            <w:vAlign w:val="center"/>
          </w:tcPr>
          <w:p w14:paraId="68170B40"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The book introduces us the concepts and definitions of strategic evaluations.</w:t>
            </w:r>
          </w:p>
        </w:tc>
      </w:tr>
      <w:tr w:rsidR="00123BAB" w:rsidRPr="0002056A" w14:paraId="533B1EB2"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D9E64CA" w14:textId="2FED4D5F"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Gustavsson, E.</w:t>
            </w:r>
            <w:r w:rsidR="0035098D" w:rsidRPr="0002056A">
              <w:rPr>
                <w:rFonts w:ascii="Georgia" w:eastAsia="Times New Roman" w:hAnsi="Georgia" w:cs="Times New Roman"/>
                <w:b/>
                <w:bCs/>
                <w:i/>
                <w:iCs/>
                <w:color w:val="000000"/>
                <w:sz w:val="14"/>
                <w:szCs w:val="14"/>
                <w:lang w:val="en-GB" w:eastAsia="hu-HU"/>
              </w:rPr>
              <w:t>; Elander</w:t>
            </w:r>
            <w:r w:rsidRPr="0002056A">
              <w:rPr>
                <w:rFonts w:ascii="Georgia" w:eastAsia="Times New Roman" w:hAnsi="Georgia" w:cs="Times New Roman"/>
                <w:b/>
                <w:bCs/>
                <w:i/>
                <w:iCs/>
                <w:color w:val="000000"/>
                <w:sz w:val="14"/>
                <w:szCs w:val="14"/>
                <w:lang w:val="en-GB" w:eastAsia="hu-HU"/>
              </w:rPr>
              <w:t xml:space="preserve">, I.; Lundmark, M. </w:t>
            </w:r>
          </w:p>
          <w:p w14:paraId="63BC4CAB" w14:textId="05FCF433"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49D62DC9" w14:textId="0BD708B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38A766EA" w14:textId="5342E87D"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Multilevel Governance, Networking Cities, and the Geography of Climate-Change Mitigation: Two Swedish Examples</w:t>
            </w:r>
          </w:p>
        </w:tc>
        <w:tc>
          <w:tcPr>
            <w:tcW w:w="1134" w:type="dxa"/>
            <w:tcBorders>
              <w:top w:val="nil"/>
              <w:left w:val="nil"/>
              <w:bottom w:val="single" w:sz="4" w:space="0" w:color="auto"/>
              <w:right w:val="single" w:sz="4" w:space="0" w:color="auto"/>
            </w:tcBorders>
            <w:vAlign w:val="center"/>
          </w:tcPr>
          <w:p w14:paraId="0923F242" w14:textId="715F10E5"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SWE. SWE, SWE</w:t>
            </w:r>
          </w:p>
        </w:tc>
        <w:tc>
          <w:tcPr>
            <w:tcW w:w="708" w:type="dxa"/>
            <w:tcBorders>
              <w:top w:val="nil"/>
              <w:left w:val="nil"/>
              <w:bottom w:val="single" w:sz="4" w:space="0" w:color="auto"/>
              <w:right w:val="single" w:sz="4" w:space="0" w:color="auto"/>
            </w:tcBorders>
            <w:vAlign w:val="center"/>
          </w:tcPr>
          <w:p w14:paraId="431179E2" w14:textId="7118BDF3"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Journals</w:t>
            </w:r>
          </w:p>
        </w:tc>
        <w:tc>
          <w:tcPr>
            <w:tcW w:w="851" w:type="dxa"/>
            <w:tcBorders>
              <w:top w:val="nil"/>
              <w:left w:val="nil"/>
              <w:bottom w:val="single" w:sz="4" w:space="0" w:color="auto"/>
              <w:right w:val="single" w:sz="4" w:space="0" w:color="auto"/>
            </w:tcBorders>
            <w:vAlign w:val="center"/>
          </w:tcPr>
          <w:p w14:paraId="107DBDE1" w14:textId="43FACD02"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social geography, spatial planning </w:t>
            </w:r>
          </w:p>
        </w:tc>
        <w:tc>
          <w:tcPr>
            <w:tcW w:w="993" w:type="dxa"/>
            <w:tcBorders>
              <w:top w:val="nil"/>
              <w:left w:val="nil"/>
              <w:bottom w:val="single" w:sz="4" w:space="0" w:color="auto"/>
              <w:right w:val="single" w:sz="4" w:space="0" w:color="auto"/>
            </w:tcBorders>
            <w:vAlign w:val="center"/>
          </w:tcPr>
          <w:p w14:paraId="5430EFB7" w14:textId="7EFA5096"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 and Planning C: Politics and Space Volume 27, Issue 1</w:t>
            </w:r>
          </w:p>
          <w:p w14:paraId="42EA0DFF" w14:textId="7469193E"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https://doi.org/10.1068/c07109j</w:t>
            </w:r>
          </w:p>
        </w:tc>
        <w:tc>
          <w:tcPr>
            <w:tcW w:w="708" w:type="dxa"/>
            <w:tcBorders>
              <w:top w:val="nil"/>
              <w:left w:val="nil"/>
              <w:bottom w:val="single" w:sz="4" w:space="0" w:color="auto"/>
              <w:right w:val="single" w:sz="4" w:space="0" w:color="auto"/>
            </w:tcBorders>
            <w:vAlign w:val="center"/>
          </w:tcPr>
          <w:p w14:paraId="2827BE63" w14:textId="764DF9BE"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7BFB223" w14:textId="2872E2C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02197D9" w14:textId="5A722CAD"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3CB1CFA" w14:textId="36071FD8" w:rsidR="00123BAB" w:rsidRPr="0002056A" w:rsidRDefault="00123BAB" w:rsidP="00123BAB">
            <w:pPr>
              <w:spacing w:after="0" w:line="240" w:lineRule="auto"/>
              <w:jc w:val="both"/>
              <w:rPr>
                <w:rFonts w:ascii="Georgia" w:hAnsi="Georgia" w:cstheme="minorHAnsi"/>
                <w:color w:val="0F1111"/>
                <w:sz w:val="10"/>
                <w:szCs w:val="10"/>
                <w:shd w:val="clear" w:color="auto" w:fill="FFFFFF"/>
                <w:lang w:val="en-GB"/>
              </w:rPr>
            </w:pPr>
            <w:r w:rsidRPr="0002056A">
              <w:rPr>
                <w:rFonts w:ascii="Georgia" w:hAnsi="Georgia" w:cstheme="minorHAnsi"/>
                <w:color w:val="0F1111"/>
                <w:sz w:val="10"/>
                <w:szCs w:val="10"/>
                <w:shd w:val="clear" w:color="auto" w:fill="FFFFFF"/>
                <w:lang w:val="en-GB"/>
              </w:rPr>
              <w:t xml:space="preserve">The article tries to answer the question “What geographical and institutional conditions are important for initiating and sustaining climate-change mitigation at the local level?” It analyses local climate mitigation as a case of multilevel network governance. It illustrates the results by the case of two Swedish cities, which are both involved in city networking in favour of climate-change mitigation. </w:t>
            </w:r>
          </w:p>
        </w:tc>
        <w:tc>
          <w:tcPr>
            <w:tcW w:w="2268" w:type="dxa"/>
            <w:tcBorders>
              <w:top w:val="nil"/>
              <w:left w:val="nil"/>
              <w:bottom w:val="single" w:sz="4" w:space="0" w:color="auto"/>
              <w:right w:val="single" w:sz="8" w:space="0" w:color="auto"/>
            </w:tcBorders>
            <w:vAlign w:val="center"/>
          </w:tcPr>
          <w:p w14:paraId="72235EAF" w14:textId="1D4257E1"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Different business structures and other local conditions in significant ways influence both the level of ambition and the climate-policy strategies of cities. The sheer size and intensity of the networking activities clearly illustrate the fact that cities are increasingly becoming arenas of globalization, rather than passive victims of global forces, thus confirming the call for a multilevel network-governance approach in policy and politics as well as in research.</w:t>
            </w:r>
          </w:p>
        </w:tc>
      </w:tr>
      <w:tr w:rsidR="00123BAB" w:rsidRPr="0002056A" w14:paraId="7A4F07AD"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EBFF424"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Hallegatte S. </w:t>
            </w:r>
          </w:p>
          <w:p w14:paraId="6505DFEB"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noWrap/>
            <w:vAlign w:val="center"/>
          </w:tcPr>
          <w:p w14:paraId="2D6C283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294FAAC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Strategies to adapt to an uncertain climate change. </w:t>
            </w:r>
          </w:p>
        </w:tc>
        <w:tc>
          <w:tcPr>
            <w:tcW w:w="1134" w:type="dxa"/>
            <w:tcBorders>
              <w:top w:val="nil"/>
              <w:left w:val="nil"/>
              <w:bottom w:val="single" w:sz="4" w:space="0" w:color="auto"/>
              <w:right w:val="single" w:sz="4" w:space="0" w:color="auto"/>
            </w:tcBorders>
            <w:vAlign w:val="center"/>
          </w:tcPr>
          <w:p w14:paraId="7056BA1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w:t>
            </w:r>
          </w:p>
        </w:tc>
        <w:tc>
          <w:tcPr>
            <w:tcW w:w="708" w:type="dxa"/>
            <w:tcBorders>
              <w:top w:val="nil"/>
              <w:left w:val="nil"/>
              <w:bottom w:val="single" w:sz="4" w:space="0" w:color="auto"/>
              <w:right w:val="single" w:sz="4" w:space="0" w:color="auto"/>
            </w:tcBorders>
            <w:vAlign w:val="center"/>
          </w:tcPr>
          <w:p w14:paraId="4A2D76C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4D332861" w14:textId="77777777" w:rsidR="00123BAB" w:rsidRPr="0002056A" w:rsidDel="0068412F"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vAlign w:val="center"/>
          </w:tcPr>
          <w:p w14:paraId="3EA0FAE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Global Environmental Change 19(2): 240–247.</w:t>
            </w:r>
          </w:p>
        </w:tc>
        <w:tc>
          <w:tcPr>
            <w:tcW w:w="708" w:type="dxa"/>
            <w:tcBorders>
              <w:top w:val="nil"/>
              <w:left w:val="nil"/>
              <w:bottom w:val="single" w:sz="4" w:space="0" w:color="auto"/>
              <w:right w:val="single" w:sz="4" w:space="0" w:color="auto"/>
            </w:tcBorders>
            <w:vAlign w:val="center"/>
          </w:tcPr>
          <w:p w14:paraId="40C5B4A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7BB02A8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05B8DC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35AC8F6"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Many decisions concerning long-lived investments already need to take into account climate change. But doing so is not easy for at least two reasons. Five methods are examined by the article: (i) selecting “no-regret” strategies that yield benefits even in absence of climate change; (ii) favouring reversible and flexible options; (iii) buying “safety margins” in new investments; (iv) promoting soft adaptation strategies, including long-term prospective; and (v) reducing decision time horizons.</w:t>
            </w:r>
          </w:p>
        </w:tc>
        <w:tc>
          <w:tcPr>
            <w:tcW w:w="2268" w:type="dxa"/>
            <w:tcBorders>
              <w:top w:val="nil"/>
              <w:left w:val="nil"/>
              <w:bottom w:val="single" w:sz="4" w:space="0" w:color="auto"/>
              <w:right w:val="single" w:sz="8" w:space="0" w:color="auto"/>
            </w:tcBorders>
            <w:vAlign w:val="center"/>
          </w:tcPr>
          <w:p w14:paraId="0CDC4BA7" w14:textId="4D8B23CA"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 xml:space="preserve">It calls our attention to the trend that </w:t>
            </w:r>
            <w:r w:rsidRPr="0002056A">
              <w:rPr>
                <w:rFonts w:ascii="Georgia" w:hAnsi="Georgia" w:cstheme="minorHAnsi"/>
                <w:bCs/>
                <w:sz w:val="10"/>
                <w:szCs w:val="10"/>
                <w:lang w:val="en-GB"/>
              </w:rPr>
              <w:t xml:space="preserve">cities globally face significant risks from climate </w:t>
            </w:r>
            <w:r w:rsidR="0035098D" w:rsidRPr="0002056A">
              <w:rPr>
                <w:rFonts w:ascii="Georgia" w:hAnsi="Georgia" w:cstheme="minorHAnsi"/>
                <w:bCs/>
                <w:sz w:val="10"/>
                <w:szCs w:val="10"/>
                <w:lang w:val="en-GB"/>
              </w:rPr>
              <w:t>change</w:t>
            </w:r>
            <w:r w:rsidR="0035098D" w:rsidRPr="0002056A">
              <w:rPr>
                <w:rFonts w:ascii="Georgia" w:hAnsi="Georgia" w:cstheme="minorHAnsi"/>
                <w:sz w:val="10"/>
                <w:szCs w:val="10"/>
                <w:lang w:val="en-GB"/>
              </w:rPr>
              <w:t xml:space="preserve"> and</w:t>
            </w:r>
            <w:r w:rsidRPr="0002056A">
              <w:rPr>
                <w:rFonts w:ascii="Georgia" w:hAnsi="Georgia" w:cstheme="minorHAnsi"/>
                <w:sz w:val="10"/>
                <w:szCs w:val="10"/>
                <w:lang w:val="en-GB"/>
              </w:rPr>
              <w:t xml:space="preserve"> are taking an active role in formulating and implementing climate adaptation.</w:t>
            </w:r>
          </w:p>
        </w:tc>
      </w:tr>
      <w:tr w:rsidR="00123BAB" w:rsidRPr="0002056A" w14:paraId="2FC067E2"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3FFE343" w14:textId="6EB8E26A"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Hague, R.; Harrop, M.; McCormick, J. (ed). </w:t>
            </w:r>
          </w:p>
        </w:tc>
        <w:tc>
          <w:tcPr>
            <w:tcW w:w="705" w:type="dxa"/>
            <w:tcBorders>
              <w:top w:val="nil"/>
              <w:left w:val="nil"/>
              <w:bottom w:val="single" w:sz="4" w:space="0" w:color="auto"/>
              <w:right w:val="single" w:sz="4" w:space="0" w:color="auto"/>
            </w:tcBorders>
            <w:noWrap/>
            <w:vAlign w:val="center"/>
          </w:tcPr>
          <w:p w14:paraId="0ABE254F" w14:textId="5FE0A86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3BAA025E" w14:textId="2925223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Comparative Government and Politics. An Introduction. 11th edition.</w:t>
            </w:r>
          </w:p>
        </w:tc>
        <w:tc>
          <w:tcPr>
            <w:tcW w:w="1134" w:type="dxa"/>
            <w:tcBorders>
              <w:top w:val="nil"/>
              <w:left w:val="nil"/>
              <w:bottom w:val="single" w:sz="4" w:space="0" w:color="auto"/>
              <w:right w:val="single" w:sz="4" w:space="0" w:color="auto"/>
            </w:tcBorders>
            <w:vAlign w:val="center"/>
          </w:tcPr>
          <w:p w14:paraId="0429B29C" w14:textId="09C37E34"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 UKG</w:t>
            </w:r>
          </w:p>
        </w:tc>
        <w:tc>
          <w:tcPr>
            <w:tcW w:w="708" w:type="dxa"/>
            <w:tcBorders>
              <w:top w:val="nil"/>
              <w:left w:val="nil"/>
              <w:bottom w:val="single" w:sz="4" w:space="0" w:color="auto"/>
              <w:right w:val="single" w:sz="4" w:space="0" w:color="auto"/>
            </w:tcBorders>
            <w:vAlign w:val="center"/>
          </w:tcPr>
          <w:p w14:paraId="4EB5B1B5" w14:textId="6C938BF0"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Red Globe Press</w:t>
            </w:r>
          </w:p>
        </w:tc>
        <w:tc>
          <w:tcPr>
            <w:tcW w:w="851" w:type="dxa"/>
            <w:tcBorders>
              <w:top w:val="nil"/>
              <w:left w:val="nil"/>
              <w:bottom w:val="single" w:sz="4" w:space="0" w:color="auto"/>
              <w:right w:val="single" w:sz="4" w:space="0" w:color="auto"/>
            </w:tcBorders>
            <w:vAlign w:val="center"/>
          </w:tcPr>
          <w:p w14:paraId="2B6F5EF2" w14:textId="498954BA"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political studies</w:t>
            </w:r>
          </w:p>
        </w:tc>
        <w:tc>
          <w:tcPr>
            <w:tcW w:w="993" w:type="dxa"/>
            <w:tcBorders>
              <w:top w:val="nil"/>
              <w:left w:val="nil"/>
              <w:bottom w:val="single" w:sz="4" w:space="0" w:color="auto"/>
              <w:right w:val="single" w:sz="4" w:space="0" w:color="auto"/>
            </w:tcBorders>
            <w:vAlign w:val="center"/>
          </w:tcPr>
          <w:p w14:paraId="6A9A3CDB" w14:textId="56FB5FF2"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London, Red Globe Press</w:t>
            </w:r>
          </w:p>
        </w:tc>
        <w:tc>
          <w:tcPr>
            <w:tcW w:w="708" w:type="dxa"/>
            <w:tcBorders>
              <w:top w:val="nil"/>
              <w:left w:val="nil"/>
              <w:bottom w:val="single" w:sz="4" w:space="0" w:color="auto"/>
              <w:right w:val="single" w:sz="4" w:space="0" w:color="auto"/>
            </w:tcBorders>
            <w:vAlign w:val="center"/>
          </w:tcPr>
          <w:p w14:paraId="3A1DA0AF" w14:textId="0AAE6968"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1DAA2E78" w14:textId="5FBA26F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4C583B8" w14:textId="0375BC5C"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85AE051" w14:textId="08463592"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The revised and updated edition of a core higher education textbook (which is one of the most well-established texts in the field of comparative politics) offers a comprehensive introduction to the comparison of governments and political systems, helping to understand not just the institutions and political cultures of their own countries but also those of a wide range of democracies and authoritarian regimes from around the world.</w:t>
            </w:r>
          </w:p>
        </w:tc>
        <w:tc>
          <w:tcPr>
            <w:tcW w:w="2268" w:type="dxa"/>
            <w:tcBorders>
              <w:top w:val="nil"/>
              <w:left w:val="nil"/>
              <w:bottom w:val="single" w:sz="4" w:space="0" w:color="auto"/>
              <w:right w:val="single" w:sz="8" w:space="0" w:color="auto"/>
            </w:tcBorders>
            <w:vAlign w:val="center"/>
          </w:tcPr>
          <w:p w14:paraId="615C5F49" w14:textId="3423F47F"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The content of the book was used for the classification of European countries according to their spatial governance type, during the dissertation’s correlation analysis.</w:t>
            </w:r>
          </w:p>
        </w:tc>
      </w:tr>
      <w:tr w:rsidR="00123BAB" w:rsidRPr="0002056A" w14:paraId="58EEC250"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4E67906"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Haggard, S. – Simmons B.A.</w:t>
            </w:r>
          </w:p>
        </w:tc>
        <w:tc>
          <w:tcPr>
            <w:tcW w:w="705" w:type="dxa"/>
            <w:tcBorders>
              <w:top w:val="nil"/>
              <w:left w:val="nil"/>
              <w:bottom w:val="single" w:sz="4" w:space="0" w:color="auto"/>
              <w:right w:val="single" w:sz="4" w:space="0" w:color="auto"/>
            </w:tcBorders>
            <w:vAlign w:val="center"/>
            <w:hideMark/>
          </w:tcPr>
          <w:p w14:paraId="58BDBAB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1987</w:t>
            </w:r>
          </w:p>
        </w:tc>
        <w:tc>
          <w:tcPr>
            <w:tcW w:w="1137" w:type="dxa"/>
            <w:tcBorders>
              <w:top w:val="nil"/>
              <w:left w:val="nil"/>
              <w:bottom w:val="single" w:sz="4" w:space="0" w:color="auto"/>
              <w:right w:val="single" w:sz="4" w:space="0" w:color="auto"/>
            </w:tcBorders>
            <w:vAlign w:val="center"/>
            <w:hideMark/>
          </w:tcPr>
          <w:p w14:paraId="01B0C8A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Theories of International regimes</w:t>
            </w:r>
          </w:p>
        </w:tc>
        <w:tc>
          <w:tcPr>
            <w:tcW w:w="1134" w:type="dxa"/>
            <w:tcBorders>
              <w:top w:val="nil"/>
              <w:left w:val="nil"/>
              <w:bottom w:val="single" w:sz="4" w:space="0" w:color="auto"/>
              <w:right w:val="single" w:sz="4" w:space="0" w:color="auto"/>
            </w:tcBorders>
            <w:vAlign w:val="center"/>
            <w:hideMark/>
          </w:tcPr>
          <w:p w14:paraId="760ECE7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hideMark/>
          </w:tcPr>
          <w:p w14:paraId="31147C1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MIT Press</w:t>
            </w:r>
          </w:p>
        </w:tc>
        <w:tc>
          <w:tcPr>
            <w:tcW w:w="851" w:type="dxa"/>
            <w:tcBorders>
              <w:top w:val="nil"/>
              <w:left w:val="nil"/>
              <w:bottom w:val="single" w:sz="4" w:space="0" w:color="auto"/>
              <w:right w:val="single" w:sz="4" w:space="0" w:color="auto"/>
            </w:tcBorders>
            <w:vAlign w:val="center"/>
            <w:hideMark/>
          </w:tcPr>
          <w:p w14:paraId="79EA21E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IR, regime theory, governance</w:t>
            </w:r>
          </w:p>
        </w:tc>
        <w:tc>
          <w:tcPr>
            <w:tcW w:w="993" w:type="dxa"/>
            <w:tcBorders>
              <w:top w:val="nil"/>
              <w:left w:val="nil"/>
              <w:bottom w:val="single" w:sz="4" w:space="0" w:color="auto"/>
              <w:right w:val="single" w:sz="4" w:space="0" w:color="auto"/>
            </w:tcBorders>
            <w:vAlign w:val="center"/>
            <w:hideMark/>
          </w:tcPr>
          <w:p w14:paraId="26236BB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Organization, Vol. 41, No 3: 491-517</w:t>
            </w:r>
          </w:p>
        </w:tc>
        <w:tc>
          <w:tcPr>
            <w:tcW w:w="708" w:type="dxa"/>
            <w:tcBorders>
              <w:top w:val="nil"/>
              <w:left w:val="nil"/>
              <w:bottom w:val="single" w:sz="4" w:space="0" w:color="auto"/>
              <w:right w:val="single" w:sz="4" w:space="0" w:color="auto"/>
            </w:tcBorders>
            <w:vAlign w:val="center"/>
            <w:hideMark/>
          </w:tcPr>
          <w:p w14:paraId="37E737F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C5A262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976FEA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1383D7"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343332"/>
                <w:spacing w:val="-5"/>
                <w:sz w:val="10"/>
                <w:szCs w:val="10"/>
                <w:lang w:val="en-GB"/>
              </w:rPr>
              <w:t>Over the 1970-80 decades, international regimes have become a major focus of empirical research and theoretical debate within international relations. This article provides a critical review of this literature.</w:t>
            </w:r>
          </w:p>
        </w:tc>
        <w:tc>
          <w:tcPr>
            <w:tcW w:w="2268" w:type="dxa"/>
            <w:tcBorders>
              <w:top w:val="nil"/>
              <w:left w:val="nil"/>
              <w:bottom w:val="single" w:sz="4" w:space="0" w:color="auto"/>
              <w:right w:val="single" w:sz="8" w:space="0" w:color="auto"/>
            </w:tcBorders>
            <w:vAlign w:val="center"/>
          </w:tcPr>
          <w:p w14:paraId="28B593A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Introduces main schools of IR theory.</w:t>
            </w:r>
          </w:p>
        </w:tc>
      </w:tr>
      <w:tr w:rsidR="00123BAB" w:rsidRPr="0002056A" w14:paraId="2BB4D807"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AA163EF"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Haggett, P. </w:t>
            </w:r>
          </w:p>
        </w:tc>
        <w:tc>
          <w:tcPr>
            <w:tcW w:w="705" w:type="dxa"/>
            <w:tcBorders>
              <w:top w:val="nil"/>
              <w:left w:val="nil"/>
              <w:bottom w:val="single" w:sz="4" w:space="0" w:color="auto"/>
              <w:right w:val="single" w:sz="4" w:space="0" w:color="auto"/>
            </w:tcBorders>
            <w:vAlign w:val="center"/>
            <w:hideMark/>
          </w:tcPr>
          <w:p w14:paraId="7C839EB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2001</w:t>
            </w:r>
          </w:p>
        </w:tc>
        <w:tc>
          <w:tcPr>
            <w:tcW w:w="1137" w:type="dxa"/>
            <w:tcBorders>
              <w:top w:val="nil"/>
              <w:left w:val="nil"/>
              <w:bottom w:val="single" w:sz="4" w:space="0" w:color="auto"/>
              <w:right w:val="single" w:sz="4" w:space="0" w:color="auto"/>
            </w:tcBorders>
            <w:noWrap/>
            <w:vAlign w:val="center"/>
            <w:hideMark/>
          </w:tcPr>
          <w:p w14:paraId="606DAD7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Geography. Global synthesis. </w:t>
            </w:r>
          </w:p>
        </w:tc>
        <w:tc>
          <w:tcPr>
            <w:tcW w:w="1134" w:type="dxa"/>
            <w:tcBorders>
              <w:top w:val="nil"/>
              <w:left w:val="nil"/>
              <w:bottom w:val="single" w:sz="4" w:space="0" w:color="auto"/>
              <w:right w:val="single" w:sz="4" w:space="0" w:color="auto"/>
            </w:tcBorders>
            <w:vAlign w:val="center"/>
            <w:hideMark/>
          </w:tcPr>
          <w:p w14:paraId="6AA4DBB0" w14:textId="040741B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hideMark/>
          </w:tcPr>
          <w:p w14:paraId="518CDBE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Pearson College</w:t>
            </w:r>
          </w:p>
        </w:tc>
        <w:tc>
          <w:tcPr>
            <w:tcW w:w="851" w:type="dxa"/>
            <w:tcBorders>
              <w:top w:val="nil"/>
              <w:left w:val="nil"/>
              <w:bottom w:val="single" w:sz="4" w:space="0" w:color="auto"/>
              <w:right w:val="single" w:sz="4" w:space="0" w:color="auto"/>
            </w:tcBorders>
            <w:vAlign w:val="center"/>
            <w:hideMark/>
          </w:tcPr>
          <w:p w14:paraId="23DC4AF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and economic geography</w:t>
            </w:r>
          </w:p>
        </w:tc>
        <w:tc>
          <w:tcPr>
            <w:tcW w:w="993" w:type="dxa"/>
            <w:tcBorders>
              <w:top w:val="nil"/>
              <w:left w:val="nil"/>
              <w:bottom w:val="single" w:sz="4" w:space="0" w:color="auto"/>
              <w:right w:val="single" w:sz="4" w:space="0" w:color="auto"/>
            </w:tcBorders>
            <w:vAlign w:val="center"/>
            <w:hideMark/>
          </w:tcPr>
          <w:p w14:paraId="5535963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Typotex, Budapest</w:t>
            </w:r>
          </w:p>
        </w:tc>
        <w:tc>
          <w:tcPr>
            <w:tcW w:w="708" w:type="dxa"/>
            <w:tcBorders>
              <w:top w:val="nil"/>
              <w:left w:val="nil"/>
              <w:bottom w:val="single" w:sz="4" w:space="0" w:color="auto"/>
              <w:right w:val="single" w:sz="4" w:space="0" w:color="auto"/>
            </w:tcBorders>
            <w:vAlign w:val="center"/>
            <w:hideMark/>
          </w:tcPr>
          <w:p w14:paraId="03D1833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17A2D14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C429E60"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2C2BB1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synthetizing book of natural, social and regional geography knowledge, one of the best known and appraised in the genre.</w:t>
            </w:r>
          </w:p>
        </w:tc>
        <w:tc>
          <w:tcPr>
            <w:tcW w:w="2268" w:type="dxa"/>
            <w:tcBorders>
              <w:top w:val="nil"/>
              <w:left w:val="nil"/>
              <w:bottom w:val="single" w:sz="4" w:space="0" w:color="auto"/>
              <w:right w:val="single" w:sz="8" w:space="0" w:color="auto"/>
            </w:tcBorders>
            <w:vAlign w:val="center"/>
          </w:tcPr>
          <w:p w14:paraId="038F4E20"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comprises description of space and place definitions and a glossary as well.</w:t>
            </w:r>
          </w:p>
        </w:tc>
      </w:tr>
      <w:tr w:rsidR="00123BAB" w:rsidRPr="0002056A" w14:paraId="01427CA1" w14:textId="77777777" w:rsidTr="00D57247">
        <w:trPr>
          <w:trHeight w:val="8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3D04A11"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Hansen, L. </w:t>
            </w:r>
          </w:p>
        </w:tc>
        <w:tc>
          <w:tcPr>
            <w:tcW w:w="705" w:type="dxa"/>
            <w:tcBorders>
              <w:top w:val="nil"/>
              <w:left w:val="nil"/>
              <w:bottom w:val="single" w:sz="4" w:space="0" w:color="auto"/>
              <w:right w:val="single" w:sz="4" w:space="0" w:color="auto"/>
            </w:tcBorders>
            <w:vAlign w:val="center"/>
            <w:hideMark/>
          </w:tcPr>
          <w:p w14:paraId="78B64E5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04E8782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Poststructuralism. </w:t>
            </w:r>
          </w:p>
        </w:tc>
        <w:tc>
          <w:tcPr>
            <w:tcW w:w="1134" w:type="dxa"/>
            <w:tcBorders>
              <w:top w:val="nil"/>
              <w:left w:val="nil"/>
              <w:bottom w:val="single" w:sz="4" w:space="0" w:color="auto"/>
              <w:right w:val="single" w:sz="4" w:space="0" w:color="auto"/>
            </w:tcBorders>
            <w:vAlign w:val="center"/>
            <w:hideMark/>
          </w:tcPr>
          <w:p w14:paraId="65568FD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shd w:val="clear" w:color="000000" w:fill="FFFFFF"/>
            <w:vAlign w:val="center"/>
            <w:hideMark/>
          </w:tcPr>
          <w:p w14:paraId="44D907DE"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shd w:val="clear" w:color="000000" w:fill="FFFFFF"/>
            <w:vAlign w:val="center"/>
            <w:hideMark/>
          </w:tcPr>
          <w:p w14:paraId="550FA48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hideMark/>
          </w:tcPr>
          <w:p w14:paraId="54283A9E" w14:textId="25055C37" w:rsidR="00123BAB" w:rsidRPr="0002056A" w:rsidRDefault="00123BAB" w:rsidP="00123BAB">
            <w:pPr>
              <w:spacing w:after="0" w:line="240" w:lineRule="auto"/>
              <w:rPr>
                <w:rFonts w:ascii="Georgia" w:eastAsia="Times New Roman" w:hAnsi="Georgia" w:cs="Times New Roman"/>
                <w:color w:val="000000"/>
                <w:sz w:val="8"/>
                <w:szCs w:val="8"/>
                <w:lang w:val="en-GB" w:eastAsia="hu-HU"/>
              </w:rPr>
            </w:pPr>
            <w:r w:rsidRPr="0002056A">
              <w:rPr>
                <w:rFonts w:ascii="Georgia" w:eastAsia="Times New Roman" w:hAnsi="Georgia" w:cs="Times New Roman"/>
                <w:color w:val="000000"/>
                <w:sz w:val="8"/>
                <w:szCs w:val="8"/>
                <w:lang w:val="en-GB" w:eastAsia="hu-HU"/>
              </w:rPr>
              <w:t>In.: J Baylis, S. Smith, P. Owens: The Globalization of World Politics. Oxford University Press Inc., New York Oxford University Press, 2017. ISBN 978–0–19–882554–8.</w:t>
            </w:r>
          </w:p>
        </w:tc>
        <w:tc>
          <w:tcPr>
            <w:tcW w:w="708" w:type="dxa"/>
            <w:tcBorders>
              <w:top w:val="nil"/>
              <w:left w:val="nil"/>
              <w:bottom w:val="single" w:sz="4" w:space="0" w:color="auto"/>
              <w:right w:val="single" w:sz="4" w:space="0" w:color="auto"/>
            </w:tcBorders>
            <w:vAlign w:val="center"/>
            <w:hideMark/>
          </w:tcPr>
          <w:p w14:paraId="265D9C3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hideMark/>
          </w:tcPr>
          <w:p w14:paraId="703F85A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FF7726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2EC69FA"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main characteristics of the post-structuralism school and its evaluation.</w:t>
            </w:r>
          </w:p>
        </w:tc>
        <w:tc>
          <w:tcPr>
            <w:tcW w:w="2268" w:type="dxa"/>
            <w:tcBorders>
              <w:top w:val="nil"/>
              <w:left w:val="nil"/>
              <w:bottom w:val="single" w:sz="4" w:space="0" w:color="auto"/>
              <w:right w:val="single" w:sz="8" w:space="0" w:color="auto"/>
            </w:tcBorders>
            <w:vAlign w:val="center"/>
          </w:tcPr>
          <w:p w14:paraId="22AA7B2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Introduction of the post-structuralism school of the IR discipline. </w:t>
            </w:r>
          </w:p>
        </w:tc>
      </w:tr>
      <w:tr w:rsidR="00123BAB" w:rsidRPr="0002056A" w14:paraId="23B48DC6" w14:textId="77777777" w:rsidTr="00D57247">
        <w:trPr>
          <w:trHeight w:val="719"/>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EB3E595"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hyperlink r:id="rId157" w:history="1">
              <w:r w:rsidRPr="0002056A">
                <w:rPr>
                  <w:rFonts w:ascii="Georgia" w:eastAsia="Times New Roman" w:hAnsi="Georgia" w:cs="Times New Roman"/>
                  <w:b/>
                  <w:bCs/>
                  <w:i/>
                  <w:iCs/>
                  <w:color w:val="000000"/>
                  <w:sz w:val="14"/>
                  <w:szCs w:val="14"/>
                  <w:lang w:val="en-GB" w:eastAsia="hu-HU"/>
                </w:rPr>
                <w:t xml:space="preserve">Harley M.; van Minnen J. </w:t>
              </w:r>
            </w:hyperlink>
          </w:p>
        </w:tc>
        <w:tc>
          <w:tcPr>
            <w:tcW w:w="705" w:type="dxa"/>
            <w:tcBorders>
              <w:top w:val="nil"/>
              <w:left w:val="nil"/>
              <w:bottom w:val="single" w:sz="4" w:space="0" w:color="auto"/>
              <w:right w:val="single" w:sz="4" w:space="0" w:color="auto"/>
            </w:tcBorders>
            <w:vAlign w:val="center"/>
            <w:hideMark/>
          </w:tcPr>
          <w:p w14:paraId="067B6EB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hideMark/>
          </w:tcPr>
          <w:p w14:paraId="4852D23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Development of adaptation indicators. </w:t>
            </w:r>
          </w:p>
        </w:tc>
        <w:tc>
          <w:tcPr>
            <w:tcW w:w="1134" w:type="dxa"/>
            <w:tcBorders>
              <w:top w:val="nil"/>
              <w:left w:val="nil"/>
              <w:bottom w:val="single" w:sz="4" w:space="0" w:color="auto"/>
              <w:right w:val="single" w:sz="4" w:space="0" w:color="auto"/>
            </w:tcBorders>
            <w:vAlign w:val="center"/>
            <w:hideMark/>
          </w:tcPr>
          <w:p w14:paraId="2C579E9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NRL</w:t>
            </w:r>
          </w:p>
        </w:tc>
        <w:tc>
          <w:tcPr>
            <w:tcW w:w="708" w:type="dxa"/>
            <w:tcBorders>
              <w:top w:val="nil"/>
              <w:left w:val="nil"/>
              <w:bottom w:val="single" w:sz="4" w:space="0" w:color="auto"/>
              <w:right w:val="single" w:sz="4" w:space="0" w:color="auto"/>
            </w:tcBorders>
            <w:vAlign w:val="center"/>
            <w:hideMark/>
          </w:tcPr>
          <w:p w14:paraId="386BBE1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hideMark/>
          </w:tcPr>
          <w:p w14:paraId="1867DA1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6326492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and Development 3(1), pp. 21-31. </w:t>
            </w:r>
            <w:hyperlink r:id="rId158" w:history="1">
              <w:r w:rsidRPr="0002056A">
                <w:rPr>
                  <w:rStyle w:val="Hiperhivatkozs"/>
                  <w:rFonts w:ascii="Georgia" w:eastAsia="Times New Roman" w:hAnsi="Georgia" w:cs="Times New Roman"/>
                  <w:sz w:val="10"/>
                  <w:szCs w:val="10"/>
                  <w:lang w:val="en-GB" w:eastAsia="hu-HU"/>
                </w:rPr>
                <w:t>https://doi.org/10.3763/cdev.2010.0062</w:t>
              </w:r>
            </w:hyperlink>
          </w:p>
        </w:tc>
        <w:tc>
          <w:tcPr>
            <w:tcW w:w="708" w:type="dxa"/>
            <w:tcBorders>
              <w:top w:val="nil"/>
              <w:left w:val="nil"/>
              <w:bottom w:val="single" w:sz="4" w:space="0" w:color="auto"/>
              <w:right w:val="single" w:sz="4" w:space="0" w:color="auto"/>
            </w:tcBorders>
            <w:vAlign w:val="center"/>
            <w:hideMark/>
          </w:tcPr>
          <w:p w14:paraId="4ED0F16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40C9B18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14ACF30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9F3D245"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hAnsi="Georgia"/>
                <w:sz w:val="10"/>
                <w:szCs w:val="10"/>
                <w:lang w:val="en-GB"/>
              </w:rPr>
              <w:t>The purpose of this Technical Paper is to present a theoretical and practical framework for the development of adaptation indicators. The paper also aims to apply the framework in the development of indicators for the biodiversity sector and (i) the vulnerability of European biodiversity to climate change and (ii) regions being the interface between high-level national/European policy and local implementation.</w:t>
            </w:r>
          </w:p>
        </w:tc>
        <w:tc>
          <w:tcPr>
            <w:tcW w:w="2268" w:type="dxa"/>
            <w:tcBorders>
              <w:top w:val="nil"/>
              <w:left w:val="nil"/>
              <w:bottom w:val="single" w:sz="4" w:space="0" w:color="auto"/>
              <w:right w:val="single" w:sz="8" w:space="0" w:color="auto"/>
            </w:tcBorders>
            <w:vAlign w:val="center"/>
          </w:tcPr>
          <w:p w14:paraId="29D67789"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hAnsi="Georgia"/>
                <w:sz w:val="10"/>
                <w:szCs w:val="10"/>
                <w:lang w:val="en-GB"/>
              </w:rPr>
              <w:t>The paper introduces the necessary prerequisites of adaptation indicator development as well as considerations important in their development.</w:t>
            </w:r>
          </w:p>
        </w:tc>
      </w:tr>
      <w:tr w:rsidR="00123BAB" w:rsidRPr="0002056A" w14:paraId="7A3BA083" w14:textId="77777777" w:rsidTr="00D57247">
        <w:trPr>
          <w:trHeight w:val="7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0AFB7F3" w14:textId="1B2F5AB2"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Haug, C., Rayner, T., Jordan, A., Hildingsson, R., Stripple, J., Monni, S., Huitema, D.</w:t>
            </w:r>
            <w:r w:rsidR="0035098D" w:rsidRPr="0002056A">
              <w:rPr>
                <w:rFonts w:ascii="Georgia" w:eastAsia="Times New Roman" w:hAnsi="Georgia" w:cs="Times New Roman"/>
                <w:b/>
                <w:bCs/>
                <w:i/>
                <w:iCs/>
                <w:color w:val="000000"/>
                <w:sz w:val="14"/>
                <w:szCs w:val="14"/>
                <w:lang w:val="en-GB" w:eastAsia="hu-HU"/>
              </w:rPr>
              <w:t>, Massey</w:t>
            </w:r>
            <w:r w:rsidRPr="0002056A">
              <w:rPr>
                <w:rFonts w:ascii="Georgia" w:eastAsia="Times New Roman" w:hAnsi="Georgia" w:cs="Times New Roman"/>
                <w:b/>
                <w:bCs/>
                <w:i/>
                <w:iCs/>
                <w:color w:val="000000"/>
                <w:sz w:val="14"/>
                <w:szCs w:val="14"/>
                <w:lang w:val="en-GB" w:eastAsia="hu-HU"/>
              </w:rPr>
              <w:t xml:space="preserve">, E., van Asselt, H., Berkhout, F. </w:t>
            </w:r>
          </w:p>
        </w:tc>
        <w:tc>
          <w:tcPr>
            <w:tcW w:w="705" w:type="dxa"/>
            <w:tcBorders>
              <w:top w:val="nil"/>
              <w:left w:val="nil"/>
              <w:bottom w:val="single" w:sz="4" w:space="0" w:color="auto"/>
              <w:right w:val="single" w:sz="4" w:space="0" w:color="auto"/>
            </w:tcBorders>
            <w:vAlign w:val="center"/>
            <w:hideMark/>
          </w:tcPr>
          <w:p w14:paraId="5030C90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hideMark/>
          </w:tcPr>
          <w:p w14:paraId="7A9C227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Navigating the dilemmas of climate policy in Europe: evidence from policy evaluation studies. </w:t>
            </w:r>
          </w:p>
        </w:tc>
        <w:tc>
          <w:tcPr>
            <w:tcW w:w="1134" w:type="dxa"/>
            <w:tcBorders>
              <w:top w:val="nil"/>
              <w:left w:val="nil"/>
              <w:bottom w:val="single" w:sz="4" w:space="0" w:color="auto"/>
              <w:right w:val="single" w:sz="4" w:space="0" w:color="auto"/>
            </w:tcBorders>
            <w:vAlign w:val="center"/>
            <w:hideMark/>
          </w:tcPr>
          <w:p w14:paraId="52E45AF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UKG, UKG, SWE, SWE, ITA, NRL, NRL, NRL, NRL</w:t>
            </w:r>
          </w:p>
        </w:tc>
        <w:tc>
          <w:tcPr>
            <w:tcW w:w="708" w:type="dxa"/>
            <w:tcBorders>
              <w:top w:val="nil"/>
              <w:left w:val="nil"/>
              <w:bottom w:val="single" w:sz="4" w:space="0" w:color="auto"/>
              <w:right w:val="single" w:sz="4" w:space="0" w:color="auto"/>
            </w:tcBorders>
            <w:vAlign w:val="center"/>
            <w:hideMark/>
          </w:tcPr>
          <w:p w14:paraId="1D83C20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62B754C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2E3BD55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Climatic Change 101(3–4), 427–445.</w:t>
            </w:r>
          </w:p>
        </w:tc>
        <w:tc>
          <w:tcPr>
            <w:tcW w:w="708" w:type="dxa"/>
            <w:tcBorders>
              <w:top w:val="nil"/>
              <w:left w:val="nil"/>
              <w:bottom w:val="single" w:sz="4" w:space="0" w:color="auto"/>
              <w:right w:val="single" w:sz="4" w:space="0" w:color="auto"/>
            </w:tcBorders>
            <w:vAlign w:val="center"/>
            <w:hideMark/>
          </w:tcPr>
          <w:p w14:paraId="487376C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10A01E1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9AF068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A99A53B" w14:textId="77777777" w:rsidR="00123BAB" w:rsidRPr="0002056A" w:rsidRDefault="00123BAB" w:rsidP="00123BAB">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000000"/>
                <w:sz w:val="10"/>
                <w:szCs w:val="10"/>
                <w:lang w:val="en-GB"/>
              </w:rPr>
              <w:t>One obvious source of evidence is the evaluations of the performance of existing policies. But to what extent do these evaluations provide insights into the difficult dilemmas that governors typically encounter? The article addresses this question by reviewing the content of 262 evaluation studies of European climate policies in the light of six kinds of dilemma found in the governance literature.</w:t>
            </w:r>
          </w:p>
        </w:tc>
        <w:tc>
          <w:tcPr>
            <w:tcW w:w="2268" w:type="dxa"/>
            <w:tcBorders>
              <w:top w:val="nil"/>
              <w:left w:val="nil"/>
              <w:bottom w:val="single" w:sz="4" w:space="0" w:color="auto"/>
              <w:right w:val="single" w:sz="8" w:space="0" w:color="auto"/>
            </w:tcBorders>
            <w:vAlign w:val="center"/>
          </w:tcPr>
          <w:p w14:paraId="7364B9DF" w14:textId="108D1DD2" w:rsidR="00123BAB" w:rsidRPr="0002056A" w:rsidRDefault="00316E5B" w:rsidP="00123BAB">
            <w:pPr>
              <w:spacing w:after="0" w:line="240" w:lineRule="auto"/>
              <w:jc w:val="both"/>
              <w:rPr>
                <w:rFonts w:ascii="Georgia" w:eastAsia="Times New Roman" w:hAnsi="Georgia" w:cstheme="minorHAnsi"/>
                <w:color w:val="000000"/>
                <w:sz w:val="10"/>
                <w:szCs w:val="10"/>
                <w:lang w:val="en-GB" w:eastAsia="hu-HU"/>
              </w:rPr>
            </w:pPr>
            <w:r>
              <w:rPr>
                <w:rFonts w:ascii="Georgia" w:hAnsi="Georgia" w:cstheme="minorHAnsi"/>
                <w:color w:val="000000"/>
                <w:sz w:val="10"/>
                <w:szCs w:val="10"/>
                <w:lang w:val="en-GB"/>
              </w:rPr>
              <w:t>C</w:t>
            </w:r>
            <w:r w:rsidR="00123BAB" w:rsidRPr="0002056A">
              <w:rPr>
                <w:rFonts w:ascii="Georgia" w:hAnsi="Georgia" w:cstheme="minorHAnsi"/>
                <w:color w:val="000000"/>
                <w:sz w:val="10"/>
                <w:szCs w:val="10"/>
                <w:lang w:val="en-GB"/>
              </w:rPr>
              <w:t>ommon findings: that climate change is framed as a problem of market and/or state failure; that voluntary measures tend to be ineffective; that market-based instruments tend to be regressive; that EU-level policies have driven climate policies in the latecomer EU Member States; and that lack of monitoring and weak enforcement are major obstacles to effective policy implementation. However</w:t>
            </w:r>
            <w:r>
              <w:rPr>
                <w:rFonts w:ascii="Georgia" w:hAnsi="Georgia" w:cstheme="minorHAnsi"/>
                <w:color w:val="000000"/>
                <w:sz w:val="10"/>
                <w:szCs w:val="10"/>
                <w:lang w:val="en-GB"/>
              </w:rPr>
              <w:t>t</w:t>
            </w:r>
            <w:r w:rsidR="00123BAB" w:rsidRPr="0002056A">
              <w:rPr>
                <w:rFonts w:ascii="Georgia" w:hAnsi="Georgia" w:cstheme="minorHAnsi"/>
                <w:color w:val="000000"/>
                <w:sz w:val="10"/>
                <w:szCs w:val="10"/>
                <w:lang w:val="en-GB"/>
              </w:rPr>
              <w:t xml:space="preserve">here is too little systematic climate policy evaluation work in the EU to support systematic evidence-based policy making. </w:t>
            </w:r>
          </w:p>
        </w:tc>
      </w:tr>
      <w:tr w:rsidR="00123BAB" w:rsidRPr="0002056A" w14:paraId="5E4C99EF" w14:textId="77777777" w:rsidTr="00D57247">
        <w:trPr>
          <w:trHeight w:val="7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B31B9EC"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Haughton, G.; </w:t>
            </w:r>
          </w:p>
          <w:p w14:paraId="73326604" w14:textId="2DB64FCD"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Allmendinger, Ph.</w:t>
            </w:r>
          </w:p>
        </w:tc>
        <w:tc>
          <w:tcPr>
            <w:tcW w:w="705" w:type="dxa"/>
            <w:tcBorders>
              <w:top w:val="nil"/>
              <w:left w:val="nil"/>
              <w:bottom w:val="single" w:sz="4" w:space="0" w:color="auto"/>
              <w:right w:val="single" w:sz="4" w:space="0" w:color="auto"/>
            </w:tcBorders>
            <w:vAlign w:val="center"/>
          </w:tcPr>
          <w:p w14:paraId="6F809A51" w14:textId="462046BC"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33AD00CD" w14:textId="5F467D4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Soft Spaces of Local Economic Development</w:t>
            </w:r>
          </w:p>
        </w:tc>
        <w:tc>
          <w:tcPr>
            <w:tcW w:w="1134" w:type="dxa"/>
            <w:tcBorders>
              <w:top w:val="nil"/>
              <w:left w:val="nil"/>
              <w:bottom w:val="single" w:sz="4" w:space="0" w:color="auto"/>
              <w:right w:val="single" w:sz="4" w:space="0" w:color="auto"/>
            </w:tcBorders>
            <w:vAlign w:val="center"/>
          </w:tcPr>
          <w:p w14:paraId="0F047731" w14:textId="2E40E49C"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w:t>
            </w:r>
          </w:p>
        </w:tc>
        <w:tc>
          <w:tcPr>
            <w:tcW w:w="708" w:type="dxa"/>
            <w:tcBorders>
              <w:top w:val="nil"/>
              <w:left w:val="nil"/>
              <w:bottom w:val="single" w:sz="4" w:space="0" w:color="auto"/>
              <w:right w:val="single" w:sz="4" w:space="0" w:color="auto"/>
            </w:tcBorders>
            <w:vAlign w:val="center"/>
          </w:tcPr>
          <w:p w14:paraId="395D478D" w14:textId="0A8F0A0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Journals</w:t>
            </w:r>
          </w:p>
        </w:tc>
        <w:tc>
          <w:tcPr>
            <w:tcW w:w="851" w:type="dxa"/>
            <w:tcBorders>
              <w:top w:val="nil"/>
              <w:left w:val="nil"/>
              <w:bottom w:val="single" w:sz="4" w:space="0" w:color="auto"/>
              <w:right w:val="single" w:sz="4" w:space="0" w:color="auto"/>
            </w:tcBorders>
            <w:vAlign w:val="center"/>
          </w:tcPr>
          <w:p w14:paraId="4A8EC144" w14:textId="2C801106"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4819D74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May 2008Local Economy 23(2):138-148</w:t>
            </w:r>
          </w:p>
          <w:p w14:paraId="22650FF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DOI:10.1080/02690940801976216</w:t>
            </w:r>
          </w:p>
          <w:p w14:paraId="61992DC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4C7D666F" w14:textId="1A23628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1CF8CF1" w14:textId="5A86E9E5"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25E9A26" w14:textId="04C7D9C6"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24C57CE" w14:textId="01FA43C5" w:rsidR="00123BAB" w:rsidRPr="0002056A" w:rsidRDefault="00123BAB" w:rsidP="00123BAB">
            <w:pPr>
              <w:spacing w:after="0" w:line="240" w:lineRule="auto"/>
              <w:jc w:val="both"/>
              <w:rPr>
                <w:rFonts w:ascii="Georgia" w:hAnsi="Georgia" w:cstheme="minorHAnsi"/>
                <w:color w:val="000000"/>
                <w:sz w:val="10"/>
                <w:szCs w:val="10"/>
                <w:lang w:val="en-GB"/>
              </w:rPr>
            </w:pPr>
            <w:r w:rsidRPr="0002056A">
              <w:rPr>
                <w:rFonts w:ascii="Georgia" w:eastAsia="Times New Roman" w:hAnsi="Georgia" w:cs="Times New Roman"/>
                <w:color w:val="000000"/>
                <w:sz w:val="10"/>
                <w:szCs w:val="10"/>
                <w:lang w:val="en-GB" w:eastAsia="hu-HU"/>
              </w:rPr>
              <w:t>The article examines soft spaces, soft outcomes and soft infrastructure, trying to make some connections between them. The authors argue that soft spaces of governance constitute one of the most important but little understood components of contemporary sub-national economic development policy.</w:t>
            </w:r>
          </w:p>
        </w:tc>
        <w:tc>
          <w:tcPr>
            <w:tcW w:w="2268" w:type="dxa"/>
            <w:tcBorders>
              <w:top w:val="nil"/>
              <w:left w:val="nil"/>
              <w:bottom w:val="single" w:sz="4" w:space="0" w:color="auto"/>
              <w:right w:val="single" w:sz="8" w:space="0" w:color="auto"/>
            </w:tcBorders>
            <w:vAlign w:val="center"/>
          </w:tcPr>
          <w:p w14:paraId="55D16CED" w14:textId="790690F0" w:rsidR="00123BAB" w:rsidRPr="0002056A" w:rsidRDefault="00123BAB" w:rsidP="00123BAB">
            <w:pPr>
              <w:spacing w:after="0" w:line="240" w:lineRule="auto"/>
              <w:jc w:val="both"/>
              <w:rPr>
                <w:rFonts w:ascii="Georgia" w:hAnsi="Georgia" w:cstheme="minorHAnsi"/>
                <w:color w:val="000000"/>
                <w:sz w:val="10"/>
                <w:szCs w:val="10"/>
                <w:lang w:val="en-GB"/>
              </w:rPr>
            </w:pPr>
            <w:r w:rsidRPr="0002056A">
              <w:rPr>
                <w:rFonts w:ascii="Georgia" w:eastAsia="Times New Roman" w:hAnsi="Georgia" w:cs="Times New Roman"/>
                <w:color w:val="000000"/>
                <w:sz w:val="10"/>
                <w:szCs w:val="10"/>
                <w:lang w:val="en-GB" w:eastAsia="hu-HU"/>
              </w:rPr>
              <w:t>The article talks about soft places as special type of functional places.</w:t>
            </w:r>
          </w:p>
        </w:tc>
      </w:tr>
      <w:tr w:rsidR="00123BAB" w:rsidRPr="0002056A" w14:paraId="17524F2F"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C89AF35"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Haynes, P.A.</w:t>
            </w:r>
          </w:p>
        </w:tc>
        <w:tc>
          <w:tcPr>
            <w:tcW w:w="705" w:type="dxa"/>
            <w:tcBorders>
              <w:top w:val="nil"/>
              <w:left w:val="nil"/>
              <w:bottom w:val="single" w:sz="4" w:space="0" w:color="auto"/>
              <w:right w:val="single" w:sz="4" w:space="0" w:color="auto"/>
            </w:tcBorders>
            <w:vAlign w:val="center"/>
            <w:hideMark/>
          </w:tcPr>
          <w:p w14:paraId="29137A9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1974</w:t>
            </w:r>
          </w:p>
        </w:tc>
        <w:tc>
          <w:tcPr>
            <w:tcW w:w="1137" w:type="dxa"/>
            <w:tcBorders>
              <w:top w:val="nil"/>
              <w:left w:val="nil"/>
              <w:bottom w:val="single" w:sz="4" w:space="0" w:color="auto"/>
              <w:right w:val="single" w:sz="4" w:space="0" w:color="auto"/>
            </w:tcBorders>
            <w:vAlign w:val="center"/>
            <w:hideMark/>
          </w:tcPr>
          <w:p w14:paraId="6B51DF3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Towards a Concept of Monitoring</w:t>
            </w:r>
          </w:p>
        </w:tc>
        <w:tc>
          <w:tcPr>
            <w:tcW w:w="1134" w:type="dxa"/>
            <w:tcBorders>
              <w:top w:val="nil"/>
              <w:left w:val="nil"/>
              <w:bottom w:val="single" w:sz="4" w:space="0" w:color="auto"/>
              <w:right w:val="single" w:sz="4" w:space="0" w:color="auto"/>
            </w:tcBorders>
            <w:vAlign w:val="center"/>
            <w:hideMark/>
          </w:tcPr>
          <w:p w14:paraId="3EEE542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hideMark/>
          </w:tcPr>
          <w:p w14:paraId="581FDF3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Liverpool University Press</w:t>
            </w:r>
          </w:p>
        </w:tc>
        <w:tc>
          <w:tcPr>
            <w:tcW w:w="851" w:type="dxa"/>
            <w:tcBorders>
              <w:top w:val="nil"/>
              <w:left w:val="nil"/>
              <w:bottom w:val="single" w:sz="4" w:space="0" w:color="auto"/>
              <w:right w:val="single" w:sz="4" w:space="0" w:color="auto"/>
            </w:tcBorders>
            <w:vAlign w:val="center"/>
            <w:hideMark/>
          </w:tcPr>
          <w:p w14:paraId="59C2586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w:t>
            </w:r>
          </w:p>
        </w:tc>
        <w:tc>
          <w:tcPr>
            <w:tcW w:w="993" w:type="dxa"/>
            <w:tcBorders>
              <w:top w:val="nil"/>
              <w:left w:val="nil"/>
              <w:bottom w:val="single" w:sz="4" w:space="0" w:color="auto"/>
              <w:right w:val="single" w:sz="4" w:space="0" w:color="auto"/>
            </w:tcBorders>
            <w:vAlign w:val="center"/>
            <w:hideMark/>
          </w:tcPr>
          <w:p w14:paraId="0FC56B9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Town Planning Review Vol. 45, No. 1 (Jan., 4), pp. 5-29 (25 pages)</w:t>
            </w:r>
          </w:p>
        </w:tc>
        <w:tc>
          <w:tcPr>
            <w:tcW w:w="708" w:type="dxa"/>
            <w:tcBorders>
              <w:top w:val="nil"/>
              <w:left w:val="nil"/>
              <w:bottom w:val="single" w:sz="4" w:space="0" w:color="auto"/>
              <w:right w:val="single" w:sz="4" w:space="0" w:color="auto"/>
            </w:tcBorders>
            <w:vAlign w:val="center"/>
            <w:hideMark/>
          </w:tcPr>
          <w:p w14:paraId="23BC437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0875D38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B408F9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6D1CB34"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analyses the concept and potential role of monitoring in planning.</w:t>
            </w:r>
          </w:p>
        </w:tc>
        <w:tc>
          <w:tcPr>
            <w:tcW w:w="2268" w:type="dxa"/>
            <w:tcBorders>
              <w:top w:val="nil"/>
              <w:left w:val="nil"/>
              <w:bottom w:val="single" w:sz="4" w:space="0" w:color="auto"/>
              <w:right w:val="single" w:sz="8" w:space="0" w:color="auto"/>
            </w:tcBorders>
            <w:vAlign w:val="center"/>
          </w:tcPr>
          <w:p w14:paraId="196D75F1"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Provides definition for monitoring activities.</w:t>
            </w:r>
          </w:p>
        </w:tc>
      </w:tr>
      <w:tr w:rsidR="00123BAB" w:rsidRPr="0002056A" w14:paraId="70A51127"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BB46D21"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Hogan, R.L.</w:t>
            </w:r>
          </w:p>
        </w:tc>
        <w:tc>
          <w:tcPr>
            <w:tcW w:w="705" w:type="dxa"/>
            <w:tcBorders>
              <w:top w:val="nil"/>
              <w:left w:val="nil"/>
              <w:bottom w:val="single" w:sz="4" w:space="0" w:color="auto"/>
              <w:right w:val="single" w:sz="4" w:space="0" w:color="auto"/>
            </w:tcBorders>
            <w:vAlign w:val="center"/>
            <w:hideMark/>
          </w:tcPr>
          <w:p w14:paraId="63CB678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hideMark/>
          </w:tcPr>
          <w:p w14:paraId="0D4F660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Historical Development of Program Evaluation: Exploring the Past and Present</w:t>
            </w:r>
          </w:p>
        </w:tc>
        <w:tc>
          <w:tcPr>
            <w:tcW w:w="1134" w:type="dxa"/>
            <w:tcBorders>
              <w:top w:val="nil"/>
              <w:left w:val="nil"/>
              <w:bottom w:val="single" w:sz="4" w:space="0" w:color="auto"/>
              <w:right w:val="single" w:sz="4" w:space="0" w:color="auto"/>
            </w:tcBorders>
            <w:vAlign w:val="center"/>
            <w:hideMark/>
          </w:tcPr>
          <w:p w14:paraId="3A0A1F64"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31631B0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Eastern Illinois University</w:t>
            </w:r>
          </w:p>
        </w:tc>
        <w:tc>
          <w:tcPr>
            <w:tcW w:w="851" w:type="dxa"/>
            <w:tcBorders>
              <w:top w:val="nil"/>
              <w:left w:val="nil"/>
              <w:bottom w:val="single" w:sz="4" w:space="0" w:color="auto"/>
              <w:right w:val="single" w:sz="4" w:space="0" w:color="auto"/>
            </w:tcBorders>
            <w:vAlign w:val="center"/>
            <w:hideMark/>
          </w:tcPr>
          <w:p w14:paraId="4211350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w:t>
            </w:r>
          </w:p>
        </w:tc>
        <w:tc>
          <w:tcPr>
            <w:tcW w:w="993" w:type="dxa"/>
            <w:tcBorders>
              <w:top w:val="nil"/>
              <w:left w:val="nil"/>
              <w:bottom w:val="single" w:sz="4" w:space="0" w:color="auto"/>
              <w:right w:val="single" w:sz="4" w:space="0" w:color="auto"/>
            </w:tcBorders>
            <w:vAlign w:val="center"/>
            <w:hideMark/>
          </w:tcPr>
          <w:p w14:paraId="292D65E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Online Journal of Workforce Education and Development Volume II, Issue 4 – Fall 2007</w:t>
            </w:r>
          </w:p>
        </w:tc>
        <w:tc>
          <w:tcPr>
            <w:tcW w:w="708" w:type="dxa"/>
            <w:tcBorders>
              <w:top w:val="nil"/>
              <w:left w:val="nil"/>
              <w:bottom w:val="single" w:sz="4" w:space="0" w:color="auto"/>
              <w:right w:val="single" w:sz="4" w:space="0" w:color="auto"/>
            </w:tcBorders>
            <w:vAlign w:val="center"/>
            <w:hideMark/>
          </w:tcPr>
          <w:p w14:paraId="4DAB268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9F1300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4CC5E7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F51314E"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purpose of this article is to present the historical development and significant contributions leading to the current status of the program evaluation field.</w:t>
            </w:r>
          </w:p>
        </w:tc>
        <w:tc>
          <w:tcPr>
            <w:tcW w:w="2268" w:type="dxa"/>
            <w:tcBorders>
              <w:top w:val="nil"/>
              <w:left w:val="nil"/>
              <w:bottom w:val="single" w:sz="4" w:space="0" w:color="auto"/>
              <w:right w:val="single" w:sz="8" w:space="0" w:color="auto"/>
            </w:tcBorders>
            <w:vAlign w:val="center"/>
          </w:tcPr>
          <w:p w14:paraId="48DD6629"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Provides definition for evaluation activities.</w:t>
            </w:r>
          </w:p>
        </w:tc>
      </w:tr>
      <w:tr w:rsidR="00123BAB" w:rsidRPr="0002056A" w14:paraId="133CE972" w14:textId="77777777" w:rsidTr="00D57247">
        <w:trPr>
          <w:trHeight w:val="1132"/>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30275C0" w14:textId="1A5F505B"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Healy, P.</w:t>
            </w:r>
          </w:p>
        </w:tc>
        <w:tc>
          <w:tcPr>
            <w:tcW w:w="705" w:type="dxa"/>
            <w:tcBorders>
              <w:top w:val="nil"/>
              <w:left w:val="nil"/>
              <w:bottom w:val="single" w:sz="4" w:space="0" w:color="auto"/>
              <w:right w:val="single" w:sz="4" w:space="0" w:color="auto"/>
            </w:tcBorders>
            <w:vAlign w:val="center"/>
          </w:tcPr>
          <w:p w14:paraId="706C387D" w14:textId="288BFC51"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2004</w:t>
            </w:r>
          </w:p>
        </w:tc>
        <w:tc>
          <w:tcPr>
            <w:tcW w:w="1137" w:type="dxa"/>
            <w:tcBorders>
              <w:top w:val="nil"/>
              <w:left w:val="nil"/>
              <w:bottom w:val="single" w:sz="4" w:space="0" w:color="auto"/>
              <w:right w:val="single" w:sz="4" w:space="0" w:color="auto"/>
            </w:tcBorders>
            <w:vAlign w:val="center"/>
          </w:tcPr>
          <w:p w14:paraId="02C00947" w14:textId="263F8BC2"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Treatment of Space and Place in the new Strategic Spatial Planning in Europe</w:t>
            </w:r>
          </w:p>
        </w:tc>
        <w:tc>
          <w:tcPr>
            <w:tcW w:w="1134" w:type="dxa"/>
            <w:tcBorders>
              <w:top w:val="nil"/>
              <w:left w:val="nil"/>
              <w:bottom w:val="single" w:sz="4" w:space="0" w:color="auto"/>
              <w:right w:val="single" w:sz="4" w:space="0" w:color="auto"/>
            </w:tcBorders>
            <w:vAlign w:val="center"/>
          </w:tcPr>
          <w:p w14:paraId="1C3091A2" w14:textId="1083630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0E4FA71C" w14:textId="473231DD"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w:t>
            </w:r>
          </w:p>
        </w:tc>
        <w:tc>
          <w:tcPr>
            <w:tcW w:w="851" w:type="dxa"/>
            <w:tcBorders>
              <w:top w:val="nil"/>
              <w:left w:val="nil"/>
              <w:bottom w:val="single" w:sz="4" w:space="0" w:color="auto"/>
              <w:right w:val="single" w:sz="4" w:space="0" w:color="auto"/>
            </w:tcBorders>
            <w:vAlign w:val="center"/>
          </w:tcPr>
          <w:p w14:paraId="20CA8A95" w14:textId="7BF7C18C"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urban planning</w:t>
            </w:r>
          </w:p>
        </w:tc>
        <w:tc>
          <w:tcPr>
            <w:tcW w:w="993" w:type="dxa"/>
            <w:tcBorders>
              <w:top w:val="nil"/>
              <w:left w:val="nil"/>
              <w:bottom w:val="single" w:sz="4" w:space="0" w:color="auto"/>
              <w:right w:val="single" w:sz="4" w:space="0" w:color="auto"/>
            </w:tcBorders>
            <w:vAlign w:val="center"/>
          </w:tcPr>
          <w:p w14:paraId="7A3F14C8" w14:textId="77777777" w:rsidR="00724195" w:rsidRDefault="00724195" w:rsidP="00123BAB">
            <w:pPr>
              <w:spacing w:after="0" w:line="240" w:lineRule="auto"/>
              <w:rPr>
                <w:rFonts w:ascii="Georgia" w:eastAsia="Times New Roman" w:hAnsi="Georgia" w:cs="Times New Roman"/>
                <w:color w:val="000000"/>
                <w:sz w:val="10"/>
                <w:szCs w:val="10"/>
                <w:lang w:val="en-GB" w:eastAsia="hu-HU"/>
              </w:rPr>
            </w:pPr>
          </w:p>
          <w:p w14:paraId="547FCEAF" w14:textId="77777777" w:rsidR="00123BAB" w:rsidRDefault="00123BAB" w:rsidP="00123BAB">
            <w:pPr>
              <w:spacing w:after="0" w:line="240" w:lineRule="auto"/>
            </w:pPr>
            <w:r w:rsidRPr="0002056A">
              <w:rPr>
                <w:rFonts w:ascii="Georgia" w:eastAsia="Times New Roman" w:hAnsi="Georgia" w:cs="Times New Roman"/>
                <w:color w:val="000000"/>
                <w:sz w:val="10"/>
                <w:szCs w:val="10"/>
                <w:lang w:val="en-GB" w:eastAsia="hu-HU"/>
              </w:rPr>
              <w:t xml:space="preserve">International Journal or Urban and Regional research. </w:t>
            </w:r>
            <w:hyperlink r:id="rId159" w:tooltip="View Volume 28, Issue 1" w:history="1">
              <w:r w:rsidRPr="0002056A">
                <w:rPr>
                  <w:rFonts w:ascii="Georgia" w:eastAsia="Times New Roman" w:hAnsi="Georgia" w:cs="Times New Roman"/>
                  <w:color w:val="000000"/>
                  <w:sz w:val="10"/>
                  <w:szCs w:val="10"/>
                  <w:lang w:val="en-GB"/>
                </w:rPr>
                <w:t>Volume</w:t>
              </w:r>
              <w:r w:rsidRPr="0002056A">
                <w:rPr>
                  <w:rFonts w:ascii="Georgia" w:hAnsi="Georgia" w:cs="Times New Roman"/>
                  <w:color w:val="000000"/>
                  <w:sz w:val="10"/>
                  <w:szCs w:val="10"/>
                  <w:lang w:val="en-GB"/>
                </w:rPr>
                <w:t>28</w:t>
              </w:r>
              <w:r w:rsidRPr="0002056A">
                <w:rPr>
                  <w:rFonts w:ascii="Georgia" w:eastAsia="Times New Roman" w:hAnsi="Georgia" w:cs="Times New Roman"/>
                  <w:color w:val="000000"/>
                  <w:sz w:val="10"/>
                  <w:szCs w:val="10"/>
                  <w:lang w:val="en-GB"/>
                </w:rPr>
                <w:t xml:space="preserve">, Issue </w:t>
              </w:r>
              <w:r w:rsidRPr="0002056A">
                <w:rPr>
                  <w:rFonts w:ascii="Georgia" w:hAnsi="Georgia" w:cs="Times New Roman"/>
                  <w:color w:val="000000"/>
                  <w:sz w:val="10"/>
                  <w:szCs w:val="10"/>
                  <w:lang w:val="en-GB"/>
                </w:rPr>
                <w:t>1</w:t>
              </w:r>
            </w:hyperlink>
            <w:r w:rsidRPr="0002056A">
              <w:rPr>
                <w:rFonts w:ascii="Georgia" w:hAnsi="Georgia" w:cs="Times New Roman"/>
                <w:color w:val="000000"/>
                <w:sz w:val="10"/>
                <w:szCs w:val="10"/>
                <w:lang w:val="en-GB"/>
              </w:rPr>
              <w:t xml:space="preserve">. March 2004. Pp 45-67. </w:t>
            </w:r>
            <w:hyperlink r:id="rId160" w:history="1">
              <w:r w:rsidRPr="0002056A">
                <w:rPr>
                  <w:rFonts w:ascii="Georgia" w:eastAsia="Times New Roman" w:hAnsi="Georgia" w:cs="Times New Roman"/>
                  <w:color w:val="000000"/>
                  <w:sz w:val="10"/>
                  <w:szCs w:val="10"/>
                  <w:lang w:val="en-GB" w:eastAsia="hu-HU"/>
                </w:rPr>
                <w:t>https://doi.org/10.1111/j.0309-1317.2004.00502.x</w:t>
              </w:r>
            </w:hyperlink>
          </w:p>
          <w:p w14:paraId="15332C74" w14:textId="205BBBC4" w:rsidR="00724195" w:rsidRPr="0002056A" w:rsidRDefault="00724195" w:rsidP="00123BAB">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673D2C10" w14:textId="313C23FF"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0D05E6B" w14:textId="6B3DB065"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4C30B55" w14:textId="38A50CD3"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45748C7" w14:textId="77777777" w:rsidR="00E76DEF" w:rsidRPr="0002056A" w:rsidRDefault="00E76DEF" w:rsidP="00123BAB">
            <w:pPr>
              <w:spacing w:after="0" w:line="240" w:lineRule="auto"/>
              <w:jc w:val="both"/>
              <w:rPr>
                <w:rFonts w:ascii="Georgia" w:eastAsia="Times New Roman" w:hAnsi="Georgia" w:cs="Times New Roman"/>
                <w:color w:val="000000"/>
                <w:sz w:val="10"/>
                <w:szCs w:val="10"/>
                <w:lang w:val="en-GB" w:eastAsia="hu-HU"/>
              </w:rPr>
            </w:pPr>
          </w:p>
          <w:p w14:paraId="5C37D726" w14:textId="77777777" w:rsidR="00E76DEF" w:rsidRPr="0002056A" w:rsidRDefault="00E76DEF" w:rsidP="00123BAB">
            <w:pPr>
              <w:spacing w:after="0" w:line="240" w:lineRule="auto"/>
              <w:jc w:val="both"/>
              <w:rPr>
                <w:rFonts w:ascii="Georgia" w:eastAsia="Times New Roman" w:hAnsi="Georgia" w:cs="Times New Roman"/>
                <w:color w:val="000000"/>
                <w:sz w:val="10"/>
                <w:szCs w:val="10"/>
                <w:lang w:val="en-GB" w:eastAsia="hu-HU"/>
              </w:rPr>
            </w:pPr>
          </w:p>
          <w:p w14:paraId="3CF14FC9"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paper examines the way concepts of place and space are being used in the new wave of strategic spatial plans in Europe, in relation to the intellectual debates in the social sciences and humanities on these concepts.</w:t>
            </w:r>
          </w:p>
          <w:p w14:paraId="4B61343C" w14:textId="77777777" w:rsidR="00E76DEF" w:rsidRPr="0002056A" w:rsidRDefault="00E76DEF" w:rsidP="00123BAB">
            <w:pPr>
              <w:spacing w:after="0" w:line="240" w:lineRule="auto"/>
              <w:jc w:val="both"/>
              <w:rPr>
                <w:rFonts w:ascii="Georgia" w:eastAsia="Times New Roman" w:hAnsi="Georgia" w:cs="Times New Roman"/>
                <w:color w:val="000000"/>
                <w:sz w:val="10"/>
                <w:szCs w:val="10"/>
                <w:lang w:val="en-GB" w:eastAsia="hu-HU"/>
              </w:rPr>
            </w:pPr>
          </w:p>
          <w:p w14:paraId="09969B44" w14:textId="238FBC4F" w:rsidR="00E76DEF" w:rsidRPr="0002056A" w:rsidRDefault="00E76DEF" w:rsidP="00123BAB">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71CF3BF1" w14:textId="66290F00"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emphasises spatial planning’s important role and history from urban planning point of view.</w:t>
            </w:r>
          </w:p>
        </w:tc>
      </w:tr>
      <w:tr w:rsidR="00123BAB" w:rsidRPr="0002056A" w14:paraId="55826CE8"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8FF258" w14:textId="77777777" w:rsidR="00123BAB" w:rsidRPr="00316E5B" w:rsidRDefault="00123BAB" w:rsidP="00123BAB">
            <w:pPr>
              <w:spacing w:after="0" w:line="240" w:lineRule="auto"/>
              <w:rPr>
                <w:rFonts w:ascii="Georgia" w:eastAsia="Times New Roman" w:hAnsi="Georgia" w:cs="Times New Roman"/>
                <w:b/>
                <w:bCs/>
                <w:i/>
                <w:iCs/>
                <w:color w:val="000000"/>
                <w:sz w:val="12"/>
                <w:szCs w:val="12"/>
                <w:lang w:val="en-GB" w:eastAsia="hu-HU"/>
              </w:rPr>
            </w:pPr>
            <w:r w:rsidRPr="00316E5B">
              <w:rPr>
                <w:rFonts w:ascii="Georgia" w:eastAsia="Times New Roman" w:hAnsi="Georgia" w:cs="Times New Roman"/>
                <w:b/>
                <w:bCs/>
                <w:i/>
                <w:iCs/>
                <w:color w:val="000000"/>
                <w:sz w:val="12"/>
                <w:szCs w:val="12"/>
                <w:lang w:val="en-GB" w:eastAsia="hu-HU"/>
              </w:rPr>
              <w:t>Heidrich, O.; Reckien, D.; Olazabal, M.; Foley, A.; Salvia, M.; De Gregorio Hurtando, S.; Orru, H.; Flacke, J.; Geneletti, D.; Pietrapertosa, F.; Hamann, J-J.P.; Tiwary, A.; Feliu, E.; Dawson, R.J.</w:t>
            </w:r>
          </w:p>
        </w:tc>
        <w:tc>
          <w:tcPr>
            <w:tcW w:w="705" w:type="dxa"/>
            <w:tcBorders>
              <w:top w:val="nil"/>
              <w:left w:val="nil"/>
              <w:bottom w:val="single" w:sz="4" w:space="0" w:color="auto"/>
              <w:right w:val="single" w:sz="4" w:space="0" w:color="auto"/>
            </w:tcBorders>
            <w:vAlign w:val="center"/>
          </w:tcPr>
          <w:p w14:paraId="3850C01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0CE6B71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National climate policies across Europe and their impacts on cities strategies</w:t>
            </w:r>
          </w:p>
        </w:tc>
        <w:tc>
          <w:tcPr>
            <w:tcW w:w="1134" w:type="dxa"/>
            <w:tcBorders>
              <w:top w:val="nil"/>
              <w:left w:val="nil"/>
              <w:bottom w:val="single" w:sz="4" w:space="0" w:color="auto"/>
              <w:right w:val="single" w:sz="4" w:space="0" w:color="auto"/>
            </w:tcBorders>
            <w:vAlign w:val="center"/>
          </w:tcPr>
          <w:p w14:paraId="0A0B64D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NRL, ESP, UKG, ITA, ESP, FIN, NRL, ITA, ITA, FRA, UKG, ESP, UKG</w:t>
            </w:r>
          </w:p>
        </w:tc>
        <w:tc>
          <w:tcPr>
            <w:tcW w:w="708" w:type="dxa"/>
            <w:tcBorders>
              <w:top w:val="nil"/>
              <w:left w:val="nil"/>
              <w:bottom w:val="single" w:sz="4" w:space="0" w:color="auto"/>
              <w:right w:val="single" w:sz="4" w:space="0" w:color="auto"/>
            </w:tcBorders>
            <w:vAlign w:val="center"/>
          </w:tcPr>
          <w:p w14:paraId="72288AB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185F271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 and planning</w:t>
            </w:r>
          </w:p>
        </w:tc>
        <w:tc>
          <w:tcPr>
            <w:tcW w:w="993" w:type="dxa"/>
            <w:tcBorders>
              <w:top w:val="nil"/>
              <w:left w:val="nil"/>
              <w:bottom w:val="single" w:sz="4" w:space="0" w:color="auto"/>
              <w:right w:val="single" w:sz="4" w:space="0" w:color="auto"/>
            </w:tcBorders>
            <w:vAlign w:val="center"/>
          </w:tcPr>
          <w:p w14:paraId="156B5A4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Environmental Management</w:t>
            </w:r>
          </w:p>
          <w:p w14:paraId="5272FCC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Volume 168, 1 March 2016, Pages 36-45</w:t>
            </w:r>
          </w:p>
          <w:p w14:paraId="20576357"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hyperlink r:id="rId161" w:tgtFrame="_blank" w:tooltip="Persistent link using digital object identifier" w:history="1">
              <w:r w:rsidRPr="0002056A">
                <w:rPr>
                  <w:rFonts w:ascii="Georgia" w:eastAsia="Times New Roman" w:hAnsi="Georgia" w:cs="Times New Roman"/>
                  <w:color w:val="000000"/>
                  <w:sz w:val="10"/>
                  <w:szCs w:val="10"/>
                  <w:lang w:val="en-GB" w:eastAsia="hu-HU"/>
                </w:rPr>
                <w:t>https://doi.org/10.1016/j.jenvman.2015.11.043</w:t>
              </w:r>
            </w:hyperlink>
            <w:hyperlink r:id="rId162" w:tgtFrame="_blank" w:history="1">
              <w:r w:rsidRPr="0002056A">
                <w:rPr>
                  <w:rFonts w:ascii="Georgia" w:eastAsia="Times New Roman" w:hAnsi="Georgia" w:cs="Times New Roman"/>
                  <w:color w:val="000000"/>
                  <w:sz w:val="10"/>
                  <w:szCs w:val="10"/>
                  <w:lang w:val="en-GB" w:eastAsia="hu-HU"/>
                </w:rPr>
                <w:t>Get rights and content</w:t>
              </w:r>
            </w:hyperlink>
          </w:p>
        </w:tc>
        <w:tc>
          <w:tcPr>
            <w:tcW w:w="708" w:type="dxa"/>
            <w:tcBorders>
              <w:top w:val="nil"/>
              <w:left w:val="nil"/>
              <w:bottom w:val="single" w:sz="4" w:space="0" w:color="auto"/>
              <w:right w:val="single" w:sz="4" w:space="0" w:color="auto"/>
            </w:tcBorders>
            <w:vAlign w:val="center"/>
          </w:tcPr>
          <w:p w14:paraId="538AB14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AC1001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92D2469"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3DA9082" w14:textId="4D0EEFAD"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facilitates the understanding of relationship between city strategies on mitigation/adaptation and relevant national strategies. It analyses how climate policy is integrated into national </w:t>
            </w:r>
            <w:r w:rsidR="007133D4" w:rsidRPr="0002056A">
              <w:rPr>
                <w:rFonts w:ascii="Georgia" w:eastAsia="Times New Roman" w:hAnsi="Georgia" w:cs="Times New Roman"/>
                <w:color w:val="000000"/>
                <w:sz w:val="10"/>
                <w:szCs w:val="10"/>
                <w:lang w:val="en-GB" w:eastAsia="hu-HU"/>
              </w:rPr>
              <w:t>as</w:t>
            </w:r>
            <w:r w:rsidRPr="0002056A">
              <w:rPr>
                <w:rFonts w:ascii="Georgia" w:eastAsia="Times New Roman" w:hAnsi="Georgia" w:cs="Times New Roman"/>
                <w:color w:val="000000"/>
                <w:sz w:val="10"/>
                <w:szCs w:val="10"/>
                <w:lang w:val="en-GB" w:eastAsia="hu-HU"/>
              </w:rPr>
              <w:t xml:space="preserve"> urban policies and what implications can be drawn from EU and national policies.</w:t>
            </w:r>
          </w:p>
        </w:tc>
        <w:tc>
          <w:tcPr>
            <w:tcW w:w="2268" w:type="dxa"/>
            <w:tcBorders>
              <w:top w:val="nil"/>
              <w:left w:val="nil"/>
              <w:bottom w:val="single" w:sz="4" w:space="0" w:color="auto"/>
              <w:right w:val="single" w:sz="8" w:space="0" w:color="auto"/>
            </w:tcBorders>
            <w:vAlign w:val="center"/>
          </w:tcPr>
          <w:p w14:paraId="32E6A631" w14:textId="630A6238"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An example for a comparative evaluation of 200 European cities’ climate change strategies </w:t>
            </w:r>
            <w:r w:rsidR="007133D4" w:rsidRPr="0002056A">
              <w:rPr>
                <w:rFonts w:ascii="Georgia" w:eastAsia="Times New Roman" w:hAnsi="Georgia" w:cs="Times New Roman"/>
                <w:color w:val="000000"/>
                <w:sz w:val="10"/>
                <w:szCs w:val="10"/>
                <w:lang w:val="en-GB" w:eastAsia="hu-HU"/>
              </w:rPr>
              <w:t>from</w:t>
            </w:r>
            <w:r w:rsidRPr="0002056A">
              <w:rPr>
                <w:rFonts w:ascii="Georgia" w:eastAsia="Times New Roman" w:hAnsi="Georgia" w:cs="Times New Roman"/>
                <w:color w:val="000000"/>
                <w:sz w:val="10"/>
                <w:szCs w:val="10"/>
                <w:lang w:val="en-GB" w:eastAsia="hu-HU"/>
              </w:rPr>
              <w:t xml:space="preserve"> ÖST, BEL, EST, FIN, FRA, GER, ITA, IRL, NRL, ESP, UKG.</w:t>
            </w:r>
          </w:p>
        </w:tc>
      </w:tr>
      <w:tr w:rsidR="00123BAB" w:rsidRPr="0002056A" w14:paraId="0A3C3630"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798E896"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Huitema, D. – Jordan, A. – Massey, E. – Rayner, T. – van Asselt, H. – Haug, C. – Hildingsson, R. – Monni, S. – Stripple, J.</w:t>
            </w:r>
          </w:p>
        </w:tc>
        <w:tc>
          <w:tcPr>
            <w:tcW w:w="705" w:type="dxa"/>
            <w:tcBorders>
              <w:top w:val="nil"/>
              <w:left w:val="nil"/>
              <w:bottom w:val="single" w:sz="4" w:space="0" w:color="auto"/>
              <w:right w:val="single" w:sz="4" w:space="0" w:color="auto"/>
            </w:tcBorders>
            <w:vAlign w:val="center"/>
            <w:hideMark/>
          </w:tcPr>
          <w:p w14:paraId="101F6FF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hideMark/>
          </w:tcPr>
          <w:p w14:paraId="2117871D"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evaluation of climate policy: theory and emerging practice in Europe. </w:t>
            </w:r>
          </w:p>
        </w:tc>
        <w:tc>
          <w:tcPr>
            <w:tcW w:w="1134" w:type="dxa"/>
            <w:tcBorders>
              <w:top w:val="nil"/>
              <w:left w:val="nil"/>
              <w:bottom w:val="single" w:sz="4" w:space="0" w:color="auto"/>
              <w:right w:val="single" w:sz="4" w:space="0" w:color="auto"/>
            </w:tcBorders>
            <w:vAlign w:val="center"/>
            <w:hideMark/>
          </w:tcPr>
          <w:p w14:paraId="1EA72D5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UKG, NRL, UKG, NRL, NRL, SWE, ITA, SWE</w:t>
            </w:r>
          </w:p>
        </w:tc>
        <w:tc>
          <w:tcPr>
            <w:tcW w:w="708" w:type="dxa"/>
            <w:tcBorders>
              <w:top w:val="nil"/>
              <w:left w:val="nil"/>
              <w:bottom w:val="single" w:sz="4" w:space="0" w:color="auto"/>
              <w:right w:val="single" w:sz="4" w:space="0" w:color="auto"/>
            </w:tcBorders>
            <w:vAlign w:val="center"/>
            <w:hideMark/>
          </w:tcPr>
          <w:p w14:paraId="0E83393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Policy Science </w:t>
            </w:r>
          </w:p>
        </w:tc>
        <w:tc>
          <w:tcPr>
            <w:tcW w:w="851" w:type="dxa"/>
            <w:tcBorders>
              <w:top w:val="nil"/>
              <w:left w:val="nil"/>
              <w:bottom w:val="single" w:sz="4" w:space="0" w:color="auto"/>
              <w:right w:val="single" w:sz="4" w:space="0" w:color="auto"/>
            </w:tcBorders>
            <w:vAlign w:val="center"/>
            <w:hideMark/>
          </w:tcPr>
          <w:p w14:paraId="5B3718A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6BB96315"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Science (2011) 44: 179. doi:10.1007/s11077-011-9125-7</w:t>
            </w:r>
          </w:p>
        </w:tc>
        <w:tc>
          <w:tcPr>
            <w:tcW w:w="708" w:type="dxa"/>
            <w:tcBorders>
              <w:top w:val="nil"/>
              <w:left w:val="nil"/>
              <w:bottom w:val="single" w:sz="4" w:space="0" w:color="auto"/>
              <w:right w:val="single" w:sz="4" w:space="0" w:color="auto"/>
            </w:tcBorders>
            <w:vAlign w:val="center"/>
            <w:hideMark/>
          </w:tcPr>
          <w:p w14:paraId="421B011C"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10658F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B90457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8C4B2A1"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article attempts to provide the first systematic cataloguing of the emerging patterns of policy evaluation undertaken in different parts of the European Union. Theories of policy evaluation suggest that these evaluation practices should acknowledge the inherent complexity of climate policy making, be reflexive by questioning official policy goals, and be participatory. The article concludes by analysing the implications of this finding for those in the academic and practitioner community who are keen to understand the extent to which climate policy evaluation is delivering on its promises.</w:t>
            </w:r>
          </w:p>
        </w:tc>
        <w:tc>
          <w:tcPr>
            <w:tcW w:w="2268" w:type="dxa"/>
            <w:tcBorders>
              <w:top w:val="nil"/>
              <w:left w:val="nil"/>
              <w:bottom w:val="single" w:sz="4" w:space="0" w:color="auto"/>
              <w:right w:val="single" w:sz="8" w:space="0" w:color="auto"/>
            </w:tcBorders>
            <w:vAlign w:val="center"/>
          </w:tcPr>
          <w:p w14:paraId="6D059544"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meta-analysis of 259 climate policy evaluations suggests that current practice engages with some but not all of the mentioned issues. The authors consider planning, monitoring, evaluation and feedback provision as the 4 most important steps of the planning cycle</w:t>
            </w:r>
          </w:p>
        </w:tc>
      </w:tr>
      <w:tr w:rsidR="00123BAB" w:rsidRPr="0002056A" w14:paraId="529A09F2" w14:textId="77777777" w:rsidTr="00D57247">
        <w:trPr>
          <w:trHeight w:val="5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2F772E1" w14:textId="5C7D2C44"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Hurlimann</w:t>
            </w:r>
            <w:r w:rsidR="00EE2B83">
              <w:rPr>
                <w:rFonts w:ascii="Georgia" w:eastAsia="Times New Roman" w:hAnsi="Georgia" w:cs="Times New Roman"/>
                <w:b/>
                <w:bCs/>
                <w:i/>
                <w:iCs/>
                <w:color w:val="000000"/>
                <w:sz w:val="14"/>
                <w:szCs w:val="14"/>
                <w:lang w:val="en-GB" w:eastAsia="hu-HU"/>
              </w:rPr>
              <w:t>,</w:t>
            </w:r>
            <w:r w:rsidRPr="0002056A">
              <w:rPr>
                <w:rFonts w:ascii="Georgia" w:eastAsia="Times New Roman" w:hAnsi="Georgia" w:cs="Times New Roman"/>
                <w:b/>
                <w:bCs/>
                <w:i/>
                <w:iCs/>
                <w:color w:val="000000"/>
                <w:sz w:val="14"/>
                <w:szCs w:val="14"/>
                <w:lang w:val="en-GB" w:eastAsia="hu-HU"/>
              </w:rPr>
              <w:t xml:space="preserve"> A</w:t>
            </w:r>
            <w:r w:rsidR="00EE2B83">
              <w:rPr>
                <w:rFonts w:ascii="Georgia" w:eastAsia="Times New Roman" w:hAnsi="Georgia" w:cs="Times New Roman"/>
                <w:b/>
                <w:bCs/>
                <w:i/>
                <w:iCs/>
                <w:color w:val="000000"/>
                <w:sz w:val="14"/>
                <w:szCs w:val="14"/>
                <w:lang w:val="en-GB" w:eastAsia="hu-HU"/>
              </w:rPr>
              <w:t>.</w:t>
            </w:r>
            <w:r w:rsidRPr="0002056A">
              <w:rPr>
                <w:rFonts w:ascii="Georgia" w:eastAsia="Times New Roman" w:hAnsi="Georgia" w:cs="Times New Roman"/>
                <w:b/>
                <w:bCs/>
                <w:i/>
                <w:iCs/>
                <w:color w:val="000000"/>
                <w:sz w:val="14"/>
                <w:szCs w:val="14"/>
                <w:lang w:val="en-GB" w:eastAsia="hu-HU"/>
              </w:rPr>
              <w:t>C</w:t>
            </w:r>
            <w:r w:rsidR="00EE2B83">
              <w:rPr>
                <w:rFonts w:ascii="Georgia" w:eastAsia="Times New Roman" w:hAnsi="Georgia" w:cs="Times New Roman"/>
                <w:b/>
                <w:bCs/>
                <w:i/>
                <w:iCs/>
                <w:color w:val="000000"/>
                <w:sz w:val="14"/>
                <w:szCs w:val="14"/>
                <w:lang w:val="en-GB" w:eastAsia="hu-HU"/>
              </w:rPr>
              <w:t>.</w:t>
            </w:r>
            <w:r w:rsidRPr="0002056A">
              <w:rPr>
                <w:rFonts w:ascii="Georgia" w:eastAsia="Times New Roman" w:hAnsi="Georgia" w:cs="Times New Roman"/>
                <w:b/>
                <w:bCs/>
                <w:i/>
                <w:iCs/>
                <w:color w:val="000000"/>
                <w:sz w:val="14"/>
                <w:szCs w:val="14"/>
                <w:lang w:val="en-GB" w:eastAsia="hu-HU"/>
              </w:rPr>
              <w:t>, March</w:t>
            </w:r>
            <w:r w:rsidR="00EE2B83">
              <w:rPr>
                <w:rFonts w:ascii="Georgia" w:eastAsia="Times New Roman" w:hAnsi="Georgia" w:cs="Times New Roman"/>
                <w:b/>
                <w:bCs/>
                <w:i/>
                <w:iCs/>
                <w:color w:val="000000"/>
                <w:sz w:val="14"/>
                <w:szCs w:val="14"/>
                <w:lang w:val="en-GB" w:eastAsia="hu-HU"/>
              </w:rPr>
              <w:t>,</w:t>
            </w:r>
            <w:r w:rsidRPr="0002056A">
              <w:rPr>
                <w:rFonts w:ascii="Georgia" w:eastAsia="Times New Roman" w:hAnsi="Georgia" w:cs="Times New Roman"/>
                <w:b/>
                <w:bCs/>
                <w:i/>
                <w:iCs/>
                <w:color w:val="000000"/>
                <w:sz w:val="14"/>
                <w:szCs w:val="14"/>
                <w:lang w:val="en-GB" w:eastAsia="hu-HU"/>
              </w:rPr>
              <w:t xml:space="preserve"> A</w:t>
            </w:r>
            <w:r w:rsidR="00EE2B83">
              <w:rPr>
                <w:rFonts w:ascii="Georgia" w:eastAsia="Times New Roman" w:hAnsi="Georgia" w:cs="Times New Roman"/>
                <w:b/>
                <w:bCs/>
                <w:i/>
                <w:iCs/>
                <w:color w:val="000000"/>
                <w:sz w:val="14"/>
                <w:szCs w:val="14"/>
                <w:lang w:val="en-GB" w:eastAsia="hu-HU"/>
              </w:rPr>
              <w:t>.</w:t>
            </w:r>
            <w:r w:rsidRPr="0002056A">
              <w:rPr>
                <w:rFonts w:ascii="Georgia" w:eastAsia="Times New Roman" w:hAnsi="Georgia" w:cs="Times New Roman"/>
                <w:b/>
                <w:bCs/>
                <w:i/>
                <w:iCs/>
                <w:color w:val="000000"/>
                <w:sz w:val="14"/>
                <w:szCs w:val="14"/>
                <w:lang w:val="en-GB" w:eastAsia="hu-HU"/>
              </w:rPr>
              <w:t>P</w:t>
            </w:r>
            <w:r w:rsidR="00EE2B83">
              <w:rPr>
                <w:rFonts w:ascii="Georgia" w:eastAsia="Times New Roman" w:hAnsi="Georgia" w:cs="Times New Roman"/>
                <w:b/>
                <w:bCs/>
                <w:i/>
                <w:iCs/>
                <w:color w:val="000000"/>
                <w:sz w:val="14"/>
                <w:szCs w:val="14"/>
                <w:lang w:val="en-GB" w:eastAsia="hu-HU"/>
              </w:rPr>
              <w:t>.</w:t>
            </w:r>
          </w:p>
        </w:tc>
        <w:tc>
          <w:tcPr>
            <w:tcW w:w="705" w:type="dxa"/>
            <w:tcBorders>
              <w:top w:val="nil"/>
              <w:left w:val="nil"/>
              <w:bottom w:val="single" w:sz="4" w:space="0" w:color="auto"/>
              <w:right w:val="single" w:sz="4" w:space="0" w:color="auto"/>
            </w:tcBorders>
            <w:vAlign w:val="center"/>
            <w:hideMark/>
          </w:tcPr>
          <w:p w14:paraId="29FEF85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358A9400"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role of spatial planning in adapting to climate change</w:t>
            </w:r>
          </w:p>
        </w:tc>
        <w:tc>
          <w:tcPr>
            <w:tcW w:w="1134" w:type="dxa"/>
            <w:tcBorders>
              <w:top w:val="nil"/>
              <w:left w:val="nil"/>
              <w:bottom w:val="single" w:sz="4" w:space="0" w:color="auto"/>
              <w:right w:val="single" w:sz="4" w:space="0" w:color="auto"/>
            </w:tcBorders>
            <w:vAlign w:val="center"/>
            <w:hideMark/>
          </w:tcPr>
          <w:p w14:paraId="205C8EC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AUS AUS</w:t>
            </w:r>
          </w:p>
        </w:tc>
        <w:tc>
          <w:tcPr>
            <w:tcW w:w="708" w:type="dxa"/>
            <w:tcBorders>
              <w:top w:val="nil"/>
              <w:left w:val="nil"/>
              <w:bottom w:val="single" w:sz="4" w:space="0" w:color="auto"/>
              <w:right w:val="single" w:sz="4" w:space="0" w:color="auto"/>
            </w:tcBorders>
            <w:vAlign w:val="center"/>
            <w:hideMark/>
          </w:tcPr>
          <w:p w14:paraId="19DE4CC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Wiley Interdisciplinary Reviews of Climate Change </w:t>
            </w:r>
          </w:p>
        </w:tc>
        <w:tc>
          <w:tcPr>
            <w:tcW w:w="851" w:type="dxa"/>
            <w:tcBorders>
              <w:top w:val="nil"/>
              <w:left w:val="nil"/>
              <w:bottom w:val="single" w:sz="4" w:space="0" w:color="auto"/>
              <w:right w:val="single" w:sz="4" w:space="0" w:color="auto"/>
            </w:tcBorders>
            <w:vAlign w:val="center"/>
            <w:hideMark/>
          </w:tcPr>
          <w:p w14:paraId="003411A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 / spatial planning</w:t>
            </w:r>
          </w:p>
        </w:tc>
        <w:tc>
          <w:tcPr>
            <w:tcW w:w="993" w:type="dxa"/>
            <w:tcBorders>
              <w:top w:val="nil"/>
              <w:left w:val="nil"/>
              <w:bottom w:val="single" w:sz="4" w:space="0" w:color="auto"/>
              <w:right w:val="single" w:sz="4" w:space="0" w:color="auto"/>
            </w:tcBorders>
            <w:vAlign w:val="center"/>
            <w:hideMark/>
          </w:tcPr>
          <w:p w14:paraId="6896500B"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Interdisciplinary Reviews of Climate Change Published in 2012, 3(5) 477-488.</w:t>
            </w:r>
          </w:p>
        </w:tc>
        <w:tc>
          <w:tcPr>
            <w:tcW w:w="708" w:type="dxa"/>
            <w:tcBorders>
              <w:top w:val="nil"/>
              <w:left w:val="nil"/>
              <w:bottom w:val="single" w:sz="4" w:space="0" w:color="auto"/>
              <w:right w:val="single" w:sz="4" w:space="0" w:color="auto"/>
            </w:tcBorders>
            <w:vAlign w:val="center"/>
            <w:hideMark/>
          </w:tcPr>
          <w:p w14:paraId="6989930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DDB7F3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8AD2A5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63F1E8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the authors spatial planning has been identified as a critical mechanism through which climate change adaptation can be facilitated. The authors reviewed the role of spatial planning as a tool for adaptation to climate change. In doing so, they described common planning processes and tools. Six capacities of spatial planning that have the potential ability to facilitate climate change adaptation are identified and discussed. These principally relate to spatial planning's ability to: act on matters of collective concern; manage competing interests; cut across scales; reduce and act on uncertainty; act as a knowledge repository; and be oriented to the future while integrating a range of diverse systems. Methods (tools) for planning which have the capacity to address climate change adaptation were also presented and discussed.</w:t>
            </w:r>
          </w:p>
        </w:tc>
        <w:tc>
          <w:tcPr>
            <w:tcW w:w="2268" w:type="dxa"/>
            <w:tcBorders>
              <w:top w:val="nil"/>
              <w:left w:val="nil"/>
              <w:bottom w:val="single" w:sz="4" w:space="0" w:color="auto"/>
              <w:right w:val="single" w:sz="8" w:space="0" w:color="auto"/>
            </w:tcBorders>
            <w:vAlign w:val="center"/>
          </w:tcPr>
          <w:p w14:paraId="2E822A35"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analysed the role of spatial planning in adapting to climate change.</w:t>
            </w:r>
          </w:p>
        </w:tc>
      </w:tr>
      <w:tr w:rsidR="00123BAB" w:rsidRPr="0002056A" w14:paraId="5249A759" w14:textId="77777777" w:rsidTr="00D57247">
        <w:trPr>
          <w:trHeight w:val="5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A7C68D2"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Illés I.</w:t>
            </w:r>
          </w:p>
        </w:tc>
        <w:tc>
          <w:tcPr>
            <w:tcW w:w="705" w:type="dxa"/>
            <w:tcBorders>
              <w:top w:val="nil"/>
              <w:left w:val="nil"/>
              <w:bottom w:val="single" w:sz="4" w:space="0" w:color="auto"/>
              <w:right w:val="single" w:sz="4" w:space="0" w:color="auto"/>
            </w:tcBorders>
            <w:vAlign w:val="center"/>
          </w:tcPr>
          <w:p w14:paraId="11CE2D50" w14:textId="21116C34"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2002</w:t>
            </w:r>
          </w:p>
        </w:tc>
        <w:tc>
          <w:tcPr>
            <w:tcW w:w="1137" w:type="dxa"/>
            <w:tcBorders>
              <w:top w:val="nil"/>
              <w:left w:val="nil"/>
              <w:bottom w:val="single" w:sz="4" w:space="0" w:color="auto"/>
              <w:right w:val="single" w:sz="4" w:space="0" w:color="auto"/>
            </w:tcBorders>
            <w:vAlign w:val="center"/>
          </w:tcPr>
          <w:p w14:paraId="2DAD14A1"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Közép- és Délkelet-Európa az ezredfordulón. Átalakulás, integráció, régiók</w:t>
            </w:r>
          </w:p>
        </w:tc>
        <w:tc>
          <w:tcPr>
            <w:tcW w:w="1134" w:type="dxa"/>
            <w:tcBorders>
              <w:top w:val="nil"/>
              <w:left w:val="nil"/>
              <w:bottom w:val="single" w:sz="4" w:space="0" w:color="auto"/>
              <w:right w:val="single" w:sz="4" w:space="0" w:color="auto"/>
            </w:tcBorders>
            <w:vAlign w:val="center"/>
          </w:tcPr>
          <w:p w14:paraId="63FD31AA"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0367240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Dialóg Campus</w:t>
            </w:r>
          </w:p>
        </w:tc>
        <w:tc>
          <w:tcPr>
            <w:tcW w:w="851" w:type="dxa"/>
            <w:tcBorders>
              <w:top w:val="nil"/>
              <w:left w:val="nil"/>
              <w:bottom w:val="single" w:sz="4" w:space="0" w:color="auto"/>
              <w:right w:val="single" w:sz="4" w:space="0" w:color="auto"/>
            </w:tcBorders>
            <w:vAlign w:val="center"/>
          </w:tcPr>
          <w:p w14:paraId="26DE994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geography, regional economics</w:t>
            </w:r>
          </w:p>
        </w:tc>
        <w:tc>
          <w:tcPr>
            <w:tcW w:w="993" w:type="dxa"/>
            <w:tcBorders>
              <w:top w:val="nil"/>
              <w:left w:val="nil"/>
              <w:bottom w:val="single" w:sz="4" w:space="0" w:color="auto"/>
              <w:right w:val="single" w:sz="4" w:space="0" w:color="auto"/>
            </w:tcBorders>
            <w:vAlign w:val="center"/>
          </w:tcPr>
          <w:p w14:paraId="44AC20F9"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Dialóg Campus szakkönyvek. Studia Regionum. Területi és Települési Kutatások. 19. kötet.</w:t>
            </w:r>
          </w:p>
        </w:tc>
        <w:tc>
          <w:tcPr>
            <w:tcW w:w="708" w:type="dxa"/>
            <w:tcBorders>
              <w:top w:val="nil"/>
              <w:left w:val="nil"/>
              <w:bottom w:val="single" w:sz="4" w:space="0" w:color="auto"/>
              <w:right w:val="single" w:sz="4" w:space="0" w:color="auto"/>
            </w:tcBorders>
            <w:vAlign w:val="center"/>
          </w:tcPr>
          <w:p w14:paraId="1A79CFE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4E2A2D9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323845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4990E4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offers a regional development-oriented situation analysis of the CADSES region, identifying its challenges and perspectives, transnational and cross-border initiatives</w:t>
            </w:r>
          </w:p>
        </w:tc>
        <w:tc>
          <w:tcPr>
            <w:tcW w:w="2268" w:type="dxa"/>
            <w:tcBorders>
              <w:top w:val="nil"/>
              <w:left w:val="nil"/>
              <w:bottom w:val="single" w:sz="4" w:space="0" w:color="auto"/>
              <w:right w:val="single" w:sz="8" w:space="0" w:color="auto"/>
            </w:tcBorders>
            <w:vAlign w:val="center"/>
          </w:tcPr>
          <w:p w14:paraId="3EC6236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is a collection of different history-, ethnography-, politics- and economics-oriented Eastern and Central-European definitions; the author especially emphasises the role of politics in the creation of these delimitations</w:t>
            </w:r>
          </w:p>
        </w:tc>
      </w:tr>
      <w:tr w:rsidR="00123BAB" w:rsidRPr="0002056A" w14:paraId="1BC5017E" w14:textId="77777777" w:rsidTr="00D57247">
        <w:trPr>
          <w:trHeight w:val="99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EA5D540" w14:textId="77777777" w:rsidR="00123BAB"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IPCC 2007. </w:t>
            </w:r>
          </w:p>
        </w:tc>
        <w:tc>
          <w:tcPr>
            <w:tcW w:w="705" w:type="dxa"/>
            <w:tcBorders>
              <w:top w:val="nil"/>
              <w:left w:val="nil"/>
              <w:bottom w:val="single" w:sz="4" w:space="0" w:color="auto"/>
              <w:right w:val="single" w:sz="4" w:space="0" w:color="auto"/>
            </w:tcBorders>
            <w:vAlign w:val="center"/>
            <w:hideMark/>
          </w:tcPr>
          <w:p w14:paraId="6AF2E2DF"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hideMark/>
          </w:tcPr>
          <w:p w14:paraId="02F6712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Impacts, Adaptation, and Vulnerability. Contribution of Working Group II to the Fourth Assessment Report of the Intergovernmental Panel on Climate Change (ed: Parry, M.L., Canziani, O.F., Palutikof, J.P., van der Linden, P.J. &amp; Hanson, C.E.). </w:t>
            </w:r>
          </w:p>
        </w:tc>
        <w:tc>
          <w:tcPr>
            <w:tcW w:w="1134" w:type="dxa"/>
            <w:tcBorders>
              <w:top w:val="nil"/>
              <w:left w:val="nil"/>
              <w:bottom w:val="single" w:sz="4" w:space="0" w:color="auto"/>
              <w:right w:val="single" w:sz="4" w:space="0" w:color="auto"/>
            </w:tcBorders>
            <w:vAlign w:val="center"/>
            <w:hideMark/>
          </w:tcPr>
          <w:p w14:paraId="435F0363"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2F11C53C"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IPCC</w:t>
            </w:r>
          </w:p>
        </w:tc>
        <w:tc>
          <w:tcPr>
            <w:tcW w:w="851" w:type="dxa"/>
            <w:tcBorders>
              <w:top w:val="nil"/>
              <w:left w:val="nil"/>
              <w:bottom w:val="single" w:sz="4" w:space="0" w:color="auto"/>
              <w:right w:val="single" w:sz="4" w:space="0" w:color="auto"/>
            </w:tcBorders>
            <w:vAlign w:val="center"/>
            <w:hideMark/>
          </w:tcPr>
          <w:p w14:paraId="57C8583A"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3BED833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Cambridge University Press, Cambridge, UK. 976 pp. https://www.ipcc.ch/pdf/assessment-report/ar4/wg2/ar4_wg2_full_report.pdf </w:t>
            </w:r>
          </w:p>
        </w:tc>
        <w:tc>
          <w:tcPr>
            <w:tcW w:w="708" w:type="dxa"/>
            <w:tcBorders>
              <w:top w:val="nil"/>
              <w:left w:val="nil"/>
              <w:bottom w:val="single" w:sz="4" w:space="0" w:color="auto"/>
              <w:right w:val="single" w:sz="4" w:space="0" w:color="auto"/>
            </w:tcBorders>
            <w:vAlign w:val="center"/>
            <w:hideMark/>
          </w:tcPr>
          <w:p w14:paraId="21CF75CD"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2EE70261"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F5312F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10B4B65"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IPCC overview of CC trends, impacts and vulnerability information from 2007.</w:t>
            </w:r>
          </w:p>
        </w:tc>
        <w:tc>
          <w:tcPr>
            <w:tcW w:w="2268" w:type="dxa"/>
            <w:tcBorders>
              <w:top w:val="nil"/>
              <w:left w:val="nil"/>
              <w:bottom w:val="single" w:sz="4" w:space="0" w:color="auto"/>
              <w:right w:val="single" w:sz="8" w:space="0" w:color="auto"/>
            </w:tcBorders>
            <w:vAlign w:val="center"/>
          </w:tcPr>
          <w:p w14:paraId="09584E6B"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global and macro-regional CC-related trends of impacts, adaptability and vulnerability.</w:t>
            </w:r>
          </w:p>
        </w:tc>
      </w:tr>
      <w:tr w:rsidR="00123BAB" w:rsidRPr="0002056A" w14:paraId="331ECDC0"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AFF257C" w14:textId="77777777" w:rsidR="00281C72"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IPCC 2012. </w:t>
            </w:r>
          </w:p>
          <w:p w14:paraId="6FD6EF19" w14:textId="43994BD6" w:rsidR="00123BAB" w:rsidRPr="0002056A" w:rsidRDefault="00281C72"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color w:val="000000"/>
                <w:sz w:val="10"/>
                <w:szCs w:val="10"/>
                <w:lang w:val="en-GB" w:eastAsia="hu-HU"/>
              </w:rPr>
              <w:t>[Field, C.B., V. Barros, T.F. Stocker, D. Qin, D.J. Dokken, K.L. Ebi, M.D. Mastrandrea, K.J. Mach, G.-K. Plattner, S.K. Allen, M. Tignor, and P.M. Midgley (eds.)].</w:t>
            </w:r>
          </w:p>
        </w:tc>
        <w:tc>
          <w:tcPr>
            <w:tcW w:w="705" w:type="dxa"/>
            <w:tcBorders>
              <w:top w:val="nil"/>
              <w:left w:val="nil"/>
              <w:bottom w:val="single" w:sz="4" w:space="0" w:color="auto"/>
              <w:right w:val="single" w:sz="4" w:space="0" w:color="auto"/>
            </w:tcBorders>
            <w:vAlign w:val="center"/>
            <w:hideMark/>
          </w:tcPr>
          <w:p w14:paraId="239F985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3CA4A1B7" w14:textId="2ADA1D75"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Managing the Risks of Extreme Events and Disasters to Advance Climate Change Adaptation. A Special Report of Working Groups I and II of the Intergovernmental Panel on Climate Change </w:t>
            </w:r>
          </w:p>
        </w:tc>
        <w:tc>
          <w:tcPr>
            <w:tcW w:w="1134" w:type="dxa"/>
            <w:tcBorders>
              <w:top w:val="nil"/>
              <w:left w:val="nil"/>
              <w:bottom w:val="single" w:sz="4" w:space="0" w:color="auto"/>
              <w:right w:val="single" w:sz="4" w:space="0" w:color="auto"/>
            </w:tcBorders>
            <w:vAlign w:val="center"/>
            <w:hideMark/>
          </w:tcPr>
          <w:p w14:paraId="12DCCE56"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3BE47F7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IPCC</w:t>
            </w:r>
          </w:p>
        </w:tc>
        <w:tc>
          <w:tcPr>
            <w:tcW w:w="851" w:type="dxa"/>
            <w:tcBorders>
              <w:top w:val="nil"/>
              <w:left w:val="nil"/>
              <w:bottom w:val="single" w:sz="4" w:space="0" w:color="auto"/>
              <w:right w:val="single" w:sz="4" w:space="0" w:color="auto"/>
            </w:tcBorders>
            <w:vAlign w:val="center"/>
            <w:hideMark/>
          </w:tcPr>
          <w:p w14:paraId="47FA402F"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667D2A0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 Cambridge University Press, Cambridge, UK, and New York, NY, USA, 582 pp.</w:t>
            </w:r>
          </w:p>
        </w:tc>
        <w:tc>
          <w:tcPr>
            <w:tcW w:w="708" w:type="dxa"/>
            <w:tcBorders>
              <w:top w:val="nil"/>
              <w:left w:val="nil"/>
              <w:bottom w:val="single" w:sz="4" w:space="0" w:color="auto"/>
              <w:right w:val="single" w:sz="4" w:space="0" w:color="auto"/>
            </w:tcBorders>
            <w:vAlign w:val="center"/>
            <w:hideMark/>
          </w:tcPr>
          <w:p w14:paraId="6AC16DE2"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19A16B2B"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09911F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B52CCD4"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IPCC overview of CC related risks and extreme events information from 2012.</w:t>
            </w:r>
          </w:p>
        </w:tc>
        <w:tc>
          <w:tcPr>
            <w:tcW w:w="2268" w:type="dxa"/>
            <w:tcBorders>
              <w:top w:val="nil"/>
              <w:left w:val="nil"/>
              <w:bottom w:val="single" w:sz="4" w:space="0" w:color="auto"/>
              <w:right w:val="single" w:sz="8" w:space="0" w:color="auto"/>
            </w:tcBorders>
            <w:vAlign w:val="center"/>
          </w:tcPr>
          <w:p w14:paraId="6288BF46"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global and macro-regional CC-related risk- and disaster management situation.</w:t>
            </w:r>
          </w:p>
        </w:tc>
      </w:tr>
      <w:tr w:rsidR="00123BAB" w:rsidRPr="0002056A" w14:paraId="76C7318A"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BF59755" w14:textId="77777777" w:rsidR="00FF5288" w:rsidRPr="0002056A" w:rsidRDefault="00FF5288" w:rsidP="00123BAB">
            <w:pPr>
              <w:spacing w:after="0" w:line="240" w:lineRule="auto"/>
              <w:rPr>
                <w:rFonts w:ascii="Georgia" w:eastAsia="Times New Roman" w:hAnsi="Georgia" w:cs="Times New Roman"/>
                <w:b/>
                <w:bCs/>
                <w:i/>
                <w:iCs/>
                <w:color w:val="000000"/>
                <w:sz w:val="14"/>
                <w:szCs w:val="14"/>
                <w:lang w:val="en-GB" w:eastAsia="hu-HU"/>
              </w:rPr>
            </w:pPr>
          </w:p>
          <w:p w14:paraId="24B25299" w14:textId="1A5F1000" w:rsidR="00281C72" w:rsidRPr="0002056A" w:rsidRDefault="00123BAB" w:rsidP="00123BAB">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IPCC 2014. </w:t>
            </w:r>
          </w:p>
          <w:p w14:paraId="42DC596A" w14:textId="77777777" w:rsidR="00123BAB" w:rsidRPr="0002056A" w:rsidRDefault="00281C72"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[Field, C.B., V.R. Barros, D.J. Dokken, K.J. Mach, M.D. Mastrandrea, T.E. Bilir, M. Chatterjee, K.L. Ebi, Y.O. Estrada, R.C. Genova, B. Girma, E.S. Kissel, A.N. Levy, S. MacCracken, P.R. Mastrandrea, and L.L. White (eds.)].</w:t>
            </w:r>
          </w:p>
          <w:p w14:paraId="3FC8191D" w14:textId="0F49FE6D" w:rsidR="00FF5288" w:rsidRPr="0002056A" w:rsidRDefault="00FF5288" w:rsidP="00123BAB">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hideMark/>
          </w:tcPr>
          <w:p w14:paraId="7A78499E"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hideMark/>
          </w:tcPr>
          <w:p w14:paraId="73AD3BAA" w14:textId="07F55A78"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Change – Impacts, Adaptation, and Vulnerability. Part A: Global and Sectoral Aspects. Contribution of Working Group II to the Fifth Assessment Report of the Intergovernmental Panel on Climate Change </w:t>
            </w:r>
          </w:p>
        </w:tc>
        <w:tc>
          <w:tcPr>
            <w:tcW w:w="1134" w:type="dxa"/>
            <w:tcBorders>
              <w:top w:val="nil"/>
              <w:left w:val="nil"/>
              <w:bottom w:val="single" w:sz="4" w:space="0" w:color="auto"/>
              <w:right w:val="single" w:sz="4" w:space="0" w:color="auto"/>
            </w:tcBorders>
            <w:vAlign w:val="center"/>
            <w:hideMark/>
          </w:tcPr>
          <w:p w14:paraId="57D6DFF8"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695B06A2"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IPCC</w:t>
            </w:r>
          </w:p>
        </w:tc>
        <w:tc>
          <w:tcPr>
            <w:tcW w:w="851" w:type="dxa"/>
            <w:tcBorders>
              <w:top w:val="nil"/>
              <w:left w:val="nil"/>
              <w:bottom w:val="single" w:sz="4" w:space="0" w:color="auto"/>
              <w:right w:val="single" w:sz="4" w:space="0" w:color="auto"/>
            </w:tcBorders>
            <w:vAlign w:val="center"/>
            <w:hideMark/>
          </w:tcPr>
          <w:p w14:paraId="641A5103"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60A2C9F6" w14:textId="77777777" w:rsidR="00123BAB" w:rsidRPr="0002056A" w:rsidRDefault="00123BAB" w:rsidP="00123BAB">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 Press, Cambridge, United Kingdom, and New York, NY, USA, 1132 pp.</w:t>
            </w:r>
          </w:p>
        </w:tc>
        <w:tc>
          <w:tcPr>
            <w:tcW w:w="708" w:type="dxa"/>
            <w:tcBorders>
              <w:top w:val="nil"/>
              <w:left w:val="nil"/>
              <w:bottom w:val="single" w:sz="4" w:space="0" w:color="auto"/>
              <w:right w:val="single" w:sz="4" w:space="0" w:color="auto"/>
            </w:tcBorders>
            <w:vAlign w:val="center"/>
            <w:hideMark/>
          </w:tcPr>
          <w:p w14:paraId="602AD57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664BC357"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391D8A5" w14:textId="77777777" w:rsidR="00123BAB" w:rsidRPr="0002056A" w:rsidRDefault="00123BAB" w:rsidP="00123BAB">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D30E4F9"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IPCC overview of CC trends, impacts and vulnerability information from 2014.</w:t>
            </w:r>
          </w:p>
        </w:tc>
        <w:tc>
          <w:tcPr>
            <w:tcW w:w="2268" w:type="dxa"/>
            <w:tcBorders>
              <w:top w:val="nil"/>
              <w:left w:val="nil"/>
              <w:bottom w:val="single" w:sz="4" w:space="0" w:color="auto"/>
              <w:right w:val="single" w:sz="8" w:space="0" w:color="auto"/>
            </w:tcBorders>
            <w:vAlign w:val="center"/>
          </w:tcPr>
          <w:p w14:paraId="27CCCC52" w14:textId="77777777" w:rsidR="00123BAB" w:rsidRPr="0002056A" w:rsidRDefault="00123BAB" w:rsidP="00123BAB">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global and macro-regional CC-related trends of impacts, adaptability and vulnerability.</w:t>
            </w:r>
          </w:p>
        </w:tc>
      </w:tr>
      <w:tr w:rsidR="00EE2B83" w:rsidRPr="0002056A" w14:paraId="11BE642F"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42C3395" w14:textId="6BC24F33"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IPCC AR5 2013. </w:t>
            </w:r>
            <w:r w:rsidRPr="0002056A">
              <w:rPr>
                <w:rFonts w:ascii="Georgia" w:eastAsia="Times New Roman" w:hAnsi="Georgia" w:cs="Times New Roman"/>
                <w:color w:val="000000"/>
                <w:sz w:val="10"/>
                <w:szCs w:val="10"/>
                <w:lang w:val="en-GB" w:eastAsia="hu-HU"/>
              </w:rPr>
              <w:t>[Stocker, T.F., D. Qin, G.-K. Plattner, M. Tignor, S.K. Allen, J. Boschung, A. Nauels, Y. Xia, V. Bex and P.M. Midgley (eds.)].</w:t>
            </w:r>
          </w:p>
        </w:tc>
        <w:tc>
          <w:tcPr>
            <w:tcW w:w="705" w:type="dxa"/>
            <w:tcBorders>
              <w:top w:val="nil"/>
              <w:left w:val="nil"/>
              <w:bottom w:val="single" w:sz="4" w:space="0" w:color="auto"/>
              <w:right w:val="single" w:sz="4" w:space="0" w:color="auto"/>
            </w:tcBorders>
            <w:vAlign w:val="center"/>
          </w:tcPr>
          <w:p w14:paraId="7EC38CF4" w14:textId="1865427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tcPr>
          <w:p w14:paraId="2F0364D4" w14:textId="7FB3176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IPCC – Climate Change 2013: The Physical Science Basis. Contribution of Working Group I to the Fifth Assessment Report of the Intergovernmental Panel on Climate Change </w:t>
            </w:r>
          </w:p>
        </w:tc>
        <w:tc>
          <w:tcPr>
            <w:tcW w:w="1134" w:type="dxa"/>
            <w:tcBorders>
              <w:top w:val="nil"/>
              <w:left w:val="nil"/>
              <w:bottom w:val="single" w:sz="4" w:space="0" w:color="auto"/>
              <w:right w:val="single" w:sz="4" w:space="0" w:color="auto"/>
            </w:tcBorders>
            <w:vAlign w:val="center"/>
          </w:tcPr>
          <w:p w14:paraId="303FD9FB" w14:textId="1495E4A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1C9A382B" w14:textId="55707AB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IPCC</w:t>
            </w:r>
          </w:p>
        </w:tc>
        <w:tc>
          <w:tcPr>
            <w:tcW w:w="851" w:type="dxa"/>
            <w:tcBorders>
              <w:top w:val="nil"/>
              <w:left w:val="nil"/>
              <w:bottom w:val="single" w:sz="4" w:space="0" w:color="auto"/>
              <w:right w:val="single" w:sz="4" w:space="0" w:color="auto"/>
            </w:tcBorders>
            <w:vAlign w:val="center"/>
          </w:tcPr>
          <w:p w14:paraId="6369961F" w14:textId="57204E8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tcPr>
          <w:p w14:paraId="64B10E8F" w14:textId="0D70F2D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 Press, Cambridge, United Kingdom, and New York, NY, USA; 2013.</w:t>
            </w:r>
          </w:p>
        </w:tc>
        <w:tc>
          <w:tcPr>
            <w:tcW w:w="708" w:type="dxa"/>
            <w:tcBorders>
              <w:top w:val="nil"/>
              <w:left w:val="nil"/>
              <w:bottom w:val="single" w:sz="4" w:space="0" w:color="auto"/>
              <w:right w:val="single" w:sz="4" w:space="0" w:color="auto"/>
            </w:tcBorders>
            <w:vAlign w:val="center"/>
          </w:tcPr>
          <w:p w14:paraId="778861FB" w14:textId="412140F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4623D8D0" w14:textId="33C5AD7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8417C80" w14:textId="419CFD2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3522BA5" w14:textId="3EA9C21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IPCC overview of CC trends, impacts and vulnerability information from 2013.</w:t>
            </w:r>
          </w:p>
        </w:tc>
        <w:tc>
          <w:tcPr>
            <w:tcW w:w="2268" w:type="dxa"/>
            <w:tcBorders>
              <w:top w:val="nil"/>
              <w:left w:val="nil"/>
              <w:bottom w:val="single" w:sz="4" w:space="0" w:color="auto"/>
              <w:right w:val="single" w:sz="8" w:space="0" w:color="auto"/>
            </w:tcBorders>
            <w:vAlign w:val="center"/>
          </w:tcPr>
          <w:p w14:paraId="7261170E" w14:textId="1187301E"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global and macro-regional CC-related trends of impacts, adaptability and vulnerability.</w:t>
            </w:r>
          </w:p>
        </w:tc>
      </w:tr>
      <w:tr w:rsidR="00EE2B83" w:rsidRPr="0002056A" w14:paraId="468AF71C"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2C46D79" w14:textId="745F796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IPCC 2022. </w:t>
            </w:r>
            <w:r w:rsidRPr="0002056A">
              <w:rPr>
                <w:rFonts w:ascii="Georgia" w:eastAsia="Times New Roman" w:hAnsi="Georgia" w:cs="Times New Roman"/>
                <w:color w:val="000000"/>
                <w:sz w:val="10"/>
                <w:szCs w:val="10"/>
                <w:lang w:val="en-GB" w:eastAsia="hu-HU"/>
              </w:rPr>
              <w:t>[H.-O. Pörtner, D.C. Roberts, E.S. Poloczanska, K. Mintenbeck, M. Tignor, A. Alegría, M. Craig, S. Langsdorf, S. Löschke, V. Möller, A. Okem (eds.)].</w:t>
            </w:r>
          </w:p>
        </w:tc>
        <w:tc>
          <w:tcPr>
            <w:tcW w:w="705" w:type="dxa"/>
            <w:tcBorders>
              <w:top w:val="nil"/>
              <w:left w:val="nil"/>
              <w:bottom w:val="single" w:sz="4" w:space="0" w:color="auto"/>
              <w:right w:val="single" w:sz="4" w:space="0" w:color="auto"/>
            </w:tcBorders>
            <w:vAlign w:val="center"/>
            <w:hideMark/>
          </w:tcPr>
          <w:p w14:paraId="54A89BF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hideMark/>
          </w:tcPr>
          <w:p w14:paraId="63751B5D" w14:textId="370C77D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Summary for Policymakers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w:t>
            </w:r>
          </w:p>
        </w:tc>
        <w:tc>
          <w:tcPr>
            <w:tcW w:w="1134" w:type="dxa"/>
            <w:tcBorders>
              <w:top w:val="nil"/>
              <w:left w:val="nil"/>
              <w:bottom w:val="single" w:sz="4" w:space="0" w:color="auto"/>
              <w:right w:val="single" w:sz="4" w:space="0" w:color="auto"/>
            </w:tcBorders>
            <w:vAlign w:val="center"/>
            <w:hideMark/>
          </w:tcPr>
          <w:p w14:paraId="1EA7B28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2279970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IPCC</w:t>
            </w:r>
          </w:p>
        </w:tc>
        <w:tc>
          <w:tcPr>
            <w:tcW w:w="851" w:type="dxa"/>
            <w:tcBorders>
              <w:top w:val="nil"/>
              <w:left w:val="nil"/>
              <w:bottom w:val="single" w:sz="4" w:space="0" w:color="auto"/>
              <w:right w:val="single" w:sz="4" w:space="0" w:color="auto"/>
            </w:tcBorders>
            <w:vAlign w:val="center"/>
            <w:hideMark/>
          </w:tcPr>
          <w:p w14:paraId="2DA4A0A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hideMark/>
          </w:tcPr>
          <w:p w14:paraId="1FB49CE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 Press. In Press.</w:t>
            </w:r>
          </w:p>
        </w:tc>
        <w:tc>
          <w:tcPr>
            <w:tcW w:w="708" w:type="dxa"/>
            <w:tcBorders>
              <w:top w:val="nil"/>
              <w:left w:val="nil"/>
              <w:bottom w:val="single" w:sz="4" w:space="0" w:color="auto"/>
              <w:right w:val="single" w:sz="4" w:space="0" w:color="auto"/>
            </w:tcBorders>
            <w:vAlign w:val="center"/>
            <w:hideMark/>
          </w:tcPr>
          <w:p w14:paraId="6EF35EF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09902EC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B5EA54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8F8C9EC"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IPCC overview of CC trends, impacts and vulnerability information from 2022.</w:t>
            </w:r>
          </w:p>
        </w:tc>
        <w:tc>
          <w:tcPr>
            <w:tcW w:w="2268" w:type="dxa"/>
            <w:tcBorders>
              <w:top w:val="nil"/>
              <w:left w:val="nil"/>
              <w:bottom w:val="single" w:sz="4" w:space="0" w:color="auto"/>
              <w:right w:val="single" w:sz="8" w:space="0" w:color="auto"/>
            </w:tcBorders>
            <w:vAlign w:val="center"/>
          </w:tcPr>
          <w:p w14:paraId="7B67573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global and macro-regional CC-related trends of impacts, adaptability and vulnerability.</w:t>
            </w:r>
          </w:p>
        </w:tc>
      </w:tr>
      <w:tr w:rsidR="00EE2B83" w:rsidRPr="0002056A" w14:paraId="42FE2238"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2B03E9E" w14:textId="0F152D04"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Isthiaque, A.; Estoque, R.C.; Eakin, H.; Parajuli, J.; Rabby, Y.W.</w:t>
            </w:r>
          </w:p>
        </w:tc>
        <w:tc>
          <w:tcPr>
            <w:tcW w:w="705" w:type="dxa"/>
            <w:tcBorders>
              <w:top w:val="nil"/>
              <w:left w:val="nil"/>
              <w:bottom w:val="single" w:sz="4" w:space="0" w:color="auto"/>
              <w:right w:val="single" w:sz="4" w:space="0" w:color="auto"/>
            </w:tcBorders>
            <w:vAlign w:val="center"/>
          </w:tcPr>
          <w:p w14:paraId="2E5F14CE" w14:textId="61766AC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584F988A" w14:textId="7FA0BCC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IPCC’s current conceptualization of ‘vulnerability’ needs more clarification for climate change vulnerability assessments. </w:t>
            </w:r>
          </w:p>
          <w:p w14:paraId="10AE01C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7E86C1B9" w14:textId="2620FD7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JPN, USA, USA, USA</w:t>
            </w:r>
          </w:p>
        </w:tc>
        <w:tc>
          <w:tcPr>
            <w:tcW w:w="708" w:type="dxa"/>
            <w:tcBorders>
              <w:top w:val="nil"/>
              <w:left w:val="nil"/>
              <w:bottom w:val="single" w:sz="4" w:space="0" w:color="auto"/>
              <w:right w:val="single" w:sz="4" w:space="0" w:color="auto"/>
            </w:tcBorders>
            <w:vAlign w:val="center"/>
          </w:tcPr>
          <w:p w14:paraId="12C2CA46" w14:textId="37793EF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w:t>
            </w:r>
          </w:p>
        </w:tc>
        <w:tc>
          <w:tcPr>
            <w:tcW w:w="851" w:type="dxa"/>
            <w:tcBorders>
              <w:top w:val="nil"/>
              <w:left w:val="nil"/>
              <w:bottom w:val="single" w:sz="4" w:space="0" w:color="auto"/>
              <w:right w:val="single" w:sz="4" w:space="0" w:color="auto"/>
            </w:tcBorders>
            <w:vAlign w:val="center"/>
          </w:tcPr>
          <w:p w14:paraId="55D6A0D7" w14:textId="4571B76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 environmental management</w:t>
            </w:r>
          </w:p>
        </w:tc>
        <w:tc>
          <w:tcPr>
            <w:tcW w:w="993" w:type="dxa"/>
            <w:tcBorders>
              <w:top w:val="nil"/>
              <w:left w:val="nil"/>
              <w:bottom w:val="single" w:sz="4" w:space="0" w:color="auto"/>
              <w:right w:val="single" w:sz="4" w:space="0" w:color="auto"/>
            </w:tcBorders>
            <w:vAlign w:val="center"/>
          </w:tcPr>
          <w:p w14:paraId="25E547E7" w14:textId="599CBE1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Environmental Management, 303 (2022). https://doi.org/10.1016/j.jenvman2021.114246</w:t>
            </w:r>
          </w:p>
        </w:tc>
        <w:tc>
          <w:tcPr>
            <w:tcW w:w="708" w:type="dxa"/>
            <w:tcBorders>
              <w:top w:val="nil"/>
              <w:left w:val="nil"/>
              <w:bottom w:val="single" w:sz="4" w:space="0" w:color="auto"/>
              <w:right w:val="single" w:sz="4" w:space="0" w:color="auto"/>
            </w:tcBorders>
            <w:vAlign w:val="center"/>
          </w:tcPr>
          <w:p w14:paraId="68041CB1" w14:textId="1059936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0CD9FDA" w14:textId="577777F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B7A10BC" w14:textId="1D41C0A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4E0F263" w14:textId="239130E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raises the concern that the existing conceptualization of ‘vulnerability’, introduced in the IPCC Fifth Assessment Report (AR5), is not facilitative for standalone vulnerability assessments and that this conceptualization has not been well accepted by the vulnerability researchers. The authors identify three key reasons for low adoption of the AR5 conceptualization in climate change vulnerability assessments and urge the clarification of how the current conceptualization of ‘vulnerability’ can facilitate standalone climate change vulnerability assessments. They propose treating ‘exposure’ not only as a precondition for vulnerability but also as a secondary driver of vulnerability to capture the influence of differential exposure.</w:t>
            </w:r>
          </w:p>
        </w:tc>
        <w:tc>
          <w:tcPr>
            <w:tcW w:w="2268" w:type="dxa"/>
            <w:tcBorders>
              <w:top w:val="nil"/>
              <w:left w:val="nil"/>
              <w:bottom w:val="single" w:sz="4" w:space="0" w:color="auto"/>
              <w:right w:val="single" w:sz="8" w:space="0" w:color="auto"/>
            </w:tcBorders>
            <w:vAlign w:val="center"/>
          </w:tcPr>
          <w:p w14:paraId="04BF892C" w14:textId="2B968BF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about spatial implications of consecutive IPCC CVA methodologies</w:t>
            </w:r>
          </w:p>
        </w:tc>
      </w:tr>
      <w:tr w:rsidR="00EE2B83" w:rsidRPr="0002056A" w14:paraId="4BFBFA7E"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6368C41" w14:textId="02EA66ED"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Jackson, B.; Sörensen, G.; Möller, J.  (ed)</w:t>
            </w:r>
          </w:p>
        </w:tc>
        <w:tc>
          <w:tcPr>
            <w:tcW w:w="705" w:type="dxa"/>
            <w:tcBorders>
              <w:top w:val="nil"/>
              <w:left w:val="nil"/>
              <w:bottom w:val="single" w:sz="4" w:space="0" w:color="auto"/>
              <w:right w:val="single" w:sz="4" w:space="0" w:color="auto"/>
            </w:tcBorders>
            <w:vAlign w:val="center"/>
          </w:tcPr>
          <w:p w14:paraId="65AF64F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14C233C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Introduction to International Relations: Theories and Approaches </w:t>
            </w:r>
          </w:p>
        </w:tc>
        <w:tc>
          <w:tcPr>
            <w:tcW w:w="1134" w:type="dxa"/>
            <w:tcBorders>
              <w:top w:val="nil"/>
              <w:left w:val="nil"/>
              <w:bottom w:val="single" w:sz="4" w:space="0" w:color="auto"/>
              <w:right w:val="single" w:sz="4" w:space="0" w:color="auto"/>
            </w:tcBorders>
            <w:vAlign w:val="center"/>
          </w:tcPr>
          <w:p w14:paraId="7949020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USA-USA-USA</w:t>
            </w:r>
          </w:p>
        </w:tc>
        <w:tc>
          <w:tcPr>
            <w:tcW w:w="708" w:type="dxa"/>
            <w:tcBorders>
              <w:top w:val="nil"/>
              <w:left w:val="nil"/>
              <w:bottom w:val="single" w:sz="4" w:space="0" w:color="auto"/>
              <w:right w:val="single" w:sz="4" w:space="0" w:color="auto"/>
            </w:tcBorders>
            <w:vAlign w:val="center"/>
          </w:tcPr>
          <w:p w14:paraId="00E0A5B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vAlign w:val="center"/>
          </w:tcPr>
          <w:p w14:paraId="4542DE4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tcPr>
          <w:p w14:paraId="3155765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7</w:t>
            </w:r>
            <w:r w:rsidRPr="0002056A">
              <w:rPr>
                <w:rFonts w:ascii="Georgia" w:eastAsia="Times New Roman" w:hAnsi="Georgia" w:cs="Times New Roman"/>
                <w:color w:val="000000"/>
                <w:sz w:val="10"/>
                <w:szCs w:val="10"/>
                <w:vertAlign w:val="superscript"/>
                <w:lang w:val="en-GB" w:eastAsia="hu-HU"/>
              </w:rPr>
              <w:t>th</w:t>
            </w:r>
            <w:r w:rsidRPr="0002056A">
              <w:rPr>
                <w:rFonts w:ascii="Georgia" w:eastAsia="Times New Roman" w:hAnsi="Georgia" w:cs="Times New Roman"/>
                <w:color w:val="000000"/>
                <w:sz w:val="10"/>
                <w:szCs w:val="10"/>
                <w:lang w:val="en-GB" w:eastAsia="hu-HU"/>
              </w:rPr>
              <w:t xml:space="preserve"> Edition Oxford University Press</w:t>
            </w:r>
          </w:p>
        </w:tc>
        <w:tc>
          <w:tcPr>
            <w:tcW w:w="708" w:type="dxa"/>
            <w:tcBorders>
              <w:top w:val="nil"/>
              <w:left w:val="nil"/>
              <w:bottom w:val="single" w:sz="4" w:space="0" w:color="auto"/>
              <w:right w:val="single" w:sz="4" w:space="0" w:color="auto"/>
            </w:tcBorders>
            <w:vAlign w:val="center"/>
          </w:tcPr>
          <w:p w14:paraId="36A9261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1228302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ACD220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A9F9E7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accessible introduction to international relations, which demystifies the key theories, debates, and issues.</w:t>
            </w:r>
          </w:p>
        </w:tc>
        <w:tc>
          <w:tcPr>
            <w:tcW w:w="2268" w:type="dxa"/>
            <w:tcBorders>
              <w:top w:val="nil"/>
              <w:left w:val="nil"/>
              <w:bottom w:val="single" w:sz="4" w:space="0" w:color="auto"/>
              <w:right w:val="single" w:sz="8" w:space="0" w:color="auto"/>
            </w:tcBorders>
            <w:vAlign w:val="center"/>
          </w:tcPr>
          <w:p w14:paraId="78901ED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Comprehensive and meticulous introduction of different IR schools.</w:t>
            </w:r>
          </w:p>
        </w:tc>
      </w:tr>
      <w:tr w:rsidR="00EE2B83" w:rsidRPr="0002056A" w14:paraId="610789AD"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80AB06D" w14:textId="38284ACD"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Jensen, A.; Van Bommel, S.; Pedersen, A.B.; Nielsen, H.O., Kuindersma, W.</w:t>
            </w:r>
          </w:p>
        </w:tc>
        <w:tc>
          <w:tcPr>
            <w:tcW w:w="705" w:type="dxa"/>
            <w:tcBorders>
              <w:top w:val="nil"/>
              <w:left w:val="nil"/>
              <w:bottom w:val="single" w:sz="4" w:space="0" w:color="auto"/>
              <w:right w:val="single" w:sz="4" w:space="0" w:color="auto"/>
            </w:tcBorders>
            <w:vAlign w:val="center"/>
          </w:tcPr>
          <w:p w14:paraId="2D1F21D6" w14:textId="5F6F812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tcPr>
          <w:p w14:paraId="1E61D939" w14:textId="3CF6F1D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Framing climate change: new directions in Dutch and Danish Planning Strategies.</w:t>
            </w:r>
          </w:p>
        </w:tc>
        <w:tc>
          <w:tcPr>
            <w:tcW w:w="1134" w:type="dxa"/>
            <w:tcBorders>
              <w:top w:val="nil"/>
              <w:left w:val="nil"/>
              <w:bottom w:val="single" w:sz="4" w:space="0" w:color="auto"/>
              <w:right w:val="single" w:sz="4" w:space="0" w:color="auto"/>
            </w:tcBorders>
            <w:vAlign w:val="center"/>
          </w:tcPr>
          <w:p w14:paraId="2AD72850" w14:textId="023DE38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DEN, NRL, DEN, DEN, NRL</w:t>
            </w:r>
          </w:p>
        </w:tc>
        <w:tc>
          <w:tcPr>
            <w:tcW w:w="708" w:type="dxa"/>
            <w:tcBorders>
              <w:top w:val="nil"/>
              <w:left w:val="nil"/>
              <w:bottom w:val="single" w:sz="4" w:space="0" w:color="auto"/>
              <w:right w:val="single" w:sz="4" w:space="0" w:color="auto"/>
            </w:tcBorders>
            <w:vAlign w:val="center"/>
          </w:tcPr>
          <w:p w14:paraId="1B325F47" w14:textId="370EC8E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767DF4F1" w14:textId="5E1D249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592AACB2" w14:textId="62E69DE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Planning Theory&amp;Practice, Volume 4, Issue 2, 2013.</w:t>
            </w:r>
          </w:p>
        </w:tc>
        <w:tc>
          <w:tcPr>
            <w:tcW w:w="708" w:type="dxa"/>
            <w:tcBorders>
              <w:top w:val="nil"/>
              <w:left w:val="nil"/>
              <w:bottom w:val="single" w:sz="4" w:space="0" w:color="auto"/>
              <w:right w:val="single" w:sz="4" w:space="0" w:color="auto"/>
            </w:tcBorders>
            <w:vAlign w:val="center"/>
          </w:tcPr>
          <w:p w14:paraId="55301F46" w14:textId="1C2CEF1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22CAEE0" w14:textId="02DE187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73D972C" w14:textId="1D5E049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0DD5DFC" w14:textId="7F338619"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studies of change in particular framings of planning, induced by the integration of climate change policy issues in the strategic planning of Copenhagen (Denmark) and the Zuidplaspolder (the Netherlands), this paper analyses how climate policies push reframing the basic perceptions and spatial imaginaries of strategic planning, and how this affects planning as a politicised activity. </w:t>
            </w:r>
          </w:p>
        </w:tc>
        <w:tc>
          <w:tcPr>
            <w:tcW w:w="2268" w:type="dxa"/>
            <w:tcBorders>
              <w:top w:val="nil"/>
              <w:left w:val="nil"/>
              <w:bottom w:val="single" w:sz="4" w:space="0" w:color="auto"/>
              <w:right w:val="single" w:sz="8" w:space="0" w:color="auto"/>
            </w:tcBorders>
            <w:vAlign w:val="center"/>
          </w:tcPr>
          <w:p w14:paraId="66B1FAA5"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1D144BB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3F0976C5" w14:textId="2A06D284"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shows that reframing socio-spatial imaginaries influences the spatiality of the city/the polder, including a spatial identity, advocates certain solutions, and further enables institutional actors to reframe climate issues strategically to benefit other planning objectives as well as weaving together environmental agendas with economic agendas. However, new framings are challenged by some citizens/actors. At an institutional level, framing of planning may hence serve to relocate tensions and engage citizens and stakeholders in hard transitions, thus revealing implications beyond the discursive.</w:t>
            </w:r>
          </w:p>
          <w:p w14:paraId="480CB19E"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176B4EB6" w14:textId="2EAA56A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r>
      <w:tr w:rsidR="00EE2B83" w:rsidRPr="0002056A" w14:paraId="19989114"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CC58C44" w14:textId="7DADD2E1"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Jones, H. P.; D. G. Hole; E. S. Zavaleta </w:t>
            </w:r>
          </w:p>
        </w:tc>
        <w:tc>
          <w:tcPr>
            <w:tcW w:w="705" w:type="dxa"/>
            <w:tcBorders>
              <w:top w:val="nil"/>
              <w:left w:val="nil"/>
              <w:bottom w:val="single" w:sz="4" w:space="0" w:color="auto"/>
              <w:right w:val="single" w:sz="4" w:space="0" w:color="auto"/>
            </w:tcBorders>
            <w:vAlign w:val="center"/>
            <w:hideMark/>
          </w:tcPr>
          <w:p w14:paraId="61A2D40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3EAD341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Harnessing nature to help people adapt to climate change. </w:t>
            </w:r>
          </w:p>
        </w:tc>
        <w:tc>
          <w:tcPr>
            <w:tcW w:w="1134" w:type="dxa"/>
            <w:tcBorders>
              <w:top w:val="nil"/>
              <w:left w:val="nil"/>
              <w:bottom w:val="single" w:sz="4" w:space="0" w:color="auto"/>
              <w:right w:val="single" w:sz="4" w:space="0" w:color="auto"/>
            </w:tcBorders>
            <w:vAlign w:val="center"/>
            <w:hideMark/>
          </w:tcPr>
          <w:p w14:paraId="15B5040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vAlign w:val="center"/>
            <w:hideMark/>
          </w:tcPr>
          <w:p w14:paraId="5C67F23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Nature Publishing Group</w:t>
            </w:r>
          </w:p>
        </w:tc>
        <w:tc>
          <w:tcPr>
            <w:tcW w:w="851" w:type="dxa"/>
            <w:tcBorders>
              <w:top w:val="nil"/>
              <w:left w:val="nil"/>
              <w:bottom w:val="single" w:sz="4" w:space="0" w:color="auto"/>
              <w:right w:val="single" w:sz="4" w:space="0" w:color="auto"/>
            </w:tcBorders>
            <w:vAlign w:val="center"/>
            <w:hideMark/>
          </w:tcPr>
          <w:p w14:paraId="1AC4A70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nature conservation/climate adaptation policy</w:t>
            </w:r>
          </w:p>
        </w:tc>
        <w:tc>
          <w:tcPr>
            <w:tcW w:w="993" w:type="dxa"/>
            <w:tcBorders>
              <w:top w:val="nil"/>
              <w:left w:val="nil"/>
              <w:bottom w:val="single" w:sz="4" w:space="0" w:color="auto"/>
              <w:right w:val="single" w:sz="4" w:space="0" w:color="auto"/>
            </w:tcBorders>
            <w:vAlign w:val="center"/>
            <w:hideMark/>
          </w:tcPr>
          <w:p w14:paraId="0548E9C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Nature Climate Change 2; pp. 504-509.</w:t>
            </w:r>
          </w:p>
        </w:tc>
        <w:tc>
          <w:tcPr>
            <w:tcW w:w="708" w:type="dxa"/>
            <w:tcBorders>
              <w:top w:val="nil"/>
              <w:left w:val="nil"/>
              <w:bottom w:val="single" w:sz="4" w:space="0" w:color="auto"/>
              <w:right w:val="single" w:sz="4" w:space="0" w:color="auto"/>
            </w:tcBorders>
            <w:vAlign w:val="center"/>
            <w:hideMark/>
          </w:tcPr>
          <w:p w14:paraId="593E15A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DD223C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1B451C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DB2251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the authors, “an overwhelming focus of adaptation strategies to reduce climate change-related hazards has been on hard-engineering structures such as sea walls, irrigation infrastructure and dams. Closer attention to a broader spectrum of adaptation options is urgently needed. In particular, ecosystem-based adaptation approaches provide flexible, cost-effective and broadly applicable alternatives for buffering the impacts of climate change, while overcoming many drawbacks of hard infrastructure”.</w:t>
            </w:r>
          </w:p>
        </w:tc>
        <w:tc>
          <w:tcPr>
            <w:tcW w:w="2268" w:type="dxa"/>
            <w:tcBorders>
              <w:top w:val="nil"/>
              <w:left w:val="nil"/>
              <w:bottom w:val="single" w:sz="4" w:space="0" w:color="auto"/>
              <w:right w:val="single" w:sz="8" w:space="0" w:color="auto"/>
            </w:tcBorders>
            <w:vAlign w:val="center"/>
          </w:tcPr>
          <w:p w14:paraId="7646EA54"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importance of NBSs in climate adaptation.</w:t>
            </w:r>
          </w:p>
        </w:tc>
      </w:tr>
      <w:tr w:rsidR="00EE2B83" w:rsidRPr="0002056A" w14:paraId="7FE85F7D"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D0269C9"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Kabeyi, M.J.B. </w:t>
            </w:r>
          </w:p>
        </w:tc>
        <w:tc>
          <w:tcPr>
            <w:tcW w:w="705" w:type="dxa"/>
            <w:tcBorders>
              <w:top w:val="nil"/>
              <w:left w:val="nil"/>
              <w:bottom w:val="single" w:sz="4" w:space="0" w:color="auto"/>
              <w:right w:val="single" w:sz="4" w:space="0" w:color="auto"/>
            </w:tcBorders>
            <w:vAlign w:val="center"/>
            <w:hideMark/>
          </w:tcPr>
          <w:p w14:paraId="30A0FC5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2AFE6C67"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Evolution of Project Management, Monitoring and Evaluation, with Historical Events and Projects that Have Shaped the Development of Project Management as a Profession</w:t>
            </w:r>
          </w:p>
        </w:tc>
        <w:tc>
          <w:tcPr>
            <w:tcW w:w="1134" w:type="dxa"/>
            <w:tcBorders>
              <w:top w:val="nil"/>
              <w:left w:val="nil"/>
              <w:bottom w:val="single" w:sz="4" w:space="0" w:color="auto"/>
              <w:right w:val="single" w:sz="4" w:space="0" w:color="auto"/>
            </w:tcBorders>
            <w:vAlign w:val="center"/>
            <w:hideMark/>
          </w:tcPr>
          <w:p w14:paraId="7D91857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DAF</w:t>
            </w:r>
          </w:p>
        </w:tc>
        <w:tc>
          <w:tcPr>
            <w:tcW w:w="708" w:type="dxa"/>
            <w:tcBorders>
              <w:top w:val="nil"/>
              <w:left w:val="nil"/>
              <w:bottom w:val="single" w:sz="4" w:space="0" w:color="auto"/>
              <w:right w:val="single" w:sz="4" w:space="0" w:color="auto"/>
            </w:tcBorders>
            <w:vAlign w:val="center"/>
            <w:hideMark/>
          </w:tcPr>
          <w:p w14:paraId="52BAA64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International Journal of Science and Research </w:t>
            </w:r>
          </w:p>
        </w:tc>
        <w:tc>
          <w:tcPr>
            <w:tcW w:w="851" w:type="dxa"/>
            <w:tcBorders>
              <w:top w:val="nil"/>
              <w:left w:val="nil"/>
              <w:bottom w:val="single" w:sz="4" w:space="0" w:color="auto"/>
              <w:right w:val="single" w:sz="4" w:space="0" w:color="auto"/>
            </w:tcBorders>
            <w:vAlign w:val="center"/>
            <w:hideMark/>
          </w:tcPr>
          <w:p w14:paraId="5D89257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management theories, strategic planning (evaluation theory, methodology)</w:t>
            </w:r>
          </w:p>
        </w:tc>
        <w:tc>
          <w:tcPr>
            <w:tcW w:w="993" w:type="dxa"/>
            <w:tcBorders>
              <w:top w:val="nil"/>
              <w:left w:val="nil"/>
              <w:bottom w:val="single" w:sz="4" w:space="0" w:color="auto"/>
              <w:right w:val="single" w:sz="4" w:space="0" w:color="auto"/>
            </w:tcBorders>
            <w:vAlign w:val="center"/>
            <w:hideMark/>
          </w:tcPr>
          <w:p w14:paraId="716E365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Journal of Science and Research (IJSR) · December 2019</w:t>
            </w:r>
          </w:p>
        </w:tc>
        <w:tc>
          <w:tcPr>
            <w:tcW w:w="708" w:type="dxa"/>
            <w:tcBorders>
              <w:top w:val="nil"/>
              <w:left w:val="nil"/>
              <w:bottom w:val="single" w:sz="4" w:space="0" w:color="auto"/>
              <w:right w:val="single" w:sz="4" w:space="0" w:color="auto"/>
            </w:tcBorders>
            <w:vAlign w:val="center"/>
            <w:hideMark/>
          </w:tcPr>
          <w:p w14:paraId="2C28979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C4BE41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67AA36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9DB2D63"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evaluation project management and its main pillars.</w:t>
            </w:r>
          </w:p>
        </w:tc>
        <w:tc>
          <w:tcPr>
            <w:tcW w:w="2268" w:type="dxa"/>
            <w:tcBorders>
              <w:top w:val="nil"/>
              <w:left w:val="nil"/>
              <w:bottom w:val="single" w:sz="4" w:space="0" w:color="auto"/>
              <w:right w:val="single" w:sz="8" w:space="0" w:color="auto"/>
            </w:tcBorders>
            <w:vAlign w:val="center"/>
          </w:tcPr>
          <w:p w14:paraId="486904C2"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several concepts, definitions of monitoring, evaluation and reporting.</w:t>
            </w:r>
          </w:p>
        </w:tc>
      </w:tr>
      <w:tr w:rsidR="00EE2B83" w:rsidRPr="0002056A" w14:paraId="279E95C6"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0A43686"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Kajner, P., Czira, T., Selmeczi, P., Sütő, A. </w:t>
            </w:r>
          </w:p>
        </w:tc>
        <w:tc>
          <w:tcPr>
            <w:tcW w:w="705" w:type="dxa"/>
            <w:tcBorders>
              <w:top w:val="nil"/>
              <w:left w:val="nil"/>
              <w:bottom w:val="single" w:sz="4" w:space="0" w:color="auto"/>
              <w:right w:val="single" w:sz="4" w:space="0" w:color="auto"/>
            </w:tcBorders>
            <w:vAlign w:val="center"/>
            <w:hideMark/>
          </w:tcPr>
          <w:p w14:paraId="06CC6CC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6B74D2D2" w14:textId="1323815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National Adaptation Geo-Information System in climate adaptation planning. </w:t>
            </w:r>
          </w:p>
        </w:tc>
        <w:tc>
          <w:tcPr>
            <w:tcW w:w="1134" w:type="dxa"/>
            <w:tcBorders>
              <w:top w:val="nil"/>
              <w:left w:val="nil"/>
              <w:bottom w:val="single" w:sz="4" w:space="0" w:color="auto"/>
              <w:right w:val="single" w:sz="4" w:space="0" w:color="auto"/>
            </w:tcBorders>
            <w:vAlign w:val="center"/>
            <w:hideMark/>
          </w:tcPr>
          <w:p w14:paraId="7BC8B0A8" w14:textId="0153015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 HUN</w:t>
            </w:r>
          </w:p>
        </w:tc>
        <w:tc>
          <w:tcPr>
            <w:tcW w:w="708" w:type="dxa"/>
            <w:tcBorders>
              <w:top w:val="nil"/>
              <w:left w:val="nil"/>
              <w:bottom w:val="single" w:sz="4" w:space="0" w:color="auto"/>
              <w:right w:val="single" w:sz="4" w:space="0" w:color="auto"/>
            </w:tcBorders>
            <w:vAlign w:val="center"/>
            <w:hideMark/>
          </w:tcPr>
          <w:p w14:paraId="5D2E0C4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Hungarian Meteorological Service</w:t>
            </w:r>
          </w:p>
        </w:tc>
        <w:tc>
          <w:tcPr>
            <w:tcW w:w="851" w:type="dxa"/>
            <w:tcBorders>
              <w:top w:val="nil"/>
              <w:left w:val="nil"/>
              <w:bottom w:val="single" w:sz="4" w:space="0" w:color="auto"/>
              <w:right w:val="single" w:sz="4" w:space="0" w:color="auto"/>
            </w:tcBorders>
            <w:vAlign w:val="center"/>
            <w:hideMark/>
          </w:tcPr>
          <w:p w14:paraId="4A9AB5C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 climate adaptation policy</w:t>
            </w:r>
          </w:p>
        </w:tc>
        <w:tc>
          <w:tcPr>
            <w:tcW w:w="993" w:type="dxa"/>
            <w:tcBorders>
              <w:top w:val="nil"/>
              <w:left w:val="nil"/>
              <w:bottom w:val="single" w:sz="4" w:space="0" w:color="auto"/>
              <w:right w:val="single" w:sz="4" w:space="0" w:color="auto"/>
            </w:tcBorders>
            <w:vAlign w:val="center"/>
            <w:hideMark/>
          </w:tcPr>
          <w:p w14:paraId="2C3C319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Időjárás, Quarterly Journal of the Hungarian Meteorological Service. Vol. 121, No. 4, October- December 2017, pp. 345–370. </w:t>
            </w:r>
          </w:p>
        </w:tc>
        <w:tc>
          <w:tcPr>
            <w:tcW w:w="708" w:type="dxa"/>
            <w:tcBorders>
              <w:top w:val="nil"/>
              <w:left w:val="nil"/>
              <w:bottom w:val="single" w:sz="4" w:space="0" w:color="auto"/>
              <w:right w:val="single" w:sz="4" w:space="0" w:color="auto"/>
            </w:tcBorders>
            <w:vAlign w:val="center"/>
            <w:hideMark/>
          </w:tcPr>
          <w:p w14:paraId="1C4649D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4F8B7F7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5A6DC1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D55431A" w14:textId="6A76389D"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describes the establishment and the main characteristics of the holistic, horizontal national climate adaptation-oriented GIS-based DS system of Hungary.</w:t>
            </w:r>
          </w:p>
        </w:tc>
        <w:tc>
          <w:tcPr>
            <w:tcW w:w="2268" w:type="dxa"/>
            <w:tcBorders>
              <w:top w:val="nil"/>
              <w:left w:val="nil"/>
              <w:bottom w:val="single" w:sz="4" w:space="0" w:color="auto"/>
              <w:right w:val="single" w:sz="8" w:space="0" w:color="auto"/>
            </w:tcBorders>
            <w:vAlign w:val="center"/>
          </w:tcPr>
          <w:p w14:paraId="2AFC2EDD" w14:textId="05AF4574"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NAGiS system as a European-level good practice.</w:t>
            </w:r>
          </w:p>
        </w:tc>
      </w:tr>
      <w:tr w:rsidR="00EE2B83" w:rsidRPr="0002056A" w14:paraId="5ED46F84"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3435471" w14:textId="63FC5428"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Karanika, M.; Kallioras, D.</w:t>
            </w:r>
          </w:p>
        </w:tc>
        <w:tc>
          <w:tcPr>
            <w:tcW w:w="705" w:type="dxa"/>
            <w:tcBorders>
              <w:top w:val="nil"/>
              <w:left w:val="nil"/>
              <w:bottom w:val="single" w:sz="4" w:space="0" w:color="auto"/>
              <w:right w:val="single" w:sz="4" w:space="0" w:color="auto"/>
            </w:tcBorders>
            <w:vAlign w:val="center"/>
          </w:tcPr>
          <w:p w14:paraId="090B5403" w14:textId="2D7BC59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12A2AC38" w14:textId="422F7B6B"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 spatiality under question – territorial cohesion in danger</w:t>
            </w:r>
          </w:p>
        </w:tc>
        <w:tc>
          <w:tcPr>
            <w:tcW w:w="1134" w:type="dxa"/>
            <w:tcBorders>
              <w:top w:val="nil"/>
              <w:left w:val="nil"/>
              <w:bottom w:val="single" w:sz="4" w:space="0" w:color="auto"/>
              <w:right w:val="single" w:sz="4" w:space="0" w:color="auto"/>
            </w:tcBorders>
            <w:vAlign w:val="center"/>
          </w:tcPr>
          <w:p w14:paraId="05B58B82" w14:textId="2E9B9A0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GRE, GRE</w:t>
            </w:r>
          </w:p>
        </w:tc>
        <w:tc>
          <w:tcPr>
            <w:tcW w:w="708" w:type="dxa"/>
            <w:tcBorders>
              <w:top w:val="nil"/>
              <w:left w:val="nil"/>
              <w:bottom w:val="single" w:sz="4" w:space="0" w:color="auto"/>
              <w:right w:val="single" w:sz="4" w:space="0" w:color="auto"/>
            </w:tcBorders>
            <w:vAlign w:val="center"/>
          </w:tcPr>
          <w:p w14:paraId="20B59F51" w14:textId="77BDE08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UC Santa Barbara</w:t>
            </w:r>
          </w:p>
        </w:tc>
        <w:tc>
          <w:tcPr>
            <w:tcW w:w="851" w:type="dxa"/>
            <w:tcBorders>
              <w:top w:val="nil"/>
              <w:left w:val="nil"/>
              <w:bottom w:val="single" w:sz="4" w:space="0" w:color="auto"/>
              <w:right w:val="single" w:sz="4" w:space="0" w:color="auto"/>
            </w:tcBorders>
            <w:vAlign w:val="center"/>
          </w:tcPr>
          <w:p w14:paraId="72ADBCE4" w14:textId="2C16856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 spatial development policy</w:t>
            </w:r>
          </w:p>
        </w:tc>
        <w:tc>
          <w:tcPr>
            <w:tcW w:w="993" w:type="dxa"/>
            <w:tcBorders>
              <w:top w:val="nil"/>
              <w:left w:val="nil"/>
              <w:bottom w:val="single" w:sz="4" w:space="0" w:color="auto"/>
              <w:right w:val="single" w:sz="4" w:space="0" w:color="auto"/>
            </w:tcBorders>
            <w:vAlign w:val="center"/>
          </w:tcPr>
          <w:p w14:paraId="0255673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Territories: A Trans-Cultural Journal of regional Studies, 1(1)</w:t>
            </w:r>
          </w:p>
          <w:p w14:paraId="5611A9F1" w14:textId="232E35E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hyperlink r:id="rId163" w:history="1">
              <w:r w:rsidRPr="0002056A">
                <w:rPr>
                  <w:rStyle w:val="Hiperhivatkozs"/>
                  <w:rFonts w:ascii="Georgia" w:eastAsia="Times New Roman" w:hAnsi="Georgia" w:cs="Times New Roman"/>
                  <w:sz w:val="10"/>
                  <w:szCs w:val="10"/>
                  <w:lang w:val="en-GB" w:eastAsia="hu-HU"/>
                </w:rPr>
                <w:t>https://doi.10.5070/T21141511</w:t>
              </w:r>
            </w:hyperlink>
          </w:p>
          <w:p w14:paraId="0E346833" w14:textId="30F0DF2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https://escholaship.org/uc/item/6sg0n7gg</w:t>
            </w:r>
          </w:p>
        </w:tc>
        <w:tc>
          <w:tcPr>
            <w:tcW w:w="708" w:type="dxa"/>
            <w:tcBorders>
              <w:top w:val="nil"/>
              <w:left w:val="nil"/>
              <w:bottom w:val="single" w:sz="4" w:space="0" w:color="auto"/>
              <w:right w:val="single" w:sz="4" w:space="0" w:color="auto"/>
            </w:tcBorders>
            <w:vAlign w:val="center"/>
          </w:tcPr>
          <w:p w14:paraId="0B8E1943" w14:textId="26647FC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56BE3AC" w14:textId="78873E1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70A307F" w14:textId="77663D7D"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CF3715F" w14:textId="0FCFDF82"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highlights the importance of spatial transformations with respect to the EU integration undertaking and the fact that the insufficient knowledge of the inherent characteristics of territory poses a threat to the achievement of the territorial cohesion objective.</w:t>
            </w:r>
          </w:p>
        </w:tc>
        <w:tc>
          <w:tcPr>
            <w:tcW w:w="2268" w:type="dxa"/>
            <w:tcBorders>
              <w:top w:val="nil"/>
              <w:left w:val="nil"/>
              <w:bottom w:val="single" w:sz="4" w:space="0" w:color="auto"/>
              <w:right w:val="single" w:sz="8" w:space="0" w:color="auto"/>
            </w:tcBorders>
            <w:vAlign w:val="center"/>
          </w:tcPr>
          <w:p w14:paraId="02511F75" w14:textId="3F23E71D"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Useful and detailed introduction of space, place and territory – related concepts. It highlights the importance of spatial formations in human pursuits and points out their importance in the European Masterplan through decoding the concepts of space, place and territory</w:t>
            </w:r>
          </w:p>
        </w:tc>
      </w:tr>
      <w:tr w:rsidR="00EE2B83" w:rsidRPr="0002056A" w14:paraId="5B930CB3"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9E49D55"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Kelly, Ph. </w:t>
            </w:r>
          </w:p>
          <w:p w14:paraId="22747589"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68CDD0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3ABDEBE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Classical Geopolitics: A New Analytical Model. </w:t>
            </w:r>
          </w:p>
        </w:tc>
        <w:tc>
          <w:tcPr>
            <w:tcW w:w="1134" w:type="dxa"/>
            <w:tcBorders>
              <w:top w:val="nil"/>
              <w:left w:val="nil"/>
              <w:bottom w:val="single" w:sz="4" w:space="0" w:color="auto"/>
              <w:right w:val="single" w:sz="4" w:space="0" w:color="auto"/>
            </w:tcBorders>
            <w:vAlign w:val="center"/>
          </w:tcPr>
          <w:p w14:paraId="230FB80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2D14172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Stanford University</w:t>
            </w:r>
          </w:p>
        </w:tc>
        <w:tc>
          <w:tcPr>
            <w:tcW w:w="851" w:type="dxa"/>
            <w:tcBorders>
              <w:top w:val="nil"/>
              <w:left w:val="nil"/>
              <w:bottom w:val="single" w:sz="4" w:space="0" w:color="auto"/>
              <w:right w:val="single" w:sz="4" w:space="0" w:color="auto"/>
            </w:tcBorders>
            <w:vAlign w:val="center"/>
          </w:tcPr>
          <w:p w14:paraId="76C9CE0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36F18A4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Stanford University Press, 2016.  ISBN: 9780804799508. </w:t>
            </w:r>
            <w:hyperlink r:id="rId164" w:history="1">
              <w:r w:rsidRPr="0002056A">
                <w:rPr>
                  <w:rStyle w:val="Hiperhivatkozs"/>
                  <w:rFonts w:ascii="Georgia" w:hAnsi="Georgia"/>
                  <w:sz w:val="10"/>
                  <w:szCs w:val="10"/>
                  <w:lang w:val="en-GB"/>
                </w:rPr>
                <w:t>http://www.sup.org/books/title/?id=25589</w:t>
              </w:r>
            </w:hyperlink>
          </w:p>
        </w:tc>
        <w:tc>
          <w:tcPr>
            <w:tcW w:w="708" w:type="dxa"/>
            <w:tcBorders>
              <w:top w:val="nil"/>
              <w:left w:val="nil"/>
              <w:bottom w:val="single" w:sz="4" w:space="0" w:color="auto"/>
              <w:right w:val="single" w:sz="4" w:space="0" w:color="auto"/>
            </w:tcBorders>
            <w:vAlign w:val="center"/>
          </w:tcPr>
          <w:p w14:paraId="6B51C3F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3AD6D6B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EF7B5C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00616FE"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Classical Geopolitics, Phil Kelly attempts to build a common theoretical model, incorporating a host of variables that reflect the complexity of the modern geopolitical stage. He then analyses thirteen pivotal but widely differing historical events stretching from the Peloponnesian War to World War II, from the fall of the British and Soviet empires to the contemporary diplomacy of South America.</w:t>
            </w:r>
          </w:p>
        </w:tc>
        <w:tc>
          <w:tcPr>
            <w:tcW w:w="2268" w:type="dxa"/>
            <w:tcBorders>
              <w:top w:val="nil"/>
              <w:left w:val="nil"/>
              <w:bottom w:val="single" w:sz="4" w:space="0" w:color="auto"/>
              <w:right w:val="single" w:sz="8" w:space="0" w:color="auto"/>
            </w:tcBorders>
            <w:vAlign w:val="center"/>
          </w:tcPr>
          <w:p w14:paraId="64ACFDD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comprises among other things concepts / definitions of geopolitics.</w:t>
            </w:r>
          </w:p>
        </w:tc>
      </w:tr>
      <w:tr w:rsidR="00EE2B83" w:rsidRPr="0002056A" w14:paraId="45D892B2"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35B28F0"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Kerbler, B. </w:t>
            </w:r>
          </w:p>
          <w:p w14:paraId="4B3E46F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2F35726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3071EEB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Revitalisation of open spaces, changing centralities and neighbourhoods, and the importance of spatial planning for climate change adaptation. </w:t>
            </w:r>
          </w:p>
        </w:tc>
        <w:tc>
          <w:tcPr>
            <w:tcW w:w="1134" w:type="dxa"/>
            <w:tcBorders>
              <w:top w:val="nil"/>
              <w:left w:val="nil"/>
              <w:bottom w:val="single" w:sz="4" w:space="0" w:color="auto"/>
              <w:right w:val="single" w:sz="4" w:space="0" w:color="auto"/>
            </w:tcBorders>
            <w:vAlign w:val="center"/>
          </w:tcPr>
          <w:p w14:paraId="1DDFEFD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SLN</w:t>
            </w:r>
          </w:p>
        </w:tc>
        <w:tc>
          <w:tcPr>
            <w:tcW w:w="708" w:type="dxa"/>
            <w:tcBorders>
              <w:top w:val="nil"/>
              <w:left w:val="nil"/>
              <w:bottom w:val="single" w:sz="4" w:space="0" w:color="auto"/>
              <w:right w:val="single" w:sz="4" w:space="0" w:color="auto"/>
            </w:tcBorders>
            <w:vAlign w:val="center"/>
          </w:tcPr>
          <w:p w14:paraId="33020E7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Urbanistični inštitut Republike Slovenije</w:t>
            </w:r>
          </w:p>
        </w:tc>
        <w:tc>
          <w:tcPr>
            <w:tcW w:w="851" w:type="dxa"/>
            <w:tcBorders>
              <w:top w:val="nil"/>
              <w:left w:val="nil"/>
              <w:bottom w:val="single" w:sz="4" w:space="0" w:color="auto"/>
              <w:right w:val="single" w:sz="4" w:space="0" w:color="auto"/>
            </w:tcBorders>
            <w:vAlign w:val="center"/>
          </w:tcPr>
          <w:p w14:paraId="70F2880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sociology, spatial planning</w:t>
            </w:r>
          </w:p>
        </w:tc>
        <w:tc>
          <w:tcPr>
            <w:tcW w:w="993" w:type="dxa"/>
            <w:tcBorders>
              <w:top w:val="nil"/>
              <w:left w:val="nil"/>
              <w:bottom w:val="single" w:sz="4" w:space="0" w:color="auto"/>
              <w:right w:val="single" w:sz="4" w:space="0" w:color="auto"/>
            </w:tcBorders>
            <w:vAlign w:val="center"/>
          </w:tcPr>
          <w:p w14:paraId="235984B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Urbani Izziv. Vol. 27, No. 1 (June 2016), pp. 89-94.</w:t>
            </w:r>
          </w:p>
        </w:tc>
        <w:tc>
          <w:tcPr>
            <w:tcW w:w="708" w:type="dxa"/>
            <w:tcBorders>
              <w:top w:val="nil"/>
              <w:left w:val="nil"/>
              <w:bottom w:val="single" w:sz="4" w:space="0" w:color="auto"/>
              <w:right w:val="single" w:sz="4" w:space="0" w:color="auto"/>
            </w:tcBorders>
            <w:vAlign w:val="center"/>
          </w:tcPr>
          <w:p w14:paraId="3C44D98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859548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60D768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D88A93A"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further developed selected findings from the previous </w:t>
            </w:r>
          </w:p>
          <w:p w14:paraId="5ED0F8E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issues of the journal. A critical comparative analysis of these earlier articles is presented by the study in order to provide added value to the articles and research findings published earlier in this journal, and hence further enhance their research profile.</w:t>
            </w:r>
          </w:p>
        </w:tc>
        <w:tc>
          <w:tcPr>
            <w:tcW w:w="2268" w:type="dxa"/>
            <w:tcBorders>
              <w:top w:val="nil"/>
              <w:left w:val="nil"/>
              <w:bottom w:val="single" w:sz="4" w:space="0" w:color="auto"/>
              <w:right w:val="single" w:sz="8" w:space="0" w:color="auto"/>
            </w:tcBorders>
            <w:vAlign w:val="center"/>
          </w:tcPr>
          <w:p w14:paraId="11E97FC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describes the importance of spatial planning for climate change adaptation and the possible ways to utilize risk assessments’ results, climate models and scenarios for better prediction of climate change impacts.</w:t>
            </w:r>
          </w:p>
        </w:tc>
      </w:tr>
      <w:tr w:rsidR="00EE2B83" w:rsidRPr="0002056A" w14:paraId="6F0208BA"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0808B7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Kerekes, S. </w:t>
            </w:r>
          </w:p>
        </w:tc>
        <w:tc>
          <w:tcPr>
            <w:tcW w:w="705" w:type="dxa"/>
            <w:tcBorders>
              <w:top w:val="nil"/>
              <w:left w:val="nil"/>
              <w:bottom w:val="single" w:sz="4" w:space="0" w:color="auto"/>
              <w:right w:val="single" w:sz="4" w:space="0" w:color="auto"/>
            </w:tcBorders>
            <w:vAlign w:val="center"/>
            <w:hideMark/>
          </w:tcPr>
          <w:p w14:paraId="7E73DF3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hideMark/>
          </w:tcPr>
          <w:p w14:paraId="3E46887C" w14:textId="440629D6"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Chasing the Impossible. Sustainable Development Is a Wicked Problem, but It Can Be and Should Be Tamed!” </w:t>
            </w:r>
          </w:p>
        </w:tc>
        <w:tc>
          <w:tcPr>
            <w:tcW w:w="1134" w:type="dxa"/>
            <w:tcBorders>
              <w:top w:val="nil"/>
              <w:left w:val="nil"/>
              <w:bottom w:val="single" w:sz="4" w:space="0" w:color="auto"/>
              <w:right w:val="single" w:sz="4" w:space="0" w:color="auto"/>
            </w:tcBorders>
            <w:vAlign w:val="center"/>
            <w:hideMark/>
          </w:tcPr>
          <w:p w14:paraId="32EED8A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0FFB910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40F7C97B" w14:textId="7AD0251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economics, sustainable development, climate adaptation policy</w:t>
            </w:r>
          </w:p>
        </w:tc>
        <w:tc>
          <w:tcPr>
            <w:tcW w:w="993" w:type="dxa"/>
            <w:tcBorders>
              <w:top w:val="nil"/>
              <w:left w:val="nil"/>
              <w:bottom w:val="single" w:sz="4" w:space="0" w:color="auto"/>
              <w:right w:val="single" w:sz="4" w:space="0" w:color="auto"/>
            </w:tcBorders>
            <w:vAlign w:val="center"/>
            <w:hideMark/>
          </w:tcPr>
          <w:p w14:paraId="7CF94AE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 World Futures–12.</w:t>
            </w:r>
          </w:p>
        </w:tc>
        <w:tc>
          <w:tcPr>
            <w:tcW w:w="708" w:type="dxa"/>
            <w:tcBorders>
              <w:top w:val="nil"/>
              <w:left w:val="nil"/>
              <w:bottom w:val="single" w:sz="4" w:space="0" w:color="auto"/>
              <w:right w:val="single" w:sz="4" w:space="0" w:color="auto"/>
            </w:tcBorders>
            <w:vAlign w:val="center"/>
            <w:hideMark/>
          </w:tcPr>
          <w:p w14:paraId="02BB43E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527DEF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5A257F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0169214"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 make use of the results of wicked problems in planning sustainable development, the author is trying to make the connection in the article. </w:t>
            </w:r>
          </w:p>
        </w:tc>
        <w:tc>
          <w:tcPr>
            <w:tcW w:w="2268" w:type="dxa"/>
            <w:tcBorders>
              <w:top w:val="nil"/>
              <w:left w:val="nil"/>
              <w:bottom w:val="single" w:sz="4" w:space="0" w:color="auto"/>
              <w:right w:val="single" w:sz="8" w:space="0" w:color="auto"/>
            </w:tcBorders>
            <w:vAlign w:val="center"/>
          </w:tcPr>
          <w:p w14:paraId="7CEEC4D5"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Describes the way to tackle wicked and non-ergodic problems and their usefulness in handling CC impacts.</w:t>
            </w:r>
          </w:p>
        </w:tc>
      </w:tr>
      <w:tr w:rsidR="00EE2B83" w:rsidRPr="0002056A" w14:paraId="0BC4DD45"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68D86E7" w14:textId="0C32F370"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color w:val="000000"/>
                <w:sz w:val="14"/>
                <w:szCs w:val="14"/>
                <w:lang w:val="en-GB" w:eastAsia="hu-HU"/>
              </w:rPr>
              <w:t xml:space="preserve">Kern, K. </w:t>
            </w:r>
          </w:p>
        </w:tc>
        <w:tc>
          <w:tcPr>
            <w:tcW w:w="705" w:type="dxa"/>
            <w:tcBorders>
              <w:top w:val="nil"/>
              <w:left w:val="nil"/>
              <w:bottom w:val="single" w:sz="4" w:space="0" w:color="auto"/>
              <w:right w:val="single" w:sz="4" w:space="0" w:color="auto"/>
            </w:tcBorders>
            <w:vAlign w:val="center"/>
          </w:tcPr>
          <w:p w14:paraId="0E7D3F63" w14:textId="19B1D42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75F568EA" w14:textId="3D5B108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Cities in EU multilevel climate policy: governance capacities, spatial approaches and upscaling of local experiments.</w:t>
            </w:r>
          </w:p>
        </w:tc>
        <w:tc>
          <w:tcPr>
            <w:tcW w:w="1134" w:type="dxa"/>
            <w:tcBorders>
              <w:top w:val="nil"/>
              <w:left w:val="nil"/>
              <w:bottom w:val="single" w:sz="4" w:space="0" w:color="auto"/>
              <w:right w:val="single" w:sz="4" w:space="0" w:color="auto"/>
            </w:tcBorders>
            <w:vAlign w:val="center"/>
          </w:tcPr>
          <w:p w14:paraId="62C6E2CD" w14:textId="6996642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02F7ADD0" w14:textId="498E480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Elgar</w:t>
            </w:r>
          </w:p>
        </w:tc>
        <w:tc>
          <w:tcPr>
            <w:tcW w:w="851" w:type="dxa"/>
            <w:tcBorders>
              <w:top w:val="nil"/>
              <w:left w:val="nil"/>
              <w:bottom w:val="single" w:sz="4" w:space="0" w:color="auto"/>
              <w:right w:val="single" w:sz="4" w:space="0" w:color="auto"/>
            </w:tcBorders>
            <w:vAlign w:val="center"/>
          </w:tcPr>
          <w:p w14:paraId="72D3C825" w14:textId="726EE08E"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41B22D81" w14:textId="1B96315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Rayner, T.; Szulecki, K.; Jordan, A.J.; Oberthür, S. (Ed.): Handbook on European Union Climate Change Policy and Politics. Elgar Handbooks in Energy, the Environment and Climate Change.; </w:t>
            </w:r>
          </w:p>
        </w:tc>
        <w:tc>
          <w:tcPr>
            <w:tcW w:w="708" w:type="dxa"/>
            <w:tcBorders>
              <w:top w:val="nil"/>
              <w:left w:val="nil"/>
              <w:bottom w:val="single" w:sz="4" w:space="0" w:color="auto"/>
              <w:right w:val="single" w:sz="4" w:space="0" w:color="auto"/>
            </w:tcBorders>
            <w:vAlign w:val="center"/>
          </w:tcPr>
          <w:p w14:paraId="6B887438" w14:textId="5D80713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6CDF77AF" w14:textId="2383BC2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3FF71C7" w14:textId="0FD5B2A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9BCCD37" w14:textId="6740F9C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discusses, first, the changes of local climate governance in the EU multilevel system because different instruments are needed for specific types of cities. Second, the paper provides an overview on the phases of EU-city relations from the emergence of transnational city networks to the establishment of the EU Covenant of Mayors and the development of the European Green Deal. Third, the paper focuses on the dynamics between leading and lagging cities in Europe.</w:t>
            </w:r>
          </w:p>
        </w:tc>
        <w:tc>
          <w:tcPr>
            <w:tcW w:w="2268" w:type="dxa"/>
            <w:tcBorders>
              <w:top w:val="nil"/>
              <w:left w:val="nil"/>
              <w:bottom w:val="single" w:sz="4" w:space="0" w:color="auto"/>
              <w:right w:val="single" w:sz="8" w:space="0" w:color="auto"/>
            </w:tcBorders>
            <w:vAlign w:val="center"/>
          </w:tcPr>
          <w:p w14:paraId="0C4F4768"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god example of city- and city-differences oriented approach in climate change -related literature.</w:t>
            </w:r>
          </w:p>
          <w:p w14:paraId="2B197C5E"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r>
      <w:tr w:rsidR="00EE2B83" w:rsidRPr="0002056A" w14:paraId="78DA921D"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C15BE0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Khajuria, A. and Ravindranath, N.H.</w:t>
            </w:r>
          </w:p>
        </w:tc>
        <w:tc>
          <w:tcPr>
            <w:tcW w:w="705" w:type="dxa"/>
            <w:tcBorders>
              <w:top w:val="nil"/>
              <w:left w:val="nil"/>
              <w:bottom w:val="single" w:sz="4" w:space="0" w:color="auto"/>
              <w:right w:val="single" w:sz="4" w:space="0" w:color="auto"/>
            </w:tcBorders>
            <w:vAlign w:val="center"/>
            <w:hideMark/>
          </w:tcPr>
          <w:p w14:paraId="2928197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0266AF6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Change Vulnerability Assessment: Approaches DPSIR Framework and Vulnerability Index. </w:t>
            </w:r>
          </w:p>
        </w:tc>
        <w:tc>
          <w:tcPr>
            <w:tcW w:w="1134" w:type="dxa"/>
            <w:tcBorders>
              <w:top w:val="nil"/>
              <w:left w:val="nil"/>
              <w:bottom w:val="single" w:sz="4" w:space="0" w:color="auto"/>
              <w:right w:val="single" w:sz="4" w:space="0" w:color="auto"/>
            </w:tcBorders>
            <w:vAlign w:val="center"/>
            <w:hideMark/>
          </w:tcPr>
          <w:p w14:paraId="3864820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IND, IND</w:t>
            </w:r>
          </w:p>
        </w:tc>
        <w:tc>
          <w:tcPr>
            <w:tcW w:w="708" w:type="dxa"/>
            <w:tcBorders>
              <w:top w:val="nil"/>
              <w:left w:val="nil"/>
              <w:bottom w:val="single" w:sz="4" w:space="0" w:color="auto"/>
              <w:right w:val="single" w:sz="4" w:space="0" w:color="auto"/>
            </w:tcBorders>
            <w:vAlign w:val="center"/>
            <w:hideMark/>
          </w:tcPr>
          <w:p w14:paraId="02DC039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OMICS International</w:t>
            </w:r>
          </w:p>
        </w:tc>
        <w:tc>
          <w:tcPr>
            <w:tcW w:w="851" w:type="dxa"/>
            <w:tcBorders>
              <w:top w:val="nil"/>
              <w:left w:val="nil"/>
              <w:bottom w:val="single" w:sz="4" w:space="0" w:color="auto"/>
              <w:right w:val="single" w:sz="4" w:space="0" w:color="auto"/>
            </w:tcBorders>
            <w:vAlign w:val="center"/>
            <w:hideMark/>
          </w:tcPr>
          <w:p w14:paraId="4D8243D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197191B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Earth Science &amp; Climatic Change, Vol 3. 2012, pp 1-6.</w:t>
            </w:r>
          </w:p>
        </w:tc>
        <w:tc>
          <w:tcPr>
            <w:tcW w:w="708" w:type="dxa"/>
            <w:tcBorders>
              <w:top w:val="nil"/>
              <w:left w:val="nil"/>
              <w:bottom w:val="single" w:sz="4" w:space="0" w:color="auto"/>
              <w:right w:val="single" w:sz="4" w:space="0" w:color="auto"/>
            </w:tcBorders>
            <w:vAlign w:val="center"/>
            <w:hideMark/>
          </w:tcPr>
          <w:p w14:paraId="34EFAE3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9FC19B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772C31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8B23140" w14:textId="3A6B1992"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This paper shows two different vulnerability assessment indexes:  the Livelihood Vulnerability </w:t>
            </w:r>
          </w:p>
          <w:p w14:paraId="4718486E" w14:textId="515BC683"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Index (LVI) and the Livelihood Effect Index (LEI).  Both indexes validly reject the relative difference in terms to </w:t>
            </w:r>
          </w:p>
          <w:p w14:paraId="099F782F" w14:textId="77777777"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examining the vulnerability index of climate change and both could usefully form the basis for a nationally applicable </w:t>
            </w:r>
          </w:p>
          <w:p w14:paraId="45D25CD8" w14:textId="0C99BC35"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index to identify and prioritize adaptation and mitigation needs.  The Drivers-Pressures-State-Impact-Response </w:t>
            </w:r>
          </w:p>
          <w:p w14:paraId="3240A608" w14:textId="77777777"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(DPSIR) framework has evolved into an interdisciplinary tool for environmental analyses and assumes cause-effect </w:t>
            </w:r>
          </w:p>
          <w:p w14:paraId="752E5965" w14:textId="77777777"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relationship between interacting component of social, economic, and environmental systems. The DPSIR framework </w:t>
            </w:r>
          </w:p>
          <w:p w14:paraId="0E286564" w14:textId="65B7EB6D"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helps in identifying the indicators of (LVI) and (LEI) vulnerability index as cause-effect relationship. The DPSIR </w:t>
            </w:r>
          </w:p>
          <w:p w14:paraId="3EC65DCF" w14:textId="103427A0"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 xml:space="preserve">framework also provides the feedback of cause-effect continuous process which will be helpful in developing the </w:t>
            </w:r>
          </w:p>
          <w:p w14:paraId="5B0995AE" w14:textId="77777777" w:rsidR="00EE2B83" w:rsidRPr="0002056A" w:rsidRDefault="00EE2B83" w:rsidP="00EE2B83">
            <w:pPr>
              <w:shd w:val="clear" w:color="auto" w:fill="FFFFFF"/>
              <w:spacing w:after="0" w:line="0" w:lineRule="auto"/>
              <w:rPr>
                <w:rFonts w:ascii="Georgia" w:eastAsia="Times New Roman" w:hAnsi="Georgia" w:cstheme="minorHAnsi"/>
                <w:color w:val="231F20"/>
                <w:sz w:val="10"/>
                <w:szCs w:val="10"/>
                <w:lang w:val="en-GB" w:eastAsia="hu-HU"/>
              </w:rPr>
            </w:pPr>
            <w:r w:rsidRPr="0002056A">
              <w:rPr>
                <w:rFonts w:ascii="Georgia" w:eastAsia="Times New Roman" w:hAnsi="Georgia" w:cstheme="minorHAnsi"/>
                <w:color w:val="231F20"/>
                <w:sz w:val="10"/>
                <w:szCs w:val="10"/>
                <w:lang w:val="en-GB" w:eastAsia="hu-HU"/>
              </w:rPr>
              <w:t>capacities to cope or adapt to the vulnerability as responses factor</w:t>
            </w:r>
          </w:p>
          <w:p w14:paraId="19C018FE" w14:textId="1E6ADC1B"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 xml:space="preserve">The paper shows two different vulnerability assessment indexes:  the Livelihood Vulnerability Index (LVI) and the Livelihood Effect Index (LEI).  Both indices exist in the framework of the Drivers-Pressures-State-Impact-Response (DPSIR) framework that has evolved into an interdisciplinary tool for environmental analyses and assumes cause-effect relationship between interacting component of social, economic, and environmental systems. The DPSIR framework helps in identifying the indicators of (LVI) and (LEI) vulnerability index as cause-effect relationship. </w:t>
            </w:r>
          </w:p>
        </w:tc>
        <w:tc>
          <w:tcPr>
            <w:tcW w:w="2268" w:type="dxa"/>
            <w:tcBorders>
              <w:top w:val="nil"/>
              <w:left w:val="nil"/>
              <w:bottom w:val="single" w:sz="4" w:space="0" w:color="auto"/>
              <w:right w:val="single" w:sz="8" w:space="0" w:color="auto"/>
            </w:tcBorders>
            <w:vAlign w:val="center"/>
          </w:tcPr>
          <w:p w14:paraId="798B878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vulnerability assessment methodologies.</w:t>
            </w:r>
          </w:p>
        </w:tc>
      </w:tr>
      <w:tr w:rsidR="00EE2B83" w:rsidRPr="0002056A" w14:paraId="26476338" w14:textId="77777777" w:rsidTr="00D57247">
        <w:trPr>
          <w:trHeight w:val="99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7424678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Kind, Christian; Kaiser, Theresa; Gaus, Hansjörg </w:t>
            </w:r>
          </w:p>
        </w:tc>
        <w:tc>
          <w:tcPr>
            <w:tcW w:w="705" w:type="dxa"/>
            <w:tcBorders>
              <w:top w:val="nil"/>
              <w:left w:val="nil"/>
              <w:bottom w:val="single" w:sz="4" w:space="0" w:color="auto"/>
              <w:right w:val="single" w:sz="4" w:space="0" w:color="auto"/>
            </w:tcBorders>
            <w:shd w:val="clear" w:color="000000" w:fill="FFFFFF"/>
            <w:vAlign w:val="center"/>
            <w:hideMark/>
          </w:tcPr>
          <w:p w14:paraId="33A4B62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shd w:val="clear" w:color="000000" w:fill="FFFFFF"/>
            <w:vAlign w:val="center"/>
            <w:hideMark/>
          </w:tcPr>
          <w:p w14:paraId="50EBF537"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Methodology for the evaluation of the German adaptation strategy. Environmental Research Plan Report. </w:t>
            </w:r>
          </w:p>
        </w:tc>
        <w:tc>
          <w:tcPr>
            <w:tcW w:w="1134" w:type="dxa"/>
            <w:tcBorders>
              <w:top w:val="nil"/>
              <w:left w:val="nil"/>
              <w:bottom w:val="single" w:sz="4" w:space="0" w:color="auto"/>
              <w:right w:val="single" w:sz="4" w:space="0" w:color="auto"/>
            </w:tcBorders>
            <w:shd w:val="clear" w:color="000000" w:fill="FFFFFF"/>
            <w:vAlign w:val="center"/>
            <w:hideMark/>
          </w:tcPr>
          <w:p w14:paraId="072B280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w:t>
            </w:r>
          </w:p>
        </w:tc>
        <w:tc>
          <w:tcPr>
            <w:tcW w:w="708" w:type="dxa"/>
            <w:tcBorders>
              <w:top w:val="nil"/>
              <w:left w:val="nil"/>
              <w:bottom w:val="single" w:sz="4" w:space="0" w:color="auto"/>
              <w:right w:val="single" w:sz="4" w:space="0" w:color="auto"/>
            </w:tcBorders>
            <w:shd w:val="clear" w:color="000000" w:fill="FFFFFF"/>
            <w:vAlign w:val="center"/>
            <w:hideMark/>
          </w:tcPr>
          <w:p w14:paraId="1DAB87B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 Umweltbundesamt [German Environment Agency] Dessau-Roßlau, Germany.</w:t>
            </w:r>
          </w:p>
        </w:tc>
        <w:tc>
          <w:tcPr>
            <w:tcW w:w="851" w:type="dxa"/>
            <w:tcBorders>
              <w:top w:val="nil"/>
              <w:left w:val="nil"/>
              <w:bottom w:val="single" w:sz="4" w:space="0" w:color="auto"/>
              <w:right w:val="single" w:sz="4" w:space="0" w:color="auto"/>
            </w:tcBorders>
            <w:shd w:val="clear" w:color="000000" w:fill="FFFFFF"/>
            <w:vAlign w:val="center"/>
            <w:hideMark/>
          </w:tcPr>
          <w:p w14:paraId="58820B8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shd w:val="clear" w:color="000000" w:fill="FFFFFF"/>
            <w:vAlign w:val="center"/>
            <w:hideMark/>
          </w:tcPr>
          <w:p w14:paraId="100260D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RESEARCH PLAN Project number 3715 41 106 0</w:t>
            </w:r>
          </w:p>
        </w:tc>
        <w:tc>
          <w:tcPr>
            <w:tcW w:w="708" w:type="dxa"/>
            <w:tcBorders>
              <w:top w:val="nil"/>
              <w:left w:val="nil"/>
              <w:bottom w:val="single" w:sz="4" w:space="0" w:color="auto"/>
              <w:right w:val="single" w:sz="4" w:space="0" w:color="auto"/>
            </w:tcBorders>
            <w:shd w:val="clear" w:color="000000" w:fill="FFFFFF"/>
            <w:vAlign w:val="center"/>
            <w:hideMark/>
          </w:tcPr>
          <w:p w14:paraId="464AD80D" w14:textId="1B3FABE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study (research plan report)</w:t>
            </w:r>
          </w:p>
        </w:tc>
        <w:tc>
          <w:tcPr>
            <w:tcW w:w="851" w:type="dxa"/>
            <w:tcBorders>
              <w:top w:val="nil"/>
              <w:left w:val="nil"/>
              <w:bottom w:val="single" w:sz="4" w:space="0" w:color="auto"/>
              <w:right w:val="single" w:sz="4" w:space="0" w:color="auto"/>
            </w:tcBorders>
            <w:shd w:val="clear" w:color="000000" w:fill="FFFFFF"/>
            <w:vAlign w:val="center"/>
            <w:hideMark/>
          </w:tcPr>
          <w:p w14:paraId="404F356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shd w:val="clear" w:color="000000" w:fill="FFFFFF"/>
            <w:vAlign w:val="center"/>
            <w:hideMark/>
          </w:tcPr>
          <w:p w14:paraId="39C1741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4D902406" w14:textId="17A1ACB0"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Within the UFOPLAN-project „Evaluation and further development of the DAS” Adelphi and CEval have prepared a concept for the evaluation of the national German adaptation strategy (DAS). The concept will be used to continuously review the evaluation process in Germany. In the long term, the evaluation concept shall be used to check whether the activities and instruments of the adaptation process are suitable to achieve the main goal of the DAS:</w:t>
            </w:r>
          </w:p>
          <w:p w14:paraId="2DC2C975" w14:textId="77777777"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“to reduce vulnerability and improve the adaptive capacity of ecologic, social and economic systems towards the unavoidable impacts of climate change.”</w:t>
            </w:r>
          </w:p>
        </w:tc>
        <w:tc>
          <w:tcPr>
            <w:tcW w:w="2268" w:type="dxa"/>
            <w:tcBorders>
              <w:top w:val="nil"/>
              <w:left w:val="nil"/>
              <w:bottom w:val="single" w:sz="4" w:space="0" w:color="auto"/>
              <w:right w:val="single" w:sz="8" w:space="0" w:color="auto"/>
            </w:tcBorders>
            <w:shd w:val="clear" w:color="000000" w:fill="FFFFFF"/>
            <w:vAlign w:val="center"/>
          </w:tcPr>
          <w:p w14:paraId="24B747BA"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Interesting practical material, describing the evaluation method of the German NAS evaluation.</w:t>
            </w:r>
          </w:p>
        </w:tc>
      </w:tr>
      <w:tr w:rsidR="00EE2B83" w:rsidRPr="0002056A" w14:paraId="69206D5D" w14:textId="77777777" w:rsidTr="00D57247">
        <w:trPr>
          <w:trHeight w:val="99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1822CC8" w14:textId="30EAE924"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Kiss, E.; Fazekas, I.; Balla, D. </w:t>
            </w:r>
          </w:p>
          <w:p w14:paraId="2D0CA3BE" w14:textId="558510F5"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shd w:val="clear" w:color="000000" w:fill="FFFFFF"/>
            <w:vAlign w:val="center"/>
          </w:tcPr>
          <w:p w14:paraId="58F28717" w14:textId="7F9D0AC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shd w:val="clear" w:color="000000" w:fill="FFFFFF"/>
            <w:vAlign w:val="center"/>
          </w:tcPr>
          <w:p w14:paraId="6B3559BD" w14:textId="33A4895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klímaváltozással kapcsolatos fogalmi hálók feltárása a kiválasztott Hajdú-Bihar megyei településcsoportokban</w:t>
            </w:r>
          </w:p>
        </w:tc>
        <w:tc>
          <w:tcPr>
            <w:tcW w:w="1134" w:type="dxa"/>
            <w:tcBorders>
              <w:top w:val="nil"/>
              <w:left w:val="nil"/>
              <w:bottom w:val="single" w:sz="4" w:space="0" w:color="auto"/>
              <w:right w:val="single" w:sz="4" w:space="0" w:color="auto"/>
            </w:tcBorders>
            <w:shd w:val="clear" w:color="000000" w:fill="FFFFFF"/>
            <w:vAlign w:val="center"/>
          </w:tcPr>
          <w:p w14:paraId="78C0A670" w14:textId="2D1D7C4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w:t>
            </w:r>
          </w:p>
        </w:tc>
        <w:tc>
          <w:tcPr>
            <w:tcW w:w="708" w:type="dxa"/>
            <w:tcBorders>
              <w:top w:val="nil"/>
              <w:left w:val="nil"/>
              <w:bottom w:val="single" w:sz="4" w:space="0" w:color="auto"/>
              <w:right w:val="single" w:sz="4" w:space="0" w:color="auto"/>
            </w:tcBorders>
            <w:shd w:val="clear" w:color="000000" w:fill="FFFFFF"/>
            <w:vAlign w:val="center"/>
          </w:tcPr>
          <w:p w14:paraId="11BDFD6B" w14:textId="3FFD3946"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Central Statistical Office of Hungary</w:t>
            </w:r>
          </w:p>
        </w:tc>
        <w:tc>
          <w:tcPr>
            <w:tcW w:w="851" w:type="dxa"/>
            <w:tcBorders>
              <w:top w:val="nil"/>
              <w:left w:val="nil"/>
              <w:bottom w:val="single" w:sz="4" w:space="0" w:color="auto"/>
              <w:right w:val="single" w:sz="4" w:space="0" w:color="auto"/>
            </w:tcBorders>
            <w:shd w:val="clear" w:color="000000" w:fill="FFFFFF"/>
            <w:vAlign w:val="center"/>
          </w:tcPr>
          <w:p w14:paraId="40AFA68C" w14:textId="1C46688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shd w:val="clear" w:color="000000" w:fill="FFFFFF"/>
            <w:vAlign w:val="center"/>
          </w:tcPr>
          <w:p w14:paraId="2D9516F0" w14:textId="04880B1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Területi Statisztika, 61(5); https://doi.org10.15196/TS610503</w:t>
            </w:r>
          </w:p>
        </w:tc>
        <w:tc>
          <w:tcPr>
            <w:tcW w:w="708" w:type="dxa"/>
            <w:tcBorders>
              <w:top w:val="nil"/>
              <w:left w:val="nil"/>
              <w:bottom w:val="single" w:sz="4" w:space="0" w:color="auto"/>
              <w:right w:val="single" w:sz="4" w:space="0" w:color="auto"/>
            </w:tcBorders>
            <w:shd w:val="clear" w:color="000000" w:fill="FFFFFF"/>
            <w:vAlign w:val="center"/>
          </w:tcPr>
          <w:p w14:paraId="4B9DB301" w14:textId="435EA68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shd w:val="clear" w:color="000000" w:fill="FFFFFF"/>
            <w:vAlign w:val="center"/>
          </w:tcPr>
          <w:p w14:paraId="7BE90194" w14:textId="21281AF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shd w:val="clear" w:color="000000" w:fill="FFFFFF"/>
            <w:vAlign w:val="center"/>
          </w:tcPr>
          <w:p w14:paraId="34EE9143" w14:textId="1A9FEC0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76625A90" w14:textId="5EDAE53B"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The authors applied a word association study in two groups of settlements in Hajdú-Bihar County to explore the conceptual networks related to climate change in settlements that have developed a sustainable Climate and Energy Action Plan or that have not yet done so.</w:t>
            </w:r>
          </w:p>
          <w:p w14:paraId="3F4792FA" w14:textId="77777777"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p>
        </w:tc>
        <w:tc>
          <w:tcPr>
            <w:tcW w:w="2268" w:type="dxa"/>
            <w:tcBorders>
              <w:top w:val="nil"/>
              <w:left w:val="nil"/>
              <w:bottom w:val="single" w:sz="4" w:space="0" w:color="auto"/>
              <w:right w:val="single" w:sz="8" w:space="0" w:color="auto"/>
            </w:tcBorders>
            <w:shd w:val="clear" w:color="000000" w:fill="FFFFFF"/>
            <w:vAlign w:val="center"/>
          </w:tcPr>
          <w:p w14:paraId="37DE6048" w14:textId="48AE258A"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good example-article for spatially oriented attitude analysis in climate adaptation.</w:t>
            </w:r>
          </w:p>
        </w:tc>
      </w:tr>
      <w:tr w:rsidR="00EE2B83" w:rsidRPr="0002056A" w14:paraId="2FE9F474" w14:textId="77777777" w:rsidTr="00D57247">
        <w:trPr>
          <w:trHeight w:val="99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5A8E6A8" w14:textId="67C67C1E"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Kiss, E.; Balla, D.; Poszet, SZ.; Kovács, A. D.</w:t>
            </w:r>
          </w:p>
        </w:tc>
        <w:tc>
          <w:tcPr>
            <w:tcW w:w="705" w:type="dxa"/>
            <w:tcBorders>
              <w:top w:val="nil"/>
              <w:left w:val="nil"/>
              <w:bottom w:val="single" w:sz="4" w:space="0" w:color="auto"/>
              <w:right w:val="single" w:sz="4" w:space="0" w:color="auto"/>
            </w:tcBorders>
            <w:shd w:val="clear" w:color="000000" w:fill="FFFFFF"/>
            <w:vAlign w:val="center"/>
          </w:tcPr>
          <w:p w14:paraId="6BA5C0DA" w14:textId="683C1A3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shd w:val="clear" w:color="000000" w:fill="FFFFFF"/>
            <w:vAlign w:val="center"/>
          </w:tcPr>
          <w:p w14:paraId="50E454EB" w14:textId="5D59AC8E"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klímaaggodalmak jellemzői és helyi szintű sajátosságai: Esettanulmány Hajdú-Bihar megye választott településeiről, 2020.</w:t>
            </w:r>
          </w:p>
        </w:tc>
        <w:tc>
          <w:tcPr>
            <w:tcW w:w="1134" w:type="dxa"/>
            <w:tcBorders>
              <w:top w:val="nil"/>
              <w:left w:val="nil"/>
              <w:bottom w:val="single" w:sz="4" w:space="0" w:color="auto"/>
              <w:right w:val="single" w:sz="4" w:space="0" w:color="auto"/>
            </w:tcBorders>
            <w:shd w:val="clear" w:color="000000" w:fill="FFFFFF"/>
            <w:vAlign w:val="center"/>
          </w:tcPr>
          <w:p w14:paraId="629AA099" w14:textId="69DE2B8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 HUN</w:t>
            </w:r>
          </w:p>
        </w:tc>
        <w:tc>
          <w:tcPr>
            <w:tcW w:w="708" w:type="dxa"/>
            <w:tcBorders>
              <w:top w:val="nil"/>
              <w:left w:val="nil"/>
              <w:bottom w:val="single" w:sz="4" w:space="0" w:color="auto"/>
              <w:right w:val="single" w:sz="4" w:space="0" w:color="auto"/>
            </w:tcBorders>
            <w:shd w:val="clear" w:color="000000" w:fill="FFFFFF"/>
            <w:vAlign w:val="center"/>
          </w:tcPr>
          <w:p w14:paraId="610FF6A1" w14:textId="22CECFE2"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Central Statistical Office of Hungary</w:t>
            </w:r>
          </w:p>
        </w:tc>
        <w:tc>
          <w:tcPr>
            <w:tcW w:w="851" w:type="dxa"/>
            <w:tcBorders>
              <w:top w:val="nil"/>
              <w:left w:val="nil"/>
              <w:bottom w:val="single" w:sz="4" w:space="0" w:color="auto"/>
              <w:right w:val="single" w:sz="4" w:space="0" w:color="auto"/>
            </w:tcBorders>
            <w:shd w:val="clear" w:color="000000" w:fill="FFFFFF"/>
            <w:vAlign w:val="center"/>
          </w:tcPr>
          <w:p w14:paraId="3C7571A7" w14:textId="4089614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shd w:val="clear" w:color="000000" w:fill="FFFFFF"/>
            <w:vAlign w:val="center"/>
          </w:tcPr>
          <w:p w14:paraId="0095F47B" w14:textId="721D92B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Területi Statisztika, 62 (5); https://doi.org10.15196/TS620505</w:t>
            </w:r>
          </w:p>
        </w:tc>
        <w:tc>
          <w:tcPr>
            <w:tcW w:w="708" w:type="dxa"/>
            <w:tcBorders>
              <w:top w:val="nil"/>
              <w:left w:val="nil"/>
              <w:bottom w:val="single" w:sz="4" w:space="0" w:color="auto"/>
              <w:right w:val="single" w:sz="4" w:space="0" w:color="auto"/>
            </w:tcBorders>
            <w:shd w:val="clear" w:color="000000" w:fill="FFFFFF"/>
            <w:vAlign w:val="center"/>
          </w:tcPr>
          <w:p w14:paraId="13D0B9E0" w14:textId="042E57A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shd w:val="clear" w:color="000000" w:fill="FFFFFF"/>
            <w:vAlign w:val="center"/>
          </w:tcPr>
          <w:p w14:paraId="497779C7" w14:textId="00E67C3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shd w:val="clear" w:color="000000" w:fill="FFFFFF"/>
            <w:vAlign w:val="center"/>
          </w:tcPr>
          <w:p w14:paraId="07879D80" w14:textId="253800D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shd w:val="clear" w:color="000000" w:fill="FFFFFF"/>
            <w:vAlign w:val="center"/>
          </w:tcPr>
          <w:p w14:paraId="78B1FD54" w14:textId="500661C4" w:rsidR="00EE2B83" w:rsidRPr="0002056A" w:rsidRDefault="00EE2B83" w:rsidP="00EE2B83">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Kiss et al. conducted a questionnaire survey on a sample of 512 people in Debrecen regarding attitudes and personal risk assessments related to climate change</w:t>
            </w:r>
          </w:p>
        </w:tc>
        <w:tc>
          <w:tcPr>
            <w:tcW w:w="2268" w:type="dxa"/>
            <w:tcBorders>
              <w:top w:val="nil"/>
              <w:left w:val="nil"/>
              <w:bottom w:val="single" w:sz="4" w:space="0" w:color="auto"/>
              <w:right w:val="single" w:sz="8" w:space="0" w:color="auto"/>
            </w:tcBorders>
            <w:shd w:val="clear" w:color="000000" w:fill="FFFFFF"/>
            <w:vAlign w:val="center"/>
          </w:tcPr>
          <w:p w14:paraId="5F508ACE" w14:textId="2D597B6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good example-article for spatially oriented attitude analysis in climate adaptation.</w:t>
            </w:r>
          </w:p>
        </w:tc>
      </w:tr>
      <w:tr w:rsidR="00EE2B83" w:rsidRPr="0002056A" w14:paraId="473998D8"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BB61B1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Klostermann, J., van de Sandt, K., Harley, M., Hildén, M., Leiter, T.</w:t>
            </w:r>
            <w:r w:rsidRPr="0002056A">
              <w:rPr>
                <w:rFonts w:ascii="Georgia" w:eastAsia="Times New Roman" w:hAnsi="Georgia" w:cs="Times New Roman"/>
                <w:b/>
                <w:bCs/>
                <w:i/>
                <w:iCs/>
                <w:color w:val="000000"/>
                <w:sz w:val="14"/>
                <w:szCs w:val="14"/>
                <w:lang w:val="en-GB" w:eastAsia="hu-HU"/>
              </w:rPr>
              <w:br/>
              <w:t>van Minnen, J., Pieterse, N., van Bree, L.</w:t>
            </w:r>
          </w:p>
        </w:tc>
        <w:tc>
          <w:tcPr>
            <w:tcW w:w="705" w:type="dxa"/>
            <w:tcBorders>
              <w:top w:val="nil"/>
              <w:left w:val="nil"/>
              <w:bottom w:val="single" w:sz="4" w:space="0" w:color="auto"/>
              <w:right w:val="single" w:sz="4" w:space="0" w:color="auto"/>
            </w:tcBorders>
            <w:vAlign w:val="center"/>
            <w:hideMark/>
          </w:tcPr>
          <w:p w14:paraId="343ACAC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hideMark/>
          </w:tcPr>
          <w:p w14:paraId="4E810FD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Towards a framework to assess, compare and develop monitoring and evaluation of climate change adaptation in Europe</w:t>
            </w:r>
          </w:p>
        </w:tc>
        <w:tc>
          <w:tcPr>
            <w:tcW w:w="1134" w:type="dxa"/>
            <w:tcBorders>
              <w:top w:val="nil"/>
              <w:left w:val="nil"/>
              <w:bottom w:val="single" w:sz="4" w:space="0" w:color="auto"/>
              <w:right w:val="single" w:sz="4" w:space="0" w:color="auto"/>
            </w:tcBorders>
            <w:vAlign w:val="center"/>
            <w:hideMark/>
          </w:tcPr>
          <w:p w14:paraId="4848F6F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UKG, FIN, FIN, NRL, NRL, NRL</w:t>
            </w:r>
          </w:p>
        </w:tc>
        <w:tc>
          <w:tcPr>
            <w:tcW w:w="708" w:type="dxa"/>
            <w:tcBorders>
              <w:top w:val="nil"/>
              <w:left w:val="nil"/>
              <w:bottom w:val="single" w:sz="4" w:space="0" w:color="auto"/>
              <w:right w:val="single" w:sz="4" w:space="0" w:color="auto"/>
            </w:tcBorders>
            <w:vAlign w:val="center"/>
            <w:hideMark/>
          </w:tcPr>
          <w:p w14:paraId="3236DEA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hyperlink r:id="rId165" w:tooltip="Search for Mitigation &amp; Adaptation Strategies for Global Change" w:history="1">
              <w:r w:rsidRPr="0002056A">
                <w:rPr>
                  <w:rFonts w:ascii="Georgia" w:eastAsia="Times New Roman" w:hAnsi="Georgia" w:cs="Times New Roman"/>
                  <w:color w:val="000000"/>
                  <w:sz w:val="10"/>
                  <w:szCs w:val="10"/>
                  <w:lang w:val="en-GB" w:eastAsia="hu-HU"/>
                </w:rPr>
                <w:t>Springer</w:t>
              </w:r>
            </w:hyperlink>
          </w:p>
        </w:tc>
        <w:tc>
          <w:tcPr>
            <w:tcW w:w="851" w:type="dxa"/>
            <w:tcBorders>
              <w:top w:val="nil"/>
              <w:left w:val="nil"/>
              <w:bottom w:val="single" w:sz="4" w:space="0" w:color="auto"/>
              <w:right w:val="single" w:sz="4" w:space="0" w:color="auto"/>
            </w:tcBorders>
            <w:vAlign w:val="center"/>
            <w:hideMark/>
          </w:tcPr>
          <w:p w14:paraId="7E08C21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310A341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Mitigation and Adaptation Strategies for Global Change volume 23, pages187–209 (2018) Feb2018, Vol. 23 Issue 2, p187-209. 23p.</w:t>
            </w:r>
          </w:p>
        </w:tc>
        <w:tc>
          <w:tcPr>
            <w:tcW w:w="708" w:type="dxa"/>
            <w:tcBorders>
              <w:top w:val="nil"/>
              <w:left w:val="nil"/>
              <w:bottom w:val="single" w:sz="4" w:space="0" w:color="auto"/>
              <w:right w:val="single" w:sz="4" w:space="0" w:color="auto"/>
            </w:tcBorders>
            <w:vAlign w:val="center"/>
            <w:hideMark/>
          </w:tcPr>
          <w:p w14:paraId="6F7CFA1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8935D3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86BA91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420A2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aim of the article was to support joint learning about adaptation monitoring in Europe on how adaptation can be monitored at the national level to detect possible mismatch between policy and implementation, on the general requirements of adaptation monitoring and on recommendations for a possible monitoring framework for adaptation.</w:t>
            </w:r>
          </w:p>
        </w:tc>
        <w:tc>
          <w:tcPr>
            <w:tcW w:w="2268" w:type="dxa"/>
            <w:tcBorders>
              <w:top w:val="nil"/>
              <w:left w:val="nil"/>
              <w:bottom w:val="single" w:sz="4" w:space="0" w:color="auto"/>
              <w:right w:val="single" w:sz="8" w:space="0" w:color="auto"/>
            </w:tcBorders>
            <w:vAlign w:val="center"/>
          </w:tcPr>
          <w:p w14:paraId="218D5D1B"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Based on literature review the article created an outline of a framework with building blocks and assess 3 NASs 8FIN, UKG, GER). It gave recommendations for the proposed framework in terms of system of interest; indicators; responsible organisations; procedures.</w:t>
            </w:r>
          </w:p>
        </w:tc>
      </w:tr>
      <w:tr w:rsidR="00EE2B83" w:rsidRPr="0002056A" w14:paraId="5E2B0593"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A96D9D"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Korompai, A. </w:t>
            </w:r>
          </w:p>
        </w:tc>
        <w:tc>
          <w:tcPr>
            <w:tcW w:w="705" w:type="dxa"/>
            <w:tcBorders>
              <w:top w:val="nil"/>
              <w:left w:val="nil"/>
              <w:bottom w:val="single" w:sz="4" w:space="0" w:color="auto"/>
              <w:right w:val="single" w:sz="4" w:space="0" w:color="auto"/>
            </w:tcBorders>
            <w:vAlign w:val="center"/>
          </w:tcPr>
          <w:p w14:paraId="09DEDD0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1995</w:t>
            </w:r>
          </w:p>
        </w:tc>
        <w:tc>
          <w:tcPr>
            <w:tcW w:w="1137" w:type="dxa"/>
            <w:tcBorders>
              <w:top w:val="nil"/>
              <w:left w:val="nil"/>
              <w:bottom w:val="single" w:sz="4" w:space="0" w:color="auto"/>
              <w:right w:val="single" w:sz="4" w:space="0" w:color="auto"/>
            </w:tcBorders>
            <w:vAlign w:val="center"/>
          </w:tcPr>
          <w:p w14:paraId="45D229D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Regionális stratégiák jövőkutatási megalapozása. </w:t>
            </w:r>
          </w:p>
        </w:tc>
        <w:tc>
          <w:tcPr>
            <w:tcW w:w="1134" w:type="dxa"/>
            <w:tcBorders>
              <w:top w:val="nil"/>
              <w:left w:val="nil"/>
              <w:bottom w:val="single" w:sz="4" w:space="0" w:color="auto"/>
              <w:right w:val="single" w:sz="4" w:space="0" w:color="auto"/>
            </w:tcBorders>
            <w:vAlign w:val="center"/>
          </w:tcPr>
          <w:p w14:paraId="2A9BDDD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389A7EE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ELTE-TTK, Regionális Földrajzi Tanszék, Budapest</w:t>
            </w:r>
          </w:p>
        </w:tc>
        <w:tc>
          <w:tcPr>
            <w:tcW w:w="851" w:type="dxa"/>
            <w:tcBorders>
              <w:top w:val="nil"/>
              <w:left w:val="nil"/>
              <w:bottom w:val="single" w:sz="4" w:space="0" w:color="auto"/>
              <w:right w:val="single" w:sz="4" w:space="0" w:color="auto"/>
            </w:tcBorders>
            <w:vAlign w:val="center"/>
          </w:tcPr>
          <w:p w14:paraId="1A03898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14BF2A67"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Regionális tudományi tanulmányok 1. </w:t>
            </w:r>
          </w:p>
        </w:tc>
        <w:tc>
          <w:tcPr>
            <w:tcW w:w="708" w:type="dxa"/>
            <w:tcBorders>
              <w:top w:val="nil"/>
              <w:left w:val="nil"/>
              <w:bottom w:val="single" w:sz="4" w:space="0" w:color="auto"/>
              <w:right w:val="single" w:sz="4" w:space="0" w:color="auto"/>
            </w:tcBorders>
            <w:vAlign w:val="center"/>
          </w:tcPr>
          <w:p w14:paraId="04CA73A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65C3BD6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145522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B6CD404"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introduces the role of regional strategy building in future research.</w:t>
            </w:r>
          </w:p>
        </w:tc>
        <w:tc>
          <w:tcPr>
            <w:tcW w:w="2268" w:type="dxa"/>
            <w:tcBorders>
              <w:top w:val="nil"/>
              <w:left w:val="nil"/>
              <w:bottom w:val="single" w:sz="4" w:space="0" w:color="auto"/>
              <w:right w:val="single" w:sz="8" w:space="0" w:color="auto"/>
            </w:tcBorders>
            <w:vAlign w:val="center"/>
          </w:tcPr>
          <w:p w14:paraId="190E8C5A"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was used in this research to identify space interpretations and types.</w:t>
            </w:r>
          </w:p>
        </w:tc>
      </w:tr>
      <w:tr w:rsidR="00EE2B83" w:rsidRPr="0002056A" w14:paraId="6179186D"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3E207C5" w14:textId="786DE8E8"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Koks, E. E., Moel, H.; Aerts, J. C. J. H. &amp; Bouwer L. M. </w:t>
            </w:r>
          </w:p>
        </w:tc>
        <w:tc>
          <w:tcPr>
            <w:tcW w:w="705" w:type="dxa"/>
            <w:tcBorders>
              <w:top w:val="nil"/>
              <w:left w:val="nil"/>
              <w:bottom w:val="single" w:sz="4" w:space="0" w:color="auto"/>
              <w:right w:val="single" w:sz="4" w:space="0" w:color="auto"/>
            </w:tcBorders>
            <w:vAlign w:val="center"/>
          </w:tcPr>
          <w:p w14:paraId="5150E5C2" w14:textId="3AE4A5A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b/>
                <w:bCs/>
                <w:i/>
                <w:iCs/>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tcPr>
          <w:p w14:paraId="278B3179" w14:textId="0BEC363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Effect of spatial adaptation measures on flood risk: study of coastal floods in Belgium</w:t>
            </w:r>
          </w:p>
        </w:tc>
        <w:tc>
          <w:tcPr>
            <w:tcW w:w="1134" w:type="dxa"/>
            <w:tcBorders>
              <w:top w:val="nil"/>
              <w:left w:val="nil"/>
              <w:bottom w:val="single" w:sz="4" w:space="0" w:color="auto"/>
              <w:right w:val="single" w:sz="4" w:space="0" w:color="auto"/>
            </w:tcBorders>
            <w:vAlign w:val="center"/>
          </w:tcPr>
          <w:p w14:paraId="21F5BB50" w14:textId="38DD49C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BEL, BEL, BEL, BEL</w:t>
            </w:r>
          </w:p>
        </w:tc>
        <w:tc>
          <w:tcPr>
            <w:tcW w:w="708" w:type="dxa"/>
            <w:tcBorders>
              <w:top w:val="nil"/>
              <w:left w:val="nil"/>
              <w:bottom w:val="single" w:sz="4" w:space="0" w:color="auto"/>
              <w:right w:val="single" w:sz="4" w:space="0" w:color="auto"/>
            </w:tcBorders>
            <w:vAlign w:val="center"/>
          </w:tcPr>
          <w:p w14:paraId="6B1FA30F" w14:textId="0D260A6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37BF5CBA" w14:textId="60965F0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planning, spatial planning</w:t>
            </w:r>
          </w:p>
        </w:tc>
        <w:tc>
          <w:tcPr>
            <w:tcW w:w="993" w:type="dxa"/>
            <w:tcBorders>
              <w:top w:val="nil"/>
              <w:left w:val="nil"/>
              <w:bottom w:val="single" w:sz="4" w:space="0" w:color="auto"/>
              <w:right w:val="single" w:sz="4" w:space="0" w:color="auto"/>
            </w:tcBorders>
            <w:vAlign w:val="center"/>
          </w:tcPr>
          <w:p w14:paraId="43552329" w14:textId="038F96C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Environmental Change, 14(1), 413–425. doi: 10.1007/s10113-013-0514-7</w:t>
            </w:r>
          </w:p>
        </w:tc>
        <w:tc>
          <w:tcPr>
            <w:tcW w:w="708" w:type="dxa"/>
            <w:tcBorders>
              <w:top w:val="nil"/>
              <w:left w:val="nil"/>
              <w:bottom w:val="single" w:sz="4" w:space="0" w:color="auto"/>
              <w:right w:val="single" w:sz="4" w:space="0" w:color="auto"/>
            </w:tcBorders>
            <w:vAlign w:val="center"/>
          </w:tcPr>
          <w:p w14:paraId="3432C2B2" w14:textId="75AFAE2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A640899" w14:textId="6FBA19C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AAA9892" w14:textId="5504B50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4DABDB5A" w14:textId="7B6092E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main goal of the study is to assess future changes in flood risk and the effectiveness of flood risk adaptation measures for the coastal zone in Flanders, Belgium. In order to achieve this, they set up a modelling framework to assess the future flood risk of the Belgian coast including climatic and socioeconomic projections and used this model to assess the effectiveness of two spatial adaptation measures: compartmentalization and land-use zoning.</w:t>
            </w:r>
          </w:p>
        </w:tc>
        <w:tc>
          <w:tcPr>
            <w:tcW w:w="2268" w:type="dxa"/>
            <w:tcBorders>
              <w:top w:val="nil"/>
              <w:left w:val="nil"/>
              <w:bottom w:val="single" w:sz="4" w:space="0" w:color="auto"/>
              <w:right w:val="single" w:sz="8" w:space="0" w:color="auto"/>
            </w:tcBorders>
            <w:vAlign w:val="center"/>
          </w:tcPr>
          <w:p w14:paraId="550ADC04" w14:textId="2CDDFCF2"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Providing detailed additional information on adaptation planning’s spatiality.</w:t>
            </w:r>
          </w:p>
        </w:tc>
      </w:tr>
      <w:tr w:rsidR="00EE2B83" w:rsidRPr="0002056A" w14:paraId="64C31519"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C9376B0"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p w14:paraId="6469AC15"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Krasner, S. (ed)</w:t>
            </w:r>
          </w:p>
          <w:p w14:paraId="3381D10A" w14:textId="27BB6EB9"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hideMark/>
          </w:tcPr>
          <w:p w14:paraId="163D310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1983</w:t>
            </w:r>
          </w:p>
        </w:tc>
        <w:tc>
          <w:tcPr>
            <w:tcW w:w="1137" w:type="dxa"/>
            <w:tcBorders>
              <w:top w:val="nil"/>
              <w:left w:val="nil"/>
              <w:bottom w:val="single" w:sz="4" w:space="0" w:color="auto"/>
              <w:right w:val="single" w:sz="4" w:space="0" w:color="auto"/>
            </w:tcBorders>
            <w:vAlign w:val="center"/>
            <w:hideMark/>
          </w:tcPr>
          <w:p w14:paraId="448F469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regimes</w:t>
            </w:r>
          </w:p>
        </w:tc>
        <w:tc>
          <w:tcPr>
            <w:tcW w:w="1134" w:type="dxa"/>
            <w:tcBorders>
              <w:top w:val="nil"/>
              <w:left w:val="nil"/>
              <w:bottom w:val="single" w:sz="4" w:space="0" w:color="auto"/>
              <w:right w:val="single" w:sz="4" w:space="0" w:color="auto"/>
            </w:tcBorders>
            <w:vAlign w:val="center"/>
            <w:hideMark/>
          </w:tcPr>
          <w:p w14:paraId="4794EA2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36E789F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Cornel University Press Ithaca</w:t>
            </w:r>
          </w:p>
        </w:tc>
        <w:tc>
          <w:tcPr>
            <w:tcW w:w="851" w:type="dxa"/>
            <w:tcBorders>
              <w:top w:val="nil"/>
              <w:left w:val="nil"/>
              <w:bottom w:val="single" w:sz="4" w:space="0" w:color="auto"/>
              <w:right w:val="single" w:sz="4" w:space="0" w:color="auto"/>
            </w:tcBorders>
            <w:vAlign w:val="center"/>
            <w:hideMark/>
          </w:tcPr>
          <w:p w14:paraId="6BA4EAF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IR, regime theory, governance</w:t>
            </w:r>
          </w:p>
        </w:tc>
        <w:tc>
          <w:tcPr>
            <w:tcW w:w="993" w:type="dxa"/>
            <w:tcBorders>
              <w:top w:val="nil"/>
              <w:left w:val="nil"/>
              <w:bottom w:val="single" w:sz="4" w:space="0" w:color="auto"/>
              <w:right w:val="single" w:sz="4" w:space="0" w:color="auto"/>
            </w:tcBorders>
            <w:vAlign w:val="center"/>
            <w:hideMark/>
          </w:tcPr>
          <w:p w14:paraId="30D64FC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Cornel University Press Ithaca</w:t>
            </w:r>
          </w:p>
        </w:tc>
        <w:tc>
          <w:tcPr>
            <w:tcW w:w="708" w:type="dxa"/>
            <w:tcBorders>
              <w:top w:val="nil"/>
              <w:left w:val="nil"/>
              <w:bottom w:val="single" w:sz="4" w:space="0" w:color="auto"/>
              <w:right w:val="single" w:sz="4" w:space="0" w:color="auto"/>
            </w:tcBorders>
            <w:vAlign w:val="center"/>
            <w:hideMark/>
          </w:tcPr>
          <w:p w14:paraId="28BF8DE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57B31C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D52745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F4625CB"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thorough exploration of the concept of international regimes by fourteen distinguished specialists in international political economy.</w:t>
            </w:r>
          </w:p>
        </w:tc>
        <w:tc>
          <w:tcPr>
            <w:tcW w:w="2268" w:type="dxa"/>
            <w:tcBorders>
              <w:top w:val="nil"/>
              <w:left w:val="nil"/>
              <w:bottom w:val="single" w:sz="4" w:space="0" w:color="auto"/>
              <w:right w:val="single" w:sz="8" w:space="0" w:color="auto"/>
            </w:tcBorders>
            <w:vAlign w:val="center"/>
          </w:tcPr>
          <w:p w14:paraId="31249DB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was used in this research to identify regime concepts.</w:t>
            </w:r>
          </w:p>
        </w:tc>
      </w:tr>
      <w:tr w:rsidR="00EE2B83" w:rsidRPr="0002056A" w14:paraId="6F8DD82B"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9628BD7" w14:textId="77777777" w:rsidR="00EE2B83" w:rsidRDefault="00EE2B83" w:rsidP="00EE2B83">
            <w:pPr>
              <w:spacing w:after="0" w:line="240" w:lineRule="auto"/>
              <w:rPr>
                <w:rFonts w:ascii="Georgia" w:eastAsia="Times New Roman" w:hAnsi="Georgia" w:cs="Times New Roman"/>
                <w:b/>
                <w:bCs/>
                <w:i/>
                <w:iCs/>
                <w:color w:val="000000"/>
                <w:sz w:val="14"/>
                <w:szCs w:val="14"/>
                <w:lang w:val="en-GB" w:eastAsia="hu-HU"/>
              </w:rPr>
            </w:pPr>
          </w:p>
          <w:p w14:paraId="1C514567" w14:textId="77777777" w:rsidR="00EE2B83"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Lamhauge, N.; Lanzi, E.; Agrawala, S.</w:t>
            </w:r>
          </w:p>
          <w:p w14:paraId="2B0D52F3" w14:textId="533B6A1C"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3933F93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tcPr>
          <w:p w14:paraId="5A950E72" w14:textId="77777777" w:rsidR="00EE2B83" w:rsidRDefault="00EE2B83" w:rsidP="00EE2B83">
            <w:pPr>
              <w:spacing w:after="0" w:line="240" w:lineRule="auto"/>
              <w:rPr>
                <w:rFonts w:ascii="Georgia" w:eastAsia="Times New Roman" w:hAnsi="Georgia" w:cs="Times New Roman"/>
                <w:color w:val="000000"/>
                <w:sz w:val="10"/>
                <w:szCs w:val="10"/>
                <w:lang w:val="en-GB" w:eastAsia="hu-HU"/>
              </w:rPr>
            </w:pPr>
          </w:p>
          <w:p w14:paraId="799FDF33" w14:textId="77777777" w:rsidR="00EE2B83" w:rsidRDefault="00EE2B83" w:rsidP="00EE2B83">
            <w:pPr>
              <w:spacing w:after="0" w:line="240" w:lineRule="auto"/>
              <w:rPr>
                <w:rFonts w:ascii="Georgia" w:eastAsia="Times New Roman" w:hAnsi="Georgia" w:cs="Times New Roman"/>
                <w:color w:val="000000"/>
                <w:sz w:val="10"/>
                <w:szCs w:val="10"/>
                <w:lang w:val="en-GB" w:eastAsia="hu-HU"/>
              </w:rPr>
            </w:pPr>
          </w:p>
          <w:p w14:paraId="041051CE" w14:textId="2C4BF918" w:rsidR="00EE2B83"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Monitoring and evaluation for adaptation: lessons from development operation agencies. </w:t>
            </w:r>
          </w:p>
          <w:p w14:paraId="1CF63495" w14:textId="77777777" w:rsidR="00EE2B83" w:rsidRDefault="00EE2B83" w:rsidP="00EE2B83">
            <w:pPr>
              <w:spacing w:after="0" w:line="240" w:lineRule="auto"/>
              <w:rPr>
                <w:rFonts w:ascii="Georgia" w:eastAsia="Times New Roman" w:hAnsi="Georgia" w:cs="Times New Roman"/>
                <w:color w:val="000000"/>
                <w:sz w:val="10"/>
                <w:szCs w:val="10"/>
                <w:lang w:val="en-GB" w:eastAsia="hu-HU"/>
              </w:rPr>
            </w:pPr>
          </w:p>
          <w:p w14:paraId="19EC6AA8" w14:textId="74E043C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1DC460F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 OECD, OECD</w:t>
            </w:r>
          </w:p>
        </w:tc>
        <w:tc>
          <w:tcPr>
            <w:tcW w:w="708" w:type="dxa"/>
            <w:tcBorders>
              <w:top w:val="nil"/>
              <w:left w:val="nil"/>
              <w:bottom w:val="single" w:sz="4" w:space="0" w:color="auto"/>
              <w:right w:val="single" w:sz="4" w:space="0" w:color="auto"/>
            </w:tcBorders>
            <w:vAlign w:val="center"/>
          </w:tcPr>
          <w:p w14:paraId="11C7899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851" w:type="dxa"/>
            <w:tcBorders>
              <w:top w:val="nil"/>
              <w:left w:val="nil"/>
              <w:bottom w:val="single" w:sz="4" w:space="0" w:color="auto"/>
              <w:right w:val="single" w:sz="4" w:space="0" w:color="auto"/>
            </w:tcBorders>
            <w:vAlign w:val="center"/>
          </w:tcPr>
          <w:p w14:paraId="2EF72F3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MRE</w:t>
            </w:r>
          </w:p>
        </w:tc>
        <w:tc>
          <w:tcPr>
            <w:tcW w:w="993" w:type="dxa"/>
            <w:tcBorders>
              <w:top w:val="nil"/>
              <w:left w:val="nil"/>
              <w:bottom w:val="single" w:sz="4" w:space="0" w:color="auto"/>
              <w:right w:val="single" w:sz="4" w:space="0" w:color="auto"/>
            </w:tcBorders>
            <w:vAlign w:val="center"/>
          </w:tcPr>
          <w:p w14:paraId="5BDC23E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 Environment Working Papers No3.</w:t>
            </w:r>
          </w:p>
        </w:tc>
        <w:tc>
          <w:tcPr>
            <w:tcW w:w="708" w:type="dxa"/>
            <w:tcBorders>
              <w:top w:val="nil"/>
              <w:left w:val="nil"/>
              <w:bottom w:val="single" w:sz="4" w:space="0" w:color="auto"/>
              <w:right w:val="single" w:sz="4" w:space="0" w:color="auto"/>
            </w:tcBorders>
            <w:vAlign w:val="center"/>
          </w:tcPr>
          <w:p w14:paraId="27595E1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tcPr>
          <w:p w14:paraId="2A7B22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0E083B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02930A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conducts an examination of development organisations’ documents on adaptation evaluation.</w:t>
            </w:r>
          </w:p>
        </w:tc>
        <w:tc>
          <w:tcPr>
            <w:tcW w:w="2268" w:type="dxa"/>
            <w:tcBorders>
              <w:top w:val="nil"/>
              <w:left w:val="nil"/>
              <w:bottom w:val="single" w:sz="4" w:space="0" w:color="auto"/>
              <w:right w:val="single" w:sz="8" w:space="0" w:color="auto"/>
            </w:tcBorders>
            <w:vAlign w:val="center"/>
          </w:tcPr>
          <w:p w14:paraId="573D8E6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concentrated mostly on methodological issues (use of Logical Framework and Result based Management approaches and Theory of Change methods.</w:t>
            </w:r>
          </w:p>
        </w:tc>
      </w:tr>
      <w:tr w:rsidR="00EE2B83" w:rsidRPr="0002056A" w14:paraId="26655FE4"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FAACB07"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Lange, B.; Hülz, M.; Schmid, B.; Schulz, Ch. (ed.)</w:t>
            </w:r>
          </w:p>
        </w:tc>
        <w:tc>
          <w:tcPr>
            <w:tcW w:w="705" w:type="dxa"/>
            <w:tcBorders>
              <w:top w:val="nil"/>
              <w:left w:val="nil"/>
              <w:bottom w:val="single" w:sz="4" w:space="0" w:color="auto"/>
              <w:right w:val="single" w:sz="4" w:space="0" w:color="auto"/>
            </w:tcBorders>
            <w:vAlign w:val="center"/>
          </w:tcPr>
          <w:p w14:paraId="463BAA7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7A07E97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Post-Growth Geographies: Spatial Relations of Diverse and Alternative Economies (Social and Cultural Geography). </w:t>
            </w:r>
          </w:p>
        </w:tc>
        <w:tc>
          <w:tcPr>
            <w:tcW w:w="1134" w:type="dxa"/>
            <w:tcBorders>
              <w:top w:val="nil"/>
              <w:left w:val="nil"/>
              <w:bottom w:val="single" w:sz="4" w:space="0" w:color="auto"/>
              <w:right w:val="single" w:sz="4" w:space="0" w:color="auto"/>
            </w:tcBorders>
            <w:vAlign w:val="center"/>
          </w:tcPr>
          <w:p w14:paraId="1C94E16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 GER</w:t>
            </w:r>
          </w:p>
        </w:tc>
        <w:tc>
          <w:tcPr>
            <w:tcW w:w="708" w:type="dxa"/>
            <w:tcBorders>
              <w:top w:val="nil"/>
              <w:left w:val="nil"/>
              <w:bottom w:val="single" w:sz="4" w:space="0" w:color="auto"/>
              <w:right w:val="single" w:sz="4" w:space="0" w:color="auto"/>
            </w:tcBorders>
            <w:vAlign w:val="center"/>
          </w:tcPr>
          <w:p w14:paraId="1697546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Transcript Publishing</w:t>
            </w:r>
          </w:p>
        </w:tc>
        <w:tc>
          <w:tcPr>
            <w:tcW w:w="851" w:type="dxa"/>
            <w:tcBorders>
              <w:top w:val="nil"/>
              <w:left w:val="nil"/>
              <w:bottom w:val="single" w:sz="4" w:space="0" w:color="auto"/>
              <w:right w:val="single" w:sz="4" w:space="0" w:color="auto"/>
            </w:tcBorders>
            <w:vAlign w:val="center"/>
          </w:tcPr>
          <w:p w14:paraId="468CD6A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 regional geography</w:t>
            </w:r>
          </w:p>
        </w:tc>
        <w:tc>
          <w:tcPr>
            <w:tcW w:w="993" w:type="dxa"/>
            <w:tcBorders>
              <w:top w:val="nil"/>
              <w:left w:val="nil"/>
              <w:bottom w:val="single" w:sz="4" w:space="0" w:color="auto"/>
              <w:right w:val="single" w:sz="4" w:space="0" w:color="auto"/>
            </w:tcBorders>
            <w:vAlign w:val="center"/>
          </w:tcPr>
          <w:p w14:paraId="24143843" w14:textId="30A29FD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 ISBN-10 3837657337</w:t>
            </w:r>
          </w:p>
        </w:tc>
        <w:tc>
          <w:tcPr>
            <w:tcW w:w="708" w:type="dxa"/>
            <w:tcBorders>
              <w:top w:val="nil"/>
              <w:left w:val="nil"/>
              <w:bottom w:val="single" w:sz="4" w:space="0" w:color="auto"/>
              <w:right w:val="single" w:sz="4" w:space="0" w:color="auto"/>
            </w:tcBorders>
            <w:vAlign w:val="center"/>
          </w:tcPr>
          <w:p w14:paraId="36BF298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EA8C29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B3DC43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B9D5602" w14:textId="0B1EBB2B"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was elaborated by the collaboration of the editors and a number of the contributors in the working group ‘Post-Growth Economies’ of the Academy for Territorial Development in the Leibniz. The working group involved more than a dozen geographers, economists and spatial and landscape planners from Germany, Switzerland and Luxembourg. From mid2017 to mid-2020, the group members met every six months at workshops in different locations and systematically tackled the topic of post-growth economies from the perspective of the spatial and planning sciences.</w:t>
            </w:r>
          </w:p>
        </w:tc>
        <w:tc>
          <w:tcPr>
            <w:tcW w:w="2268" w:type="dxa"/>
            <w:tcBorders>
              <w:top w:val="nil"/>
              <w:left w:val="nil"/>
              <w:bottom w:val="single" w:sz="4" w:space="0" w:color="auto"/>
              <w:right w:val="single" w:sz="8" w:space="0" w:color="auto"/>
            </w:tcBorders>
            <w:vAlign w:val="center"/>
          </w:tcPr>
          <w:p w14:paraId="3DF9775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was used during identification of different space interpretation of this research, concentration on post-growth trends.</w:t>
            </w:r>
          </w:p>
        </w:tc>
      </w:tr>
      <w:tr w:rsidR="00EE2B83" w:rsidRPr="0002056A" w14:paraId="0DF82C82"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A1C624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Laudien, R., Goosen, H., van Nieuwaal, K., Boon, Eva</w:t>
            </w:r>
          </w:p>
        </w:tc>
        <w:tc>
          <w:tcPr>
            <w:tcW w:w="705" w:type="dxa"/>
            <w:tcBorders>
              <w:top w:val="nil"/>
              <w:left w:val="nil"/>
              <w:bottom w:val="single" w:sz="4" w:space="0" w:color="auto"/>
              <w:right w:val="single" w:sz="4" w:space="0" w:color="auto"/>
            </w:tcBorders>
            <w:vAlign w:val="center"/>
            <w:hideMark/>
          </w:tcPr>
          <w:p w14:paraId="4DF31D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02B8E9B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Dutch adaptation web portal: seven lessons learnt from a co-production point of view</w:t>
            </w:r>
          </w:p>
        </w:tc>
        <w:tc>
          <w:tcPr>
            <w:tcW w:w="1134" w:type="dxa"/>
            <w:tcBorders>
              <w:top w:val="nil"/>
              <w:left w:val="nil"/>
              <w:bottom w:val="single" w:sz="4" w:space="0" w:color="auto"/>
              <w:right w:val="single" w:sz="4" w:space="0" w:color="auto"/>
            </w:tcBorders>
            <w:vAlign w:val="center"/>
            <w:hideMark/>
          </w:tcPr>
          <w:p w14:paraId="0AEA24C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 NRL</w:t>
            </w:r>
          </w:p>
        </w:tc>
        <w:tc>
          <w:tcPr>
            <w:tcW w:w="708" w:type="dxa"/>
            <w:tcBorders>
              <w:top w:val="nil"/>
              <w:left w:val="nil"/>
              <w:bottom w:val="single" w:sz="4" w:space="0" w:color="auto"/>
              <w:right w:val="single" w:sz="4" w:space="0" w:color="auto"/>
            </w:tcBorders>
            <w:vAlign w:val="center"/>
            <w:hideMark/>
          </w:tcPr>
          <w:p w14:paraId="5391112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hyperlink r:id="rId166" w:tooltip="Search for Mitigation &amp; Adaptation Strategies for Global Change" w:history="1">
              <w:r w:rsidRPr="0002056A">
                <w:rPr>
                  <w:rFonts w:ascii="Georgia" w:eastAsia="Times New Roman" w:hAnsi="Georgia" w:cs="Times New Roman"/>
                  <w:color w:val="000000"/>
                  <w:sz w:val="10"/>
                  <w:szCs w:val="10"/>
                  <w:lang w:val="en-GB" w:eastAsia="hu-HU"/>
                </w:rPr>
                <w:t>Springer</w:t>
              </w:r>
            </w:hyperlink>
          </w:p>
        </w:tc>
        <w:tc>
          <w:tcPr>
            <w:tcW w:w="851" w:type="dxa"/>
            <w:tcBorders>
              <w:top w:val="nil"/>
              <w:left w:val="nil"/>
              <w:bottom w:val="single" w:sz="4" w:space="0" w:color="auto"/>
              <w:right w:val="single" w:sz="4" w:space="0" w:color="auto"/>
            </w:tcBorders>
            <w:vAlign w:val="center"/>
            <w:hideMark/>
          </w:tcPr>
          <w:p w14:paraId="7F4CCEF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40ADC72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Climatic Change Apr2019, Vol. 153 Issue 4, p509-521. 13p</w:t>
            </w:r>
          </w:p>
        </w:tc>
        <w:tc>
          <w:tcPr>
            <w:tcW w:w="708" w:type="dxa"/>
            <w:tcBorders>
              <w:top w:val="nil"/>
              <w:left w:val="nil"/>
              <w:bottom w:val="single" w:sz="4" w:space="0" w:color="auto"/>
              <w:right w:val="single" w:sz="4" w:space="0" w:color="auto"/>
            </w:tcBorders>
            <w:vAlign w:val="center"/>
            <w:hideMark/>
          </w:tcPr>
          <w:p w14:paraId="65BE1E2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49968E3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FDB811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2F53644"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Since its release in 2014, the Knowledge Portal for Spatial Adaptation has evolved into the central web portal for climate adaptation in the Netherlands, supporting regional and local adaptation efforts. This paper reflects on how co-production shaped the development of the portal and evaluates its use and the usability of the most frequently accessed tool, the ‘Climate Adaptation Atlas’.</w:t>
            </w:r>
          </w:p>
        </w:tc>
        <w:tc>
          <w:tcPr>
            <w:tcW w:w="2268" w:type="dxa"/>
            <w:tcBorders>
              <w:top w:val="nil"/>
              <w:left w:val="nil"/>
              <w:bottom w:val="single" w:sz="4" w:space="0" w:color="auto"/>
              <w:right w:val="single" w:sz="8" w:space="0" w:color="auto"/>
            </w:tcBorders>
            <w:vAlign w:val="center"/>
          </w:tcPr>
          <w:p w14:paraId="642F846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a practical GIS-based DS tool.</w:t>
            </w:r>
          </w:p>
        </w:tc>
      </w:tr>
      <w:tr w:rsidR="00EE2B83" w:rsidRPr="0002056A" w14:paraId="380281A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19A89A4" w14:textId="54E1F128"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Leiter, T.</w:t>
            </w:r>
          </w:p>
        </w:tc>
        <w:tc>
          <w:tcPr>
            <w:tcW w:w="705" w:type="dxa"/>
            <w:tcBorders>
              <w:top w:val="nil"/>
              <w:left w:val="nil"/>
              <w:bottom w:val="single" w:sz="4" w:space="0" w:color="auto"/>
              <w:right w:val="single" w:sz="4" w:space="0" w:color="auto"/>
            </w:tcBorders>
            <w:vAlign w:val="center"/>
          </w:tcPr>
          <w:p w14:paraId="309F27B4" w14:textId="7AED71F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tcPr>
          <w:p w14:paraId="64C2F709" w14:textId="0239A976" w:rsidR="00EE2B83" w:rsidRPr="003B78D5" w:rsidRDefault="00EE2B83" w:rsidP="00EE2B83">
            <w:pPr>
              <w:spacing w:after="0" w:line="240" w:lineRule="auto"/>
              <w:rPr>
                <w:rFonts w:ascii="Georgia" w:eastAsia="Times New Roman" w:hAnsi="Georgia" w:cs="Times New Roman"/>
                <w:color w:val="000000"/>
                <w:sz w:val="8"/>
                <w:szCs w:val="8"/>
                <w:lang w:val="en-GB" w:eastAsia="hu-HU"/>
              </w:rPr>
            </w:pPr>
            <w:r w:rsidRPr="003B78D5">
              <w:rPr>
                <w:rFonts w:ascii="Georgia" w:eastAsia="Times New Roman" w:hAnsi="Georgia" w:cs="Times New Roman"/>
                <w:color w:val="000000"/>
                <w:sz w:val="8"/>
                <w:szCs w:val="8"/>
                <w:lang w:val="en-GB" w:eastAsia="hu-HU"/>
              </w:rPr>
              <w:t>Recommendations for adaptation M&amp;E in practice. Experiences with establishing national adaptation M&amp;E systems.</w:t>
            </w:r>
          </w:p>
        </w:tc>
        <w:tc>
          <w:tcPr>
            <w:tcW w:w="1134" w:type="dxa"/>
            <w:tcBorders>
              <w:top w:val="nil"/>
              <w:left w:val="nil"/>
              <w:bottom w:val="single" w:sz="4" w:space="0" w:color="auto"/>
              <w:right w:val="single" w:sz="4" w:space="0" w:color="auto"/>
            </w:tcBorders>
            <w:vAlign w:val="center"/>
          </w:tcPr>
          <w:p w14:paraId="268BFB86" w14:textId="7926C53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633D02B1" w14:textId="5F69D043" w:rsidR="00EE2B83" w:rsidRDefault="00EE2B83" w:rsidP="00EE2B83">
            <w:pPr>
              <w:spacing w:after="0" w:line="240" w:lineRule="auto"/>
            </w:pPr>
            <w:r w:rsidRPr="0002056A">
              <w:rPr>
                <w:rFonts w:ascii="Georgia" w:eastAsia="Times New Roman" w:hAnsi="Georgia" w:cs="Times New Roman"/>
                <w:color w:val="000000"/>
                <w:sz w:val="10"/>
                <w:szCs w:val="10"/>
                <w:lang w:val="en-GB" w:eastAsia="hu-HU"/>
              </w:rPr>
              <w:t>GIZ</w:t>
            </w:r>
          </w:p>
        </w:tc>
        <w:tc>
          <w:tcPr>
            <w:tcW w:w="851" w:type="dxa"/>
            <w:tcBorders>
              <w:top w:val="nil"/>
              <w:left w:val="nil"/>
              <w:bottom w:val="single" w:sz="4" w:space="0" w:color="auto"/>
              <w:right w:val="single" w:sz="4" w:space="0" w:color="auto"/>
            </w:tcBorders>
            <w:vAlign w:val="center"/>
          </w:tcPr>
          <w:p w14:paraId="369D374A" w14:textId="79678B1B"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485ED671" w14:textId="145072D0"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Deutsche Gesellschaft für Internationelle Zusammenarbeit GMbH.</w:t>
            </w:r>
          </w:p>
        </w:tc>
        <w:tc>
          <w:tcPr>
            <w:tcW w:w="708" w:type="dxa"/>
            <w:tcBorders>
              <w:top w:val="nil"/>
              <w:left w:val="nil"/>
              <w:bottom w:val="single" w:sz="4" w:space="0" w:color="auto"/>
              <w:right w:val="single" w:sz="4" w:space="0" w:color="auto"/>
            </w:tcBorders>
            <w:vAlign w:val="center"/>
          </w:tcPr>
          <w:p w14:paraId="79558E9B" w14:textId="6D514D8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tcPr>
          <w:p w14:paraId="624CBD2D" w14:textId="63184E8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50264B4" w14:textId="368A195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7DE22CF" w14:textId="6AFA04B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Leiter overviewed good practice examples of 10 adaptation MRE pioneering countries: the context of their systems; the institutional arrangements and their development; and the systems’ content. </w:t>
            </w:r>
          </w:p>
        </w:tc>
        <w:tc>
          <w:tcPr>
            <w:tcW w:w="2268" w:type="dxa"/>
            <w:tcBorders>
              <w:top w:val="nil"/>
              <w:left w:val="nil"/>
              <w:bottom w:val="single" w:sz="4" w:space="0" w:color="auto"/>
              <w:right w:val="single" w:sz="8" w:space="0" w:color="auto"/>
            </w:tcBorders>
            <w:vAlign w:val="center"/>
          </w:tcPr>
          <w:p w14:paraId="5FEA3BBC" w14:textId="149343C9"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analysis underlined the complexity of the national systems and the importance of learning from each other.</w:t>
            </w:r>
          </w:p>
        </w:tc>
      </w:tr>
      <w:tr w:rsidR="00EE2B83" w:rsidRPr="0002056A" w14:paraId="69D44E14"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4D021B7" w14:textId="3AD7DC0E"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Ledda A., Di Cesare E.A., Satta G., Cocco G., Calia G., Arras F., Congiu A, Manca E., De Montis A.</w:t>
            </w:r>
          </w:p>
        </w:tc>
        <w:tc>
          <w:tcPr>
            <w:tcW w:w="705" w:type="dxa"/>
            <w:tcBorders>
              <w:top w:val="nil"/>
              <w:left w:val="nil"/>
              <w:bottom w:val="single" w:sz="4" w:space="0" w:color="auto"/>
              <w:right w:val="single" w:sz="4" w:space="0" w:color="auto"/>
            </w:tcBorders>
            <w:vAlign w:val="center"/>
            <w:hideMark/>
          </w:tcPr>
          <w:p w14:paraId="3FAA1C9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7C17555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to Climate Change and Regional Planning: A Scrutiny of Sectoral Instruments</w:t>
            </w:r>
          </w:p>
        </w:tc>
        <w:tc>
          <w:tcPr>
            <w:tcW w:w="1134" w:type="dxa"/>
            <w:tcBorders>
              <w:top w:val="nil"/>
              <w:left w:val="nil"/>
              <w:bottom w:val="single" w:sz="4" w:space="0" w:color="auto"/>
              <w:right w:val="single" w:sz="4" w:space="0" w:color="auto"/>
            </w:tcBorders>
            <w:vAlign w:val="center"/>
            <w:hideMark/>
          </w:tcPr>
          <w:p w14:paraId="263118C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 ITA, ITA, ITA, ITA, ITA, ITA, ITA, ITA</w:t>
            </w:r>
          </w:p>
        </w:tc>
        <w:tc>
          <w:tcPr>
            <w:tcW w:w="708" w:type="dxa"/>
            <w:tcBorders>
              <w:top w:val="nil"/>
              <w:left w:val="nil"/>
              <w:bottom w:val="single" w:sz="4" w:space="0" w:color="auto"/>
              <w:right w:val="single" w:sz="4" w:space="0" w:color="auto"/>
            </w:tcBorders>
            <w:vAlign w:val="center"/>
            <w:hideMark/>
          </w:tcPr>
          <w:p w14:paraId="4490A35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MDPI, Basel, Switzerland</w:t>
            </w:r>
          </w:p>
        </w:tc>
        <w:tc>
          <w:tcPr>
            <w:tcW w:w="851" w:type="dxa"/>
            <w:tcBorders>
              <w:top w:val="nil"/>
              <w:left w:val="nil"/>
              <w:bottom w:val="single" w:sz="4" w:space="0" w:color="auto"/>
              <w:right w:val="single" w:sz="4" w:space="0" w:color="auto"/>
            </w:tcBorders>
            <w:vAlign w:val="center"/>
            <w:hideMark/>
          </w:tcPr>
          <w:p w14:paraId="7BD850D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 climate adaptation policy</w:t>
            </w:r>
          </w:p>
        </w:tc>
        <w:tc>
          <w:tcPr>
            <w:tcW w:w="993" w:type="dxa"/>
            <w:tcBorders>
              <w:top w:val="nil"/>
              <w:left w:val="nil"/>
              <w:bottom w:val="single" w:sz="4" w:space="0" w:color="auto"/>
              <w:right w:val="single" w:sz="4" w:space="0" w:color="auto"/>
            </w:tcBorders>
            <w:vAlign w:val="center"/>
            <w:hideMark/>
          </w:tcPr>
          <w:p w14:paraId="34A3614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Sustainability 2020, 12, 3804; doi:10.3390/su12093804</w:t>
            </w:r>
          </w:p>
        </w:tc>
        <w:tc>
          <w:tcPr>
            <w:tcW w:w="708" w:type="dxa"/>
            <w:tcBorders>
              <w:top w:val="nil"/>
              <w:left w:val="nil"/>
              <w:bottom w:val="single" w:sz="4" w:space="0" w:color="auto"/>
              <w:right w:val="single" w:sz="4" w:space="0" w:color="auto"/>
            </w:tcBorders>
            <w:vAlign w:val="center"/>
            <w:hideMark/>
          </w:tcPr>
          <w:p w14:paraId="7AD82B7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208A7C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1189F6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8A84222"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focuses on the regional plans adopted by the Autonomous Region of Sardinia (Italy), south European Mediterranean region, an area that will be negatively affected by climate change in the coming decades. The study aims at proposing a method for scrutinizing regional plans related to spatial planning issues, by using criteria rooted in the scientific literature and adaptation strategies.</w:t>
            </w:r>
          </w:p>
        </w:tc>
        <w:tc>
          <w:tcPr>
            <w:tcW w:w="2268" w:type="dxa"/>
            <w:tcBorders>
              <w:top w:val="nil"/>
              <w:left w:val="nil"/>
              <w:bottom w:val="single" w:sz="4" w:space="0" w:color="auto"/>
              <w:right w:val="single" w:sz="8" w:space="0" w:color="auto"/>
            </w:tcBorders>
            <w:vAlign w:val="center"/>
          </w:tcPr>
          <w:p w14:paraId="09FDD4AB"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examines adaptation’s role and weight in regional planning.</w:t>
            </w:r>
          </w:p>
        </w:tc>
      </w:tr>
      <w:tr w:rsidR="00EE2B83" w:rsidRPr="0002056A" w14:paraId="126B5979"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948BD9C" w14:textId="32B9EE75"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Leiter, T.</w:t>
            </w:r>
          </w:p>
        </w:tc>
        <w:tc>
          <w:tcPr>
            <w:tcW w:w="705" w:type="dxa"/>
            <w:tcBorders>
              <w:top w:val="nil"/>
              <w:left w:val="nil"/>
              <w:bottom w:val="single" w:sz="4" w:space="0" w:color="auto"/>
              <w:right w:val="single" w:sz="4" w:space="0" w:color="auto"/>
            </w:tcBorders>
            <w:vAlign w:val="center"/>
          </w:tcPr>
          <w:p w14:paraId="669EC863" w14:textId="4998A57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747A5913" w14:textId="1A09833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Linking Monitoring and Evaluation of Adaptation to Climate Change Across Scales. Avenues and Practical Approaches.</w:t>
            </w:r>
          </w:p>
        </w:tc>
        <w:tc>
          <w:tcPr>
            <w:tcW w:w="1134" w:type="dxa"/>
            <w:tcBorders>
              <w:top w:val="nil"/>
              <w:left w:val="nil"/>
              <w:bottom w:val="single" w:sz="4" w:space="0" w:color="auto"/>
              <w:right w:val="single" w:sz="4" w:space="0" w:color="auto"/>
            </w:tcBorders>
            <w:vAlign w:val="center"/>
          </w:tcPr>
          <w:p w14:paraId="14B82950" w14:textId="6AFA28F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78159BD4" w14:textId="32859E7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 Online Library</w:t>
            </w:r>
          </w:p>
        </w:tc>
        <w:tc>
          <w:tcPr>
            <w:tcW w:w="851" w:type="dxa"/>
            <w:tcBorders>
              <w:top w:val="nil"/>
              <w:left w:val="nil"/>
              <w:bottom w:val="single" w:sz="4" w:space="0" w:color="auto"/>
              <w:right w:val="single" w:sz="4" w:space="0" w:color="auto"/>
            </w:tcBorders>
            <w:vAlign w:val="center"/>
          </w:tcPr>
          <w:p w14:paraId="700815F0" w14:textId="279D1220"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013E9732" w14:textId="4012264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New Directions for Evaluation: Volume 2015, Issue 147. Fall 2015. Monitoring and Evaluation of Climate Adaptation: A Review of the Landscape. Wiley Online Library.  Pp. 117-127 doi.org/10.1002/ev.20135</w:t>
            </w:r>
          </w:p>
        </w:tc>
        <w:tc>
          <w:tcPr>
            <w:tcW w:w="708" w:type="dxa"/>
            <w:tcBorders>
              <w:top w:val="nil"/>
              <w:left w:val="nil"/>
              <w:bottom w:val="single" w:sz="4" w:space="0" w:color="auto"/>
              <w:right w:val="single" w:sz="4" w:space="0" w:color="auto"/>
            </w:tcBorders>
            <w:vAlign w:val="center"/>
          </w:tcPr>
          <w:p w14:paraId="593B0825" w14:textId="6D9BC6D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8B44903" w14:textId="0C27192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761C7AA" w14:textId="52FD46F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C61D80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6E0696B8"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2426BD8C" w14:textId="5966FED1"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Monitoring and evaluation activities prepare for and reduce the impacts of climate change can help to understand the results of adaptation interventions and better account for progress over time. Information on adaptation is so far typically gathered through either project and program, or national-level climate change adaptation MRE systems with limited connection between them. However, given that adaptation takes place at multiple scales, a complete picture of the adaptation progress can only be established if information from national and subnational levels is combined. Leiter’s article outlines three avenues illustrated by examples from practice on how information on adaptation interventions and evaluation results can be connected across scales in order to improve the evidence base for adaptation planning and decision making.</w:t>
            </w:r>
          </w:p>
          <w:p w14:paraId="757C2BA5"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p w14:paraId="0D359ADB" w14:textId="30A967F9"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5C826BB8" w14:textId="06C7B31F"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analysis underlined the complexity of the spatial scales of adaptation MRE.</w:t>
            </w:r>
          </w:p>
        </w:tc>
      </w:tr>
      <w:tr w:rsidR="00EE2B83" w:rsidRPr="0002056A" w14:paraId="70D78066"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5DE6B8C" w14:textId="34607AA9"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Leiter, T., Buitrago, M.F., Druta, A., Guiterrez, J.E., Harley, M., Makholela, T., Ponlok, T., Ramarou, T., Vargas, C.R., &amp; Wallin, E. </w:t>
            </w:r>
          </w:p>
        </w:tc>
        <w:tc>
          <w:tcPr>
            <w:tcW w:w="705" w:type="dxa"/>
            <w:tcBorders>
              <w:top w:val="nil"/>
              <w:left w:val="nil"/>
              <w:bottom w:val="single" w:sz="4" w:space="0" w:color="auto"/>
              <w:right w:val="single" w:sz="4" w:space="0" w:color="auto"/>
            </w:tcBorders>
            <w:vAlign w:val="center"/>
          </w:tcPr>
          <w:p w14:paraId="30D0A4DD" w14:textId="4E290E9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hAnsi="Georgia"/>
                <w:iCs/>
                <w:smallCaps/>
                <w:sz w:val="10"/>
                <w:szCs w:val="10"/>
                <w:lang w:val="en-GB"/>
              </w:rPr>
              <w:t>2017.</w:t>
            </w:r>
          </w:p>
        </w:tc>
        <w:tc>
          <w:tcPr>
            <w:tcW w:w="1137" w:type="dxa"/>
            <w:tcBorders>
              <w:top w:val="nil"/>
              <w:left w:val="nil"/>
              <w:bottom w:val="single" w:sz="4" w:space="0" w:color="auto"/>
              <w:right w:val="single" w:sz="4" w:space="0" w:color="auto"/>
            </w:tcBorders>
            <w:vAlign w:val="center"/>
          </w:tcPr>
          <w:p w14:paraId="798A2331" w14:textId="47850B7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Country-specific assessments of adaptation progress. </w:t>
            </w:r>
          </w:p>
          <w:p w14:paraId="4F51854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0573E512" w14:textId="593EB60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4A278DF3" w14:textId="5B8158C6"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UNEP</w:t>
            </w:r>
          </w:p>
        </w:tc>
        <w:tc>
          <w:tcPr>
            <w:tcW w:w="851" w:type="dxa"/>
            <w:tcBorders>
              <w:top w:val="nil"/>
              <w:left w:val="nil"/>
              <w:bottom w:val="single" w:sz="4" w:space="0" w:color="auto"/>
              <w:right w:val="single" w:sz="4" w:space="0" w:color="auto"/>
            </w:tcBorders>
            <w:vAlign w:val="center"/>
          </w:tcPr>
          <w:p w14:paraId="6A7D75C5" w14:textId="76C4C5DE"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6A1C063E" w14:textId="36E51126"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UNEP: The Adaptation Gap Report 2017: Towards Global Assessment (pp. 23–33). </w:t>
            </w:r>
          </w:p>
        </w:tc>
        <w:tc>
          <w:tcPr>
            <w:tcW w:w="708" w:type="dxa"/>
            <w:tcBorders>
              <w:top w:val="nil"/>
              <w:left w:val="nil"/>
              <w:bottom w:val="single" w:sz="4" w:space="0" w:color="auto"/>
              <w:right w:val="single" w:sz="4" w:space="0" w:color="auto"/>
            </w:tcBorders>
            <w:vAlign w:val="center"/>
          </w:tcPr>
          <w:p w14:paraId="50286625" w14:textId="63249E1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38E36951" w14:textId="5A93720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74C1408" w14:textId="658ACAD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CA934F3" w14:textId="66CB2F35"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Leiter and colleagues found that very few national adaptation M&amp;E systems have advanced beyond initial steps, i.e., concluding the opposite of what Morgan et al. claim</w:t>
            </w:r>
          </w:p>
        </w:tc>
        <w:tc>
          <w:tcPr>
            <w:tcW w:w="2268" w:type="dxa"/>
            <w:tcBorders>
              <w:top w:val="nil"/>
              <w:left w:val="nil"/>
              <w:bottom w:val="single" w:sz="4" w:space="0" w:color="auto"/>
              <w:right w:val="single" w:sz="8" w:space="0" w:color="auto"/>
            </w:tcBorders>
            <w:vAlign w:val="center"/>
          </w:tcPr>
          <w:p w14:paraId="5261110A" w14:textId="0EC5B10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comprehensive overview of national adaptation MRE systems.</w:t>
            </w:r>
          </w:p>
        </w:tc>
      </w:tr>
      <w:tr w:rsidR="00EE2B83" w:rsidRPr="0002056A" w14:paraId="7CE9DBDE"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55472DE"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Leiter, T.</w:t>
            </w:r>
          </w:p>
        </w:tc>
        <w:tc>
          <w:tcPr>
            <w:tcW w:w="705" w:type="dxa"/>
            <w:tcBorders>
              <w:top w:val="nil"/>
              <w:left w:val="nil"/>
              <w:bottom w:val="single" w:sz="4" w:space="0" w:color="auto"/>
              <w:right w:val="single" w:sz="4" w:space="0" w:color="auto"/>
            </w:tcBorders>
            <w:vAlign w:val="center"/>
          </w:tcPr>
          <w:p w14:paraId="03C7722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15735BA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 governments track the implementation of national climate change adaptation plans? An evidence-based global stocktake of monitoring and evaluation systems</w:t>
            </w:r>
          </w:p>
        </w:tc>
        <w:tc>
          <w:tcPr>
            <w:tcW w:w="1134" w:type="dxa"/>
            <w:tcBorders>
              <w:top w:val="nil"/>
              <w:left w:val="nil"/>
              <w:bottom w:val="single" w:sz="4" w:space="0" w:color="auto"/>
              <w:right w:val="single" w:sz="4" w:space="0" w:color="auto"/>
            </w:tcBorders>
            <w:vAlign w:val="center"/>
          </w:tcPr>
          <w:p w14:paraId="058EBC9B" w14:textId="54E48D5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4FE6319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4D0A53C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MRE</w:t>
            </w:r>
          </w:p>
        </w:tc>
        <w:tc>
          <w:tcPr>
            <w:tcW w:w="993" w:type="dxa"/>
            <w:tcBorders>
              <w:top w:val="nil"/>
              <w:left w:val="nil"/>
              <w:bottom w:val="single" w:sz="4" w:space="0" w:color="auto"/>
              <w:right w:val="single" w:sz="4" w:space="0" w:color="auto"/>
            </w:tcBorders>
            <w:vAlign w:val="center"/>
          </w:tcPr>
          <w:p w14:paraId="203D3A9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Science and Policy 125 (2021)</w:t>
            </w:r>
          </w:p>
        </w:tc>
        <w:tc>
          <w:tcPr>
            <w:tcW w:w="708" w:type="dxa"/>
            <w:tcBorders>
              <w:top w:val="nil"/>
              <w:left w:val="nil"/>
              <w:bottom w:val="single" w:sz="4" w:space="0" w:color="auto"/>
              <w:right w:val="single" w:sz="4" w:space="0" w:color="auto"/>
            </w:tcBorders>
            <w:vAlign w:val="center"/>
          </w:tcPr>
          <w:p w14:paraId="67FE3E6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FADA79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402934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1D92C0A"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is a comprehensive inventory of NAP MRE systems, documenting governmental practices from over 60 countries It gives an overview of good practice examples of 10 adaptation MRE pioneering countries.</w:t>
            </w:r>
          </w:p>
        </w:tc>
        <w:tc>
          <w:tcPr>
            <w:tcW w:w="2268" w:type="dxa"/>
            <w:tcBorders>
              <w:top w:val="nil"/>
              <w:left w:val="nil"/>
              <w:bottom w:val="single" w:sz="4" w:space="0" w:color="auto"/>
              <w:right w:val="single" w:sz="8" w:space="0" w:color="auto"/>
            </w:tcBorders>
            <w:vAlign w:val="center"/>
          </w:tcPr>
          <w:p w14:paraId="137B514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examines the context of systems; the institutional arrangements and development; the systems’ content. The analysis underlined the complexity of the national systems and the importance of learning from each other. It is a quasi-global stocktake on adaptation MRE system building.</w:t>
            </w:r>
          </w:p>
        </w:tc>
      </w:tr>
      <w:tr w:rsidR="00EE2B83" w:rsidRPr="0002056A" w14:paraId="1A058382"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65B7973" w14:textId="4CF9706F" w:rsidR="00EE2B83" w:rsidRPr="0002056A" w:rsidRDefault="00EE2B83" w:rsidP="003B78D5">
            <w:pPr>
              <w:autoSpaceDE w:val="0"/>
              <w:autoSpaceDN w:val="0"/>
              <w:adjustRightInd w:val="0"/>
              <w:spacing w:after="0" w:line="240" w:lineRule="auto"/>
              <w:rPr>
                <w:rFonts w:ascii="Georgia" w:eastAsia="Times New Roman" w:hAnsi="Georgia" w:cs="Times New Roman"/>
                <w:b/>
                <w:bCs/>
                <w:i/>
                <w:color w:val="000000"/>
                <w:sz w:val="14"/>
                <w:szCs w:val="14"/>
                <w:lang w:val="en-GB" w:eastAsia="hu-HU"/>
              </w:rPr>
            </w:pPr>
            <w:r w:rsidRPr="0002056A">
              <w:rPr>
                <w:rFonts w:ascii="Georgia" w:eastAsia="Times New Roman" w:hAnsi="Georgia" w:cs="Times New Roman"/>
                <w:b/>
                <w:bCs/>
                <w:i/>
                <w:color w:val="000000"/>
                <w:sz w:val="14"/>
                <w:szCs w:val="14"/>
                <w:lang w:val="en-GB" w:eastAsia="hu-HU"/>
              </w:rPr>
              <w:t xml:space="preserve">Leitner M., Johnson K., Lexer W., Munck af Rosenschöld J., Dworak T., Tamásová A., Nikolova A., Vanneuville W. </w:t>
            </w:r>
          </w:p>
        </w:tc>
        <w:tc>
          <w:tcPr>
            <w:tcW w:w="705" w:type="dxa"/>
            <w:tcBorders>
              <w:top w:val="nil"/>
              <w:left w:val="nil"/>
              <w:bottom w:val="single" w:sz="4" w:space="0" w:color="auto"/>
              <w:right w:val="single" w:sz="4" w:space="0" w:color="auto"/>
            </w:tcBorders>
            <w:vAlign w:val="center"/>
          </w:tcPr>
          <w:p w14:paraId="5E4F0C0A" w14:textId="6613914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2024</w:t>
            </w:r>
          </w:p>
        </w:tc>
        <w:tc>
          <w:tcPr>
            <w:tcW w:w="1137" w:type="dxa"/>
            <w:tcBorders>
              <w:top w:val="nil"/>
              <w:left w:val="nil"/>
              <w:bottom w:val="single" w:sz="4" w:space="0" w:color="auto"/>
              <w:right w:val="single" w:sz="4" w:space="0" w:color="auto"/>
            </w:tcBorders>
            <w:vAlign w:val="center"/>
          </w:tcPr>
          <w:p w14:paraId="198DBE9E" w14:textId="1C15565B"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Characteristics and conditions of adaptation policy in European Environment Agency member and cooperating countries.</w:t>
            </w:r>
          </w:p>
        </w:tc>
        <w:tc>
          <w:tcPr>
            <w:tcW w:w="1134" w:type="dxa"/>
            <w:tcBorders>
              <w:top w:val="nil"/>
              <w:left w:val="nil"/>
              <w:bottom w:val="single" w:sz="4" w:space="0" w:color="auto"/>
              <w:right w:val="single" w:sz="4" w:space="0" w:color="auto"/>
            </w:tcBorders>
            <w:vAlign w:val="center"/>
          </w:tcPr>
          <w:p w14:paraId="6DD664D9" w14:textId="5B1DD0D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4E7D48A" w14:textId="6FE6AD8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tcPr>
          <w:p w14:paraId="5CD187C6" w14:textId="468DD74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 &amp; MRE</w:t>
            </w:r>
          </w:p>
        </w:tc>
        <w:tc>
          <w:tcPr>
            <w:tcW w:w="993" w:type="dxa"/>
            <w:tcBorders>
              <w:top w:val="nil"/>
              <w:left w:val="nil"/>
              <w:bottom w:val="single" w:sz="4" w:space="0" w:color="auto"/>
              <w:right w:val="single" w:sz="4" w:space="0" w:color="auto"/>
            </w:tcBorders>
            <w:vAlign w:val="center"/>
          </w:tcPr>
          <w:p w14:paraId="6D52A85E" w14:textId="4D00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ETC CA. Report published 2024 via European Topic Centre on Climate change adaptation and LULUCF, (ETC CA). doi.org/10.25424/cmcc</w:t>
            </w:r>
          </w:p>
        </w:tc>
        <w:tc>
          <w:tcPr>
            <w:tcW w:w="708" w:type="dxa"/>
            <w:tcBorders>
              <w:top w:val="nil"/>
              <w:left w:val="nil"/>
              <w:bottom w:val="single" w:sz="4" w:space="0" w:color="auto"/>
              <w:right w:val="single" w:sz="4" w:space="0" w:color="auto"/>
            </w:tcBorders>
            <w:vAlign w:val="center"/>
          </w:tcPr>
          <w:p w14:paraId="17121E81" w14:textId="5B6CED7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2D28F42F" w14:textId="35EFA35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72C8731" w14:textId="7EFF2D0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DDB4873" w14:textId="287136BF"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European Topic Centre on Climate change Adaptation and LULUCF (ETC CA) report aims to provide a deeper understanding of the diverse landscape of adaptation policy frameworks and instruments utilized across the 38 European Environment Agency member and cooperating countries, exploring their defining characteristics and how they operate within national contexts. Particular attention is given to countries with national climate laws governing climate change adaptation. The report provides an assessment of adaptation policy documents and reports published through July 2024. It also identifies challenges in integrating monitoring and evaluation systems, ensuring that adaptation actions lead to meaningful risk reduction and increased resilience.</w:t>
            </w:r>
          </w:p>
          <w:p w14:paraId="224B2DA8" w14:textId="1B4F84D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39234B1E" w14:textId="54A7E8C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takes stock of the progress made in establishing legal frameworks and policies for climate adaptation across Europe. However, it also identifies challenges in integrating monitoring and evaluation systems, ensuring that adaptation actions lead to meaningful risk reduction and increased resilience. The findings suggest a need for continued efforts to enhance the coherence and effectiveness of adaptation policies through robust legal mandates and improved governance structures</w:t>
            </w:r>
          </w:p>
        </w:tc>
      </w:tr>
      <w:tr w:rsidR="00EE2B83" w:rsidRPr="0002056A" w14:paraId="652D74D7" w14:textId="77777777" w:rsidTr="00D57247">
        <w:trPr>
          <w:trHeight w:val="54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2A4D400"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Lengyel I. </w:t>
            </w:r>
          </w:p>
        </w:tc>
        <w:tc>
          <w:tcPr>
            <w:tcW w:w="705" w:type="dxa"/>
            <w:tcBorders>
              <w:top w:val="nil"/>
              <w:left w:val="nil"/>
              <w:bottom w:val="single" w:sz="4" w:space="0" w:color="auto"/>
              <w:right w:val="single" w:sz="4" w:space="0" w:color="auto"/>
            </w:tcBorders>
            <w:vAlign w:val="center"/>
          </w:tcPr>
          <w:p w14:paraId="7865E3A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77DC88B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regionális tudomány „térnyerése”: reális esélyek avagy csalfa délibábok. </w:t>
            </w:r>
          </w:p>
        </w:tc>
        <w:tc>
          <w:tcPr>
            <w:tcW w:w="1134" w:type="dxa"/>
            <w:tcBorders>
              <w:top w:val="nil"/>
              <w:left w:val="nil"/>
              <w:bottom w:val="single" w:sz="4" w:space="0" w:color="auto"/>
              <w:right w:val="single" w:sz="4" w:space="0" w:color="auto"/>
            </w:tcBorders>
            <w:vAlign w:val="center"/>
          </w:tcPr>
          <w:p w14:paraId="6274B92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32EFF8B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w:t>
            </w:r>
          </w:p>
        </w:tc>
        <w:tc>
          <w:tcPr>
            <w:tcW w:w="851" w:type="dxa"/>
            <w:tcBorders>
              <w:top w:val="nil"/>
              <w:left w:val="nil"/>
              <w:bottom w:val="single" w:sz="4" w:space="0" w:color="auto"/>
              <w:right w:val="single" w:sz="4" w:space="0" w:color="auto"/>
            </w:tcBorders>
            <w:vAlign w:val="center"/>
          </w:tcPr>
          <w:p w14:paraId="3B246AE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7F2505A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Tér és Társadalom, 3, 11–40.</w:t>
            </w:r>
          </w:p>
        </w:tc>
        <w:tc>
          <w:tcPr>
            <w:tcW w:w="708" w:type="dxa"/>
            <w:tcBorders>
              <w:top w:val="nil"/>
              <w:left w:val="nil"/>
              <w:bottom w:val="single" w:sz="4" w:space="0" w:color="auto"/>
              <w:right w:val="single" w:sz="4" w:space="0" w:color="auto"/>
            </w:tcBorders>
            <w:vAlign w:val="center"/>
          </w:tcPr>
          <w:p w14:paraId="4A563E7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9A8406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6BBF7C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41D5BE5"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deals with the most important challenges facing regional science and the possible answers. He considers the drastic reduction of transport and communication costs to be essential, partly as a result of this, the reorganization of spatial relations and the promotion of agglomeration economies. These processes form a new social space according to the needs of the globalized economy, which is largely separated from the geographical space. According to the author, an integrated management of the geographical space and the new social space can greatly contribute to the renewal of regional science.</w:t>
            </w:r>
          </w:p>
        </w:tc>
        <w:tc>
          <w:tcPr>
            <w:tcW w:w="2268" w:type="dxa"/>
            <w:tcBorders>
              <w:top w:val="nil"/>
              <w:left w:val="nil"/>
              <w:bottom w:val="single" w:sz="4" w:space="0" w:color="auto"/>
              <w:right w:val="single" w:sz="8" w:space="0" w:color="auto"/>
            </w:tcBorders>
            <w:vAlign w:val="center"/>
          </w:tcPr>
          <w:p w14:paraId="155B2880"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an example for regional study’s space approach.</w:t>
            </w:r>
          </w:p>
        </w:tc>
      </w:tr>
      <w:tr w:rsidR="00EE2B83" w:rsidRPr="0002056A" w14:paraId="39A45488"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BE83ABE"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hyperlink r:id="rId167" w:history="1">
              <w:r w:rsidRPr="0002056A">
                <w:rPr>
                  <w:rFonts w:ascii="Georgia" w:eastAsia="Times New Roman" w:hAnsi="Georgia" w:cs="Times New Roman"/>
                  <w:b/>
                  <w:bCs/>
                  <w:i/>
                  <w:iCs/>
                  <w:color w:val="000000"/>
                  <w:sz w:val="14"/>
                  <w:szCs w:val="14"/>
                  <w:lang w:val="en-GB" w:eastAsia="hu-HU"/>
                </w:rPr>
                <w:t>Lennox</w:t>
              </w:r>
            </w:hyperlink>
            <w:r w:rsidRPr="0002056A">
              <w:rPr>
                <w:rFonts w:ascii="Georgia" w:eastAsia="Times New Roman" w:hAnsi="Georgia" w:cs="Times New Roman"/>
                <w:b/>
                <w:bCs/>
                <w:i/>
                <w:iCs/>
                <w:color w:val="000000"/>
                <w:sz w:val="14"/>
                <w:szCs w:val="14"/>
                <w:lang w:val="en-GB" w:eastAsia="hu-HU"/>
              </w:rPr>
              <w:t>, V.</w:t>
            </w:r>
          </w:p>
        </w:tc>
        <w:tc>
          <w:tcPr>
            <w:tcW w:w="705" w:type="dxa"/>
            <w:tcBorders>
              <w:top w:val="nil"/>
              <w:left w:val="nil"/>
              <w:bottom w:val="single" w:sz="4" w:space="0" w:color="auto"/>
              <w:right w:val="single" w:sz="4" w:space="0" w:color="auto"/>
            </w:tcBorders>
            <w:vAlign w:val="center"/>
          </w:tcPr>
          <w:p w14:paraId="37224E4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3A230AE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Conceptualizing Global Governance in International Relations. </w:t>
            </w:r>
          </w:p>
        </w:tc>
        <w:tc>
          <w:tcPr>
            <w:tcW w:w="1134" w:type="dxa"/>
            <w:tcBorders>
              <w:top w:val="nil"/>
              <w:left w:val="nil"/>
              <w:bottom w:val="single" w:sz="4" w:space="0" w:color="auto"/>
              <w:right w:val="single" w:sz="4" w:space="0" w:color="auto"/>
            </w:tcBorders>
            <w:vAlign w:val="center"/>
          </w:tcPr>
          <w:p w14:paraId="6D65664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CAN</w:t>
            </w:r>
          </w:p>
        </w:tc>
        <w:tc>
          <w:tcPr>
            <w:tcW w:w="708" w:type="dxa"/>
            <w:tcBorders>
              <w:top w:val="nil"/>
              <w:left w:val="nil"/>
              <w:bottom w:val="single" w:sz="4" w:space="0" w:color="auto"/>
              <w:right w:val="single" w:sz="4" w:space="0" w:color="auto"/>
            </w:tcBorders>
            <w:vAlign w:val="center"/>
          </w:tcPr>
          <w:p w14:paraId="66128EE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vAlign w:val="center"/>
          </w:tcPr>
          <w:p w14:paraId="7100582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tcPr>
          <w:p w14:paraId="3541D6A3" w14:textId="0C309152" w:rsidR="00EE2B83" w:rsidRPr="0002056A" w:rsidRDefault="00890931" w:rsidP="00EE2B83">
            <w:pPr>
              <w:spacing w:after="0" w:line="240" w:lineRule="auto"/>
              <w:rPr>
                <w:rFonts w:ascii="Georgia" w:eastAsia="Times New Roman" w:hAnsi="Georgia" w:cs="Times New Roman"/>
                <w:color w:val="000000"/>
                <w:sz w:val="10"/>
                <w:szCs w:val="10"/>
                <w:lang w:val="en-GB" w:eastAsia="hu-HU"/>
              </w:rPr>
            </w:pPr>
            <w:r w:rsidRPr="00890931">
              <w:rPr>
                <w:rFonts w:ascii="Georgia" w:eastAsia="Times New Roman" w:hAnsi="Georgia" w:cs="Times New Roman"/>
                <w:color w:val="000000"/>
                <w:sz w:val="10"/>
                <w:szCs w:val="10"/>
                <w:lang w:val="en-GB" w:eastAsia="hu-HU"/>
              </w:rPr>
              <w:t>University of Ottawa, 2008.</w:t>
            </w:r>
          </w:p>
        </w:tc>
        <w:tc>
          <w:tcPr>
            <w:tcW w:w="708" w:type="dxa"/>
            <w:tcBorders>
              <w:top w:val="nil"/>
              <w:left w:val="nil"/>
              <w:bottom w:val="single" w:sz="4" w:space="0" w:color="auto"/>
              <w:right w:val="single" w:sz="4" w:space="0" w:color="auto"/>
            </w:tcBorders>
            <w:vAlign w:val="center"/>
          </w:tcPr>
          <w:p w14:paraId="39D3ED6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tcPr>
          <w:p w14:paraId="124664A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18F256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B9B44CC"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deals with questions of how the concept of global governance can be used to describe the prevailing global order and what is the most appropriate way of formulating the concept of global governance.</w:t>
            </w:r>
          </w:p>
        </w:tc>
        <w:tc>
          <w:tcPr>
            <w:tcW w:w="2268" w:type="dxa"/>
            <w:tcBorders>
              <w:top w:val="nil"/>
              <w:left w:val="nil"/>
              <w:bottom w:val="single" w:sz="4" w:space="0" w:color="auto"/>
              <w:right w:val="single" w:sz="8" w:space="0" w:color="auto"/>
            </w:tcBorders>
            <w:vAlign w:val="center"/>
          </w:tcPr>
          <w:p w14:paraId="6EAB388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Concepts and approaches of IR, to be utilized in the research, are examined by the paper.</w:t>
            </w:r>
          </w:p>
        </w:tc>
      </w:tr>
      <w:tr w:rsidR="00EE2B83" w:rsidRPr="0002056A" w14:paraId="0B9C8220"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04BB5F4" w14:textId="78428EC4"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Ligtvoet, W., Franken, R., Kunseler, E.</w:t>
            </w:r>
          </w:p>
        </w:tc>
        <w:tc>
          <w:tcPr>
            <w:tcW w:w="705" w:type="dxa"/>
            <w:tcBorders>
              <w:top w:val="nil"/>
              <w:left w:val="nil"/>
              <w:bottom w:val="single" w:sz="4" w:space="0" w:color="auto"/>
              <w:right w:val="single" w:sz="4" w:space="0" w:color="auto"/>
            </w:tcBorders>
            <w:vAlign w:val="center"/>
          </w:tcPr>
          <w:p w14:paraId="2390359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tcPr>
          <w:p w14:paraId="6E64EE0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Keeping track of adaptation in the Dutch Delta. Design of a reflexive monitoring and evaluation framework for the Delta Programme.</w:t>
            </w:r>
          </w:p>
        </w:tc>
        <w:tc>
          <w:tcPr>
            <w:tcW w:w="1134" w:type="dxa"/>
            <w:tcBorders>
              <w:top w:val="nil"/>
              <w:left w:val="nil"/>
              <w:bottom w:val="single" w:sz="4" w:space="0" w:color="auto"/>
              <w:right w:val="single" w:sz="4" w:space="0" w:color="auto"/>
            </w:tcBorders>
            <w:vAlign w:val="center"/>
          </w:tcPr>
          <w:p w14:paraId="310D166E"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w:t>
            </w:r>
          </w:p>
        </w:tc>
        <w:tc>
          <w:tcPr>
            <w:tcW w:w="708" w:type="dxa"/>
            <w:tcBorders>
              <w:top w:val="nil"/>
              <w:left w:val="nil"/>
              <w:bottom w:val="single" w:sz="4" w:space="0" w:color="auto"/>
              <w:right w:val="single" w:sz="4" w:space="0" w:color="auto"/>
            </w:tcBorders>
            <w:vAlign w:val="center"/>
          </w:tcPr>
          <w:p w14:paraId="5E224C4E" w14:textId="446A8BD6"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PBL Netherlands Environmental Assessment Agency the Hague</w:t>
            </w:r>
          </w:p>
        </w:tc>
        <w:tc>
          <w:tcPr>
            <w:tcW w:w="851" w:type="dxa"/>
            <w:tcBorders>
              <w:top w:val="nil"/>
              <w:left w:val="nil"/>
              <w:bottom w:val="single" w:sz="4" w:space="0" w:color="auto"/>
              <w:right w:val="single" w:sz="4" w:space="0" w:color="auto"/>
            </w:tcBorders>
            <w:vAlign w:val="center"/>
          </w:tcPr>
          <w:p w14:paraId="64D63E1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0A1854C5" w14:textId="3AD3455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PBL Netherlands Environmental Assessment Agency the Hague, 2016 PBL publication number: 2557</w:t>
            </w:r>
          </w:p>
        </w:tc>
        <w:tc>
          <w:tcPr>
            <w:tcW w:w="708" w:type="dxa"/>
            <w:tcBorders>
              <w:top w:val="nil"/>
              <w:left w:val="nil"/>
              <w:bottom w:val="single" w:sz="4" w:space="0" w:color="auto"/>
              <w:right w:val="single" w:sz="4" w:space="0" w:color="auto"/>
            </w:tcBorders>
            <w:vAlign w:val="center"/>
          </w:tcPr>
          <w:p w14:paraId="6278B2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study</w:t>
            </w:r>
          </w:p>
        </w:tc>
        <w:tc>
          <w:tcPr>
            <w:tcW w:w="851" w:type="dxa"/>
            <w:tcBorders>
              <w:top w:val="nil"/>
              <w:left w:val="nil"/>
              <w:bottom w:val="single" w:sz="4" w:space="0" w:color="auto"/>
              <w:right w:val="single" w:sz="4" w:space="0" w:color="auto"/>
            </w:tcBorders>
            <w:vAlign w:val="center"/>
          </w:tcPr>
          <w:p w14:paraId="4B5E132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7311F32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2A9B7D3"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Delta Commissioner’s Office requested PBL Netherlands Environmental Assessment Agency to formulate a proposal for a monitoring and evaluation</w:t>
            </w:r>
          </w:p>
          <w:p w14:paraId="13FDC3F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framework for the Delta Programme. PBL was asked, in collaboration with the University of Amsterdam and the Delft University of Technology, to combine three perspectives in the framework design: 1) learning through collaboration; 2) adaptive management for a timely response; and 3) shared accountability.</w:t>
            </w:r>
          </w:p>
        </w:tc>
        <w:tc>
          <w:tcPr>
            <w:tcW w:w="2268" w:type="dxa"/>
            <w:tcBorders>
              <w:top w:val="nil"/>
              <w:left w:val="nil"/>
              <w:bottom w:val="single" w:sz="4" w:space="0" w:color="auto"/>
              <w:right w:val="single" w:sz="8" w:space="0" w:color="auto"/>
            </w:tcBorders>
            <w:vAlign w:val="center"/>
          </w:tcPr>
          <w:p w14:paraId="09548C71"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practical example of MRE system building.</w:t>
            </w:r>
          </w:p>
        </w:tc>
      </w:tr>
      <w:tr w:rsidR="00EE2B83" w:rsidRPr="0002056A" w14:paraId="55B38C86"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E38CC83"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hyperlink r:id="rId168" w:history="1">
              <w:r w:rsidRPr="0002056A">
                <w:rPr>
                  <w:rFonts w:ascii="Georgia" w:eastAsia="Times New Roman" w:hAnsi="Georgia" w:cs="Times New Roman"/>
                  <w:b/>
                  <w:bCs/>
                  <w:i/>
                  <w:iCs/>
                  <w:color w:val="000000"/>
                  <w:sz w:val="14"/>
                  <w:szCs w:val="14"/>
                  <w:lang w:val="en-GB" w:eastAsia="hu-HU"/>
                </w:rPr>
                <w:t>Lombardi, D. R., Caserio, M., Donovan, R., Hale, J., Hunt, D. V. L., Weingaertner, C.</w:t>
              </w:r>
            </w:hyperlink>
          </w:p>
        </w:tc>
        <w:tc>
          <w:tcPr>
            <w:tcW w:w="705" w:type="dxa"/>
            <w:tcBorders>
              <w:top w:val="nil"/>
              <w:left w:val="nil"/>
              <w:bottom w:val="single" w:sz="4" w:space="0" w:color="auto"/>
              <w:right w:val="single" w:sz="4" w:space="0" w:color="auto"/>
            </w:tcBorders>
            <w:vAlign w:val="center"/>
          </w:tcPr>
          <w:p w14:paraId="340A6A9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0EA935F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Elucidating sustainability sequencing, tensions, and trade-offs in development decision making. </w:t>
            </w:r>
          </w:p>
        </w:tc>
        <w:tc>
          <w:tcPr>
            <w:tcW w:w="1134" w:type="dxa"/>
            <w:tcBorders>
              <w:top w:val="nil"/>
              <w:left w:val="nil"/>
              <w:bottom w:val="single" w:sz="4" w:space="0" w:color="auto"/>
              <w:right w:val="single" w:sz="4" w:space="0" w:color="auto"/>
            </w:tcBorders>
            <w:vAlign w:val="center"/>
          </w:tcPr>
          <w:p w14:paraId="0C884DA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 UKG, UKG, UKG, UKG</w:t>
            </w:r>
          </w:p>
        </w:tc>
        <w:tc>
          <w:tcPr>
            <w:tcW w:w="708" w:type="dxa"/>
            <w:tcBorders>
              <w:top w:val="nil"/>
              <w:left w:val="nil"/>
              <w:bottom w:val="single" w:sz="4" w:space="0" w:color="auto"/>
              <w:right w:val="single" w:sz="4" w:space="0" w:color="auto"/>
            </w:tcBorders>
            <w:vAlign w:val="center"/>
          </w:tcPr>
          <w:p w14:paraId="6416C77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Publications Ltd</w:t>
            </w:r>
          </w:p>
        </w:tc>
        <w:tc>
          <w:tcPr>
            <w:tcW w:w="851" w:type="dxa"/>
            <w:tcBorders>
              <w:top w:val="nil"/>
              <w:left w:val="nil"/>
              <w:bottom w:val="single" w:sz="4" w:space="0" w:color="auto"/>
              <w:right w:val="single" w:sz="4" w:space="0" w:color="auto"/>
            </w:tcBorders>
            <w:vAlign w:val="center"/>
          </w:tcPr>
          <w:p w14:paraId="58F01AD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w:t>
            </w:r>
          </w:p>
        </w:tc>
        <w:tc>
          <w:tcPr>
            <w:tcW w:w="993" w:type="dxa"/>
            <w:tcBorders>
              <w:top w:val="nil"/>
              <w:left w:val="nil"/>
              <w:bottom w:val="single" w:sz="4" w:space="0" w:color="auto"/>
              <w:right w:val="single" w:sz="4" w:space="0" w:color="auto"/>
            </w:tcBorders>
            <w:vAlign w:val="center"/>
          </w:tcPr>
          <w:p w14:paraId="0E42A3C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Environment and Planning B: Planning and Design, 38(6), pp. 1105–1121. </w:t>
            </w:r>
            <w:hyperlink r:id="rId169" w:history="1">
              <w:r w:rsidRPr="0002056A">
                <w:rPr>
                  <w:rStyle w:val="Hiperhivatkozs"/>
                  <w:rFonts w:ascii="Georgia" w:eastAsia="Times New Roman" w:hAnsi="Georgia" w:cs="Times New Roman"/>
                  <w:sz w:val="10"/>
                  <w:szCs w:val="10"/>
                  <w:lang w:val="en-GB" w:eastAsia="hu-HU"/>
                </w:rPr>
                <w:t>http://dx.doi.org/10.1068/b36161</w:t>
              </w:r>
            </w:hyperlink>
            <w:r w:rsidRPr="0002056A">
              <w:rPr>
                <w:rFonts w:ascii="Georgia" w:eastAsia="Times New Roman" w:hAnsi="Georgia" w:cs="Times New Roman"/>
                <w:color w:val="000000"/>
                <w:sz w:val="10"/>
                <w:szCs w:val="10"/>
                <w:lang w:val="en-GB" w:eastAsia="hu-HU"/>
              </w:rPr>
              <w:t>.</w:t>
            </w:r>
          </w:p>
        </w:tc>
        <w:tc>
          <w:tcPr>
            <w:tcW w:w="708" w:type="dxa"/>
            <w:tcBorders>
              <w:top w:val="nil"/>
              <w:left w:val="nil"/>
              <w:bottom w:val="single" w:sz="4" w:space="0" w:color="auto"/>
              <w:right w:val="single" w:sz="4" w:space="0" w:color="auto"/>
            </w:tcBorders>
            <w:vAlign w:val="center"/>
          </w:tcPr>
          <w:p w14:paraId="2D9255A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1EB9B6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6B6058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FFDF118" w14:textId="757BAC5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MODESTT mapping approach was developed to elucidate the interdependencies, tensions, and trade-offs between different sustainability objectives for a given development, and to make explicit the points at which a single design decision may ‘lock-in’ or ‘lock-out’ various possible outcomes. The authors review and analyse existing models of the development process, illustrate the decisions and activities inherent in delivering a single element of a development (illustrated in this paper with the example of a roof); then apply the MODESTT analysis to three sustainability objectives.</w:t>
            </w:r>
          </w:p>
        </w:tc>
        <w:tc>
          <w:tcPr>
            <w:tcW w:w="2268" w:type="dxa"/>
            <w:tcBorders>
              <w:top w:val="nil"/>
              <w:left w:val="nil"/>
              <w:bottom w:val="single" w:sz="4" w:space="0" w:color="auto"/>
              <w:right w:val="single" w:sz="8" w:space="0" w:color="auto"/>
            </w:tcBorders>
            <w:vAlign w:val="center"/>
          </w:tcPr>
          <w:p w14:paraId="3C16E748"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Presentation of an example for changes in strategic planning approaches.</w:t>
            </w:r>
          </w:p>
        </w:tc>
      </w:tr>
      <w:tr w:rsidR="00EE2B83" w:rsidRPr="0002056A" w14:paraId="30EA63AA"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422C293"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Malekpour, S.; Brown, R.R.; de Haan, F.J.</w:t>
            </w:r>
          </w:p>
        </w:tc>
        <w:tc>
          <w:tcPr>
            <w:tcW w:w="705" w:type="dxa"/>
            <w:tcBorders>
              <w:top w:val="nil"/>
              <w:left w:val="nil"/>
              <w:bottom w:val="single" w:sz="4" w:space="0" w:color="auto"/>
              <w:right w:val="single" w:sz="4" w:space="0" w:color="auto"/>
            </w:tcBorders>
            <w:vAlign w:val="center"/>
          </w:tcPr>
          <w:p w14:paraId="248F6FB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2DBCE7E4"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 of urban infrastructure for environmental sustainability: Understanding the past to intervene for the future.</w:t>
            </w:r>
          </w:p>
        </w:tc>
        <w:tc>
          <w:tcPr>
            <w:tcW w:w="1134" w:type="dxa"/>
            <w:tcBorders>
              <w:top w:val="nil"/>
              <w:left w:val="nil"/>
              <w:bottom w:val="single" w:sz="4" w:space="0" w:color="auto"/>
              <w:right w:val="single" w:sz="4" w:space="0" w:color="auto"/>
            </w:tcBorders>
            <w:vAlign w:val="center"/>
          </w:tcPr>
          <w:p w14:paraId="4318E2B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AUS AUS AUS</w:t>
            </w:r>
          </w:p>
        </w:tc>
        <w:tc>
          <w:tcPr>
            <w:tcW w:w="708" w:type="dxa"/>
            <w:tcBorders>
              <w:top w:val="nil"/>
              <w:left w:val="nil"/>
              <w:bottom w:val="single" w:sz="4" w:space="0" w:color="auto"/>
              <w:right w:val="single" w:sz="4" w:space="0" w:color="auto"/>
            </w:tcBorders>
            <w:vAlign w:val="center"/>
          </w:tcPr>
          <w:p w14:paraId="2CBDFB2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0F596A0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 / urban planning</w:t>
            </w:r>
          </w:p>
        </w:tc>
        <w:tc>
          <w:tcPr>
            <w:tcW w:w="993" w:type="dxa"/>
            <w:tcBorders>
              <w:top w:val="nil"/>
              <w:left w:val="nil"/>
              <w:bottom w:val="single" w:sz="4" w:space="0" w:color="auto"/>
              <w:right w:val="single" w:sz="4" w:space="0" w:color="auto"/>
            </w:tcBorders>
            <w:vAlign w:val="center"/>
          </w:tcPr>
          <w:p w14:paraId="74464ED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Cities 46 (2015) pp. 67–75.</w:t>
            </w:r>
          </w:p>
        </w:tc>
        <w:tc>
          <w:tcPr>
            <w:tcW w:w="708" w:type="dxa"/>
            <w:tcBorders>
              <w:top w:val="nil"/>
              <w:left w:val="nil"/>
              <w:bottom w:val="single" w:sz="4" w:space="0" w:color="auto"/>
              <w:right w:val="single" w:sz="4" w:space="0" w:color="auto"/>
            </w:tcBorders>
            <w:vAlign w:val="center"/>
          </w:tcPr>
          <w:p w14:paraId="484C3B7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F9233A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6D444F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8669384"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identifies the cognitive framings that underpin the evolution of strategic planning over the last century, to reveal the path-dependent attributes of strategic planning thinking that undermine alternative solutions. To do that, a scoping study of the literature on strategic planning of public infrastructure, from 1900 through 2013, was conducted.</w:t>
            </w:r>
          </w:p>
        </w:tc>
        <w:tc>
          <w:tcPr>
            <w:tcW w:w="2268" w:type="dxa"/>
            <w:tcBorders>
              <w:top w:val="nil"/>
              <w:left w:val="nil"/>
              <w:bottom w:val="single" w:sz="4" w:space="0" w:color="auto"/>
              <w:right w:val="single" w:sz="8" w:space="0" w:color="auto"/>
            </w:tcBorders>
            <w:vAlign w:val="center"/>
          </w:tcPr>
          <w:p w14:paraId="42361C59"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Presentation of an example for changes in strategic planning approaches.</w:t>
            </w:r>
          </w:p>
        </w:tc>
      </w:tr>
      <w:tr w:rsidR="00EE2B83" w:rsidRPr="0002056A" w14:paraId="5848772C"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3C9686D"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Magni-Berton, R.</w:t>
            </w:r>
          </w:p>
          <w:p w14:paraId="5C9B423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4B48E185" w14:textId="00B7D02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2024</w:t>
            </w:r>
          </w:p>
        </w:tc>
        <w:tc>
          <w:tcPr>
            <w:tcW w:w="1137" w:type="dxa"/>
            <w:tcBorders>
              <w:top w:val="nil"/>
              <w:left w:val="nil"/>
              <w:bottom w:val="single" w:sz="4" w:space="0" w:color="auto"/>
              <w:right w:val="single" w:sz="4" w:space="0" w:color="auto"/>
            </w:tcBorders>
            <w:vAlign w:val="center"/>
          </w:tcPr>
          <w:p w14:paraId="26BA192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 Countervailing Powers Under</w:t>
            </w:r>
          </w:p>
          <w:p w14:paraId="4C62C51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Pandemic</w:t>
            </w:r>
          </w:p>
          <w:p w14:paraId="4600907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p>
        </w:tc>
        <w:tc>
          <w:tcPr>
            <w:tcW w:w="1134" w:type="dxa"/>
            <w:tcBorders>
              <w:top w:val="nil"/>
              <w:left w:val="nil"/>
              <w:bottom w:val="single" w:sz="4" w:space="0" w:color="auto"/>
              <w:right w:val="single" w:sz="4" w:space="0" w:color="auto"/>
            </w:tcBorders>
            <w:vAlign w:val="center"/>
          </w:tcPr>
          <w:p w14:paraId="1EB32DAD" w14:textId="6F29C5A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FRA</w:t>
            </w:r>
          </w:p>
        </w:tc>
        <w:tc>
          <w:tcPr>
            <w:tcW w:w="708" w:type="dxa"/>
            <w:tcBorders>
              <w:top w:val="nil"/>
              <w:left w:val="nil"/>
              <w:bottom w:val="single" w:sz="4" w:space="0" w:color="auto"/>
              <w:right w:val="single" w:sz="4" w:space="0" w:color="auto"/>
            </w:tcBorders>
            <w:vAlign w:val="center"/>
          </w:tcPr>
          <w:p w14:paraId="5AEC16C5" w14:textId="5193C7E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Palgrave MacMillan</w:t>
            </w:r>
          </w:p>
        </w:tc>
        <w:tc>
          <w:tcPr>
            <w:tcW w:w="851" w:type="dxa"/>
            <w:tcBorders>
              <w:top w:val="nil"/>
              <w:left w:val="nil"/>
              <w:bottom w:val="single" w:sz="4" w:space="0" w:color="auto"/>
              <w:right w:val="single" w:sz="4" w:space="0" w:color="auto"/>
            </w:tcBorders>
            <w:vAlign w:val="center"/>
          </w:tcPr>
          <w:p w14:paraId="2E326400" w14:textId="144B1F8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political sciences, sociology, regional economics</w:t>
            </w:r>
          </w:p>
        </w:tc>
        <w:tc>
          <w:tcPr>
            <w:tcW w:w="993" w:type="dxa"/>
            <w:tcBorders>
              <w:top w:val="nil"/>
              <w:left w:val="nil"/>
              <w:bottom w:val="single" w:sz="4" w:space="0" w:color="auto"/>
              <w:right w:val="single" w:sz="4" w:space="0" w:color="auto"/>
            </w:tcBorders>
            <w:vAlign w:val="center"/>
          </w:tcPr>
          <w:p w14:paraId="18AAC36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Egger, C.; Magni-Berton, R.; de Saint-Phalle, E.(ed):  Covid-19 Containment Policies in Europe.</w:t>
            </w:r>
          </w:p>
          <w:p w14:paraId="5E332512" w14:textId="6A1810E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Series on Public Policy. ISSN 2524-7301 ISSN 2524-731X (electronic). ISBN 978-3-031-52095-2 ISBN 978-3-031-52096-(eBook). 2024.</w:t>
            </w:r>
            <w:hyperlink r:id="rId170" w:history="1">
              <w:r w:rsidRPr="0002056A">
                <w:rPr>
                  <w:rFonts w:ascii="Georgia" w:eastAsia="Times New Roman" w:hAnsi="Georgia" w:cs="Times New Roman"/>
                  <w:color w:val="000000"/>
                  <w:sz w:val="10"/>
                  <w:szCs w:val="10"/>
                  <w:lang w:val="en-GB" w:eastAsia="hu-HU"/>
                </w:rPr>
                <w:t xml:space="preserve"> doi.org/10.1007/978-3-031-52096-9</w:t>
              </w:r>
            </w:hyperlink>
          </w:p>
        </w:tc>
        <w:tc>
          <w:tcPr>
            <w:tcW w:w="708" w:type="dxa"/>
            <w:tcBorders>
              <w:top w:val="nil"/>
              <w:left w:val="nil"/>
              <w:bottom w:val="single" w:sz="4" w:space="0" w:color="auto"/>
              <w:right w:val="single" w:sz="4" w:space="0" w:color="auto"/>
            </w:tcBorders>
            <w:vAlign w:val="center"/>
          </w:tcPr>
          <w:p w14:paraId="6B2211E8" w14:textId="384E364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1515E07A" w14:textId="2B84338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3517114" w14:textId="09B8B82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66BCE0D" w14:textId="56A71070"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Collection of studies about the social, economic and crisis-management -related impacts of Covid-19 in Europe, from the political sciences, sociology, regional economics point of view.</w:t>
            </w:r>
          </w:p>
        </w:tc>
        <w:tc>
          <w:tcPr>
            <w:tcW w:w="2268" w:type="dxa"/>
            <w:tcBorders>
              <w:top w:val="nil"/>
              <w:left w:val="nil"/>
              <w:bottom w:val="single" w:sz="4" w:space="0" w:color="auto"/>
              <w:right w:val="single" w:sz="8" w:space="0" w:color="auto"/>
            </w:tcBorders>
            <w:vAlign w:val="center"/>
          </w:tcPr>
          <w:p w14:paraId="50CCB4FF" w14:textId="2260C199"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provides classification of European national spatial governance types for the dissertation’s correlation analysis.</w:t>
            </w:r>
          </w:p>
        </w:tc>
      </w:tr>
      <w:tr w:rsidR="00EE2B83" w:rsidRPr="0002056A" w14:paraId="2174EED4"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5E6946D" w14:textId="7A3F6CDF"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Maragno, D.; Federico dall’Omo, C.; Pozzer, G.; Musco, F.</w:t>
            </w:r>
          </w:p>
          <w:p w14:paraId="656000D8" w14:textId="151A2DA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2F0D493E" w14:textId="75B11BC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2BBFA325" w14:textId="4AB4D104"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Multi-Risk Climate Mapping for the Adaptation of the Venice Metropolitan Area</w:t>
            </w:r>
          </w:p>
        </w:tc>
        <w:tc>
          <w:tcPr>
            <w:tcW w:w="1134" w:type="dxa"/>
            <w:tcBorders>
              <w:top w:val="nil"/>
              <w:left w:val="nil"/>
              <w:bottom w:val="single" w:sz="4" w:space="0" w:color="auto"/>
              <w:right w:val="single" w:sz="4" w:space="0" w:color="auto"/>
            </w:tcBorders>
            <w:vAlign w:val="center"/>
          </w:tcPr>
          <w:p w14:paraId="71E29130" w14:textId="1DC87AE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 ITA, ITA, ITA</w:t>
            </w:r>
          </w:p>
        </w:tc>
        <w:tc>
          <w:tcPr>
            <w:tcW w:w="708" w:type="dxa"/>
            <w:tcBorders>
              <w:top w:val="nil"/>
              <w:left w:val="nil"/>
              <w:bottom w:val="single" w:sz="4" w:space="0" w:color="auto"/>
              <w:right w:val="single" w:sz="4" w:space="0" w:color="auto"/>
            </w:tcBorders>
            <w:vAlign w:val="center"/>
          </w:tcPr>
          <w:p w14:paraId="1BE8DAF9" w14:textId="506252B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MDPI</w:t>
            </w:r>
          </w:p>
        </w:tc>
        <w:tc>
          <w:tcPr>
            <w:tcW w:w="851" w:type="dxa"/>
            <w:tcBorders>
              <w:top w:val="nil"/>
              <w:left w:val="nil"/>
              <w:bottom w:val="single" w:sz="4" w:space="0" w:color="auto"/>
              <w:right w:val="single" w:sz="4" w:space="0" w:color="auto"/>
            </w:tcBorders>
            <w:vAlign w:val="center"/>
          </w:tcPr>
          <w:p w14:paraId="4F2531BC" w14:textId="7C812F5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026C43B9" w14:textId="72E938CB" w:rsidR="00EE2B83" w:rsidRPr="0002056A" w:rsidRDefault="00EE2B83" w:rsidP="00EE2B83">
            <w:pPr>
              <w:spacing w:after="0" w:line="240" w:lineRule="auto"/>
              <w:rPr>
                <w:rFonts w:ascii="Georgia" w:hAnsi="Georgia"/>
                <w:color w:val="000000"/>
                <w:sz w:val="10"/>
                <w:szCs w:val="10"/>
                <w:lang w:val="en-GB"/>
              </w:rPr>
            </w:pPr>
            <w:hyperlink r:id="rId171" w:history="1">
              <w:r w:rsidRPr="0002056A">
                <w:rPr>
                  <w:rFonts w:ascii="Georgia" w:eastAsia="Times New Roman" w:hAnsi="Georgia"/>
                  <w:color w:val="000000"/>
                  <w:sz w:val="10"/>
                  <w:szCs w:val="10"/>
                  <w:lang w:val="en-GB"/>
                </w:rPr>
                <w:t>Sustainability</w:t>
              </w:r>
            </w:hyperlink>
            <w:r w:rsidRPr="0002056A">
              <w:rPr>
                <w:rFonts w:ascii="Georgia" w:eastAsia="Times New Roman" w:hAnsi="Georgia" w:cs="Times New Roman"/>
                <w:color w:val="000000"/>
                <w:sz w:val="10"/>
                <w:szCs w:val="10"/>
                <w:lang w:val="en-GB" w:eastAsia="hu-HU"/>
              </w:rPr>
              <w:t xml:space="preserve"> 13(Climate Change and Sustainable Urban Environmental Planning)):1334</w:t>
            </w:r>
          </w:p>
          <w:p w14:paraId="0E6EB05B"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DOI:</w:t>
            </w:r>
            <w:hyperlink r:id="rId172" w:tgtFrame="_blank" w:history="1">
              <w:r w:rsidRPr="0002056A">
                <w:rPr>
                  <w:rFonts w:ascii="Georgia" w:eastAsia="Times New Roman" w:hAnsi="Georgia" w:cs="Times New Roman"/>
                  <w:color w:val="000000"/>
                  <w:sz w:val="10"/>
                  <w:szCs w:val="10"/>
                  <w:lang w:val="en-GB" w:eastAsia="hu-HU"/>
                </w:rPr>
                <w:t>10.3390/su13031334</w:t>
              </w:r>
            </w:hyperlink>
          </w:p>
          <w:p w14:paraId="60F1EABD" w14:textId="570F563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3BC72EA6" w14:textId="6710A5B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35575E9" w14:textId="04B26CE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0996327" w14:textId="4C0859F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77DC481" w14:textId="46D28FF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proposes a combination of approaches to overcome knowledge production limits and to support climate adaptation planning. The basic research was undertaken in collaboration with the Metropolitan City of Venice and the Municipality of Venice and required the production of a multi-risk climate atlas to support their future spatial planning efforts. The developed tool is a Spatial Decision Support System (SDSS), which aids adaptation actions and the coordination of strategies. The model recognises and assesses two climate impacts: Urban Heat Island and Flooding, representing the Metropolitan City of Venice (CMVE) as a case study in complexity. The model is composed from multiple assessment methodologies and maps both vulnerability and risk.</w:t>
            </w:r>
          </w:p>
        </w:tc>
        <w:tc>
          <w:tcPr>
            <w:tcW w:w="2268" w:type="dxa"/>
            <w:tcBorders>
              <w:top w:val="nil"/>
              <w:left w:val="nil"/>
              <w:bottom w:val="single" w:sz="4" w:space="0" w:color="auto"/>
              <w:right w:val="single" w:sz="8" w:space="0" w:color="auto"/>
            </w:tcBorders>
            <w:vAlign w:val="center"/>
          </w:tcPr>
          <w:p w14:paraId="695BD074" w14:textId="77777777" w:rsidR="00EE2B83" w:rsidRDefault="00EE2B83" w:rsidP="00EE2B83">
            <w:pPr>
              <w:spacing w:after="0" w:line="240" w:lineRule="auto"/>
              <w:jc w:val="both"/>
              <w:rPr>
                <w:rFonts w:ascii="Georgia" w:eastAsia="Times New Roman" w:hAnsi="Georgia" w:cs="Times New Roman"/>
                <w:color w:val="000000"/>
                <w:sz w:val="10"/>
                <w:szCs w:val="10"/>
                <w:lang w:val="en-GB" w:eastAsia="hu-HU"/>
              </w:rPr>
            </w:pPr>
          </w:p>
          <w:p w14:paraId="25C6B4A4" w14:textId="77777777" w:rsidR="00EE2B83" w:rsidRDefault="00EE2B83" w:rsidP="00EE2B83">
            <w:pPr>
              <w:spacing w:after="0" w:line="240" w:lineRule="auto"/>
              <w:jc w:val="both"/>
              <w:rPr>
                <w:rFonts w:ascii="Georgia" w:eastAsia="Times New Roman" w:hAnsi="Georgia" w:cs="Times New Roman"/>
                <w:color w:val="000000"/>
                <w:sz w:val="10"/>
                <w:szCs w:val="10"/>
                <w:lang w:val="en-GB" w:eastAsia="hu-HU"/>
              </w:rPr>
            </w:pPr>
          </w:p>
          <w:p w14:paraId="28477E0C" w14:textId="77777777" w:rsidR="00EE2B83"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developed tool is a Spatial Decision Support System (SDSS), which aids adaptation actions and the coordination of strategies. The model recognises and assesses two climate impacts: Urban Heat Island and Flooding, representing the Metropolitan City of Venice (CMVE) as a case study in complexity. The model is composed from multiple assessment methodologies and maps both vulnerability and risk. The atlas links the morphological and functional conditions of urban fabrics and land use that triggers climate impacts.</w:t>
            </w:r>
          </w:p>
          <w:p w14:paraId="034D1392" w14:textId="77777777" w:rsidR="00EE2B83" w:rsidRDefault="00EE2B83" w:rsidP="00EE2B83">
            <w:pPr>
              <w:spacing w:after="0" w:line="240" w:lineRule="auto"/>
              <w:jc w:val="both"/>
              <w:rPr>
                <w:rFonts w:ascii="Georgia" w:eastAsia="Times New Roman" w:hAnsi="Georgia" w:cs="Times New Roman"/>
                <w:color w:val="000000"/>
                <w:sz w:val="10"/>
                <w:szCs w:val="10"/>
                <w:lang w:val="en-GB" w:eastAsia="hu-HU"/>
              </w:rPr>
            </w:pPr>
          </w:p>
          <w:p w14:paraId="2EE873F0" w14:textId="0258DA98"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r>
      <w:tr w:rsidR="00EE2B83" w:rsidRPr="0002056A" w14:paraId="00D7DDC5"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AFE48BA" w14:textId="731744E3"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Marshall, T. </w:t>
            </w:r>
          </w:p>
          <w:p w14:paraId="7838C47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34D6BCB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2D13638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Prisoners of Geography. Ten Maps that tell you Everything You need to know about Global Politics.</w:t>
            </w:r>
          </w:p>
        </w:tc>
        <w:tc>
          <w:tcPr>
            <w:tcW w:w="1134" w:type="dxa"/>
            <w:tcBorders>
              <w:top w:val="nil"/>
              <w:left w:val="nil"/>
              <w:bottom w:val="single" w:sz="4" w:space="0" w:color="auto"/>
              <w:right w:val="single" w:sz="4" w:space="0" w:color="auto"/>
            </w:tcBorders>
            <w:vAlign w:val="center"/>
          </w:tcPr>
          <w:p w14:paraId="5BDDBC6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490D7F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Elliott &amp; Thompson</w:t>
            </w:r>
          </w:p>
        </w:tc>
        <w:tc>
          <w:tcPr>
            <w:tcW w:w="851" w:type="dxa"/>
            <w:tcBorders>
              <w:top w:val="nil"/>
              <w:left w:val="nil"/>
              <w:bottom w:val="single" w:sz="4" w:space="0" w:color="auto"/>
              <w:right w:val="single" w:sz="4" w:space="0" w:color="auto"/>
            </w:tcBorders>
            <w:vAlign w:val="center"/>
          </w:tcPr>
          <w:p w14:paraId="23BADD54"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52C99FE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978-1-78396-243-3. London, 2015.</w:t>
            </w:r>
          </w:p>
        </w:tc>
        <w:tc>
          <w:tcPr>
            <w:tcW w:w="708" w:type="dxa"/>
            <w:tcBorders>
              <w:top w:val="nil"/>
              <w:left w:val="nil"/>
              <w:bottom w:val="single" w:sz="4" w:space="0" w:color="auto"/>
              <w:right w:val="single" w:sz="4" w:space="0" w:color="auto"/>
            </w:tcBorders>
            <w:vAlign w:val="center"/>
          </w:tcPr>
          <w:p w14:paraId="1C0755B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606FA17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5936D7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3DA3588"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Marshall uses ten maps in ten chapters of his book to explain the geo-political strategies of the world powers in key macro-regions.</w:t>
            </w:r>
          </w:p>
        </w:tc>
        <w:tc>
          <w:tcPr>
            <w:tcW w:w="2268" w:type="dxa"/>
            <w:tcBorders>
              <w:top w:val="nil"/>
              <w:left w:val="nil"/>
              <w:bottom w:val="single" w:sz="4" w:space="0" w:color="auto"/>
              <w:right w:val="single" w:sz="8" w:space="0" w:color="auto"/>
            </w:tcBorders>
            <w:vAlign w:val="center"/>
          </w:tcPr>
          <w:p w14:paraId="15448610" w14:textId="0B4AB334"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was used among other things for identify geopolitics’ theories and findings in connection with climate change impacts.</w:t>
            </w:r>
          </w:p>
        </w:tc>
      </w:tr>
      <w:tr w:rsidR="00EE2B83" w:rsidRPr="0002056A" w14:paraId="7EEB0C0A"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4638CC1"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Massey, D.</w:t>
            </w:r>
          </w:p>
        </w:tc>
        <w:tc>
          <w:tcPr>
            <w:tcW w:w="705" w:type="dxa"/>
            <w:tcBorders>
              <w:top w:val="nil"/>
              <w:left w:val="nil"/>
              <w:bottom w:val="single" w:sz="4" w:space="0" w:color="auto"/>
              <w:right w:val="single" w:sz="4" w:space="0" w:color="auto"/>
            </w:tcBorders>
            <w:vAlign w:val="center"/>
          </w:tcPr>
          <w:p w14:paraId="2A1BBF2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1994</w:t>
            </w:r>
          </w:p>
        </w:tc>
        <w:tc>
          <w:tcPr>
            <w:tcW w:w="1137" w:type="dxa"/>
            <w:tcBorders>
              <w:top w:val="nil"/>
              <w:left w:val="nil"/>
              <w:bottom w:val="single" w:sz="4" w:space="0" w:color="auto"/>
              <w:right w:val="single" w:sz="4" w:space="0" w:color="auto"/>
            </w:tcBorders>
            <w:vAlign w:val="center"/>
          </w:tcPr>
          <w:p w14:paraId="0581F87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Space, Place, and Gender</w:t>
            </w:r>
          </w:p>
        </w:tc>
        <w:tc>
          <w:tcPr>
            <w:tcW w:w="1134" w:type="dxa"/>
            <w:tcBorders>
              <w:top w:val="nil"/>
              <w:left w:val="nil"/>
              <w:bottom w:val="single" w:sz="4" w:space="0" w:color="auto"/>
              <w:right w:val="single" w:sz="4" w:space="0" w:color="auto"/>
            </w:tcBorders>
            <w:vAlign w:val="center"/>
          </w:tcPr>
          <w:p w14:paraId="6626B6C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763E517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University of Minnesota Press</w:t>
            </w:r>
          </w:p>
        </w:tc>
        <w:tc>
          <w:tcPr>
            <w:tcW w:w="851" w:type="dxa"/>
            <w:tcBorders>
              <w:top w:val="nil"/>
              <w:left w:val="nil"/>
              <w:bottom w:val="single" w:sz="4" w:space="0" w:color="auto"/>
              <w:right w:val="single" w:sz="4" w:space="0" w:color="auto"/>
            </w:tcBorders>
            <w:vAlign w:val="center"/>
          </w:tcPr>
          <w:p w14:paraId="4FC95C3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7AE4679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Pages: 288</w:t>
            </w:r>
            <w:r w:rsidRPr="0002056A">
              <w:rPr>
                <w:rFonts w:ascii="Georgia" w:eastAsia="Times New Roman" w:hAnsi="Georgia" w:cs="Times New Roman"/>
                <w:color w:val="000000"/>
                <w:sz w:val="10"/>
                <w:szCs w:val="10"/>
                <w:lang w:val="en-GB" w:eastAsia="hu-HU"/>
              </w:rPr>
              <w:br/>
            </w:r>
            <w:hyperlink r:id="rId173" w:history="1">
              <w:r w:rsidRPr="0002056A">
                <w:rPr>
                  <w:rStyle w:val="Hiperhivatkozs"/>
                  <w:rFonts w:ascii="Georgia" w:eastAsia="Times New Roman" w:hAnsi="Georgia" w:cs="Times New Roman"/>
                  <w:sz w:val="10"/>
                  <w:szCs w:val="10"/>
                  <w:lang w:val="en-GB" w:eastAsia="hu-HU"/>
                </w:rPr>
                <w:t>https://www.jstor.org/stable/10.5749/j.cttttw2z</w:t>
              </w:r>
            </w:hyperlink>
          </w:p>
        </w:tc>
        <w:tc>
          <w:tcPr>
            <w:tcW w:w="708" w:type="dxa"/>
            <w:tcBorders>
              <w:top w:val="nil"/>
              <w:left w:val="nil"/>
              <w:bottom w:val="single" w:sz="4" w:space="0" w:color="auto"/>
              <w:right w:val="single" w:sz="4" w:space="0" w:color="auto"/>
            </w:tcBorders>
            <w:vAlign w:val="center"/>
          </w:tcPr>
          <w:p w14:paraId="276757D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42A08A8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3EF06D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3E6C0AC" w14:textId="0EEE433A"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Massey traces the development of ideas about the social structure of space and place and relates these concepts to issues of gender and various debates within feminism.</w:t>
            </w:r>
          </w:p>
        </w:tc>
        <w:tc>
          <w:tcPr>
            <w:tcW w:w="2268" w:type="dxa"/>
            <w:tcBorders>
              <w:top w:val="nil"/>
              <w:left w:val="nil"/>
              <w:bottom w:val="single" w:sz="4" w:space="0" w:color="auto"/>
              <w:right w:val="single" w:sz="8" w:space="0" w:color="auto"/>
            </w:tcBorders>
            <w:vAlign w:val="center"/>
          </w:tcPr>
          <w:p w14:paraId="667A5A6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examines among other things the concepts and definitions of space and place.</w:t>
            </w:r>
          </w:p>
        </w:tc>
      </w:tr>
      <w:tr w:rsidR="00EE2B83" w:rsidRPr="0002056A" w14:paraId="258BAB93"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9A096CA" w14:textId="0FE316A3"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Massey, D.</w:t>
            </w:r>
          </w:p>
        </w:tc>
        <w:tc>
          <w:tcPr>
            <w:tcW w:w="705" w:type="dxa"/>
            <w:tcBorders>
              <w:top w:val="nil"/>
              <w:left w:val="nil"/>
              <w:bottom w:val="single" w:sz="4" w:space="0" w:color="auto"/>
              <w:right w:val="single" w:sz="4" w:space="0" w:color="auto"/>
            </w:tcBorders>
            <w:vAlign w:val="center"/>
          </w:tcPr>
          <w:p w14:paraId="30C59714" w14:textId="0F2143D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tcPr>
          <w:p w14:paraId="2741AFFC" w14:textId="5B0F715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For Space.</w:t>
            </w:r>
          </w:p>
        </w:tc>
        <w:tc>
          <w:tcPr>
            <w:tcW w:w="1134" w:type="dxa"/>
            <w:tcBorders>
              <w:top w:val="nil"/>
              <w:left w:val="nil"/>
              <w:bottom w:val="single" w:sz="4" w:space="0" w:color="auto"/>
              <w:right w:val="single" w:sz="4" w:space="0" w:color="auto"/>
            </w:tcBorders>
            <w:vAlign w:val="center"/>
          </w:tcPr>
          <w:p w14:paraId="1E092899" w14:textId="732CC79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0672516" w14:textId="3FBA258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w:t>
            </w:r>
          </w:p>
        </w:tc>
        <w:tc>
          <w:tcPr>
            <w:tcW w:w="851" w:type="dxa"/>
            <w:tcBorders>
              <w:top w:val="nil"/>
              <w:left w:val="nil"/>
              <w:bottom w:val="single" w:sz="4" w:space="0" w:color="auto"/>
              <w:right w:val="single" w:sz="4" w:space="0" w:color="auto"/>
            </w:tcBorders>
            <w:vAlign w:val="center"/>
          </w:tcPr>
          <w:p w14:paraId="70069CF9" w14:textId="78D3D88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48C0F072" w14:textId="082894B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London 2005. 222 pp.</w:t>
            </w:r>
          </w:p>
        </w:tc>
        <w:tc>
          <w:tcPr>
            <w:tcW w:w="708" w:type="dxa"/>
            <w:tcBorders>
              <w:top w:val="nil"/>
              <w:left w:val="nil"/>
              <w:bottom w:val="single" w:sz="4" w:space="0" w:color="auto"/>
              <w:right w:val="single" w:sz="4" w:space="0" w:color="auto"/>
            </w:tcBorders>
            <w:vAlign w:val="center"/>
          </w:tcPr>
          <w:p w14:paraId="2CD52626" w14:textId="6591744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08254664" w14:textId="18268C0E"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90A21DA" w14:textId="19D7BAC6"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4C17286" w14:textId="3C90984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argues for revitalising imagination of space. She takes on some well-established assumptions from philosophy, and some familiar ways of characterising the twenty-first century world and shows how they restrain understanding of both the challenge and the potential of space.</w:t>
            </w:r>
          </w:p>
        </w:tc>
        <w:tc>
          <w:tcPr>
            <w:tcW w:w="2268" w:type="dxa"/>
            <w:tcBorders>
              <w:top w:val="nil"/>
              <w:left w:val="nil"/>
              <w:bottom w:val="single" w:sz="4" w:space="0" w:color="auto"/>
              <w:right w:val="single" w:sz="8" w:space="0" w:color="auto"/>
            </w:tcBorders>
            <w:vAlign w:val="center"/>
          </w:tcPr>
          <w:p w14:paraId="7C535FB5" w14:textId="0D8E2FB0"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Space definition and concept of the book can be utilized in the research.</w:t>
            </w:r>
          </w:p>
        </w:tc>
      </w:tr>
      <w:tr w:rsidR="00EE2B83" w:rsidRPr="0002056A" w14:paraId="0EF7E08F"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57C3042" w14:textId="2E805F10"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McGloughlin, J.S.; Sweeney, J.</w:t>
            </w:r>
          </w:p>
        </w:tc>
        <w:tc>
          <w:tcPr>
            <w:tcW w:w="705" w:type="dxa"/>
            <w:tcBorders>
              <w:top w:val="nil"/>
              <w:left w:val="nil"/>
              <w:bottom w:val="single" w:sz="4" w:space="0" w:color="auto"/>
              <w:right w:val="single" w:sz="4" w:space="0" w:color="auto"/>
            </w:tcBorders>
            <w:vAlign w:val="center"/>
          </w:tcPr>
          <w:p w14:paraId="0854177E" w14:textId="22256C7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1D15E324" w14:textId="7826D61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Multi-level climate policies in Ireland</w:t>
            </w:r>
          </w:p>
        </w:tc>
        <w:tc>
          <w:tcPr>
            <w:tcW w:w="1134" w:type="dxa"/>
            <w:tcBorders>
              <w:top w:val="nil"/>
              <w:left w:val="nil"/>
              <w:bottom w:val="single" w:sz="4" w:space="0" w:color="auto"/>
              <w:right w:val="single" w:sz="4" w:space="0" w:color="auto"/>
            </w:tcBorders>
            <w:vAlign w:val="center"/>
          </w:tcPr>
          <w:p w14:paraId="6BB78F8D" w14:textId="2E05419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IRL, IRL</w:t>
            </w:r>
          </w:p>
        </w:tc>
        <w:tc>
          <w:tcPr>
            <w:tcW w:w="708" w:type="dxa"/>
            <w:tcBorders>
              <w:top w:val="nil"/>
              <w:left w:val="nil"/>
              <w:bottom w:val="single" w:sz="4" w:space="0" w:color="auto"/>
              <w:right w:val="single" w:sz="4" w:space="0" w:color="auto"/>
            </w:tcBorders>
            <w:vAlign w:val="center"/>
          </w:tcPr>
          <w:p w14:paraId="7C0B0C41" w14:textId="147D042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4EE21984" w14:textId="6D4EF24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52F9B930" w14:textId="6B56374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Irish Geography Volume 44, 2011 - Issue 1: Climate change: Positioning Ireland, positioning geography</w:t>
            </w:r>
          </w:p>
        </w:tc>
        <w:tc>
          <w:tcPr>
            <w:tcW w:w="708" w:type="dxa"/>
            <w:tcBorders>
              <w:top w:val="nil"/>
              <w:left w:val="nil"/>
              <w:bottom w:val="single" w:sz="4" w:space="0" w:color="auto"/>
              <w:right w:val="single" w:sz="4" w:space="0" w:color="auto"/>
            </w:tcBorders>
            <w:vAlign w:val="center"/>
          </w:tcPr>
          <w:p w14:paraId="51425747" w14:textId="612DBE2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791B2DC2" w14:textId="32E4297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2B76C0E" w14:textId="7618AC6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1B9233C" w14:textId="406CAD4F"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explores whether city and county councils are the lowest most effective level for climate change actions in Ireland through a nationwide survey and a review of all relevant government policies at local, regional and national levels. It reveals that local climate measures are isolated best-practice examples rather than being widespread throughout the country. </w:t>
            </w:r>
          </w:p>
        </w:tc>
        <w:tc>
          <w:tcPr>
            <w:tcW w:w="2268" w:type="dxa"/>
            <w:tcBorders>
              <w:top w:val="nil"/>
              <w:left w:val="nil"/>
              <w:bottom w:val="single" w:sz="4" w:space="0" w:color="auto"/>
              <w:right w:val="single" w:sz="8" w:space="0" w:color="auto"/>
            </w:tcBorders>
            <w:vAlign w:val="center"/>
          </w:tcPr>
          <w:p w14:paraId="66899FF1" w14:textId="5D962004"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study concludes that there is limited vertical integration among Irish government levels as evidenced by survey responses from local authority staff members, limited incorporation of higher-level objectives into local policy documents, and limited details in national level policies as to local level implementation. </w:t>
            </w:r>
          </w:p>
        </w:tc>
      </w:tr>
      <w:tr w:rsidR="00EE2B83" w:rsidRPr="0002056A" w14:paraId="7C8F8A9A"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A39C7AF"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hyperlink r:id="rId174" w:history="1">
              <w:r w:rsidRPr="0002056A">
                <w:rPr>
                  <w:rFonts w:ascii="Georgia" w:eastAsia="Times New Roman" w:hAnsi="Georgia" w:cs="Times New Roman"/>
                  <w:b/>
                  <w:bCs/>
                  <w:i/>
                  <w:iCs/>
                  <w:color w:val="000000"/>
                  <w:sz w:val="14"/>
                  <w:szCs w:val="14"/>
                  <w:lang w:val="en-GB" w:eastAsia="hu-HU"/>
                </w:rPr>
                <w:t>McGranahan, G.; Balk, D.; Anderson, B.</w:t>
              </w:r>
            </w:hyperlink>
          </w:p>
        </w:tc>
        <w:tc>
          <w:tcPr>
            <w:tcW w:w="705" w:type="dxa"/>
            <w:tcBorders>
              <w:top w:val="nil"/>
              <w:left w:val="nil"/>
              <w:bottom w:val="single" w:sz="4" w:space="0" w:color="auto"/>
              <w:right w:val="single" w:sz="4" w:space="0" w:color="auto"/>
            </w:tcBorders>
            <w:noWrap/>
            <w:vAlign w:val="center"/>
          </w:tcPr>
          <w:p w14:paraId="35AE355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7741A10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rising tide: assessing the risks of CC and human settlements in low elevation coastal zones. </w:t>
            </w:r>
          </w:p>
        </w:tc>
        <w:tc>
          <w:tcPr>
            <w:tcW w:w="1134" w:type="dxa"/>
            <w:tcBorders>
              <w:top w:val="nil"/>
              <w:left w:val="nil"/>
              <w:bottom w:val="single" w:sz="4" w:space="0" w:color="auto"/>
              <w:right w:val="single" w:sz="4" w:space="0" w:color="auto"/>
            </w:tcBorders>
            <w:vAlign w:val="center"/>
          </w:tcPr>
          <w:p w14:paraId="2BCC440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vAlign w:val="center"/>
          </w:tcPr>
          <w:p w14:paraId="565A34A1"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SAGE Publications Ltd</w:t>
            </w:r>
          </w:p>
        </w:tc>
        <w:tc>
          <w:tcPr>
            <w:tcW w:w="851" w:type="dxa"/>
            <w:tcBorders>
              <w:top w:val="nil"/>
              <w:left w:val="nil"/>
              <w:bottom w:val="single" w:sz="4" w:space="0" w:color="auto"/>
              <w:right w:val="single" w:sz="4" w:space="0" w:color="auto"/>
            </w:tcBorders>
            <w:noWrap/>
            <w:vAlign w:val="center"/>
          </w:tcPr>
          <w:p w14:paraId="5DA1E2E5" w14:textId="1303479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 urban planning</w:t>
            </w:r>
          </w:p>
        </w:tc>
        <w:tc>
          <w:tcPr>
            <w:tcW w:w="993" w:type="dxa"/>
            <w:tcBorders>
              <w:top w:val="nil"/>
              <w:left w:val="nil"/>
              <w:bottom w:val="single" w:sz="4" w:space="0" w:color="auto"/>
              <w:right w:val="single" w:sz="4" w:space="0" w:color="auto"/>
            </w:tcBorders>
            <w:vAlign w:val="center"/>
          </w:tcPr>
          <w:p w14:paraId="268A664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Environment and Urbanization, Vol 19, Issue 1., pp. 17-37. </w:t>
            </w:r>
            <w:hyperlink r:id="rId175" w:history="1">
              <w:r w:rsidRPr="0002056A">
                <w:rPr>
                  <w:rStyle w:val="Hiperhivatkozs"/>
                  <w:rFonts w:ascii="Georgia" w:eastAsia="Times New Roman" w:hAnsi="Georgia" w:cs="Times New Roman"/>
                  <w:sz w:val="10"/>
                  <w:szCs w:val="10"/>
                  <w:lang w:val="en-GB" w:eastAsia="hu-HU"/>
                </w:rPr>
                <w:t>https://doi.org/10.1177/0956247807076960</w:t>
              </w:r>
            </w:hyperlink>
          </w:p>
        </w:tc>
        <w:tc>
          <w:tcPr>
            <w:tcW w:w="708" w:type="dxa"/>
            <w:tcBorders>
              <w:top w:val="nil"/>
              <w:left w:val="nil"/>
              <w:bottom w:val="single" w:sz="4" w:space="0" w:color="auto"/>
              <w:right w:val="single" w:sz="4" w:space="0" w:color="auto"/>
            </w:tcBorders>
            <w:vAlign w:val="center"/>
          </w:tcPr>
          <w:p w14:paraId="26835C2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8734F9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AC1EEC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CF26A11"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undertake the first global review of the population and urban settlement patterns in the Low Elevation Coastal Zone (LECZ), defined here as the contiguous area along the coast that is less than 10 metres above sea level.</w:t>
            </w:r>
          </w:p>
        </w:tc>
        <w:tc>
          <w:tcPr>
            <w:tcW w:w="2268" w:type="dxa"/>
            <w:tcBorders>
              <w:top w:val="nil"/>
              <w:left w:val="nil"/>
              <w:bottom w:val="single" w:sz="4" w:space="0" w:color="auto"/>
              <w:right w:val="single" w:sz="8" w:space="0" w:color="auto"/>
            </w:tcBorders>
            <w:vAlign w:val="center"/>
          </w:tcPr>
          <w:p w14:paraId="1ADBC7E0"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is an example of a special vulnerability thematic-oriented examination.</w:t>
            </w:r>
          </w:p>
        </w:tc>
      </w:tr>
      <w:tr w:rsidR="00EE2B83" w:rsidRPr="0002056A" w14:paraId="72C700CC"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9C538E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Meijs, S., Arbouw, G., de Graaff R., van Helden-Solleveld, T., Helmer, M., van Hemert, P., Hoorn M., van Nieuwaal, K., Schoute, E., Thijssen, M., Westera, H., van Zeggeren, B.</w:t>
            </w:r>
          </w:p>
        </w:tc>
        <w:tc>
          <w:tcPr>
            <w:tcW w:w="705" w:type="dxa"/>
            <w:tcBorders>
              <w:top w:val="nil"/>
              <w:left w:val="nil"/>
              <w:bottom w:val="single" w:sz="4" w:space="0" w:color="auto"/>
              <w:right w:val="single" w:sz="4" w:space="0" w:color="auto"/>
            </w:tcBorders>
            <w:vAlign w:val="center"/>
          </w:tcPr>
          <w:p w14:paraId="0E257CB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4F2D6CA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Implementing with ambition: Implementation Programme 2018 – 2019 National Climate Adaptation Strategy (NAS) of the Netherlands. </w:t>
            </w:r>
          </w:p>
        </w:tc>
        <w:tc>
          <w:tcPr>
            <w:tcW w:w="1134" w:type="dxa"/>
            <w:tcBorders>
              <w:top w:val="nil"/>
              <w:left w:val="nil"/>
              <w:bottom w:val="single" w:sz="4" w:space="0" w:color="auto"/>
              <w:right w:val="single" w:sz="4" w:space="0" w:color="auto"/>
            </w:tcBorders>
            <w:vAlign w:val="center"/>
          </w:tcPr>
          <w:p w14:paraId="1CAE91D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 NRL, NRL, NRL, NRL, NRL, NRL, NRL, NRL, NRL</w:t>
            </w:r>
          </w:p>
        </w:tc>
        <w:tc>
          <w:tcPr>
            <w:tcW w:w="708" w:type="dxa"/>
            <w:tcBorders>
              <w:top w:val="nil"/>
              <w:left w:val="nil"/>
              <w:bottom w:val="single" w:sz="4" w:space="0" w:color="auto"/>
              <w:right w:val="single" w:sz="4" w:space="0" w:color="auto"/>
            </w:tcBorders>
            <w:vAlign w:val="center"/>
          </w:tcPr>
          <w:p w14:paraId="701DEE5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Ministry of Infrastructure and Water Management, The Hague</w:t>
            </w:r>
          </w:p>
        </w:tc>
        <w:tc>
          <w:tcPr>
            <w:tcW w:w="851" w:type="dxa"/>
            <w:tcBorders>
              <w:top w:val="nil"/>
              <w:left w:val="nil"/>
              <w:bottom w:val="single" w:sz="4" w:space="0" w:color="auto"/>
              <w:right w:val="single" w:sz="4" w:space="0" w:color="auto"/>
            </w:tcBorders>
            <w:vAlign w:val="center"/>
          </w:tcPr>
          <w:p w14:paraId="474EA9B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2FD1F7BF" w14:textId="43771A6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Published by the Ministry of Infrastructure and Water Management P.O. Box 20901 2500 EX The Hague the Netherlands </w:t>
            </w:r>
            <w:hyperlink r:id="rId176" w:history="1">
              <w:r w:rsidRPr="0002056A">
                <w:rPr>
                  <w:rStyle w:val="Hiperhivatkozs"/>
                  <w:rFonts w:ascii="Georgia" w:eastAsia="Times New Roman" w:hAnsi="Georgia" w:cs="Times New Roman"/>
                  <w:sz w:val="10"/>
                  <w:szCs w:val="10"/>
                  <w:lang w:val="en-GB" w:eastAsia="hu-HU"/>
                </w:rPr>
                <w:t>www.rijksoverheid.nl/ienw March 2018</w:t>
              </w:r>
            </w:hyperlink>
          </w:p>
        </w:tc>
        <w:tc>
          <w:tcPr>
            <w:tcW w:w="708" w:type="dxa"/>
            <w:tcBorders>
              <w:top w:val="nil"/>
              <w:left w:val="nil"/>
              <w:bottom w:val="single" w:sz="4" w:space="0" w:color="auto"/>
              <w:right w:val="single" w:sz="4" w:space="0" w:color="auto"/>
            </w:tcBorders>
            <w:vAlign w:val="center"/>
          </w:tcPr>
          <w:p w14:paraId="251A368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paper (strategic planning document)</w:t>
            </w:r>
          </w:p>
        </w:tc>
        <w:tc>
          <w:tcPr>
            <w:tcW w:w="851" w:type="dxa"/>
            <w:tcBorders>
              <w:top w:val="nil"/>
              <w:left w:val="nil"/>
              <w:bottom w:val="single" w:sz="4" w:space="0" w:color="auto"/>
              <w:right w:val="single" w:sz="4" w:space="0" w:color="auto"/>
            </w:tcBorders>
            <w:vAlign w:val="center"/>
          </w:tcPr>
          <w:p w14:paraId="79AB82B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3C33306"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894705"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Dutch National Climate Adaptation Strategy describes the climate adaptation measures taken by the Netherlands at the national, European and international level.</w:t>
            </w:r>
          </w:p>
        </w:tc>
        <w:tc>
          <w:tcPr>
            <w:tcW w:w="2268" w:type="dxa"/>
            <w:tcBorders>
              <w:top w:val="nil"/>
              <w:left w:val="nil"/>
              <w:bottom w:val="single" w:sz="4" w:space="0" w:color="auto"/>
              <w:right w:val="single" w:sz="8" w:space="0" w:color="auto"/>
            </w:tcBorders>
            <w:vAlign w:val="center"/>
          </w:tcPr>
          <w:p w14:paraId="57765C7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practical example of climate adaptation-related strategic planning at national level.</w:t>
            </w:r>
          </w:p>
        </w:tc>
      </w:tr>
      <w:tr w:rsidR="00EE2B83" w:rsidRPr="0002056A" w14:paraId="5B4AD750"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77686B2"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Member States’ Ministers responsible for Urban Development and Territorial Cohesion </w:t>
            </w:r>
          </w:p>
        </w:tc>
        <w:tc>
          <w:tcPr>
            <w:tcW w:w="705" w:type="dxa"/>
            <w:tcBorders>
              <w:top w:val="nil"/>
              <w:left w:val="nil"/>
              <w:bottom w:val="single" w:sz="4" w:space="0" w:color="auto"/>
              <w:right w:val="single" w:sz="4" w:space="0" w:color="auto"/>
            </w:tcBorders>
            <w:vAlign w:val="center"/>
          </w:tcPr>
          <w:p w14:paraId="791A4CC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tcPr>
          <w:p w14:paraId="010060A3"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Territorial State and Perspectives of the European Union – Towards a Stronger European Territorial Cohesion in the Light of the Lisbon and Gothenburg Ambitions. </w:t>
            </w:r>
          </w:p>
        </w:tc>
        <w:tc>
          <w:tcPr>
            <w:tcW w:w="1134" w:type="dxa"/>
            <w:tcBorders>
              <w:top w:val="nil"/>
              <w:left w:val="nil"/>
              <w:bottom w:val="single" w:sz="4" w:space="0" w:color="auto"/>
              <w:right w:val="single" w:sz="4" w:space="0" w:color="auto"/>
            </w:tcBorders>
            <w:vAlign w:val="center"/>
          </w:tcPr>
          <w:p w14:paraId="068807E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BA34B8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329685D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5399A8A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Background Document for the Territorial Agenda of the European Union.</w:t>
            </w:r>
          </w:p>
          <w:p w14:paraId="48E8673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Luxembourg, 2005.</w:t>
            </w:r>
          </w:p>
        </w:tc>
        <w:tc>
          <w:tcPr>
            <w:tcW w:w="708" w:type="dxa"/>
            <w:tcBorders>
              <w:top w:val="nil"/>
              <w:left w:val="nil"/>
              <w:bottom w:val="single" w:sz="4" w:space="0" w:color="auto"/>
              <w:right w:val="single" w:sz="4" w:space="0" w:color="auto"/>
            </w:tcBorders>
            <w:vAlign w:val="center"/>
          </w:tcPr>
          <w:p w14:paraId="16CDCA2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background study</w:t>
            </w:r>
          </w:p>
        </w:tc>
        <w:tc>
          <w:tcPr>
            <w:tcW w:w="851" w:type="dxa"/>
            <w:tcBorders>
              <w:top w:val="nil"/>
              <w:left w:val="nil"/>
              <w:bottom w:val="single" w:sz="4" w:space="0" w:color="auto"/>
              <w:right w:val="single" w:sz="4" w:space="0" w:color="auto"/>
            </w:tcBorders>
            <w:vAlign w:val="center"/>
          </w:tcPr>
          <w:p w14:paraId="6FD22EEF"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6D5F7A10"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2DA9FBE"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document was the evidence-based background document to the Territorial Agenda of the European Union in 2007.</w:t>
            </w:r>
          </w:p>
        </w:tc>
        <w:tc>
          <w:tcPr>
            <w:tcW w:w="2268" w:type="dxa"/>
            <w:tcBorders>
              <w:top w:val="nil"/>
              <w:left w:val="nil"/>
              <w:bottom w:val="single" w:sz="4" w:space="0" w:color="auto"/>
              <w:right w:val="single" w:sz="8" w:space="0" w:color="auto"/>
            </w:tcBorders>
            <w:vAlign w:val="center"/>
          </w:tcPr>
          <w:p w14:paraId="182EED1B"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spatial planning</w:t>
            </w:r>
          </w:p>
        </w:tc>
      </w:tr>
      <w:tr w:rsidR="00EE2B83" w:rsidRPr="0002056A" w14:paraId="75F80FF0"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132F2E0"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Member States’ Ministers responsible for Urban Development </w:t>
            </w:r>
          </w:p>
          <w:p w14:paraId="7A9C5AE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B5866D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696D7FE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LEIPZIG CHARTER on Sustainable European Cities.</w:t>
            </w:r>
          </w:p>
        </w:tc>
        <w:tc>
          <w:tcPr>
            <w:tcW w:w="1134" w:type="dxa"/>
            <w:tcBorders>
              <w:top w:val="nil"/>
              <w:left w:val="nil"/>
              <w:bottom w:val="single" w:sz="4" w:space="0" w:color="auto"/>
              <w:right w:val="single" w:sz="4" w:space="0" w:color="auto"/>
            </w:tcBorders>
            <w:vAlign w:val="center"/>
          </w:tcPr>
          <w:p w14:paraId="28D06CD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EEBC56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1601BA3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5B51C51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Final Draft. Leipzig, 02 May 2007.</w:t>
            </w:r>
          </w:p>
        </w:tc>
        <w:tc>
          <w:tcPr>
            <w:tcW w:w="708" w:type="dxa"/>
            <w:tcBorders>
              <w:top w:val="nil"/>
              <w:left w:val="nil"/>
              <w:bottom w:val="single" w:sz="4" w:space="0" w:color="auto"/>
              <w:right w:val="single" w:sz="4" w:space="0" w:color="auto"/>
            </w:tcBorders>
            <w:vAlign w:val="center"/>
          </w:tcPr>
          <w:p w14:paraId="6B02FFE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6D1F7CF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6C09A69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9488B6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2007, the European Ministers for Urban Development and Regional Planning adopted the Leipzig Charter for a Sustainable European Cities (PDF) in Leipzig. The aim of the Leipzig Charter 2007 was to establish city-wide Integrated Urban Development in order to strengthen and further develop European cities. A special focus was to be placed on districts with special requirements for development.</w:t>
            </w:r>
          </w:p>
        </w:tc>
        <w:tc>
          <w:tcPr>
            <w:tcW w:w="2268" w:type="dxa"/>
            <w:tcBorders>
              <w:top w:val="nil"/>
              <w:left w:val="nil"/>
              <w:bottom w:val="single" w:sz="4" w:space="0" w:color="auto"/>
              <w:right w:val="single" w:sz="8" w:space="0" w:color="auto"/>
            </w:tcBorders>
            <w:vAlign w:val="center"/>
          </w:tcPr>
          <w:p w14:paraId="7F18D032"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urban planning</w:t>
            </w:r>
          </w:p>
        </w:tc>
      </w:tr>
      <w:tr w:rsidR="00EE2B83" w:rsidRPr="0002056A" w14:paraId="2D5F0327"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8885B1B"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Member States’ Ministers responsible for Urban Development and Territorial Cohesion </w:t>
            </w:r>
          </w:p>
        </w:tc>
        <w:tc>
          <w:tcPr>
            <w:tcW w:w="705" w:type="dxa"/>
            <w:tcBorders>
              <w:top w:val="nil"/>
              <w:left w:val="nil"/>
              <w:bottom w:val="single" w:sz="4" w:space="0" w:color="auto"/>
              <w:right w:val="single" w:sz="4" w:space="0" w:color="auto"/>
            </w:tcBorders>
            <w:vAlign w:val="center"/>
          </w:tcPr>
          <w:p w14:paraId="321BEA7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73FE679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Territorial Agenda of the European Union. Towards a More Competitive and Sustainable Europe of Diverse Regions. </w:t>
            </w:r>
          </w:p>
        </w:tc>
        <w:tc>
          <w:tcPr>
            <w:tcW w:w="1134" w:type="dxa"/>
            <w:tcBorders>
              <w:top w:val="nil"/>
              <w:left w:val="nil"/>
              <w:bottom w:val="single" w:sz="4" w:space="0" w:color="auto"/>
              <w:right w:val="single" w:sz="4" w:space="0" w:color="auto"/>
            </w:tcBorders>
            <w:vAlign w:val="center"/>
          </w:tcPr>
          <w:p w14:paraId="01D7F01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422175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3AE649E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2FAE504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Agreed on the occasion of the Informal Ministerial Meeting on Urban Development and Territorial Cohesion in Leipzig on 24 / 25 May 2007.</w:t>
            </w:r>
          </w:p>
        </w:tc>
        <w:tc>
          <w:tcPr>
            <w:tcW w:w="708" w:type="dxa"/>
            <w:tcBorders>
              <w:top w:val="nil"/>
              <w:left w:val="nil"/>
              <w:bottom w:val="single" w:sz="4" w:space="0" w:color="auto"/>
              <w:right w:val="single" w:sz="4" w:space="0" w:color="auto"/>
            </w:tcBorders>
            <w:vAlign w:val="center"/>
          </w:tcPr>
          <w:p w14:paraId="4D4B7FF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64786F4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7B520D7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DBBF84" w14:textId="75D9EE46"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first action-oriented policy framework of the Ministers responsible for spatial planning and territorial development to support territorial cohesion in Europe as a new goal of the European Union. </w:t>
            </w:r>
          </w:p>
        </w:tc>
        <w:tc>
          <w:tcPr>
            <w:tcW w:w="2268" w:type="dxa"/>
            <w:tcBorders>
              <w:top w:val="nil"/>
              <w:left w:val="nil"/>
              <w:bottom w:val="single" w:sz="4" w:space="0" w:color="auto"/>
              <w:right w:val="single" w:sz="8" w:space="0" w:color="auto"/>
            </w:tcBorders>
            <w:vAlign w:val="center"/>
          </w:tcPr>
          <w:p w14:paraId="2A4ED570"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spatial planning</w:t>
            </w:r>
          </w:p>
        </w:tc>
      </w:tr>
      <w:tr w:rsidR="00EE2B83" w:rsidRPr="0002056A" w14:paraId="54D988C3"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511F1B4"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Member States’ Ministers responsible for Spatial Planning and Territorial Development </w:t>
            </w:r>
          </w:p>
          <w:p w14:paraId="3C723BF7"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057347B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3292771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 Agenda of the European Union 2020 Towards an Inclusive, Smart and Sustainable Europe of Diverse Regions</w:t>
            </w:r>
          </w:p>
        </w:tc>
        <w:tc>
          <w:tcPr>
            <w:tcW w:w="1134" w:type="dxa"/>
            <w:tcBorders>
              <w:top w:val="nil"/>
              <w:left w:val="nil"/>
              <w:bottom w:val="single" w:sz="4" w:space="0" w:color="auto"/>
              <w:right w:val="single" w:sz="4" w:space="0" w:color="auto"/>
            </w:tcBorders>
            <w:vAlign w:val="center"/>
          </w:tcPr>
          <w:p w14:paraId="37F0929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3356D46"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53ADE0E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509A134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agreed at the Informal Ministerial Meeting of Ministers responsible for Spatial Planning and Territorial Development on 19</w:t>
            </w:r>
            <w:r w:rsidRPr="0002056A">
              <w:rPr>
                <w:rFonts w:ascii="Georgia" w:eastAsia="Times New Roman" w:hAnsi="Georgia" w:cs="Times New Roman"/>
                <w:color w:val="000000"/>
                <w:sz w:val="10"/>
                <w:szCs w:val="10"/>
                <w:vertAlign w:val="superscript"/>
                <w:lang w:val="en-GB" w:eastAsia="hu-HU"/>
              </w:rPr>
              <w:t>th</w:t>
            </w:r>
            <w:r w:rsidRPr="0002056A">
              <w:rPr>
                <w:rFonts w:ascii="Georgia" w:eastAsia="Times New Roman" w:hAnsi="Georgia" w:cs="Times New Roman"/>
                <w:color w:val="000000"/>
                <w:sz w:val="10"/>
                <w:szCs w:val="10"/>
                <w:lang w:val="en-GB" w:eastAsia="hu-HU"/>
              </w:rPr>
              <w:t xml:space="preserve"> May 2011 Gödöllő, Hungary.</w:t>
            </w:r>
          </w:p>
        </w:tc>
        <w:tc>
          <w:tcPr>
            <w:tcW w:w="708" w:type="dxa"/>
            <w:tcBorders>
              <w:top w:val="nil"/>
              <w:left w:val="nil"/>
              <w:bottom w:val="single" w:sz="4" w:space="0" w:color="auto"/>
              <w:right w:val="single" w:sz="4" w:space="0" w:color="auto"/>
            </w:tcBorders>
            <w:vAlign w:val="center"/>
          </w:tcPr>
          <w:p w14:paraId="41E15877"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7D0B9B6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154C36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BD87D36" w14:textId="6AA0A71E"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TA2020 is the action-oriented policy framework of the Ministers responsible for spatial planning and territorial development to support territorial cohesion in Europe as a new goal of the European Union (EU) introduced by the Treaty of Lisbon (Art 3.TEU). It outlines objectives in accordance with the time horizon of major policy documents until 2020.  </w:t>
            </w:r>
          </w:p>
        </w:tc>
        <w:tc>
          <w:tcPr>
            <w:tcW w:w="2268" w:type="dxa"/>
            <w:tcBorders>
              <w:top w:val="nil"/>
              <w:left w:val="nil"/>
              <w:bottom w:val="single" w:sz="4" w:space="0" w:color="auto"/>
              <w:right w:val="single" w:sz="8" w:space="0" w:color="auto"/>
            </w:tcBorders>
            <w:vAlign w:val="center"/>
          </w:tcPr>
          <w:p w14:paraId="6B486F0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spatial planning</w:t>
            </w:r>
          </w:p>
        </w:tc>
      </w:tr>
      <w:tr w:rsidR="00EE2B83" w:rsidRPr="0002056A" w14:paraId="29A165AE"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860737D"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Member States’ Ministers responsible for Urban Matters </w:t>
            </w:r>
          </w:p>
          <w:p w14:paraId="673B434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67919FF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tcPr>
          <w:p w14:paraId="58B37D8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NEW LEIPZIG CHARTER. The transformative power of cities for the common good.</w:t>
            </w:r>
          </w:p>
        </w:tc>
        <w:tc>
          <w:tcPr>
            <w:tcW w:w="1134" w:type="dxa"/>
            <w:tcBorders>
              <w:top w:val="nil"/>
              <w:left w:val="nil"/>
              <w:bottom w:val="single" w:sz="4" w:space="0" w:color="auto"/>
              <w:right w:val="single" w:sz="4" w:space="0" w:color="auto"/>
            </w:tcBorders>
            <w:vAlign w:val="center"/>
          </w:tcPr>
          <w:p w14:paraId="78E3B5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2B03912"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4D8A548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4EDAD6CD"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Adopted at the Informal Ministerial Meeting on Urban Matters on 30 November 2020. </w:t>
            </w:r>
            <w:hyperlink r:id="rId177" w:history="1">
              <w:r w:rsidRPr="0002056A">
                <w:rPr>
                  <w:rFonts w:ascii="Georgia" w:eastAsia="Times New Roman" w:hAnsi="Georgia" w:cs="Times New Roman"/>
                  <w:color w:val="000000"/>
                  <w:sz w:val="10"/>
                  <w:szCs w:val="10"/>
                  <w:lang w:val="en-GB" w:eastAsia="hu-HU"/>
                </w:rPr>
                <w:t>www.bmi.bund.de</w:t>
              </w:r>
            </w:hyperlink>
          </w:p>
        </w:tc>
        <w:tc>
          <w:tcPr>
            <w:tcW w:w="708" w:type="dxa"/>
            <w:tcBorders>
              <w:top w:val="nil"/>
              <w:left w:val="nil"/>
              <w:bottom w:val="single" w:sz="4" w:space="0" w:color="auto"/>
              <w:right w:val="single" w:sz="4" w:space="0" w:color="auto"/>
            </w:tcBorders>
            <w:vAlign w:val="center"/>
          </w:tcPr>
          <w:p w14:paraId="3C6F630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18377E6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3F9145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58E9FDB"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EU Ministers responsible for urban matters, agree upon the New Leipzig Charter that emphasises the pursuit of the common good using the transformative power of cities. This includes general welfare, reliable public services of general interest as well as reducing and preventing new forms of social, economic, environmental and territorial inequalities. The common goal is to safeguard and enhance the quality of life in all European towns and cities and their functional areas.</w:t>
            </w:r>
          </w:p>
        </w:tc>
        <w:tc>
          <w:tcPr>
            <w:tcW w:w="2268" w:type="dxa"/>
            <w:tcBorders>
              <w:top w:val="nil"/>
              <w:left w:val="nil"/>
              <w:bottom w:val="single" w:sz="4" w:space="0" w:color="auto"/>
              <w:right w:val="single" w:sz="8" w:space="0" w:color="auto"/>
            </w:tcBorders>
            <w:vAlign w:val="center"/>
          </w:tcPr>
          <w:p w14:paraId="6B976242"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urban planning</w:t>
            </w:r>
          </w:p>
        </w:tc>
      </w:tr>
      <w:tr w:rsidR="00EE2B83" w:rsidRPr="0002056A" w14:paraId="360D79F8"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FC686AC"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Member States’ Ministers responsible for Spatial Planning and Territorial Development and/or Territorial Cohesion  </w:t>
            </w:r>
          </w:p>
          <w:p w14:paraId="6E2952BE"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4258303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tcPr>
          <w:p w14:paraId="4C3DBAA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Territorial Agenda 2030. A future for all places. </w:t>
            </w:r>
          </w:p>
        </w:tc>
        <w:tc>
          <w:tcPr>
            <w:tcW w:w="1134" w:type="dxa"/>
            <w:tcBorders>
              <w:top w:val="nil"/>
              <w:left w:val="nil"/>
              <w:bottom w:val="single" w:sz="4" w:space="0" w:color="auto"/>
              <w:right w:val="single" w:sz="4" w:space="0" w:color="auto"/>
            </w:tcBorders>
            <w:vAlign w:val="center"/>
          </w:tcPr>
          <w:p w14:paraId="772EF70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5FC8B21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851" w:type="dxa"/>
            <w:tcBorders>
              <w:top w:val="nil"/>
              <w:left w:val="nil"/>
              <w:bottom w:val="single" w:sz="4" w:space="0" w:color="auto"/>
              <w:right w:val="single" w:sz="4" w:space="0" w:color="auto"/>
            </w:tcBorders>
            <w:vAlign w:val="center"/>
          </w:tcPr>
          <w:p w14:paraId="3166279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370A1EB4"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Informal meeting of Ministers responsible for Spatial Planning and Territorial Development and/or Territorial Cohesion. 1 December 2020, Germany</w:t>
            </w:r>
          </w:p>
        </w:tc>
        <w:tc>
          <w:tcPr>
            <w:tcW w:w="708" w:type="dxa"/>
            <w:tcBorders>
              <w:top w:val="nil"/>
              <w:left w:val="nil"/>
              <w:bottom w:val="single" w:sz="4" w:space="0" w:color="auto"/>
              <w:right w:val="single" w:sz="4" w:space="0" w:color="auto"/>
            </w:tcBorders>
            <w:vAlign w:val="center"/>
          </w:tcPr>
          <w:p w14:paraId="1A48BE7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73C0150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AF47F8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0CDE006" w14:textId="709DD3B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On 1 December 2020, the EU Ministers responsible for spatial planning, territorial development and/or territorial cohesion have agreed on the Territorial Agenda 2030 of the European Union. The new Agenda provides an action-oriented framework to promote territorial cohesion in Europe: a future for all places, involving countries at national, regional and local levels, and promoting cooperation with other countries.</w:t>
            </w:r>
          </w:p>
        </w:tc>
        <w:tc>
          <w:tcPr>
            <w:tcW w:w="2268" w:type="dxa"/>
            <w:tcBorders>
              <w:top w:val="nil"/>
              <w:left w:val="nil"/>
              <w:bottom w:val="single" w:sz="4" w:space="0" w:color="auto"/>
              <w:right w:val="single" w:sz="8" w:space="0" w:color="auto"/>
            </w:tcBorders>
            <w:vAlign w:val="center"/>
          </w:tcPr>
          <w:p w14:paraId="75180890"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spatial planning</w:t>
            </w:r>
          </w:p>
        </w:tc>
      </w:tr>
      <w:tr w:rsidR="00EE2B83" w:rsidRPr="0002056A" w14:paraId="2FEAA455"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EB0B64C" w14:textId="3F62252A"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Ministry for Technology and Innovation &amp; National Adaptation Centre</w:t>
            </w:r>
          </w:p>
        </w:tc>
        <w:tc>
          <w:tcPr>
            <w:tcW w:w="705" w:type="dxa"/>
            <w:tcBorders>
              <w:top w:val="nil"/>
              <w:left w:val="nil"/>
              <w:bottom w:val="single" w:sz="4" w:space="0" w:color="auto"/>
              <w:right w:val="single" w:sz="4" w:space="0" w:color="auto"/>
            </w:tcBorders>
            <w:vAlign w:val="center"/>
          </w:tcPr>
          <w:p w14:paraId="0C4E64AB" w14:textId="0E26646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3678ACB1" w14:textId="3C39367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w:t>
            </w:r>
            <w:r w:rsidRPr="0002056A">
              <w:rPr>
                <w:rFonts w:ascii="Georgia" w:eastAsia="Times New Roman" w:hAnsi="Georgia" w:cs="Times New Roman"/>
                <w:color w:val="000000"/>
                <w:sz w:val="10"/>
                <w:szCs w:val="10"/>
                <w:vertAlign w:val="superscript"/>
                <w:lang w:val="en-GB" w:eastAsia="hu-HU"/>
              </w:rPr>
              <w:t>nd</w:t>
            </w:r>
            <w:r w:rsidRPr="0002056A">
              <w:rPr>
                <w:rFonts w:ascii="Georgia" w:eastAsia="Times New Roman" w:hAnsi="Georgia" w:cs="Times New Roman"/>
                <w:color w:val="000000"/>
                <w:sz w:val="10"/>
                <w:szCs w:val="10"/>
                <w:lang w:val="en-GB" w:eastAsia="hu-HU"/>
              </w:rPr>
              <w:t xml:space="preserve"> National Climate Change Strategy</w:t>
            </w:r>
          </w:p>
        </w:tc>
        <w:tc>
          <w:tcPr>
            <w:tcW w:w="1134" w:type="dxa"/>
            <w:tcBorders>
              <w:top w:val="nil"/>
              <w:left w:val="nil"/>
              <w:bottom w:val="single" w:sz="4" w:space="0" w:color="auto"/>
              <w:right w:val="single" w:sz="4" w:space="0" w:color="auto"/>
            </w:tcBorders>
            <w:vAlign w:val="center"/>
          </w:tcPr>
          <w:p w14:paraId="4E85E176" w14:textId="2ACD44E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01273992" w14:textId="6AA4134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Hungarian Parliament</w:t>
            </w:r>
          </w:p>
        </w:tc>
        <w:tc>
          <w:tcPr>
            <w:tcW w:w="851" w:type="dxa"/>
            <w:tcBorders>
              <w:top w:val="nil"/>
              <w:left w:val="nil"/>
              <w:bottom w:val="single" w:sz="4" w:space="0" w:color="auto"/>
              <w:right w:val="single" w:sz="4" w:space="0" w:color="auto"/>
            </w:tcBorders>
            <w:vAlign w:val="center"/>
          </w:tcPr>
          <w:p w14:paraId="58D85760" w14:textId="2267033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document</w:t>
            </w:r>
          </w:p>
        </w:tc>
        <w:tc>
          <w:tcPr>
            <w:tcW w:w="993" w:type="dxa"/>
            <w:tcBorders>
              <w:top w:val="nil"/>
              <w:left w:val="nil"/>
              <w:bottom w:val="single" w:sz="4" w:space="0" w:color="auto"/>
              <w:right w:val="single" w:sz="4" w:space="0" w:color="auto"/>
            </w:tcBorders>
            <w:vAlign w:val="center"/>
          </w:tcPr>
          <w:p w14:paraId="7E9CE6B3" w14:textId="545BB1C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t>
            </w:r>
          </w:p>
        </w:tc>
        <w:tc>
          <w:tcPr>
            <w:tcW w:w="708" w:type="dxa"/>
            <w:tcBorders>
              <w:top w:val="nil"/>
              <w:left w:val="nil"/>
              <w:bottom w:val="single" w:sz="4" w:space="0" w:color="auto"/>
              <w:right w:val="single" w:sz="4" w:space="0" w:color="auto"/>
            </w:tcBorders>
            <w:vAlign w:val="center"/>
          </w:tcPr>
          <w:p w14:paraId="644B4AC0" w14:textId="53D3788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377F8CFB" w14:textId="7BC91B7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3503BDF" w14:textId="32DE053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815A6D1" w14:textId="5B7D0BC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 define the medium and long-term objective system of Hungarian climate (and within its adaptation-) policy and short-term sectoral action lines in mitigation, adaptation and awareness raising</w:t>
            </w:r>
          </w:p>
        </w:tc>
        <w:tc>
          <w:tcPr>
            <w:tcW w:w="2268" w:type="dxa"/>
            <w:tcBorders>
              <w:top w:val="nil"/>
              <w:left w:val="nil"/>
              <w:bottom w:val="single" w:sz="4" w:space="0" w:color="auto"/>
              <w:right w:val="single" w:sz="8" w:space="0" w:color="auto"/>
            </w:tcBorders>
            <w:vAlign w:val="center"/>
          </w:tcPr>
          <w:p w14:paraId="61AD5A5E" w14:textId="191D5900"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definition, context, content in Hungary</w:t>
            </w:r>
          </w:p>
        </w:tc>
      </w:tr>
      <w:tr w:rsidR="00EE2B83" w:rsidRPr="0002056A" w14:paraId="468B7209"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2FD3E67" w14:textId="511279B8"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Mickwitz, P.; Aix, F.; Beck, S.; Carss, D.; Ferrand, N.; Görg, Ch.; Jensen, A.; Kivimaa, P.; Kuhlicke, Ch.; Kuindersma, W.; Manez Costa, M.; Melanen, M.; Monni, S.; Pedersen, A.; Reinert, H.; Bommel, S. </w:t>
            </w:r>
          </w:p>
        </w:tc>
        <w:tc>
          <w:tcPr>
            <w:tcW w:w="705" w:type="dxa"/>
            <w:tcBorders>
              <w:top w:val="nil"/>
              <w:left w:val="nil"/>
              <w:bottom w:val="single" w:sz="4" w:space="0" w:color="auto"/>
              <w:right w:val="single" w:sz="4" w:space="0" w:color="auto"/>
            </w:tcBorders>
            <w:vAlign w:val="center"/>
          </w:tcPr>
          <w:p w14:paraId="084FCE96" w14:textId="7575375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78B509CF" w14:textId="50E6E66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hAnsi="Georgia"/>
                <w:sz w:val="10"/>
                <w:szCs w:val="10"/>
                <w:lang w:val="en-GB"/>
              </w:rPr>
              <w:t>Climate Policy Integration, Coherence and Governance</w:t>
            </w:r>
          </w:p>
        </w:tc>
        <w:tc>
          <w:tcPr>
            <w:tcW w:w="1134" w:type="dxa"/>
            <w:tcBorders>
              <w:top w:val="nil"/>
              <w:left w:val="nil"/>
              <w:bottom w:val="single" w:sz="4" w:space="0" w:color="auto"/>
              <w:right w:val="single" w:sz="4" w:space="0" w:color="auto"/>
            </w:tcBorders>
            <w:vAlign w:val="center"/>
          </w:tcPr>
          <w:p w14:paraId="544648AD" w14:textId="6CEC002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275F0611" w14:textId="0BA5AF7E"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PEER (Partnership for European Environmental Research)</w:t>
            </w:r>
          </w:p>
        </w:tc>
        <w:tc>
          <w:tcPr>
            <w:tcW w:w="851" w:type="dxa"/>
            <w:tcBorders>
              <w:top w:val="nil"/>
              <w:left w:val="nil"/>
              <w:bottom w:val="single" w:sz="4" w:space="0" w:color="auto"/>
              <w:right w:val="single" w:sz="4" w:space="0" w:color="auto"/>
            </w:tcBorders>
            <w:vAlign w:val="center"/>
          </w:tcPr>
          <w:p w14:paraId="03787F44" w14:textId="393EE75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 &amp; planning</w:t>
            </w:r>
          </w:p>
        </w:tc>
        <w:tc>
          <w:tcPr>
            <w:tcW w:w="993" w:type="dxa"/>
            <w:tcBorders>
              <w:top w:val="nil"/>
              <w:left w:val="nil"/>
              <w:bottom w:val="single" w:sz="4" w:space="0" w:color="auto"/>
              <w:right w:val="single" w:sz="4" w:space="0" w:color="auto"/>
            </w:tcBorders>
            <w:vAlign w:val="center"/>
          </w:tcPr>
          <w:p w14:paraId="40B6F2F3" w14:textId="573A376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PEER Report No. 2. Helsinki 2009 ISBN: 978-952-11-3379-4</w:t>
            </w:r>
          </w:p>
        </w:tc>
        <w:tc>
          <w:tcPr>
            <w:tcW w:w="708" w:type="dxa"/>
            <w:tcBorders>
              <w:top w:val="nil"/>
              <w:left w:val="nil"/>
              <w:bottom w:val="single" w:sz="4" w:space="0" w:color="auto"/>
              <w:right w:val="single" w:sz="4" w:space="0" w:color="auto"/>
            </w:tcBorders>
            <w:vAlign w:val="center"/>
          </w:tcPr>
          <w:p w14:paraId="4593244D" w14:textId="7A14D62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38E47783" w14:textId="3A8949F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2FC9B8C1" w14:textId="3FE7973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8ABB78B" w14:textId="77777777" w:rsidR="00EE2B83" w:rsidRPr="0002056A" w:rsidRDefault="00EE2B83" w:rsidP="00EE2B83">
            <w:pPr>
              <w:spacing w:after="0" w:line="240" w:lineRule="auto"/>
              <w:jc w:val="both"/>
              <w:rPr>
                <w:rFonts w:ascii="Georgia" w:eastAsia="Times New Roman" w:hAnsi="Georgia" w:cs="Times New Roman"/>
                <w:sz w:val="10"/>
                <w:szCs w:val="10"/>
                <w:lang w:val="en-GB" w:eastAsia="hu-HU"/>
              </w:rPr>
            </w:pPr>
            <w:r w:rsidRPr="0002056A">
              <w:rPr>
                <w:rFonts w:ascii="Georgia" w:eastAsia="Times New Roman" w:hAnsi="Georgia" w:cs="Times New Roman"/>
                <w:color w:val="000000"/>
                <w:sz w:val="10"/>
                <w:szCs w:val="10"/>
                <w:lang w:val="en-GB" w:eastAsia="hu-HU"/>
              </w:rPr>
              <w:t xml:space="preserve">The study was carried out by the non-governmental PEER network in order to reflect upon the political implementation of adaptation strategies. </w:t>
            </w:r>
          </w:p>
          <w:p w14:paraId="68C1879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0EB5991E" w14:textId="142FA5E8"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Analysis of policy integration for</w:t>
            </w:r>
          </w:p>
          <w:p w14:paraId="67BFD36F"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mitigation and adaptation efforts in more detail for selected case studies from six</w:t>
            </w:r>
          </w:p>
          <w:p w14:paraId="637CD1DA" w14:textId="451F4ABA"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countries</w:t>
            </w:r>
          </w:p>
        </w:tc>
      </w:tr>
      <w:tr w:rsidR="00EE2B83" w:rsidRPr="0002056A" w14:paraId="2C6079FC"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E0CF5A3"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Morgado, N.</w:t>
            </w:r>
          </w:p>
        </w:tc>
        <w:tc>
          <w:tcPr>
            <w:tcW w:w="705" w:type="dxa"/>
            <w:tcBorders>
              <w:top w:val="nil"/>
              <w:left w:val="nil"/>
              <w:bottom w:val="single" w:sz="4" w:space="0" w:color="auto"/>
              <w:right w:val="single" w:sz="4" w:space="0" w:color="auto"/>
            </w:tcBorders>
            <w:vAlign w:val="center"/>
          </w:tcPr>
          <w:p w14:paraId="1238403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tcPr>
          <w:p w14:paraId="13034057"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hyperlink r:id="rId178" w:tgtFrame="_blank" w:history="1">
              <w:r w:rsidRPr="0002056A">
                <w:rPr>
                  <w:rFonts w:ascii="Georgia" w:eastAsia="Times New Roman" w:hAnsi="Georgia" w:cs="Times New Roman"/>
                  <w:color w:val="000000"/>
                  <w:sz w:val="10"/>
                  <w:szCs w:val="10"/>
                  <w:lang w:val="en-GB" w:eastAsia="hu-HU"/>
                </w:rPr>
                <w:t>Neoclassical geopolitics: Preliminary theoretical principles and methodological guidelines</w:t>
              </w:r>
            </w:hyperlink>
          </w:p>
        </w:tc>
        <w:tc>
          <w:tcPr>
            <w:tcW w:w="1134" w:type="dxa"/>
            <w:tcBorders>
              <w:top w:val="nil"/>
              <w:left w:val="nil"/>
              <w:bottom w:val="single" w:sz="4" w:space="0" w:color="auto"/>
              <w:right w:val="single" w:sz="4" w:space="0" w:color="auto"/>
            </w:tcBorders>
            <w:vAlign w:val="center"/>
          </w:tcPr>
          <w:p w14:paraId="7EC8075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POR</w:t>
            </w:r>
          </w:p>
        </w:tc>
        <w:tc>
          <w:tcPr>
            <w:tcW w:w="708" w:type="dxa"/>
            <w:tcBorders>
              <w:top w:val="nil"/>
              <w:left w:val="nil"/>
              <w:bottom w:val="single" w:sz="4" w:space="0" w:color="auto"/>
              <w:right w:val="single" w:sz="4" w:space="0" w:color="auto"/>
            </w:tcBorders>
            <w:vAlign w:val="center"/>
          </w:tcPr>
          <w:p w14:paraId="5ACEAE9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Charles University, Prague</w:t>
            </w:r>
          </w:p>
        </w:tc>
        <w:tc>
          <w:tcPr>
            <w:tcW w:w="851" w:type="dxa"/>
            <w:tcBorders>
              <w:top w:val="nil"/>
              <w:left w:val="nil"/>
              <w:bottom w:val="single" w:sz="4" w:space="0" w:color="auto"/>
              <w:right w:val="single" w:sz="4" w:space="0" w:color="auto"/>
            </w:tcBorders>
            <w:vAlign w:val="center"/>
          </w:tcPr>
          <w:p w14:paraId="460C6E7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65F660A8"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sz w:val="10"/>
                <w:szCs w:val="10"/>
                <w:lang w:val="en-GB" w:eastAsia="hu-HU"/>
              </w:rPr>
              <w:t>Medunarodni Problemi72</w:t>
            </w:r>
            <w:r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sz w:val="10"/>
                <w:szCs w:val="10"/>
                <w:lang w:val="en-GB" w:eastAsia="hu-HU"/>
              </w:rPr>
              <w:t>1</w:t>
            </w:r>
            <w:r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sz w:val="10"/>
                <w:szCs w:val="10"/>
                <w:lang w:val="en-GB" w:eastAsia="hu-HU"/>
              </w:rPr>
              <w:t>pp. 129-157. (2020)</w:t>
            </w:r>
          </w:p>
        </w:tc>
        <w:tc>
          <w:tcPr>
            <w:tcW w:w="708" w:type="dxa"/>
            <w:tcBorders>
              <w:top w:val="nil"/>
              <w:left w:val="nil"/>
              <w:bottom w:val="single" w:sz="4" w:space="0" w:color="auto"/>
              <w:right w:val="single" w:sz="4" w:space="0" w:color="auto"/>
            </w:tcBorders>
            <w:vAlign w:val="center"/>
          </w:tcPr>
          <w:p w14:paraId="37E70B49"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5A8CBD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7A07BD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2BB3880"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directions of n</w:t>
            </w:r>
            <w:hyperlink r:id="rId179" w:tgtFrame="_blank" w:history="1">
              <w:r w:rsidRPr="0002056A">
                <w:rPr>
                  <w:rFonts w:ascii="Georgia" w:eastAsia="Times New Roman" w:hAnsi="Georgia" w:cs="Times New Roman"/>
                  <w:color w:val="000000"/>
                  <w:sz w:val="10"/>
                  <w:szCs w:val="10"/>
                  <w:lang w:val="en-GB" w:eastAsia="hu-HU"/>
                </w:rPr>
                <w:t>eoclassical geopolitics through the author’s preliminary theoretical principles and methodological guidelines</w:t>
              </w:r>
            </w:hyperlink>
            <w:r w:rsidRPr="0002056A">
              <w:rPr>
                <w:rFonts w:ascii="Georgia" w:eastAsia="Times New Roman" w:hAnsi="Georgia" w:cs="Times New Roman"/>
                <w:color w:val="000000"/>
                <w:sz w:val="10"/>
                <w:szCs w:val="10"/>
                <w:lang w:val="en-GB" w:eastAsia="hu-HU"/>
              </w:rPr>
              <w:t>.</w:t>
            </w:r>
          </w:p>
        </w:tc>
        <w:tc>
          <w:tcPr>
            <w:tcW w:w="2268" w:type="dxa"/>
            <w:tcBorders>
              <w:top w:val="nil"/>
              <w:left w:val="nil"/>
              <w:bottom w:val="single" w:sz="4" w:space="0" w:color="auto"/>
              <w:right w:val="single" w:sz="8" w:space="0" w:color="auto"/>
            </w:tcBorders>
            <w:vAlign w:val="center"/>
          </w:tcPr>
          <w:p w14:paraId="7373611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among other things geopolitics’ definition and space concepts.</w:t>
            </w:r>
          </w:p>
        </w:tc>
      </w:tr>
      <w:tr w:rsidR="00EE2B83" w:rsidRPr="0002056A" w14:paraId="55B5342B"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C348F18"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Morgan, E.A.; Nalan, J.; Mackey, B.</w:t>
            </w:r>
          </w:p>
        </w:tc>
        <w:tc>
          <w:tcPr>
            <w:tcW w:w="705" w:type="dxa"/>
            <w:tcBorders>
              <w:top w:val="nil"/>
              <w:left w:val="nil"/>
              <w:bottom w:val="single" w:sz="4" w:space="0" w:color="auto"/>
              <w:right w:val="single" w:sz="4" w:space="0" w:color="auto"/>
            </w:tcBorders>
            <w:vAlign w:val="center"/>
          </w:tcPr>
          <w:p w14:paraId="57623753"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6DF1606A"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Assessing the alignment of national-level adaptation plans in the Paris Agreement.</w:t>
            </w:r>
          </w:p>
        </w:tc>
        <w:tc>
          <w:tcPr>
            <w:tcW w:w="1134" w:type="dxa"/>
            <w:tcBorders>
              <w:top w:val="nil"/>
              <w:left w:val="nil"/>
              <w:bottom w:val="single" w:sz="4" w:space="0" w:color="auto"/>
              <w:right w:val="single" w:sz="4" w:space="0" w:color="auto"/>
            </w:tcBorders>
            <w:vAlign w:val="center"/>
          </w:tcPr>
          <w:p w14:paraId="600CA69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AUS, AUS, AUS</w:t>
            </w:r>
          </w:p>
        </w:tc>
        <w:tc>
          <w:tcPr>
            <w:tcW w:w="708" w:type="dxa"/>
            <w:tcBorders>
              <w:top w:val="nil"/>
              <w:left w:val="nil"/>
              <w:bottom w:val="single" w:sz="4" w:space="0" w:color="auto"/>
              <w:right w:val="single" w:sz="4" w:space="0" w:color="auto"/>
            </w:tcBorders>
            <w:vAlign w:val="center"/>
          </w:tcPr>
          <w:p w14:paraId="6060A24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763EAEC5"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vAlign w:val="center"/>
          </w:tcPr>
          <w:p w14:paraId="5DC3BD1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 Science Policy 93 (3) pp. 208-220</w:t>
            </w:r>
          </w:p>
        </w:tc>
        <w:tc>
          <w:tcPr>
            <w:tcW w:w="708" w:type="dxa"/>
            <w:tcBorders>
              <w:top w:val="nil"/>
              <w:left w:val="nil"/>
              <w:bottom w:val="single" w:sz="4" w:space="0" w:color="auto"/>
              <w:right w:val="single" w:sz="4" w:space="0" w:color="auto"/>
            </w:tcBorders>
            <w:vAlign w:val="center"/>
          </w:tcPr>
          <w:p w14:paraId="393B03F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814BD7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EB4DBFD"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B68526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authors analysed 54 national documents and their alignment with the Paris Agreement. </w:t>
            </w:r>
          </w:p>
        </w:tc>
        <w:tc>
          <w:tcPr>
            <w:tcW w:w="2268" w:type="dxa"/>
            <w:tcBorders>
              <w:top w:val="nil"/>
              <w:left w:val="nil"/>
              <w:bottom w:val="single" w:sz="4" w:space="0" w:color="auto"/>
              <w:right w:val="single" w:sz="8" w:space="0" w:color="auto"/>
            </w:tcBorders>
            <w:vAlign w:val="center"/>
          </w:tcPr>
          <w:p w14:paraId="2C2D0212"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drew the conclusion that significant proportion of the analysed documents put serious effort into MRE activities during planning</w:t>
            </w:r>
          </w:p>
        </w:tc>
      </w:tr>
      <w:tr w:rsidR="00EE2B83" w:rsidRPr="0002056A" w14:paraId="06931902"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78F38EB" w14:textId="30E83E62"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Nawratek, K.</w:t>
            </w:r>
          </w:p>
        </w:tc>
        <w:tc>
          <w:tcPr>
            <w:tcW w:w="705" w:type="dxa"/>
            <w:tcBorders>
              <w:top w:val="nil"/>
              <w:left w:val="nil"/>
              <w:bottom w:val="single" w:sz="4" w:space="0" w:color="auto"/>
              <w:right w:val="single" w:sz="4" w:space="0" w:color="auto"/>
            </w:tcBorders>
            <w:vAlign w:val="center"/>
          </w:tcPr>
          <w:p w14:paraId="1C874F36" w14:textId="113D4E8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0DF69B2B" w14:textId="621AEF40"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Territory, space, Place and Beyond</w:t>
            </w:r>
          </w:p>
        </w:tc>
        <w:tc>
          <w:tcPr>
            <w:tcW w:w="1134" w:type="dxa"/>
            <w:tcBorders>
              <w:top w:val="nil"/>
              <w:left w:val="nil"/>
              <w:bottom w:val="single" w:sz="4" w:space="0" w:color="auto"/>
              <w:right w:val="single" w:sz="4" w:space="0" w:color="auto"/>
            </w:tcBorders>
            <w:vAlign w:val="center"/>
          </w:tcPr>
          <w:p w14:paraId="48AB7E36" w14:textId="66372B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7615C34B" w14:textId="5D186FA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Palgrave Pivot</w:t>
            </w:r>
          </w:p>
        </w:tc>
        <w:tc>
          <w:tcPr>
            <w:tcW w:w="851" w:type="dxa"/>
            <w:tcBorders>
              <w:top w:val="nil"/>
              <w:left w:val="nil"/>
              <w:bottom w:val="single" w:sz="4" w:space="0" w:color="auto"/>
              <w:right w:val="single" w:sz="4" w:space="0" w:color="auto"/>
            </w:tcBorders>
            <w:vAlign w:val="center"/>
          </w:tcPr>
          <w:p w14:paraId="3BF200BE" w14:textId="1798237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architecture</w:t>
            </w:r>
          </w:p>
        </w:tc>
        <w:tc>
          <w:tcPr>
            <w:tcW w:w="993" w:type="dxa"/>
            <w:tcBorders>
              <w:top w:val="nil"/>
              <w:left w:val="nil"/>
              <w:bottom w:val="single" w:sz="4" w:space="0" w:color="auto"/>
              <w:right w:val="single" w:sz="4" w:space="0" w:color="auto"/>
            </w:tcBorders>
            <w:vAlign w:val="center"/>
          </w:tcPr>
          <w:p w14:paraId="4E135376" w14:textId="0AAC6179"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Nawratek. K.: Total urban mobilisation. Ernst Jünger and the post-capitalist city</w:t>
            </w:r>
          </w:p>
        </w:tc>
        <w:tc>
          <w:tcPr>
            <w:tcW w:w="708" w:type="dxa"/>
            <w:tcBorders>
              <w:top w:val="nil"/>
              <w:left w:val="nil"/>
              <w:bottom w:val="single" w:sz="4" w:space="0" w:color="auto"/>
              <w:right w:val="single" w:sz="4" w:space="0" w:color="auto"/>
            </w:tcBorders>
            <w:vAlign w:val="center"/>
          </w:tcPr>
          <w:p w14:paraId="5675B8EC" w14:textId="30DC5C1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7D441484" w14:textId="659FC20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7D4038A" w14:textId="3CE2C0E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B989B13" w14:textId="5A462F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discusses the tension between notions of space, place, and territory. Architects and urban designers often discuss and conceptualise place as a subjective, phenomenology-based idea; however, in practice, they would rather refer to Cartesian, neutral, and geometrical, space, and to a territory. In this chapter, the author argues that the tension between these notions should be a starting point to rethink a post-capitalist project.</w:t>
            </w:r>
          </w:p>
        </w:tc>
        <w:tc>
          <w:tcPr>
            <w:tcW w:w="2268" w:type="dxa"/>
            <w:tcBorders>
              <w:top w:val="nil"/>
              <w:left w:val="nil"/>
              <w:bottom w:val="single" w:sz="4" w:space="0" w:color="auto"/>
              <w:right w:val="single" w:sz="8" w:space="0" w:color="auto"/>
            </w:tcBorders>
            <w:vAlign w:val="center"/>
          </w:tcPr>
          <w:p w14:paraId="08820EDC" w14:textId="2BEA344D"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add further layers to the space, place and territory concept.</w:t>
            </w:r>
          </w:p>
        </w:tc>
      </w:tr>
      <w:tr w:rsidR="00EE2B83" w:rsidRPr="0002056A" w14:paraId="651ADB3A"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0A6E89B" w14:textId="69DAFF6D"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Nemes-Nagy, J. </w:t>
            </w:r>
          </w:p>
        </w:tc>
        <w:tc>
          <w:tcPr>
            <w:tcW w:w="705" w:type="dxa"/>
            <w:tcBorders>
              <w:top w:val="nil"/>
              <w:left w:val="nil"/>
              <w:bottom w:val="single" w:sz="4" w:space="0" w:color="auto"/>
              <w:right w:val="single" w:sz="4" w:space="0" w:color="auto"/>
            </w:tcBorders>
            <w:vAlign w:val="center"/>
          </w:tcPr>
          <w:p w14:paraId="0E36423A"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1998</w:t>
            </w:r>
          </w:p>
        </w:tc>
        <w:tc>
          <w:tcPr>
            <w:tcW w:w="1137" w:type="dxa"/>
            <w:tcBorders>
              <w:top w:val="nil"/>
              <w:left w:val="nil"/>
              <w:bottom w:val="single" w:sz="4" w:space="0" w:color="auto"/>
              <w:right w:val="single" w:sz="4" w:space="0" w:color="auto"/>
            </w:tcBorders>
            <w:vAlign w:val="center"/>
          </w:tcPr>
          <w:p w14:paraId="52975C39"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tér a társadalomkutatásban.</w:t>
            </w:r>
          </w:p>
        </w:tc>
        <w:tc>
          <w:tcPr>
            <w:tcW w:w="1134" w:type="dxa"/>
            <w:tcBorders>
              <w:top w:val="nil"/>
              <w:left w:val="nil"/>
              <w:bottom w:val="single" w:sz="4" w:space="0" w:color="auto"/>
              <w:right w:val="single" w:sz="4" w:space="0" w:color="auto"/>
            </w:tcBorders>
            <w:vAlign w:val="center"/>
          </w:tcPr>
          <w:p w14:paraId="13B9D68B" w14:textId="17EADEC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5B68522F" w14:textId="622E896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Hilscher Rezső Szociál</w:t>
            </w:r>
            <w:r>
              <w:rPr>
                <w:rFonts w:ascii="Georgia" w:eastAsia="Times New Roman" w:hAnsi="Georgia" w:cs="Times New Roman"/>
                <w:color w:val="000000"/>
                <w:sz w:val="10"/>
                <w:szCs w:val="10"/>
                <w:lang w:val="en-GB" w:eastAsia="hu-HU"/>
              </w:rPr>
              <w:t>-</w:t>
            </w:r>
            <w:r w:rsidRPr="0002056A">
              <w:rPr>
                <w:rFonts w:ascii="Georgia" w:eastAsia="Times New Roman" w:hAnsi="Georgia" w:cs="Times New Roman"/>
                <w:color w:val="000000"/>
                <w:sz w:val="10"/>
                <w:szCs w:val="10"/>
                <w:lang w:val="en-GB" w:eastAsia="hu-HU"/>
              </w:rPr>
              <w:t xml:space="preserve">politikai Egyesület </w:t>
            </w:r>
          </w:p>
        </w:tc>
        <w:tc>
          <w:tcPr>
            <w:tcW w:w="851" w:type="dxa"/>
            <w:tcBorders>
              <w:top w:val="nil"/>
              <w:left w:val="nil"/>
              <w:bottom w:val="single" w:sz="4" w:space="0" w:color="auto"/>
              <w:right w:val="single" w:sz="4" w:space="0" w:color="auto"/>
            </w:tcBorders>
            <w:vAlign w:val="center"/>
          </w:tcPr>
          <w:p w14:paraId="4C25BE0C"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5EF8BE8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Hilscher Rezső Szociálpolitikai Egyesület. Budapest, 1998.</w:t>
            </w:r>
          </w:p>
        </w:tc>
        <w:tc>
          <w:tcPr>
            <w:tcW w:w="708" w:type="dxa"/>
            <w:tcBorders>
              <w:top w:val="nil"/>
              <w:left w:val="nil"/>
              <w:bottom w:val="single" w:sz="4" w:space="0" w:color="auto"/>
              <w:right w:val="single" w:sz="4" w:space="0" w:color="auto"/>
            </w:tcBorders>
            <w:vAlign w:val="center"/>
          </w:tcPr>
          <w:p w14:paraId="07B3328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00A5BF22"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1A2324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66F86BD"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Some kind of synthesis about the concepts, methods and approaches of the regional study.</w:t>
            </w:r>
          </w:p>
        </w:tc>
        <w:tc>
          <w:tcPr>
            <w:tcW w:w="2268" w:type="dxa"/>
            <w:tcBorders>
              <w:top w:val="nil"/>
              <w:left w:val="nil"/>
              <w:bottom w:val="single" w:sz="4" w:space="0" w:color="auto"/>
              <w:right w:val="single" w:sz="8" w:space="0" w:color="auto"/>
            </w:tcBorders>
            <w:vAlign w:val="center"/>
          </w:tcPr>
          <w:p w14:paraId="2F90E7D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introduces –among other things- the main space concepts of the regional study and different space interpretations.</w:t>
            </w:r>
          </w:p>
        </w:tc>
      </w:tr>
      <w:tr w:rsidR="00EE2B83" w:rsidRPr="0002056A" w14:paraId="7E3CC969"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5147853" w14:textId="698089C2"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Nemes-Nagy, J. (ed).</w:t>
            </w:r>
          </w:p>
        </w:tc>
        <w:tc>
          <w:tcPr>
            <w:tcW w:w="705" w:type="dxa"/>
            <w:tcBorders>
              <w:top w:val="nil"/>
              <w:left w:val="nil"/>
              <w:bottom w:val="single" w:sz="4" w:space="0" w:color="auto"/>
              <w:right w:val="single" w:sz="4" w:space="0" w:color="auto"/>
            </w:tcBorders>
            <w:vAlign w:val="center"/>
          </w:tcPr>
          <w:p w14:paraId="7D58C930" w14:textId="5D3EED6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tcPr>
          <w:p w14:paraId="522B29C0" w14:textId="7D20EFE5"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Regionális elemzési módszerek. Kézikönyv.</w:t>
            </w:r>
          </w:p>
        </w:tc>
        <w:tc>
          <w:tcPr>
            <w:tcW w:w="1134" w:type="dxa"/>
            <w:tcBorders>
              <w:top w:val="nil"/>
              <w:left w:val="nil"/>
              <w:bottom w:val="single" w:sz="4" w:space="0" w:color="auto"/>
              <w:right w:val="single" w:sz="4" w:space="0" w:color="auto"/>
            </w:tcBorders>
            <w:vAlign w:val="center"/>
          </w:tcPr>
          <w:p w14:paraId="5CED9991" w14:textId="2872243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22294251" w14:textId="4E4674A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ELTE TTK Regionális Földrajzi Tanszék, MTA-ELTE Regionális Tudományi Kutatócsoport</w:t>
            </w:r>
          </w:p>
        </w:tc>
        <w:tc>
          <w:tcPr>
            <w:tcW w:w="851" w:type="dxa"/>
            <w:tcBorders>
              <w:top w:val="nil"/>
              <w:left w:val="nil"/>
              <w:bottom w:val="single" w:sz="4" w:space="0" w:color="auto"/>
              <w:right w:val="single" w:sz="4" w:space="0" w:color="auto"/>
            </w:tcBorders>
            <w:vAlign w:val="center"/>
          </w:tcPr>
          <w:p w14:paraId="23E1F3D2" w14:textId="79C9C6C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2E538353" w14:textId="6F56DBA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Regionális Tudományi Tanulmányok 1585-1419, 11. Budapest, Magyarország, 284 p. 2005.</w:t>
            </w:r>
          </w:p>
        </w:tc>
        <w:tc>
          <w:tcPr>
            <w:tcW w:w="708" w:type="dxa"/>
            <w:tcBorders>
              <w:top w:val="nil"/>
              <w:left w:val="nil"/>
              <w:bottom w:val="single" w:sz="4" w:space="0" w:color="auto"/>
              <w:right w:val="single" w:sz="4" w:space="0" w:color="auto"/>
            </w:tcBorders>
            <w:vAlign w:val="center"/>
          </w:tcPr>
          <w:p w14:paraId="54E1DE4B" w14:textId="1BF3884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7819C699" w14:textId="68BEEDC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FE4D63E" w14:textId="7FB4755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8FBC956" w14:textId="028F6916"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Handbook on regional analytical methods, basic work in applied regional study.</w:t>
            </w:r>
          </w:p>
        </w:tc>
        <w:tc>
          <w:tcPr>
            <w:tcW w:w="2268" w:type="dxa"/>
            <w:tcBorders>
              <w:top w:val="nil"/>
              <w:left w:val="nil"/>
              <w:bottom w:val="single" w:sz="4" w:space="0" w:color="auto"/>
              <w:right w:val="single" w:sz="8" w:space="0" w:color="auto"/>
            </w:tcBorders>
            <w:vAlign w:val="center"/>
          </w:tcPr>
          <w:p w14:paraId="4E67C6A7" w14:textId="291E13F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Valuable information about spatial analyses.</w:t>
            </w:r>
          </w:p>
        </w:tc>
      </w:tr>
      <w:tr w:rsidR="00EE2B83" w:rsidRPr="0002056A" w14:paraId="3F9FF658" w14:textId="77777777" w:rsidTr="00D57247">
        <w:trPr>
          <w:trHeight w:val="3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2591BC8" w14:textId="342E145A"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Nemes Nagy, J. </w:t>
            </w:r>
          </w:p>
        </w:tc>
        <w:tc>
          <w:tcPr>
            <w:tcW w:w="705" w:type="dxa"/>
            <w:tcBorders>
              <w:top w:val="nil"/>
              <w:left w:val="nil"/>
              <w:bottom w:val="single" w:sz="4" w:space="0" w:color="auto"/>
              <w:right w:val="single" w:sz="4" w:space="0" w:color="auto"/>
            </w:tcBorders>
            <w:vAlign w:val="center"/>
          </w:tcPr>
          <w:p w14:paraId="3F8BAE15" w14:textId="66CF7F5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tcPr>
          <w:p w14:paraId="6CA24114" w14:textId="4154DA6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Kvantitatív társadalmi térértelmezési eszközök a mai regionális tudományban – Elements of Quantitative Spatial Analysis in the Recent Regional Science</w:t>
            </w:r>
          </w:p>
        </w:tc>
        <w:tc>
          <w:tcPr>
            <w:tcW w:w="1134" w:type="dxa"/>
            <w:tcBorders>
              <w:top w:val="nil"/>
              <w:left w:val="nil"/>
              <w:bottom w:val="single" w:sz="4" w:space="0" w:color="auto"/>
              <w:right w:val="single" w:sz="4" w:space="0" w:color="auto"/>
            </w:tcBorders>
            <w:vAlign w:val="center"/>
          </w:tcPr>
          <w:p w14:paraId="27A79A39" w14:textId="6F4AE120"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63D43D38" w14:textId="26AB8EAC"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w:t>
            </w:r>
          </w:p>
        </w:tc>
        <w:tc>
          <w:tcPr>
            <w:tcW w:w="851" w:type="dxa"/>
            <w:tcBorders>
              <w:top w:val="nil"/>
              <w:left w:val="nil"/>
              <w:bottom w:val="single" w:sz="4" w:space="0" w:color="auto"/>
              <w:right w:val="single" w:sz="4" w:space="0" w:color="auto"/>
            </w:tcBorders>
            <w:vAlign w:val="center"/>
          </w:tcPr>
          <w:p w14:paraId="603D763E" w14:textId="1E8D34A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30EE0DC1" w14:textId="2A2AA2AC"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Tér és Társadalom 21. évf. 2007/1. 1-19. p</w:t>
            </w:r>
          </w:p>
        </w:tc>
        <w:tc>
          <w:tcPr>
            <w:tcW w:w="708" w:type="dxa"/>
            <w:tcBorders>
              <w:top w:val="nil"/>
              <w:left w:val="nil"/>
              <w:bottom w:val="single" w:sz="4" w:space="0" w:color="auto"/>
              <w:right w:val="single" w:sz="4" w:space="0" w:color="auto"/>
            </w:tcBorders>
            <w:vAlign w:val="center"/>
          </w:tcPr>
          <w:p w14:paraId="379267CD" w14:textId="40AF617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6A4F047" w14:textId="233A3EC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0A28E3E" w14:textId="0C868B5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73787B5" w14:textId="209C73E8"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examines the relationship between space and society and the main analytical tool of this relationship: the quantitative methods, concentrating on spatial inequalities.</w:t>
            </w:r>
          </w:p>
        </w:tc>
        <w:tc>
          <w:tcPr>
            <w:tcW w:w="2268" w:type="dxa"/>
            <w:tcBorders>
              <w:top w:val="nil"/>
              <w:left w:val="nil"/>
              <w:bottom w:val="single" w:sz="4" w:space="0" w:color="auto"/>
              <w:right w:val="single" w:sz="8" w:space="0" w:color="auto"/>
            </w:tcBorders>
            <w:vAlign w:val="center"/>
          </w:tcPr>
          <w:p w14:paraId="285E2AE2" w14:textId="2D1742F4"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–among other things- the main space concepts of the regional study and different space interpretations.</w:t>
            </w:r>
          </w:p>
        </w:tc>
      </w:tr>
      <w:tr w:rsidR="00EE2B83" w:rsidRPr="0002056A" w14:paraId="6A376100" w14:textId="77777777" w:rsidTr="00D57247">
        <w:trPr>
          <w:trHeight w:val="3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27A0B99" w14:textId="7439E163"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Nemes Nagy J. </w:t>
            </w:r>
          </w:p>
        </w:tc>
        <w:tc>
          <w:tcPr>
            <w:tcW w:w="705" w:type="dxa"/>
            <w:tcBorders>
              <w:top w:val="nil"/>
              <w:left w:val="nil"/>
              <w:bottom w:val="single" w:sz="4" w:space="0" w:color="auto"/>
              <w:right w:val="single" w:sz="4" w:space="0" w:color="auto"/>
            </w:tcBorders>
            <w:vAlign w:val="center"/>
          </w:tcPr>
          <w:p w14:paraId="0F1BC0BB" w14:textId="6B888B5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36BD78BC" w14:textId="7057B7D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Terek, helyek, régiók. A regionális tudomány alapjai. </w:t>
            </w:r>
          </w:p>
        </w:tc>
        <w:tc>
          <w:tcPr>
            <w:tcW w:w="1134" w:type="dxa"/>
            <w:tcBorders>
              <w:top w:val="nil"/>
              <w:left w:val="nil"/>
              <w:bottom w:val="single" w:sz="4" w:space="0" w:color="auto"/>
              <w:right w:val="single" w:sz="4" w:space="0" w:color="auto"/>
            </w:tcBorders>
            <w:vAlign w:val="center"/>
          </w:tcPr>
          <w:p w14:paraId="1DCDA3FC" w14:textId="7033B3F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7518AC4C" w14:textId="0A8B683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w:t>
            </w:r>
          </w:p>
        </w:tc>
        <w:tc>
          <w:tcPr>
            <w:tcW w:w="851" w:type="dxa"/>
            <w:tcBorders>
              <w:top w:val="nil"/>
              <w:left w:val="nil"/>
              <w:bottom w:val="single" w:sz="4" w:space="0" w:color="auto"/>
              <w:right w:val="single" w:sz="4" w:space="0" w:color="auto"/>
            </w:tcBorders>
            <w:vAlign w:val="center"/>
          </w:tcPr>
          <w:p w14:paraId="4E96D0D3" w14:textId="2128DD78"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study</w:t>
            </w:r>
          </w:p>
        </w:tc>
        <w:tc>
          <w:tcPr>
            <w:tcW w:w="993" w:type="dxa"/>
            <w:tcBorders>
              <w:top w:val="nil"/>
              <w:left w:val="nil"/>
              <w:bottom w:val="single" w:sz="4" w:space="0" w:color="auto"/>
              <w:right w:val="single" w:sz="4" w:space="0" w:color="auto"/>
            </w:tcBorders>
            <w:vAlign w:val="center"/>
          </w:tcPr>
          <w:p w14:paraId="0AD61A2E" w14:textId="37C50AE1"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Akadémiai Kiadó, Budapest</w:t>
            </w:r>
          </w:p>
        </w:tc>
        <w:tc>
          <w:tcPr>
            <w:tcW w:w="708" w:type="dxa"/>
            <w:tcBorders>
              <w:top w:val="nil"/>
              <w:left w:val="nil"/>
              <w:bottom w:val="single" w:sz="4" w:space="0" w:color="auto"/>
              <w:right w:val="single" w:sz="4" w:space="0" w:color="auto"/>
            </w:tcBorders>
            <w:vAlign w:val="center"/>
          </w:tcPr>
          <w:p w14:paraId="52B6FCEC" w14:textId="1D3F1BC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5111DC00" w14:textId="19186F91"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531C5EA" w14:textId="597CC6D8"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1827AA6" w14:textId="22E53D03"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improved version of the 1998 book of the author.</w:t>
            </w:r>
          </w:p>
        </w:tc>
        <w:tc>
          <w:tcPr>
            <w:tcW w:w="2268" w:type="dxa"/>
            <w:tcBorders>
              <w:top w:val="nil"/>
              <w:left w:val="nil"/>
              <w:bottom w:val="single" w:sz="4" w:space="0" w:color="auto"/>
              <w:right w:val="single" w:sz="8" w:space="0" w:color="auto"/>
            </w:tcBorders>
            <w:vAlign w:val="center"/>
          </w:tcPr>
          <w:p w14:paraId="15A80793" w14:textId="357B8291"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mentions space concepts of the regional study and different space interpretations.</w:t>
            </w:r>
          </w:p>
        </w:tc>
      </w:tr>
      <w:tr w:rsidR="00EE2B83" w:rsidRPr="0002056A" w14:paraId="09EB9CA7"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80BD6D8" w14:textId="4E62531D"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Oberthür, S., Roche Kelly, C.</w:t>
            </w:r>
          </w:p>
        </w:tc>
        <w:tc>
          <w:tcPr>
            <w:tcW w:w="705" w:type="dxa"/>
            <w:tcBorders>
              <w:top w:val="nil"/>
              <w:left w:val="nil"/>
              <w:bottom w:val="single" w:sz="4" w:space="0" w:color="auto"/>
              <w:right w:val="single" w:sz="4" w:space="0" w:color="auto"/>
            </w:tcBorders>
            <w:vAlign w:val="center"/>
          </w:tcPr>
          <w:p w14:paraId="793E0BE2" w14:textId="4C1325EA"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5C5AE133" w14:textId="32BD183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 Leadership in International Climate Policy: Achievements and Challenges</w:t>
            </w:r>
          </w:p>
        </w:tc>
        <w:tc>
          <w:tcPr>
            <w:tcW w:w="1134" w:type="dxa"/>
            <w:tcBorders>
              <w:top w:val="nil"/>
              <w:left w:val="nil"/>
              <w:bottom w:val="single" w:sz="4" w:space="0" w:color="auto"/>
              <w:right w:val="single" w:sz="4" w:space="0" w:color="auto"/>
            </w:tcBorders>
            <w:vAlign w:val="center"/>
          </w:tcPr>
          <w:p w14:paraId="257E445C" w14:textId="6A8716B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BEL</w:t>
            </w:r>
          </w:p>
        </w:tc>
        <w:tc>
          <w:tcPr>
            <w:tcW w:w="708" w:type="dxa"/>
            <w:tcBorders>
              <w:top w:val="nil"/>
              <w:left w:val="nil"/>
              <w:bottom w:val="single" w:sz="4" w:space="0" w:color="auto"/>
              <w:right w:val="single" w:sz="4" w:space="0" w:color="auto"/>
            </w:tcBorders>
            <w:vAlign w:val="center"/>
          </w:tcPr>
          <w:p w14:paraId="7811474C" w14:textId="27D11F0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49E9328F" w14:textId="412D518D"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w:t>
            </w:r>
          </w:p>
        </w:tc>
        <w:tc>
          <w:tcPr>
            <w:tcW w:w="993" w:type="dxa"/>
            <w:tcBorders>
              <w:top w:val="nil"/>
              <w:left w:val="nil"/>
              <w:bottom w:val="single" w:sz="4" w:space="0" w:color="auto"/>
              <w:right w:val="single" w:sz="4" w:space="0" w:color="auto"/>
            </w:tcBorders>
            <w:vAlign w:val="center"/>
          </w:tcPr>
          <w:p w14:paraId="0C8E5C5E" w14:textId="6DA94A20"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International Spectator, Italian Journal of International Affairs. Vol 43, Issue 3, pp 35-50</w:t>
            </w:r>
          </w:p>
          <w:p w14:paraId="12456CD9" w14:textId="0013A42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https://doi.org/10.1080/03932720802280594</w:t>
            </w:r>
          </w:p>
        </w:tc>
        <w:tc>
          <w:tcPr>
            <w:tcW w:w="708" w:type="dxa"/>
            <w:tcBorders>
              <w:top w:val="nil"/>
              <w:left w:val="nil"/>
              <w:bottom w:val="single" w:sz="4" w:space="0" w:color="auto"/>
              <w:right w:val="single" w:sz="4" w:space="0" w:color="auto"/>
            </w:tcBorders>
            <w:vAlign w:val="center"/>
          </w:tcPr>
          <w:p w14:paraId="0C6D6C98" w14:textId="272D494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CEBB9B1" w14:textId="0F621E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A3F9729" w14:textId="423768A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496F442" w14:textId="12239DCB"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says that climate change had taken centre stage in European and international politics. Since the second half of the 1980s, the EU had established itself as an international leader on climate change and has considerably improved its leadership record. However, implementation and policy coherence, coordination of EU environmental diplomacy, an evolving international agenda, EU enlargement, and a still precarious EU unity remained major challenges. The article urges shifts in underlying driving forces and advances of EU domestic climate and energy policies to support the expectation that the EU will remain a progressive force in international climate policy for some time.</w:t>
            </w:r>
          </w:p>
        </w:tc>
        <w:tc>
          <w:tcPr>
            <w:tcW w:w="2268" w:type="dxa"/>
            <w:tcBorders>
              <w:top w:val="nil"/>
              <w:left w:val="nil"/>
              <w:bottom w:val="single" w:sz="4" w:space="0" w:color="auto"/>
              <w:right w:val="single" w:sz="8" w:space="0" w:color="auto"/>
            </w:tcBorders>
            <w:vAlign w:val="center"/>
          </w:tcPr>
          <w:p w14:paraId="3E256530" w14:textId="71FA7C8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Describes the EU’s pioneering role in adaptation policy</w:t>
            </w:r>
          </w:p>
        </w:tc>
      </w:tr>
      <w:tr w:rsidR="00EE2B83" w:rsidRPr="0002056A" w14:paraId="32022436"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DD130B2" w14:textId="1755FB9C"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O’Donnell, T.</w:t>
            </w:r>
          </w:p>
        </w:tc>
        <w:tc>
          <w:tcPr>
            <w:tcW w:w="705" w:type="dxa"/>
            <w:tcBorders>
              <w:top w:val="nil"/>
              <w:left w:val="nil"/>
              <w:bottom w:val="single" w:sz="4" w:space="0" w:color="auto"/>
              <w:right w:val="single" w:sz="4" w:space="0" w:color="auto"/>
            </w:tcBorders>
            <w:vAlign w:val="center"/>
          </w:tcPr>
          <w:p w14:paraId="2D45E053" w14:textId="28FADC3D"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6CBBAAD0" w14:textId="64884540"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Contrasting land use policies for climate change adaptation: A case study of political and geo-legal realities for Australian coastal locations</w:t>
            </w:r>
          </w:p>
        </w:tc>
        <w:tc>
          <w:tcPr>
            <w:tcW w:w="1134" w:type="dxa"/>
            <w:tcBorders>
              <w:top w:val="nil"/>
              <w:left w:val="nil"/>
              <w:bottom w:val="single" w:sz="4" w:space="0" w:color="auto"/>
              <w:right w:val="single" w:sz="4" w:space="0" w:color="auto"/>
            </w:tcBorders>
            <w:vAlign w:val="center"/>
          </w:tcPr>
          <w:p w14:paraId="7694E585" w14:textId="3CA5524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AUS</w:t>
            </w:r>
          </w:p>
        </w:tc>
        <w:tc>
          <w:tcPr>
            <w:tcW w:w="708" w:type="dxa"/>
            <w:tcBorders>
              <w:top w:val="nil"/>
              <w:left w:val="nil"/>
              <w:bottom w:val="single" w:sz="4" w:space="0" w:color="auto"/>
              <w:right w:val="single" w:sz="4" w:space="0" w:color="auto"/>
            </w:tcBorders>
            <w:vAlign w:val="center"/>
          </w:tcPr>
          <w:p w14:paraId="4936182D" w14:textId="002555B3"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ScienceDirect  </w:t>
            </w:r>
          </w:p>
        </w:tc>
        <w:tc>
          <w:tcPr>
            <w:tcW w:w="851" w:type="dxa"/>
            <w:tcBorders>
              <w:top w:val="nil"/>
              <w:left w:val="nil"/>
              <w:bottom w:val="single" w:sz="4" w:space="0" w:color="auto"/>
              <w:right w:val="single" w:sz="4" w:space="0" w:color="auto"/>
            </w:tcBorders>
            <w:vAlign w:val="center"/>
          </w:tcPr>
          <w:p w14:paraId="3B4A4FBD" w14:textId="0EEEF783"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 use planning</w:t>
            </w:r>
          </w:p>
        </w:tc>
        <w:tc>
          <w:tcPr>
            <w:tcW w:w="993" w:type="dxa"/>
            <w:tcBorders>
              <w:top w:val="nil"/>
              <w:left w:val="nil"/>
              <w:bottom w:val="single" w:sz="4" w:space="0" w:color="auto"/>
              <w:right w:val="single" w:sz="4" w:space="0" w:color="auto"/>
            </w:tcBorders>
            <w:vAlign w:val="center"/>
          </w:tcPr>
          <w:p w14:paraId="2CE1D3E3" w14:textId="33555E3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Land Use Policy, Volume 88, November 2019, </w:t>
            </w:r>
            <w:hyperlink r:id="rId180" w:history="1">
              <w:r w:rsidRPr="0002056A">
                <w:rPr>
                  <w:rFonts w:ascii="Georgia" w:eastAsia="Times New Roman" w:hAnsi="Georgia" w:cs="Times New Roman"/>
                  <w:color w:val="000000"/>
                  <w:sz w:val="10"/>
                  <w:szCs w:val="10"/>
                  <w:lang w:val="en-GB" w:eastAsia="hu-HU"/>
                </w:rPr>
                <w:t>https://doi.org/10.1016/j.landusepol.2019.104145</w:t>
              </w:r>
            </w:hyperlink>
          </w:p>
        </w:tc>
        <w:tc>
          <w:tcPr>
            <w:tcW w:w="708" w:type="dxa"/>
            <w:tcBorders>
              <w:top w:val="nil"/>
              <w:left w:val="nil"/>
              <w:bottom w:val="single" w:sz="4" w:space="0" w:color="auto"/>
              <w:right w:val="single" w:sz="4" w:space="0" w:color="auto"/>
            </w:tcBorders>
            <w:vAlign w:val="center"/>
          </w:tcPr>
          <w:p w14:paraId="6E8A7737" w14:textId="5DB202C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10C6B52" w14:textId="1121B9F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47E09D2" w14:textId="55E8874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24B9FBE" w14:textId="7B57263C"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Using a legal geography lens, the article critically examines how local governments use law and land use policy to respond to climate change adaptation in three coastal localities in New South Wales, Australia. It also explores how relations between key coastal actors and dynamic material environments influence climate change adaptation trajectories.</w:t>
            </w:r>
          </w:p>
        </w:tc>
        <w:tc>
          <w:tcPr>
            <w:tcW w:w="2268" w:type="dxa"/>
            <w:tcBorders>
              <w:top w:val="nil"/>
              <w:left w:val="nil"/>
              <w:bottom w:val="single" w:sz="4" w:space="0" w:color="auto"/>
              <w:right w:val="single" w:sz="8" w:space="0" w:color="auto"/>
            </w:tcBorders>
            <w:vAlign w:val="center"/>
          </w:tcPr>
          <w:p w14:paraId="3A3C2FCA" w14:textId="3745D68A"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shed light on spatial planning’s and land use planning’s importance in climate adaptation.</w:t>
            </w:r>
          </w:p>
        </w:tc>
      </w:tr>
      <w:tr w:rsidR="00EE2B83" w:rsidRPr="0002056A" w14:paraId="78EE3653"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3246783" w14:textId="37315AD0" w:rsidR="00EE2B83" w:rsidRPr="0002056A" w:rsidRDefault="00EE2B83" w:rsidP="00EE2B83">
            <w:pPr>
              <w:autoSpaceDE w:val="0"/>
              <w:autoSpaceDN w:val="0"/>
              <w:adjustRightInd w:val="0"/>
              <w:spacing w:after="0" w:line="240" w:lineRule="auto"/>
              <w:jc w:val="both"/>
              <w:rPr>
                <w:rFonts w:ascii="Georgia" w:eastAsia="Times New Roman" w:hAnsi="Georgia" w:cs="Times New Roman"/>
                <w:i/>
                <w:color w:val="000000"/>
                <w:sz w:val="14"/>
                <w:szCs w:val="14"/>
                <w:lang w:val="en-GB" w:eastAsia="hu-HU"/>
              </w:rPr>
            </w:pPr>
            <w:r w:rsidRPr="0002056A">
              <w:rPr>
                <w:rFonts w:ascii="Georgia" w:hAnsi="Georgia"/>
                <w:b/>
                <w:bCs/>
                <w:i/>
                <w:smallCaps/>
                <w:sz w:val="14"/>
                <w:szCs w:val="14"/>
                <w:lang w:val="en-GB"/>
              </w:rPr>
              <w:t>OECD</w:t>
            </w:r>
          </w:p>
          <w:p w14:paraId="7F040F55"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9CD3B9E" w14:textId="6BBFE98F"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31751376" w14:textId="69D0E65F"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hAnsi="Georgia"/>
                <w:sz w:val="10"/>
                <w:szCs w:val="10"/>
                <w:lang w:val="en-GB"/>
              </w:rPr>
              <w:t>A Territorial Approach to Climate Action and Resilience.</w:t>
            </w:r>
          </w:p>
        </w:tc>
        <w:tc>
          <w:tcPr>
            <w:tcW w:w="1134" w:type="dxa"/>
            <w:tcBorders>
              <w:top w:val="nil"/>
              <w:left w:val="nil"/>
              <w:bottom w:val="single" w:sz="4" w:space="0" w:color="auto"/>
              <w:right w:val="single" w:sz="4" w:space="0" w:color="auto"/>
            </w:tcBorders>
            <w:vAlign w:val="center"/>
          </w:tcPr>
          <w:p w14:paraId="73786164" w14:textId="48E67554"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708" w:type="dxa"/>
            <w:tcBorders>
              <w:top w:val="nil"/>
              <w:left w:val="nil"/>
              <w:bottom w:val="single" w:sz="4" w:space="0" w:color="auto"/>
              <w:right w:val="single" w:sz="4" w:space="0" w:color="auto"/>
            </w:tcBorders>
            <w:vAlign w:val="center"/>
          </w:tcPr>
          <w:p w14:paraId="6C3D3D20" w14:textId="7499372B"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 Publishing, Paris.</w:t>
            </w:r>
          </w:p>
        </w:tc>
        <w:tc>
          <w:tcPr>
            <w:tcW w:w="851" w:type="dxa"/>
            <w:tcBorders>
              <w:top w:val="nil"/>
              <w:left w:val="nil"/>
              <w:bottom w:val="single" w:sz="4" w:space="0" w:color="auto"/>
              <w:right w:val="single" w:sz="4" w:space="0" w:color="auto"/>
            </w:tcBorders>
            <w:vAlign w:val="center"/>
          </w:tcPr>
          <w:p w14:paraId="045EE1F3" w14:textId="2EAA68CA"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regional policy</w:t>
            </w:r>
          </w:p>
        </w:tc>
        <w:tc>
          <w:tcPr>
            <w:tcW w:w="993" w:type="dxa"/>
            <w:tcBorders>
              <w:top w:val="nil"/>
              <w:left w:val="nil"/>
              <w:bottom w:val="single" w:sz="4" w:space="0" w:color="auto"/>
              <w:right w:val="single" w:sz="4" w:space="0" w:color="auto"/>
            </w:tcBorders>
            <w:vAlign w:val="center"/>
          </w:tcPr>
          <w:p w14:paraId="470EDB5A" w14:textId="089AD7BE"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 Regional Development Studies, doi.org/10.1787/1ec42b0a-en. ISBN 978-92-64-71907-1.</w:t>
            </w:r>
          </w:p>
        </w:tc>
        <w:tc>
          <w:tcPr>
            <w:tcW w:w="708" w:type="dxa"/>
            <w:tcBorders>
              <w:top w:val="nil"/>
              <w:left w:val="nil"/>
              <w:bottom w:val="single" w:sz="4" w:space="0" w:color="auto"/>
              <w:right w:val="single" w:sz="4" w:space="0" w:color="auto"/>
            </w:tcBorders>
            <w:vAlign w:val="center"/>
          </w:tcPr>
          <w:p w14:paraId="2001EEC1" w14:textId="51179E59"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study</w:t>
            </w:r>
          </w:p>
        </w:tc>
        <w:tc>
          <w:tcPr>
            <w:tcW w:w="851" w:type="dxa"/>
            <w:tcBorders>
              <w:top w:val="nil"/>
              <w:left w:val="nil"/>
              <w:bottom w:val="single" w:sz="4" w:space="0" w:color="auto"/>
              <w:right w:val="single" w:sz="4" w:space="0" w:color="auto"/>
            </w:tcBorders>
            <w:vAlign w:val="center"/>
          </w:tcPr>
          <w:p w14:paraId="05311A8A" w14:textId="4143B872"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7D3CAFE" w14:textId="191E5895"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31F4838" w14:textId="0C505F62"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proposes a policy framework to help decision makers develop more effective climate and resilience policies through a “territorial approach”. Adopting a territorial approach is critical for national and subnational governments to tap into the full potential to reduce greenhouse gas (GHG) emissions across all places and better address locally specific climate impacts, which often hit the most vulnerable communities the hardest. -</w:t>
            </w:r>
          </w:p>
        </w:tc>
        <w:tc>
          <w:tcPr>
            <w:tcW w:w="2268" w:type="dxa"/>
            <w:tcBorders>
              <w:top w:val="nil"/>
              <w:left w:val="nil"/>
              <w:bottom w:val="single" w:sz="4" w:space="0" w:color="auto"/>
              <w:right w:val="single" w:sz="8" w:space="0" w:color="auto"/>
            </w:tcBorders>
            <w:vAlign w:val="center"/>
          </w:tcPr>
          <w:p w14:paraId="02224CF0" w14:textId="4215B918"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proposes a policy framework to help decision makers develop more effective climate and resilience policies through a “territorial approach”. Drawing on an analysis of 36 leading practices from countries, regions and cities mainly in the OECD area, three types of actions are recommended. Integrate a place-based perspective into climate policy</w:t>
            </w:r>
            <w:r w:rsidR="00C836AC">
              <w:rPr>
                <w:rFonts w:ascii="Georgia" w:eastAsia="Times New Roman" w:hAnsi="Georgia" w:cs="Times New Roman"/>
                <w:color w:val="000000"/>
                <w:sz w:val="10"/>
                <w:szCs w:val="10"/>
                <w:lang w:val="en-GB" w:eastAsia="hu-HU"/>
              </w:rPr>
              <w:t>; c</w:t>
            </w:r>
            <w:r w:rsidRPr="0002056A">
              <w:rPr>
                <w:rFonts w:ascii="Georgia" w:eastAsia="Times New Roman" w:hAnsi="Georgia" w:cs="Times New Roman"/>
                <w:color w:val="000000"/>
                <w:sz w:val="10"/>
                <w:szCs w:val="10"/>
                <w:lang w:val="en-GB" w:eastAsia="hu-HU"/>
              </w:rPr>
              <w:t xml:space="preserve">limate-proof’ regional; </w:t>
            </w:r>
            <w:r w:rsidR="00C836AC">
              <w:rPr>
                <w:rFonts w:ascii="Georgia" w:eastAsia="Times New Roman" w:hAnsi="Georgia" w:cs="Times New Roman"/>
                <w:color w:val="000000"/>
                <w:sz w:val="10"/>
                <w:szCs w:val="10"/>
                <w:lang w:val="en-GB" w:eastAsia="hu-HU"/>
              </w:rPr>
              <w:t>and e</w:t>
            </w:r>
            <w:r w:rsidRPr="0002056A">
              <w:rPr>
                <w:rFonts w:ascii="Georgia" w:eastAsia="Times New Roman" w:hAnsi="Georgia" w:cs="Times New Roman"/>
                <w:color w:val="000000"/>
                <w:sz w:val="10"/>
                <w:szCs w:val="10"/>
                <w:lang w:val="en-GB" w:eastAsia="hu-HU"/>
              </w:rPr>
              <w:t>nable and scale-up local climate action and resilience.</w:t>
            </w:r>
          </w:p>
        </w:tc>
      </w:tr>
      <w:tr w:rsidR="00EE2B83" w:rsidRPr="0002056A" w14:paraId="4E4B95AC"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2EE170E" w14:textId="77777777" w:rsidR="00EE2B83" w:rsidRPr="0002056A" w:rsidRDefault="00EE2B83" w:rsidP="00EE2B83">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Ottaviani Aalmo, G.O.; Gioli, B.; Rodriguez, D.G.P.; Tuomasjukka, D.; Liu, H.; Pastore, M.C.; Salbitano, F.; Bogetoft, P.; Saebo, A.; Konijnendijk, C.</w:t>
            </w:r>
          </w:p>
        </w:tc>
        <w:tc>
          <w:tcPr>
            <w:tcW w:w="705" w:type="dxa"/>
            <w:tcBorders>
              <w:top w:val="nil"/>
              <w:left w:val="nil"/>
              <w:bottom w:val="single" w:sz="4" w:space="0" w:color="auto"/>
              <w:right w:val="single" w:sz="4" w:space="0" w:color="auto"/>
            </w:tcBorders>
            <w:vAlign w:val="center"/>
          </w:tcPr>
          <w:p w14:paraId="02F73008"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5FFA625F"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Development of a Novel Framework for the Assessment and Improvement of Climate Adaptation and Mitigation Actions in Europe</w:t>
            </w:r>
          </w:p>
        </w:tc>
        <w:tc>
          <w:tcPr>
            <w:tcW w:w="1134" w:type="dxa"/>
            <w:tcBorders>
              <w:top w:val="nil"/>
              <w:left w:val="nil"/>
              <w:bottom w:val="single" w:sz="4" w:space="0" w:color="auto"/>
              <w:right w:val="single" w:sz="4" w:space="0" w:color="auto"/>
            </w:tcBorders>
            <w:vAlign w:val="center"/>
          </w:tcPr>
          <w:p w14:paraId="239CC195"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NOR, ITA, NOR, FIN, NOR, ITA, ITA, DEN, ESP</w:t>
            </w:r>
          </w:p>
        </w:tc>
        <w:tc>
          <w:tcPr>
            <w:tcW w:w="708" w:type="dxa"/>
            <w:tcBorders>
              <w:top w:val="nil"/>
              <w:left w:val="nil"/>
              <w:bottom w:val="single" w:sz="4" w:space="0" w:color="auto"/>
              <w:right w:val="single" w:sz="4" w:space="0" w:color="auto"/>
            </w:tcBorders>
            <w:vAlign w:val="center"/>
          </w:tcPr>
          <w:p w14:paraId="4FBB329E"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Frontiers</w:t>
            </w:r>
          </w:p>
        </w:tc>
        <w:tc>
          <w:tcPr>
            <w:tcW w:w="851" w:type="dxa"/>
            <w:tcBorders>
              <w:top w:val="nil"/>
              <w:left w:val="nil"/>
              <w:bottom w:val="single" w:sz="4" w:space="0" w:color="auto"/>
              <w:right w:val="single" w:sz="4" w:space="0" w:color="auto"/>
            </w:tcBorders>
            <w:vAlign w:val="center"/>
          </w:tcPr>
          <w:p w14:paraId="5B91A7CC"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planning, adaptation governance</w:t>
            </w:r>
          </w:p>
        </w:tc>
        <w:tc>
          <w:tcPr>
            <w:tcW w:w="993" w:type="dxa"/>
            <w:tcBorders>
              <w:top w:val="nil"/>
              <w:left w:val="nil"/>
              <w:bottom w:val="single" w:sz="4" w:space="0" w:color="auto"/>
              <w:right w:val="single" w:sz="4" w:space="0" w:color="auto"/>
            </w:tcBorders>
            <w:vAlign w:val="center"/>
          </w:tcPr>
          <w:p w14:paraId="7DDF1320" w14:textId="77777777" w:rsidR="00EE2B83" w:rsidRPr="0002056A" w:rsidRDefault="00EE2B83" w:rsidP="00EE2B83">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Frontiers in Sustainable Cities (4). doi: 10.3389/frsc.2022.833098</w:t>
            </w:r>
          </w:p>
        </w:tc>
        <w:tc>
          <w:tcPr>
            <w:tcW w:w="708" w:type="dxa"/>
            <w:tcBorders>
              <w:top w:val="nil"/>
              <w:left w:val="nil"/>
              <w:bottom w:val="single" w:sz="4" w:space="0" w:color="auto"/>
              <w:right w:val="single" w:sz="4" w:space="0" w:color="auto"/>
            </w:tcBorders>
            <w:vAlign w:val="center"/>
          </w:tcPr>
          <w:p w14:paraId="71EDA08B"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434E051"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B8E6BF4" w14:textId="77777777" w:rsidR="00EE2B83" w:rsidRPr="0002056A" w:rsidRDefault="00EE2B83" w:rsidP="00EE2B83">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1D03206"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gives recommendation for a new framework for improvement and assessment of climate adaptation and mitigation actions in Europe and strengthen the role of regions</w:t>
            </w:r>
          </w:p>
        </w:tc>
        <w:tc>
          <w:tcPr>
            <w:tcW w:w="2268" w:type="dxa"/>
            <w:tcBorders>
              <w:top w:val="nil"/>
              <w:left w:val="nil"/>
              <w:bottom w:val="single" w:sz="4" w:space="0" w:color="auto"/>
              <w:right w:val="single" w:sz="8" w:space="0" w:color="auto"/>
            </w:tcBorders>
            <w:vAlign w:val="center"/>
          </w:tcPr>
          <w:p w14:paraId="0B1C0DD7" w14:textId="77777777" w:rsidR="00EE2B83" w:rsidRPr="0002056A" w:rsidRDefault="00EE2B83" w:rsidP="00EE2B83">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us with a conceptual framework for enabling rapid and far-reaching climate actions through multi-sectoral adaptation pathways targeting regional policy makers and scientific actors.</w:t>
            </w:r>
          </w:p>
        </w:tc>
      </w:tr>
      <w:tr w:rsidR="00555B5A" w:rsidRPr="0002056A" w14:paraId="73454844"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BBD8EDC"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p w14:paraId="021E3F87"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O’Tuathail, G., Dalby, S., Routledge, P. </w:t>
            </w:r>
          </w:p>
          <w:p w14:paraId="2AB2F7AE"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2ED49971" w14:textId="5D77DAF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1998</w:t>
            </w:r>
          </w:p>
        </w:tc>
        <w:tc>
          <w:tcPr>
            <w:tcW w:w="1137" w:type="dxa"/>
            <w:tcBorders>
              <w:top w:val="nil"/>
              <w:left w:val="nil"/>
              <w:bottom w:val="single" w:sz="4" w:space="0" w:color="auto"/>
              <w:right w:val="single" w:sz="4" w:space="0" w:color="auto"/>
            </w:tcBorders>
            <w:vAlign w:val="center"/>
          </w:tcPr>
          <w:p w14:paraId="2D0F511E" w14:textId="5A17DCB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Geopolitics Reader. </w:t>
            </w:r>
          </w:p>
        </w:tc>
        <w:tc>
          <w:tcPr>
            <w:tcW w:w="1134" w:type="dxa"/>
            <w:tcBorders>
              <w:top w:val="nil"/>
              <w:left w:val="nil"/>
              <w:bottom w:val="single" w:sz="4" w:space="0" w:color="auto"/>
              <w:right w:val="single" w:sz="4" w:space="0" w:color="auto"/>
            </w:tcBorders>
            <w:vAlign w:val="center"/>
          </w:tcPr>
          <w:p w14:paraId="3FA7AB8D" w14:textId="607A748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UKG, UKG</w:t>
            </w:r>
          </w:p>
        </w:tc>
        <w:tc>
          <w:tcPr>
            <w:tcW w:w="708" w:type="dxa"/>
            <w:tcBorders>
              <w:top w:val="nil"/>
              <w:left w:val="nil"/>
              <w:bottom w:val="single" w:sz="4" w:space="0" w:color="auto"/>
              <w:right w:val="single" w:sz="4" w:space="0" w:color="auto"/>
            </w:tcBorders>
            <w:vAlign w:val="center"/>
          </w:tcPr>
          <w:p w14:paraId="1E6D1289" w14:textId="54D52D0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w:t>
            </w:r>
          </w:p>
        </w:tc>
        <w:tc>
          <w:tcPr>
            <w:tcW w:w="851" w:type="dxa"/>
            <w:tcBorders>
              <w:top w:val="nil"/>
              <w:left w:val="nil"/>
              <w:bottom w:val="single" w:sz="4" w:space="0" w:color="auto"/>
              <w:right w:val="single" w:sz="4" w:space="0" w:color="auto"/>
            </w:tcBorders>
            <w:vAlign w:val="center"/>
          </w:tcPr>
          <w:p w14:paraId="596CC685" w14:textId="112DDC3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geopolitics</w:t>
            </w:r>
          </w:p>
        </w:tc>
        <w:tc>
          <w:tcPr>
            <w:tcW w:w="993" w:type="dxa"/>
            <w:tcBorders>
              <w:top w:val="nil"/>
              <w:left w:val="nil"/>
              <w:bottom w:val="single" w:sz="4" w:space="0" w:color="auto"/>
              <w:right w:val="single" w:sz="4" w:space="0" w:color="auto"/>
            </w:tcBorders>
            <w:vAlign w:val="center"/>
          </w:tcPr>
          <w:p w14:paraId="3D08B15C" w14:textId="2765B59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London, Routledge, 1998.</w:t>
            </w:r>
          </w:p>
        </w:tc>
        <w:tc>
          <w:tcPr>
            <w:tcW w:w="708" w:type="dxa"/>
            <w:tcBorders>
              <w:top w:val="nil"/>
              <w:left w:val="nil"/>
              <w:bottom w:val="single" w:sz="4" w:space="0" w:color="auto"/>
              <w:right w:val="single" w:sz="4" w:space="0" w:color="auto"/>
            </w:tcBorders>
            <w:vAlign w:val="center"/>
          </w:tcPr>
          <w:p w14:paraId="1188F67C" w14:textId="03F467F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4E64A147" w14:textId="5245C0E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58BFD69" w14:textId="59064B0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68545BC" w14:textId="61789DE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is the extensively revised second edition of The Geopolitics Reader and draws together the most influential and significant geopolitical readings from the last hundred years.</w:t>
            </w:r>
          </w:p>
        </w:tc>
        <w:tc>
          <w:tcPr>
            <w:tcW w:w="2268" w:type="dxa"/>
            <w:tcBorders>
              <w:top w:val="nil"/>
              <w:left w:val="nil"/>
              <w:bottom w:val="single" w:sz="4" w:space="0" w:color="auto"/>
              <w:right w:val="single" w:sz="8" w:space="0" w:color="auto"/>
            </w:tcBorders>
            <w:vAlign w:val="center"/>
          </w:tcPr>
          <w:p w14:paraId="21D13E07" w14:textId="6B4EDC1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among other things geopolitics’ definition and space concepts.</w:t>
            </w:r>
          </w:p>
        </w:tc>
      </w:tr>
      <w:tr w:rsidR="00555B5A" w:rsidRPr="0002056A" w14:paraId="7D105BF8"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E646B5C" w14:textId="5DE2EC70"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Paasi, A.</w:t>
            </w:r>
          </w:p>
        </w:tc>
        <w:tc>
          <w:tcPr>
            <w:tcW w:w="705" w:type="dxa"/>
            <w:tcBorders>
              <w:top w:val="nil"/>
              <w:left w:val="nil"/>
              <w:bottom w:val="single" w:sz="4" w:space="0" w:color="auto"/>
              <w:right w:val="single" w:sz="4" w:space="0" w:color="auto"/>
            </w:tcBorders>
            <w:vAlign w:val="center"/>
          </w:tcPr>
          <w:p w14:paraId="6D779A00" w14:textId="3DA2DFE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205BF128" w14:textId="71F06D4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geographies of climate change</w:t>
            </w:r>
          </w:p>
        </w:tc>
        <w:tc>
          <w:tcPr>
            <w:tcW w:w="1134" w:type="dxa"/>
            <w:tcBorders>
              <w:top w:val="nil"/>
              <w:left w:val="nil"/>
              <w:bottom w:val="single" w:sz="4" w:space="0" w:color="auto"/>
              <w:right w:val="single" w:sz="4" w:space="0" w:color="auto"/>
            </w:tcBorders>
            <w:vAlign w:val="center"/>
          </w:tcPr>
          <w:p w14:paraId="023F4874" w14:textId="1CAFCD8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w:t>
            </w:r>
          </w:p>
        </w:tc>
        <w:tc>
          <w:tcPr>
            <w:tcW w:w="708" w:type="dxa"/>
            <w:tcBorders>
              <w:top w:val="nil"/>
              <w:left w:val="nil"/>
              <w:bottom w:val="single" w:sz="4" w:space="0" w:color="auto"/>
              <w:right w:val="single" w:sz="4" w:space="0" w:color="auto"/>
            </w:tcBorders>
            <w:vAlign w:val="center"/>
          </w:tcPr>
          <w:p w14:paraId="50CB311A" w14:textId="4B6117A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w:t>
            </w:r>
            <w:r>
              <w:rPr>
                <w:rFonts w:ascii="Georgia" w:eastAsia="Times New Roman" w:hAnsi="Georgia" w:cs="Times New Roman"/>
                <w:color w:val="000000"/>
                <w:sz w:val="10"/>
                <w:szCs w:val="10"/>
                <w:lang w:val="en-GB" w:eastAsia="hu-HU"/>
              </w:rPr>
              <w:t>y</w:t>
            </w:r>
          </w:p>
        </w:tc>
        <w:tc>
          <w:tcPr>
            <w:tcW w:w="851" w:type="dxa"/>
            <w:tcBorders>
              <w:top w:val="nil"/>
              <w:left w:val="nil"/>
              <w:bottom w:val="single" w:sz="4" w:space="0" w:color="auto"/>
              <w:right w:val="single" w:sz="4" w:space="0" w:color="auto"/>
            </w:tcBorders>
            <w:vAlign w:val="center"/>
          </w:tcPr>
          <w:p w14:paraId="1E279DAC" w14:textId="0C0219D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human geography, regional geography</w:t>
            </w:r>
          </w:p>
        </w:tc>
        <w:tc>
          <w:tcPr>
            <w:tcW w:w="993" w:type="dxa"/>
            <w:tcBorders>
              <w:top w:val="nil"/>
              <w:left w:val="nil"/>
              <w:bottom w:val="single" w:sz="4" w:space="0" w:color="auto"/>
              <w:right w:val="single" w:sz="4" w:space="0" w:color="auto"/>
            </w:tcBorders>
            <w:vAlign w:val="center"/>
          </w:tcPr>
          <w:p w14:paraId="70D89730" w14:textId="0511059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Tijdschrift for Economische and Sozilae Gegoraphie. Volume114, Issue2. April 2023. Pp 71-78. </w:t>
            </w:r>
          </w:p>
        </w:tc>
        <w:tc>
          <w:tcPr>
            <w:tcW w:w="708" w:type="dxa"/>
            <w:tcBorders>
              <w:top w:val="nil"/>
              <w:left w:val="nil"/>
              <w:bottom w:val="single" w:sz="4" w:space="0" w:color="auto"/>
              <w:right w:val="single" w:sz="4" w:space="0" w:color="auto"/>
            </w:tcBorders>
            <w:vAlign w:val="center"/>
          </w:tcPr>
          <w:p w14:paraId="402D061F" w14:textId="1263D47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A50AC81" w14:textId="1ADAD81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3F69127" w14:textId="58A08B5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52B592A" w14:textId="6B80C6C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essay is a commentary on Peter Taylor's article ‘The geographical ontology challenge in attending to anthropogenic climate change: regional geography revisited. It focuses particularly on the contested (discursive) regional, regional geographical and state-centric frames critically examined in Taylor's paper. At first, it contextualizes Taylor's text, consider why it is topical, and how it echoes his earlier studies in geography. Next, it looks briefly at traditional regional geographic viewpoints on climate and regions and the related modalities of regionality. Finally, it elaborates Taylor's ontological interventions.</w:t>
            </w:r>
          </w:p>
        </w:tc>
        <w:tc>
          <w:tcPr>
            <w:tcW w:w="2268" w:type="dxa"/>
            <w:tcBorders>
              <w:top w:val="nil"/>
              <w:left w:val="nil"/>
              <w:bottom w:val="single" w:sz="4" w:space="0" w:color="auto"/>
              <w:right w:val="single" w:sz="8" w:space="0" w:color="auto"/>
            </w:tcBorders>
            <w:vAlign w:val="center"/>
          </w:tcPr>
          <w:p w14:paraId="4B0DA8BB" w14:textId="71F5BAA2"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commentary focuses on the framework in the context of regional geography. Since regional/territorial, particularly state-centric frames are frequently taken for granted, it focuses mainly on the regional (geographic) aspects of Taylor's article, and it is organized as follows. </w:t>
            </w:r>
          </w:p>
          <w:p w14:paraId="2B086B7D" w14:textId="6D6F887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p>
        </w:tc>
      </w:tr>
      <w:tr w:rsidR="00555B5A" w:rsidRPr="0002056A" w14:paraId="688E1115"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1E0A88E" w14:textId="64C67410"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Painter, J.</w:t>
            </w:r>
          </w:p>
        </w:tc>
        <w:tc>
          <w:tcPr>
            <w:tcW w:w="705" w:type="dxa"/>
            <w:tcBorders>
              <w:top w:val="nil"/>
              <w:left w:val="nil"/>
              <w:bottom w:val="single" w:sz="4" w:space="0" w:color="auto"/>
              <w:right w:val="single" w:sz="4" w:space="0" w:color="auto"/>
            </w:tcBorders>
            <w:vAlign w:val="center"/>
          </w:tcPr>
          <w:p w14:paraId="02AF2921" w14:textId="7880111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14C98CCA" w14:textId="7EA5F0F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Rethinking Territory</w:t>
            </w:r>
          </w:p>
        </w:tc>
        <w:tc>
          <w:tcPr>
            <w:tcW w:w="1134" w:type="dxa"/>
            <w:tcBorders>
              <w:top w:val="nil"/>
              <w:left w:val="nil"/>
              <w:bottom w:val="single" w:sz="4" w:space="0" w:color="auto"/>
              <w:right w:val="single" w:sz="4" w:space="0" w:color="auto"/>
            </w:tcBorders>
            <w:vAlign w:val="center"/>
          </w:tcPr>
          <w:p w14:paraId="132AE4E6" w14:textId="3A317A7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6F9C08EB" w14:textId="6674006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Antipode Foundation Ltd</w:t>
            </w:r>
          </w:p>
        </w:tc>
        <w:tc>
          <w:tcPr>
            <w:tcW w:w="851" w:type="dxa"/>
            <w:tcBorders>
              <w:top w:val="nil"/>
              <w:left w:val="nil"/>
              <w:bottom w:val="single" w:sz="4" w:space="0" w:color="auto"/>
              <w:right w:val="single" w:sz="4" w:space="0" w:color="auto"/>
            </w:tcBorders>
            <w:vAlign w:val="center"/>
          </w:tcPr>
          <w:p w14:paraId="500F1682" w14:textId="48398E8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Geography</w:t>
            </w:r>
          </w:p>
        </w:tc>
        <w:tc>
          <w:tcPr>
            <w:tcW w:w="993" w:type="dxa"/>
            <w:tcBorders>
              <w:top w:val="nil"/>
              <w:left w:val="nil"/>
              <w:bottom w:val="single" w:sz="4" w:space="0" w:color="auto"/>
              <w:right w:val="single" w:sz="4" w:space="0" w:color="auto"/>
            </w:tcBorders>
            <w:vAlign w:val="center"/>
          </w:tcPr>
          <w:p w14:paraId="2F366AF4" w14:textId="52AAA7F3" w:rsidR="00555B5A" w:rsidRPr="0002056A" w:rsidRDefault="00555B5A" w:rsidP="00555B5A">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 xml:space="preserve">Antipode. A radical journal of Geography, </w:t>
            </w:r>
            <w:hyperlink r:id="rId181" w:tooltip="View Volume 42, Issue 5" w:history="1">
              <w:r w:rsidRPr="0002056A">
                <w:rPr>
                  <w:rFonts w:ascii="Georgia" w:eastAsia="Times New Roman" w:hAnsi="Georgia" w:cs="Times New Roman"/>
                  <w:color w:val="000000"/>
                  <w:sz w:val="10"/>
                  <w:szCs w:val="10"/>
                  <w:lang w:val="en-GB"/>
                </w:rPr>
                <w:t>Volume</w:t>
              </w:r>
              <w:r w:rsidRPr="0002056A">
                <w:rPr>
                  <w:rFonts w:ascii="Georgia" w:eastAsia="Times New Roman" w:hAnsi="Georgia" w:cs="Times New Roman"/>
                  <w:color w:val="000000"/>
                  <w:sz w:val="10"/>
                  <w:szCs w:val="10"/>
                  <w:lang w:val="en-GB" w:eastAsia="hu-HU"/>
                </w:rPr>
                <w:t xml:space="preserve"> </w:t>
              </w:r>
              <w:r w:rsidRPr="0002056A">
                <w:rPr>
                  <w:rFonts w:ascii="Georgia" w:hAnsi="Georgia" w:cs="Times New Roman"/>
                  <w:color w:val="000000"/>
                  <w:sz w:val="10"/>
                  <w:szCs w:val="10"/>
                  <w:lang w:val="en-GB"/>
                </w:rPr>
                <w:t>42</w:t>
              </w:r>
              <w:r w:rsidRPr="0002056A">
                <w:rPr>
                  <w:rFonts w:ascii="Georgia" w:eastAsia="Times New Roman" w:hAnsi="Georgia" w:cs="Times New Roman"/>
                  <w:color w:val="000000"/>
                  <w:sz w:val="10"/>
                  <w:szCs w:val="10"/>
                  <w:lang w:val="en-GB"/>
                </w:rPr>
                <w:t>,</w:t>
              </w:r>
              <w:r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rPr>
                <w:t>Issue</w:t>
              </w:r>
              <w:r w:rsidRPr="0002056A">
                <w:rPr>
                  <w:rFonts w:ascii="Georgia" w:eastAsia="Times New Roman" w:hAnsi="Georgia" w:cs="Times New Roman"/>
                  <w:color w:val="000000"/>
                  <w:sz w:val="10"/>
                  <w:szCs w:val="10"/>
                  <w:lang w:val="en-GB" w:eastAsia="hu-HU"/>
                </w:rPr>
                <w:t xml:space="preserve"> </w:t>
              </w:r>
              <w:r w:rsidRPr="0002056A">
                <w:rPr>
                  <w:rFonts w:ascii="Georgia" w:hAnsi="Georgia" w:cs="Times New Roman"/>
                  <w:color w:val="000000"/>
                  <w:sz w:val="10"/>
                  <w:szCs w:val="10"/>
                  <w:lang w:val="en-GB"/>
                </w:rPr>
                <w:t>5</w:t>
              </w:r>
            </w:hyperlink>
            <w:r w:rsidRPr="0002056A">
              <w:rPr>
                <w:rFonts w:ascii="Georgia" w:eastAsia="Times New Roman" w:hAnsi="Georgia" w:cs="Times New Roman"/>
                <w:color w:val="000000"/>
                <w:sz w:val="10"/>
                <w:szCs w:val="10"/>
                <w:lang w:val="en-GB" w:eastAsia="hu-HU"/>
              </w:rPr>
              <w:t>.</w:t>
            </w:r>
          </w:p>
          <w:p w14:paraId="55B1D061" w14:textId="77777777" w:rsidR="00555B5A" w:rsidRPr="0002056A" w:rsidRDefault="00555B5A" w:rsidP="00555B5A">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November 2010</w:t>
            </w:r>
          </w:p>
          <w:p w14:paraId="6DDF4BDF" w14:textId="0B6FE86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Pp 1090-1118</w:t>
            </w:r>
          </w:p>
        </w:tc>
        <w:tc>
          <w:tcPr>
            <w:tcW w:w="708" w:type="dxa"/>
            <w:tcBorders>
              <w:top w:val="nil"/>
              <w:left w:val="nil"/>
              <w:bottom w:val="single" w:sz="4" w:space="0" w:color="auto"/>
              <w:right w:val="single" w:sz="4" w:space="0" w:color="auto"/>
            </w:tcBorders>
            <w:vAlign w:val="center"/>
          </w:tcPr>
          <w:p w14:paraId="2A6E9144" w14:textId="6786BDB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EC79CDD" w14:textId="3729290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AD9CF34" w14:textId="41174AE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0EF0716" w14:textId="7D200BB3"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Drawing on an empirical case study of the monitoring of regional economic performance through the measurement of gross value added (GVA), the article shows that “territory” and “network” are not, as is often assumed, incommensurable and rival principles of spatial organisation, but are intimately connected.</w:t>
            </w:r>
          </w:p>
        </w:tc>
        <w:tc>
          <w:tcPr>
            <w:tcW w:w="2268" w:type="dxa"/>
            <w:tcBorders>
              <w:top w:val="nil"/>
              <w:left w:val="nil"/>
              <w:bottom w:val="single" w:sz="4" w:space="0" w:color="auto"/>
              <w:right w:val="single" w:sz="8" w:space="0" w:color="auto"/>
            </w:tcBorders>
            <w:vAlign w:val="center"/>
          </w:tcPr>
          <w:p w14:paraId="3CEFA0F2" w14:textId="491AC91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provides additional layers to the concept of territory.</w:t>
            </w:r>
          </w:p>
        </w:tc>
      </w:tr>
      <w:tr w:rsidR="00555B5A" w:rsidRPr="0002056A" w14:paraId="7155C39E"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208F226" w14:textId="1FC8FBFF"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Pálvölgyi, T., Czira, T., Dobozi, E., Rideg, A., Schneller, K.</w:t>
            </w:r>
          </w:p>
        </w:tc>
        <w:tc>
          <w:tcPr>
            <w:tcW w:w="705" w:type="dxa"/>
            <w:tcBorders>
              <w:top w:val="nil"/>
              <w:left w:val="nil"/>
              <w:bottom w:val="single" w:sz="4" w:space="0" w:color="auto"/>
              <w:right w:val="single" w:sz="4" w:space="0" w:color="auto"/>
            </w:tcBorders>
            <w:vAlign w:val="center"/>
          </w:tcPr>
          <w:p w14:paraId="7C3E54F9" w14:textId="7B75BAF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7AAB35F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kistérségi szintű éghajlat-változási</w:t>
            </w:r>
          </w:p>
          <w:p w14:paraId="7E4EC4FF" w14:textId="15436A6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sérülékenység-vizsgálat módszere és eredményei.</w:t>
            </w:r>
          </w:p>
        </w:tc>
        <w:tc>
          <w:tcPr>
            <w:tcW w:w="1134" w:type="dxa"/>
            <w:tcBorders>
              <w:top w:val="nil"/>
              <w:left w:val="nil"/>
              <w:bottom w:val="single" w:sz="4" w:space="0" w:color="auto"/>
              <w:right w:val="single" w:sz="4" w:space="0" w:color="auto"/>
            </w:tcBorders>
            <w:vAlign w:val="center"/>
          </w:tcPr>
          <w:p w14:paraId="2EE8643F" w14:textId="1B73109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 HUN, HUN</w:t>
            </w:r>
          </w:p>
        </w:tc>
        <w:tc>
          <w:tcPr>
            <w:tcW w:w="708" w:type="dxa"/>
            <w:tcBorders>
              <w:top w:val="nil"/>
              <w:left w:val="nil"/>
              <w:bottom w:val="single" w:sz="4" w:space="0" w:color="auto"/>
              <w:right w:val="single" w:sz="4" w:space="0" w:color="auto"/>
            </w:tcBorders>
            <w:vAlign w:val="center"/>
          </w:tcPr>
          <w:p w14:paraId="245A973C" w14:textId="1397CF3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 KSZI Klíma-védelmi Kutatások Koordinációs Iroda</w:t>
            </w:r>
          </w:p>
        </w:tc>
        <w:tc>
          <w:tcPr>
            <w:tcW w:w="851" w:type="dxa"/>
            <w:tcBorders>
              <w:top w:val="nil"/>
              <w:left w:val="nil"/>
              <w:bottom w:val="single" w:sz="4" w:space="0" w:color="auto"/>
              <w:right w:val="single" w:sz="4" w:space="0" w:color="auto"/>
            </w:tcBorders>
            <w:vAlign w:val="center"/>
          </w:tcPr>
          <w:p w14:paraId="4268A42D" w14:textId="1C8262F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geography, climatology</w:t>
            </w:r>
          </w:p>
        </w:tc>
        <w:tc>
          <w:tcPr>
            <w:tcW w:w="993" w:type="dxa"/>
            <w:tcBorders>
              <w:top w:val="nil"/>
              <w:left w:val="nil"/>
              <w:bottom w:val="single" w:sz="4" w:space="0" w:color="auto"/>
              <w:right w:val="single" w:sz="4" w:space="0" w:color="auto"/>
            </w:tcBorders>
            <w:vAlign w:val="center"/>
          </w:tcPr>
          <w:p w14:paraId="2C642AC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Klíma-21” Füzetek: Klímaváltozás—Hatások</w:t>
            </w:r>
          </w:p>
          <w:p w14:paraId="436F21D9" w14:textId="19CA507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—Válaszok, 2010/62, 88–102.</w:t>
            </w:r>
          </w:p>
        </w:tc>
        <w:tc>
          <w:tcPr>
            <w:tcW w:w="708" w:type="dxa"/>
            <w:tcBorders>
              <w:top w:val="nil"/>
              <w:left w:val="nil"/>
              <w:bottom w:val="single" w:sz="4" w:space="0" w:color="auto"/>
              <w:right w:val="single" w:sz="4" w:space="0" w:color="auto"/>
            </w:tcBorders>
            <w:vAlign w:val="center"/>
          </w:tcPr>
          <w:p w14:paraId="197250F6" w14:textId="7A2578F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19899A6" w14:textId="0A9FC58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64B5C8E" w14:textId="2E6A6FE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42A98F6" w14:textId="0F919E9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aim of the article is to develop an objective-based impact assessment methodology that can quantitatively characterize and compare the complex natural, social and economic vulnerability of a region to climate change. During the domestic adaptation of the regional exposure, sensitivity and adaptability-based climate change vulnerability assessment method (CIVAS model) at the regional level, several regional complex indicators were developed. The research work laid the foundation for a four-year professional program on climate change mitigation in regional development policy and can offer sustainable development based on the specific characteristics of our regions for the development of climate and regional strategies.</w:t>
            </w:r>
          </w:p>
        </w:tc>
        <w:tc>
          <w:tcPr>
            <w:tcW w:w="2268" w:type="dxa"/>
            <w:tcBorders>
              <w:top w:val="nil"/>
              <w:left w:val="nil"/>
              <w:bottom w:val="single" w:sz="4" w:space="0" w:color="auto"/>
              <w:right w:val="single" w:sz="8" w:space="0" w:color="auto"/>
            </w:tcBorders>
            <w:vAlign w:val="center"/>
          </w:tcPr>
          <w:p w14:paraId="213B0C5B" w14:textId="4BB6D0F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Detailed description of the CIVAS model, one of the first complex and spatially oriented impact-chain-based CVA method based on IPCC AR4.</w:t>
            </w:r>
          </w:p>
        </w:tc>
      </w:tr>
      <w:tr w:rsidR="00555B5A" w:rsidRPr="0002056A" w14:paraId="4B01EC3A"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4B9B38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Peltonen, L., Haanpää, S. and Lehtonen, S. </w:t>
            </w:r>
          </w:p>
        </w:tc>
        <w:tc>
          <w:tcPr>
            <w:tcW w:w="705" w:type="dxa"/>
            <w:tcBorders>
              <w:top w:val="nil"/>
              <w:left w:val="nil"/>
              <w:bottom w:val="single" w:sz="4" w:space="0" w:color="auto"/>
              <w:right w:val="single" w:sz="4" w:space="0" w:color="auto"/>
            </w:tcBorders>
            <w:vAlign w:val="center"/>
            <w:hideMark/>
          </w:tcPr>
          <w:p w14:paraId="2329769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2005</w:t>
            </w:r>
          </w:p>
        </w:tc>
        <w:tc>
          <w:tcPr>
            <w:tcW w:w="1137" w:type="dxa"/>
            <w:tcBorders>
              <w:top w:val="nil"/>
              <w:left w:val="nil"/>
              <w:bottom w:val="single" w:sz="4" w:space="0" w:color="auto"/>
              <w:right w:val="single" w:sz="4" w:space="0" w:color="auto"/>
            </w:tcBorders>
            <w:vAlign w:val="center"/>
            <w:hideMark/>
          </w:tcPr>
          <w:p w14:paraId="08B8822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challenge</w:t>
            </w:r>
            <w:r w:rsidRPr="0002056A">
              <w:rPr>
                <w:rFonts w:ascii="Georgia" w:eastAsia="Times New Roman" w:hAnsi="Georgia" w:cs="Times New Roman"/>
                <w:color w:val="000000"/>
                <w:sz w:val="10"/>
                <w:szCs w:val="10"/>
                <w:lang w:val="en-GB" w:eastAsia="hu-HU"/>
              </w:rPr>
              <w:br/>
              <w:t xml:space="preserve">of climate change adaptation in urban planning. </w:t>
            </w:r>
          </w:p>
        </w:tc>
        <w:tc>
          <w:tcPr>
            <w:tcW w:w="1134" w:type="dxa"/>
            <w:tcBorders>
              <w:top w:val="nil"/>
              <w:left w:val="nil"/>
              <w:bottom w:val="single" w:sz="4" w:space="0" w:color="auto"/>
              <w:right w:val="single" w:sz="4" w:space="0" w:color="auto"/>
            </w:tcBorders>
            <w:vAlign w:val="center"/>
            <w:hideMark/>
          </w:tcPr>
          <w:p w14:paraId="296634E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 FIN, FIN</w:t>
            </w:r>
          </w:p>
        </w:tc>
        <w:tc>
          <w:tcPr>
            <w:tcW w:w="708" w:type="dxa"/>
            <w:tcBorders>
              <w:top w:val="nil"/>
              <w:left w:val="nil"/>
              <w:bottom w:val="single" w:sz="4" w:space="0" w:color="auto"/>
              <w:right w:val="single" w:sz="4" w:space="0" w:color="auto"/>
            </w:tcBorders>
            <w:vAlign w:val="center"/>
            <w:hideMark/>
          </w:tcPr>
          <w:p w14:paraId="5108BC9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Finnish Environment Institute</w:t>
            </w:r>
          </w:p>
        </w:tc>
        <w:tc>
          <w:tcPr>
            <w:tcW w:w="851" w:type="dxa"/>
            <w:tcBorders>
              <w:top w:val="nil"/>
              <w:left w:val="nil"/>
              <w:bottom w:val="single" w:sz="4" w:space="0" w:color="auto"/>
              <w:right w:val="single" w:sz="4" w:space="0" w:color="auto"/>
            </w:tcBorders>
            <w:vAlign w:val="center"/>
            <w:hideMark/>
          </w:tcPr>
          <w:p w14:paraId="5736CC0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 / urban planning / climate adaptation</w:t>
            </w:r>
          </w:p>
        </w:tc>
        <w:tc>
          <w:tcPr>
            <w:tcW w:w="993" w:type="dxa"/>
            <w:tcBorders>
              <w:top w:val="nil"/>
              <w:left w:val="nil"/>
              <w:bottom w:val="single" w:sz="4" w:space="0" w:color="auto"/>
              <w:right w:val="single" w:sz="4" w:space="0" w:color="auto"/>
            </w:tcBorders>
            <w:vAlign w:val="center"/>
            <w:hideMark/>
          </w:tcPr>
          <w:p w14:paraId="6C3F3CE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FinAdAPT</w:t>
            </w:r>
            <w:r w:rsidRPr="0002056A">
              <w:rPr>
                <w:rFonts w:ascii="Georgia" w:eastAsia="Times New Roman" w:hAnsi="Georgia" w:cs="Times New Roman"/>
                <w:color w:val="000000"/>
                <w:sz w:val="10"/>
                <w:szCs w:val="10"/>
                <w:lang w:val="en-GB" w:eastAsia="hu-HU"/>
              </w:rPr>
              <w:br/>
              <w:t xml:space="preserve">Working Paper 13, </w:t>
            </w:r>
            <w:r w:rsidRPr="0002056A">
              <w:rPr>
                <w:rFonts w:ascii="Georgia" w:eastAsia="Times New Roman" w:hAnsi="Georgia" w:cs="Times New Roman"/>
                <w:color w:val="000000"/>
                <w:sz w:val="10"/>
                <w:szCs w:val="10"/>
                <w:lang w:val="en-GB" w:eastAsia="hu-HU"/>
              </w:rPr>
              <w:br/>
              <w:t>343, Helsinki, 44 p.</w:t>
            </w:r>
          </w:p>
        </w:tc>
        <w:tc>
          <w:tcPr>
            <w:tcW w:w="708" w:type="dxa"/>
            <w:tcBorders>
              <w:top w:val="nil"/>
              <w:left w:val="nil"/>
              <w:bottom w:val="single" w:sz="4" w:space="0" w:color="auto"/>
              <w:right w:val="single" w:sz="4" w:space="0" w:color="auto"/>
            </w:tcBorders>
            <w:vAlign w:val="center"/>
            <w:hideMark/>
          </w:tcPr>
          <w:p w14:paraId="51115C5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hideMark/>
          </w:tcPr>
          <w:p w14:paraId="221136D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9710AB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50B565C0"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Based on a literature review and a series of round-table discussions with actors engaged in urban planning, the article addresses adaptation issues relevant in urban planning. Different adaptation challenges are discussed, together with aspects of vulnerability such as awareness, geographical context, institutional frames and organisational capacities.</w:t>
            </w:r>
          </w:p>
        </w:tc>
        <w:tc>
          <w:tcPr>
            <w:tcW w:w="2268" w:type="dxa"/>
            <w:tcBorders>
              <w:top w:val="nil"/>
              <w:left w:val="nil"/>
              <w:bottom w:val="single" w:sz="4" w:space="0" w:color="auto"/>
              <w:right w:val="single" w:sz="8" w:space="0" w:color="auto"/>
            </w:tcBorders>
            <w:vAlign w:val="center"/>
          </w:tcPr>
          <w:p w14:paraId="5A0D4AF8"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stresses the spatial dimensions of vulnerability and adaptation. Present instruments of planning and regulation are largely sufficient for dealing with a changing climate. However, plans at different levels should identify areas affected by climate related hazards and risks. This requires developing regional climate change assessments.</w:t>
            </w:r>
          </w:p>
        </w:tc>
      </w:tr>
      <w:tr w:rsidR="00555B5A" w:rsidRPr="0002056A" w14:paraId="53DBD52C"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AA46BC7" w14:textId="124599ED"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Péti M</w:t>
            </w:r>
          </w:p>
        </w:tc>
        <w:tc>
          <w:tcPr>
            <w:tcW w:w="705" w:type="dxa"/>
            <w:tcBorders>
              <w:top w:val="nil"/>
              <w:left w:val="nil"/>
              <w:bottom w:val="single" w:sz="4" w:space="0" w:color="auto"/>
              <w:right w:val="single" w:sz="4" w:space="0" w:color="auto"/>
            </w:tcBorders>
            <w:vAlign w:val="center"/>
          </w:tcPr>
          <w:p w14:paraId="60C7745A" w14:textId="25E3445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5EC79056" w14:textId="79B4442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területi tervezés és fejlesztés a fenntarthatóság jegyében &amp; Stratégiai környezeti vizsgálatok földrajzi szemlélettel. </w:t>
            </w:r>
          </w:p>
        </w:tc>
        <w:tc>
          <w:tcPr>
            <w:tcW w:w="1134" w:type="dxa"/>
            <w:tcBorders>
              <w:top w:val="nil"/>
              <w:left w:val="nil"/>
              <w:bottom w:val="single" w:sz="4" w:space="0" w:color="auto"/>
              <w:right w:val="single" w:sz="4" w:space="0" w:color="auto"/>
            </w:tcBorders>
            <w:vAlign w:val="center"/>
          </w:tcPr>
          <w:p w14:paraId="28F925CF" w14:textId="05D6EAF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792C459F" w14:textId="2F0010B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Szeged University</w:t>
            </w:r>
          </w:p>
        </w:tc>
        <w:tc>
          <w:tcPr>
            <w:tcW w:w="851" w:type="dxa"/>
            <w:tcBorders>
              <w:top w:val="nil"/>
              <w:left w:val="nil"/>
              <w:bottom w:val="single" w:sz="4" w:space="0" w:color="auto"/>
              <w:right w:val="single" w:sz="4" w:space="0" w:color="auto"/>
            </w:tcBorders>
            <w:vAlign w:val="center"/>
          </w:tcPr>
          <w:p w14:paraId="3277D348" w14:textId="36FB735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planning</w:t>
            </w:r>
          </w:p>
        </w:tc>
        <w:tc>
          <w:tcPr>
            <w:tcW w:w="993" w:type="dxa"/>
            <w:tcBorders>
              <w:top w:val="nil"/>
              <w:left w:val="nil"/>
              <w:bottom w:val="single" w:sz="4" w:space="0" w:color="auto"/>
              <w:right w:val="single" w:sz="4" w:space="0" w:color="auto"/>
            </w:tcBorders>
            <w:vAlign w:val="center"/>
          </w:tcPr>
          <w:p w14:paraId="39F14800" w14:textId="7FA83DF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Szeged, JATEPress.</w:t>
            </w:r>
          </w:p>
        </w:tc>
        <w:tc>
          <w:tcPr>
            <w:tcW w:w="708" w:type="dxa"/>
            <w:tcBorders>
              <w:top w:val="nil"/>
              <w:left w:val="nil"/>
              <w:bottom w:val="single" w:sz="4" w:space="0" w:color="auto"/>
              <w:right w:val="single" w:sz="4" w:space="0" w:color="auto"/>
            </w:tcBorders>
            <w:vAlign w:val="center"/>
          </w:tcPr>
          <w:p w14:paraId="7863EF7A" w14:textId="2970E00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2CE72677" w14:textId="060FB31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ABB628C" w14:textId="2355C38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1C05AFE" w14:textId="26E3D13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Introduction of the connections between spatial planning, environmental impact assessment and sustainable development. </w:t>
            </w:r>
          </w:p>
        </w:tc>
        <w:tc>
          <w:tcPr>
            <w:tcW w:w="2268" w:type="dxa"/>
            <w:tcBorders>
              <w:top w:val="nil"/>
              <w:left w:val="nil"/>
              <w:bottom w:val="single" w:sz="4" w:space="0" w:color="auto"/>
              <w:right w:val="single" w:sz="8" w:space="0" w:color="auto"/>
            </w:tcBorders>
            <w:vAlign w:val="center"/>
          </w:tcPr>
          <w:p w14:paraId="0B6F9CB7" w14:textId="01D4E1D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shows good examples for the connections between spatial and adaptation policies.</w:t>
            </w:r>
          </w:p>
        </w:tc>
      </w:tr>
      <w:tr w:rsidR="00555B5A" w:rsidRPr="0002056A" w14:paraId="6DA39973"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94226AA" w14:textId="06314C28"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Péti M.</w:t>
            </w:r>
          </w:p>
        </w:tc>
        <w:tc>
          <w:tcPr>
            <w:tcW w:w="705" w:type="dxa"/>
            <w:tcBorders>
              <w:top w:val="nil"/>
              <w:left w:val="nil"/>
              <w:bottom w:val="single" w:sz="4" w:space="0" w:color="auto"/>
              <w:right w:val="single" w:sz="4" w:space="0" w:color="auto"/>
            </w:tcBorders>
            <w:vAlign w:val="center"/>
          </w:tcPr>
          <w:p w14:paraId="09D22965" w14:textId="44FB5E4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tcPr>
          <w:p w14:paraId="5E8AAECD" w14:textId="5FBC12F3" w:rsidR="00555B5A" w:rsidRPr="0002056A" w:rsidRDefault="00555B5A" w:rsidP="00555B5A">
            <w:pPr>
              <w:spacing w:after="0" w:line="240" w:lineRule="auto"/>
              <w:rPr>
                <w:rFonts w:ascii="Georgia" w:eastAsia="Times New Roman" w:hAnsi="Georgia" w:cs="Times New Roman"/>
                <w:sz w:val="10"/>
                <w:szCs w:val="10"/>
                <w:lang w:val="en-GB" w:eastAsia="hu-HU"/>
              </w:rPr>
            </w:pPr>
            <w:r w:rsidRPr="0002056A">
              <w:rPr>
                <w:rFonts w:ascii="Georgia" w:eastAsia="Times New Roman" w:hAnsi="Georgia" w:cs="Times New Roman"/>
                <w:sz w:val="10"/>
                <w:szCs w:val="10"/>
                <w:lang w:val="en-GB" w:eastAsia="hu-HU"/>
              </w:rPr>
              <w:t xml:space="preserve">A territorial understanding of sustainability in public development. </w:t>
            </w:r>
          </w:p>
        </w:tc>
        <w:tc>
          <w:tcPr>
            <w:tcW w:w="1134" w:type="dxa"/>
            <w:tcBorders>
              <w:top w:val="nil"/>
              <w:left w:val="nil"/>
              <w:bottom w:val="single" w:sz="4" w:space="0" w:color="auto"/>
              <w:right w:val="single" w:sz="4" w:space="0" w:color="auto"/>
            </w:tcBorders>
            <w:vAlign w:val="center"/>
          </w:tcPr>
          <w:p w14:paraId="0960E7A3" w14:textId="23E673D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65A300AD" w14:textId="78E88E8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ScienceDirect</w:t>
            </w:r>
          </w:p>
        </w:tc>
        <w:tc>
          <w:tcPr>
            <w:tcW w:w="851" w:type="dxa"/>
            <w:tcBorders>
              <w:top w:val="nil"/>
              <w:left w:val="nil"/>
              <w:bottom w:val="single" w:sz="4" w:space="0" w:color="auto"/>
              <w:right w:val="single" w:sz="4" w:space="0" w:color="auto"/>
            </w:tcBorders>
            <w:vAlign w:val="center"/>
          </w:tcPr>
          <w:p w14:paraId="395DC9FC" w14:textId="5CB839D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planning</w:t>
            </w:r>
          </w:p>
        </w:tc>
        <w:tc>
          <w:tcPr>
            <w:tcW w:w="993" w:type="dxa"/>
            <w:tcBorders>
              <w:top w:val="nil"/>
              <w:left w:val="nil"/>
              <w:bottom w:val="single" w:sz="4" w:space="0" w:color="auto"/>
              <w:right w:val="single" w:sz="4" w:space="0" w:color="auto"/>
            </w:tcBorders>
            <w:vAlign w:val="center"/>
          </w:tcPr>
          <w:p w14:paraId="5E1A99EB" w14:textId="7477262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Impact Assessment Review 32: 1 pp. 61-73., 13 p. (2012)</w:t>
            </w:r>
          </w:p>
        </w:tc>
        <w:tc>
          <w:tcPr>
            <w:tcW w:w="708" w:type="dxa"/>
            <w:tcBorders>
              <w:top w:val="nil"/>
              <w:left w:val="nil"/>
              <w:bottom w:val="single" w:sz="4" w:space="0" w:color="auto"/>
              <w:right w:val="single" w:sz="4" w:space="0" w:color="auto"/>
            </w:tcBorders>
            <w:vAlign w:val="center"/>
          </w:tcPr>
          <w:p w14:paraId="3D8FB040" w14:textId="5C757A7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C6965F5" w14:textId="21E91AA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27958A0" w14:textId="06B03B3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449A5D4" w14:textId="3BC402A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Introduction of the territorial understanding of sustainability in public development. </w:t>
            </w:r>
          </w:p>
        </w:tc>
        <w:tc>
          <w:tcPr>
            <w:tcW w:w="2268" w:type="dxa"/>
            <w:tcBorders>
              <w:top w:val="nil"/>
              <w:left w:val="nil"/>
              <w:bottom w:val="single" w:sz="4" w:space="0" w:color="auto"/>
              <w:right w:val="single" w:sz="8" w:space="0" w:color="auto"/>
            </w:tcBorders>
            <w:vAlign w:val="center"/>
          </w:tcPr>
          <w:p w14:paraId="186B763C" w14:textId="33A4BF1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shows good examples for the connections between spatial and adaptation policies.</w:t>
            </w:r>
          </w:p>
        </w:tc>
      </w:tr>
      <w:tr w:rsidR="00555B5A" w:rsidRPr="0002056A" w14:paraId="3DA193A3"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85AF7BC" w14:textId="1134C76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Péti, M., Botka, M., Szilágyi, G., Salamin, G., &amp; Radvánszki, Á. </w:t>
            </w:r>
          </w:p>
        </w:tc>
        <w:tc>
          <w:tcPr>
            <w:tcW w:w="705" w:type="dxa"/>
            <w:tcBorders>
              <w:top w:val="nil"/>
              <w:left w:val="nil"/>
              <w:bottom w:val="single" w:sz="4" w:space="0" w:color="auto"/>
              <w:right w:val="single" w:sz="4" w:space="0" w:color="auto"/>
            </w:tcBorders>
            <w:vAlign w:val="center"/>
          </w:tcPr>
          <w:p w14:paraId="54DED4FE" w14:textId="5FCDBE8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039DEB1F" w14:textId="150B3B13" w:rsidR="00555B5A" w:rsidRPr="0002056A" w:rsidRDefault="00555B5A" w:rsidP="00555B5A">
            <w:pPr>
              <w:spacing w:after="0" w:line="240" w:lineRule="auto"/>
              <w:rPr>
                <w:rFonts w:ascii="Georgia" w:eastAsia="Times New Roman" w:hAnsi="Georgia" w:cs="Times New Roman"/>
                <w:sz w:val="10"/>
                <w:szCs w:val="10"/>
                <w:lang w:val="en-GB" w:eastAsia="hu-HU"/>
              </w:rPr>
            </w:pPr>
            <w:r w:rsidRPr="0002056A">
              <w:rPr>
                <w:rFonts w:ascii="Georgia" w:eastAsia="Times New Roman" w:hAnsi="Georgia" w:cs="Times New Roman"/>
                <w:sz w:val="10"/>
                <w:szCs w:val="10"/>
                <w:lang w:val="en-GB" w:eastAsia="hu-HU"/>
              </w:rPr>
              <w:t>Kézikönyv a területi kohézióról: Területi megközelítés alkalmazása a közszféra által támogatott fejlesztésekben.</w:t>
            </w:r>
          </w:p>
        </w:tc>
        <w:tc>
          <w:tcPr>
            <w:tcW w:w="1134" w:type="dxa"/>
            <w:tcBorders>
              <w:top w:val="nil"/>
              <w:left w:val="nil"/>
              <w:bottom w:val="single" w:sz="4" w:space="0" w:color="auto"/>
              <w:right w:val="single" w:sz="4" w:space="0" w:color="auto"/>
            </w:tcBorders>
            <w:vAlign w:val="center"/>
          </w:tcPr>
          <w:p w14:paraId="5C51A561" w14:textId="10356C1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 HUN, HUN</w:t>
            </w:r>
          </w:p>
        </w:tc>
        <w:tc>
          <w:tcPr>
            <w:tcW w:w="708" w:type="dxa"/>
            <w:tcBorders>
              <w:top w:val="nil"/>
              <w:left w:val="nil"/>
              <w:bottom w:val="single" w:sz="4" w:space="0" w:color="auto"/>
              <w:right w:val="single" w:sz="4" w:space="0" w:color="auto"/>
            </w:tcBorders>
            <w:vAlign w:val="center"/>
          </w:tcPr>
          <w:p w14:paraId="43425F04" w14:textId="00A18FE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VÁTI</w:t>
            </w:r>
          </w:p>
        </w:tc>
        <w:tc>
          <w:tcPr>
            <w:tcW w:w="851" w:type="dxa"/>
            <w:tcBorders>
              <w:top w:val="nil"/>
              <w:left w:val="nil"/>
              <w:bottom w:val="single" w:sz="4" w:space="0" w:color="auto"/>
              <w:right w:val="single" w:sz="4" w:space="0" w:color="auto"/>
            </w:tcBorders>
            <w:vAlign w:val="center"/>
          </w:tcPr>
          <w:p w14:paraId="6444020E" w14:textId="0E4A486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policy, strategic planning</w:t>
            </w:r>
          </w:p>
        </w:tc>
        <w:tc>
          <w:tcPr>
            <w:tcW w:w="993" w:type="dxa"/>
            <w:tcBorders>
              <w:top w:val="nil"/>
              <w:left w:val="nil"/>
              <w:bottom w:val="single" w:sz="4" w:space="0" w:color="auto"/>
              <w:right w:val="single" w:sz="4" w:space="0" w:color="auto"/>
            </w:tcBorders>
            <w:vAlign w:val="center"/>
          </w:tcPr>
          <w:p w14:paraId="200FB89E" w14:textId="2744D56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VÁTI, Nemzeti Fejlesztési és Gazdasági Minisztérium, Budapest</w:t>
            </w:r>
          </w:p>
        </w:tc>
        <w:tc>
          <w:tcPr>
            <w:tcW w:w="708" w:type="dxa"/>
            <w:tcBorders>
              <w:top w:val="nil"/>
              <w:left w:val="nil"/>
              <w:bottom w:val="single" w:sz="4" w:space="0" w:color="auto"/>
              <w:right w:val="single" w:sz="4" w:space="0" w:color="auto"/>
            </w:tcBorders>
            <w:vAlign w:val="center"/>
          </w:tcPr>
          <w:p w14:paraId="162A3D99" w14:textId="58A285A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handbook</w:t>
            </w:r>
          </w:p>
        </w:tc>
        <w:tc>
          <w:tcPr>
            <w:tcW w:w="851" w:type="dxa"/>
            <w:tcBorders>
              <w:top w:val="nil"/>
              <w:left w:val="nil"/>
              <w:bottom w:val="single" w:sz="4" w:space="0" w:color="auto"/>
              <w:right w:val="single" w:sz="4" w:space="0" w:color="auto"/>
            </w:tcBorders>
            <w:vAlign w:val="center"/>
          </w:tcPr>
          <w:p w14:paraId="6D89D2E6" w14:textId="7DBC07B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B6CA3DC" w14:textId="7EAE5DC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1D714BF" w14:textId="2F68ACD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concept of territorial cohesion in a manual format. A depiction of the application possibilities of the territorial approach in developments supported by the public sector.</w:t>
            </w:r>
          </w:p>
        </w:tc>
        <w:tc>
          <w:tcPr>
            <w:tcW w:w="2268" w:type="dxa"/>
            <w:tcBorders>
              <w:top w:val="nil"/>
              <w:left w:val="nil"/>
              <w:bottom w:val="single" w:sz="4" w:space="0" w:color="auto"/>
              <w:right w:val="single" w:sz="8" w:space="0" w:color="auto"/>
            </w:tcBorders>
            <w:vAlign w:val="center"/>
          </w:tcPr>
          <w:p w14:paraId="6343DDD1" w14:textId="73DD96C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Description of the concept of territorial cohesion and its sub concepts; and their practical use.</w:t>
            </w:r>
          </w:p>
        </w:tc>
      </w:tr>
      <w:tr w:rsidR="00555B5A" w:rsidRPr="0002056A" w14:paraId="3C4CF060" w14:textId="77777777" w:rsidTr="0077771F">
        <w:trPr>
          <w:trHeight w:val="713"/>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3D048A2"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Phadke, R.; Manning Ch.; Burlager S. </w:t>
            </w:r>
          </w:p>
        </w:tc>
        <w:tc>
          <w:tcPr>
            <w:tcW w:w="705" w:type="dxa"/>
            <w:tcBorders>
              <w:top w:val="nil"/>
              <w:left w:val="nil"/>
              <w:bottom w:val="single" w:sz="4" w:space="0" w:color="auto"/>
              <w:right w:val="single" w:sz="4" w:space="0" w:color="auto"/>
            </w:tcBorders>
            <w:vAlign w:val="center"/>
            <w:hideMark/>
          </w:tcPr>
          <w:p w14:paraId="087F475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15E0C24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Making it personal: Diversity and deliberation in climate adaptation planning.</w:t>
            </w:r>
          </w:p>
        </w:tc>
        <w:tc>
          <w:tcPr>
            <w:tcW w:w="1134" w:type="dxa"/>
            <w:tcBorders>
              <w:top w:val="nil"/>
              <w:left w:val="nil"/>
              <w:bottom w:val="single" w:sz="4" w:space="0" w:color="auto"/>
              <w:right w:val="single" w:sz="4" w:space="0" w:color="auto"/>
            </w:tcBorders>
            <w:vAlign w:val="center"/>
            <w:hideMark/>
          </w:tcPr>
          <w:p w14:paraId="6A8ADAD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vAlign w:val="center"/>
            <w:hideMark/>
          </w:tcPr>
          <w:p w14:paraId="6BF94B6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55CEB98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76B188A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Risk Management 9 (2015) pp. 62–76.</w:t>
            </w:r>
          </w:p>
        </w:tc>
        <w:tc>
          <w:tcPr>
            <w:tcW w:w="708" w:type="dxa"/>
            <w:tcBorders>
              <w:top w:val="nil"/>
              <w:left w:val="nil"/>
              <w:bottom w:val="single" w:sz="4" w:space="0" w:color="auto"/>
              <w:right w:val="single" w:sz="4" w:space="0" w:color="auto"/>
            </w:tcBorders>
            <w:vAlign w:val="center"/>
            <w:hideMark/>
          </w:tcPr>
          <w:p w14:paraId="13D34EA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C7C043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CB9FB9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5F561E9"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authors’ project aimed to engage underrepresented communities in climate change adaptation decision-making using a neighbourhood consensus conference model developed and tested in several diverse districts of Saint Paul, Minnesota. </w:t>
            </w:r>
          </w:p>
        </w:tc>
        <w:tc>
          <w:tcPr>
            <w:tcW w:w="2268" w:type="dxa"/>
            <w:tcBorders>
              <w:top w:val="nil"/>
              <w:left w:val="nil"/>
              <w:bottom w:val="single" w:sz="4" w:space="0" w:color="auto"/>
              <w:right w:val="single" w:sz="8" w:space="0" w:color="auto"/>
            </w:tcBorders>
            <w:vAlign w:val="center"/>
          </w:tcPr>
          <w:p w14:paraId="61BA1F3A"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among other things, identifies barriers to effective local climate adaptation planning.</w:t>
            </w:r>
          </w:p>
        </w:tc>
      </w:tr>
      <w:tr w:rsidR="00555B5A" w:rsidRPr="0002056A" w14:paraId="112B5CD9"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EAE79D3" w14:textId="56633724"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Picketts, I.M., Déry, S.J., Curry, J.A..</w:t>
            </w:r>
          </w:p>
        </w:tc>
        <w:tc>
          <w:tcPr>
            <w:tcW w:w="705" w:type="dxa"/>
            <w:tcBorders>
              <w:top w:val="nil"/>
              <w:left w:val="nil"/>
              <w:bottom w:val="single" w:sz="4" w:space="0" w:color="auto"/>
              <w:right w:val="single" w:sz="4" w:space="0" w:color="auto"/>
            </w:tcBorders>
            <w:vAlign w:val="center"/>
            <w:hideMark/>
          </w:tcPr>
          <w:p w14:paraId="3684838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14B6668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Incorporating Climate Change adaptation into local plans. </w:t>
            </w:r>
          </w:p>
        </w:tc>
        <w:tc>
          <w:tcPr>
            <w:tcW w:w="1134" w:type="dxa"/>
            <w:tcBorders>
              <w:top w:val="nil"/>
              <w:left w:val="nil"/>
              <w:bottom w:val="single" w:sz="4" w:space="0" w:color="auto"/>
              <w:right w:val="single" w:sz="4" w:space="0" w:color="auto"/>
            </w:tcBorders>
            <w:vAlign w:val="center"/>
            <w:hideMark/>
          </w:tcPr>
          <w:p w14:paraId="3487068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 USA</w:t>
            </w:r>
          </w:p>
        </w:tc>
        <w:tc>
          <w:tcPr>
            <w:tcW w:w="708" w:type="dxa"/>
            <w:tcBorders>
              <w:top w:val="nil"/>
              <w:left w:val="nil"/>
              <w:bottom w:val="single" w:sz="4" w:space="0" w:color="auto"/>
              <w:right w:val="single" w:sz="4" w:space="0" w:color="auto"/>
            </w:tcBorders>
            <w:vAlign w:val="center"/>
            <w:hideMark/>
          </w:tcPr>
          <w:p w14:paraId="3B12549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49430B4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 / urban planning / climate adaptation</w:t>
            </w:r>
          </w:p>
        </w:tc>
        <w:tc>
          <w:tcPr>
            <w:tcW w:w="993" w:type="dxa"/>
            <w:tcBorders>
              <w:top w:val="nil"/>
              <w:left w:val="nil"/>
              <w:bottom w:val="single" w:sz="4" w:space="0" w:color="auto"/>
              <w:right w:val="single" w:sz="4" w:space="0" w:color="auto"/>
            </w:tcBorders>
            <w:vAlign w:val="center"/>
            <w:hideMark/>
          </w:tcPr>
          <w:p w14:paraId="2C13888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Environmental Planning and Management 57(7). DOI:10.1080/09640568.2013.776951</w:t>
            </w:r>
          </w:p>
        </w:tc>
        <w:tc>
          <w:tcPr>
            <w:tcW w:w="708" w:type="dxa"/>
            <w:tcBorders>
              <w:top w:val="nil"/>
              <w:left w:val="nil"/>
              <w:bottom w:val="single" w:sz="4" w:space="0" w:color="auto"/>
              <w:right w:val="single" w:sz="4" w:space="0" w:color="auto"/>
            </w:tcBorders>
            <w:vAlign w:val="center"/>
            <w:hideMark/>
          </w:tcPr>
          <w:p w14:paraId="046909D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4CAC624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C43862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7E54C5"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undertook action-oriented, case study research by participating (as adaptation experts) in the process to create a sustainability and land use policy plan for the City of Prince George, Canada.</w:t>
            </w:r>
          </w:p>
        </w:tc>
        <w:tc>
          <w:tcPr>
            <w:tcW w:w="2268" w:type="dxa"/>
            <w:tcBorders>
              <w:top w:val="nil"/>
              <w:left w:val="nil"/>
              <w:bottom w:val="single" w:sz="4" w:space="0" w:color="auto"/>
              <w:right w:val="single" w:sz="8" w:space="0" w:color="auto"/>
            </w:tcBorders>
            <w:vAlign w:val="center"/>
          </w:tcPr>
          <w:p w14:paraId="2A86D1C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“well-suitedness” of climate adaptation to local planning is emphasised.</w:t>
            </w:r>
          </w:p>
        </w:tc>
      </w:tr>
      <w:tr w:rsidR="00555B5A" w:rsidRPr="0002056A" w14:paraId="6577F05E"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1049B73" w14:textId="66B83FA4"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Pieterse, A., van Niekerk, W. &amp; du Toit, J., </w:t>
            </w:r>
          </w:p>
        </w:tc>
        <w:tc>
          <w:tcPr>
            <w:tcW w:w="705" w:type="dxa"/>
            <w:tcBorders>
              <w:top w:val="nil"/>
              <w:left w:val="nil"/>
              <w:bottom w:val="single" w:sz="4" w:space="0" w:color="auto"/>
              <w:right w:val="single" w:sz="4" w:space="0" w:color="auto"/>
            </w:tcBorders>
            <w:vAlign w:val="center"/>
          </w:tcPr>
          <w:p w14:paraId="78CC4059" w14:textId="5BBD641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tcPr>
          <w:p w14:paraId="4ECD91AA" w14:textId="7CE8500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Creating resilient settlements through climate change adaptation planning</w:t>
            </w:r>
          </w:p>
        </w:tc>
        <w:tc>
          <w:tcPr>
            <w:tcW w:w="1134" w:type="dxa"/>
            <w:tcBorders>
              <w:top w:val="nil"/>
              <w:left w:val="nil"/>
              <w:bottom w:val="single" w:sz="4" w:space="0" w:color="auto"/>
              <w:right w:val="single" w:sz="4" w:space="0" w:color="auto"/>
            </w:tcBorders>
            <w:vAlign w:val="center"/>
          </w:tcPr>
          <w:p w14:paraId="3F59FFFF" w14:textId="1A03744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DAF, DAF, DAF</w:t>
            </w:r>
          </w:p>
        </w:tc>
        <w:tc>
          <w:tcPr>
            <w:tcW w:w="708" w:type="dxa"/>
            <w:tcBorders>
              <w:top w:val="nil"/>
              <w:left w:val="nil"/>
              <w:bottom w:val="single" w:sz="4" w:space="0" w:color="auto"/>
              <w:right w:val="single" w:sz="4" w:space="0" w:color="auto"/>
            </w:tcBorders>
            <w:vAlign w:val="center"/>
          </w:tcPr>
          <w:p w14:paraId="7ABEC049" w14:textId="3E51C6F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South African Planning Institute</w:t>
            </w:r>
          </w:p>
        </w:tc>
        <w:tc>
          <w:tcPr>
            <w:tcW w:w="851" w:type="dxa"/>
            <w:tcBorders>
              <w:top w:val="nil"/>
              <w:left w:val="nil"/>
              <w:bottom w:val="single" w:sz="4" w:space="0" w:color="auto"/>
              <w:right w:val="single" w:sz="4" w:space="0" w:color="auto"/>
            </w:tcBorders>
            <w:vAlign w:val="center"/>
          </w:tcPr>
          <w:p w14:paraId="02E3AAE2" w14:textId="48F8752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 / urban planning / climate adaptation</w:t>
            </w:r>
          </w:p>
        </w:tc>
        <w:tc>
          <w:tcPr>
            <w:tcW w:w="993" w:type="dxa"/>
            <w:tcBorders>
              <w:top w:val="nil"/>
              <w:left w:val="nil"/>
              <w:bottom w:val="single" w:sz="4" w:space="0" w:color="auto"/>
              <w:right w:val="single" w:sz="4" w:space="0" w:color="auto"/>
            </w:tcBorders>
            <w:vAlign w:val="center"/>
          </w:tcPr>
          <w:p w14:paraId="731F450A" w14:textId="2D89FD5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Conference Study. Planning Africa Conference 2018, South African Planning Institute. 15 – 17 October 2018, Cape Town</w:t>
            </w:r>
          </w:p>
        </w:tc>
        <w:tc>
          <w:tcPr>
            <w:tcW w:w="708" w:type="dxa"/>
            <w:tcBorders>
              <w:top w:val="nil"/>
              <w:left w:val="nil"/>
              <w:bottom w:val="single" w:sz="4" w:space="0" w:color="auto"/>
              <w:right w:val="single" w:sz="4" w:space="0" w:color="auto"/>
            </w:tcBorders>
            <w:vAlign w:val="center"/>
          </w:tcPr>
          <w:p w14:paraId="11A87F88" w14:textId="273B950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conference study</w:t>
            </w:r>
          </w:p>
        </w:tc>
        <w:tc>
          <w:tcPr>
            <w:tcW w:w="851" w:type="dxa"/>
            <w:tcBorders>
              <w:top w:val="nil"/>
              <w:left w:val="nil"/>
              <w:bottom w:val="single" w:sz="4" w:space="0" w:color="auto"/>
              <w:right w:val="single" w:sz="4" w:space="0" w:color="auto"/>
            </w:tcBorders>
            <w:vAlign w:val="center"/>
          </w:tcPr>
          <w:p w14:paraId="0831485F" w14:textId="4F35BAE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5B20E52" w14:textId="552CEF8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ADC4743" w14:textId="3589D1E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explores the conceptual relationship between climate change adaptation and spatial planning, specific to the local level, and identifies areas of overlap and opportunity to facilitate the development of resilient settlements. By highlighting barriers and enabling factors to implementation through existing local government planning instruments and processes, the paper aims to unlock discourse on the methods and mechanisms used for resilience planning.</w:t>
            </w:r>
          </w:p>
        </w:tc>
        <w:tc>
          <w:tcPr>
            <w:tcW w:w="2268" w:type="dxa"/>
            <w:tcBorders>
              <w:top w:val="nil"/>
              <w:left w:val="nil"/>
              <w:bottom w:val="single" w:sz="4" w:space="0" w:color="auto"/>
              <w:right w:val="single" w:sz="8" w:space="0" w:color="auto"/>
            </w:tcBorders>
            <w:vAlign w:val="center"/>
          </w:tcPr>
          <w:p w14:paraId="6FA6CF9F" w14:textId="084C2164"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spatial planning’s and adaptation’s relation with each other and gives some important hints on adaptation’s spatiality</w:t>
            </w:r>
          </w:p>
        </w:tc>
      </w:tr>
      <w:tr w:rsidR="00555B5A" w:rsidRPr="0002056A" w14:paraId="3A0A806D"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25E17F9" w14:textId="566B59B1"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Pietta, A.</w:t>
            </w:r>
          </w:p>
        </w:tc>
        <w:tc>
          <w:tcPr>
            <w:tcW w:w="705" w:type="dxa"/>
            <w:tcBorders>
              <w:top w:val="nil"/>
              <w:left w:val="nil"/>
              <w:bottom w:val="single" w:sz="4" w:space="0" w:color="auto"/>
              <w:right w:val="single" w:sz="4" w:space="0" w:color="auto"/>
            </w:tcBorders>
            <w:vAlign w:val="center"/>
          </w:tcPr>
          <w:p w14:paraId="7ECA90FB" w14:textId="6ED169B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3C28F21B" w14:textId="05FA5B9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and Geography</w:t>
            </w:r>
          </w:p>
        </w:tc>
        <w:tc>
          <w:tcPr>
            <w:tcW w:w="1134" w:type="dxa"/>
            <w:tcBorders>
              <w:top w:val="nil"/>
              <w:left w:val="nil"/>
              <w:bottom w:val="single" w:sz="4" w:space="0" w:color="auto"/>
              <w:right w:val="single" w:sz="4" w:space="0" w:color="auto"/>
            </w:tcBorders>
            <w:vAlign w:val="center"/>
          </w:tcPr>
          <w:p w14:paraId="09DCD8A5" w14:textId="5FC6097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w:t>
            </w:r>
          </w:p>
        </w:tc>
        <w:tc>
          <w:tcPr>
            <w:tcW w:w="708" w:type="dxa"/>
            <w:tcBorders>
              <w:top w:val="nil"/>
              <w:left w:val="nil"/>
              <w:bottom w:val="single" w:sz="4" w:space="0" w:color="auto"/>
              <w:right w:val="single" w:sz="4" w:space="0" w:color="auto"/>
            </w:tcBorders>
            <w:vAlign w:val="center"/>
          </w:tcPr>
          <w:p w14:paraId="786FD574" w14:textId="2151760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755CC716" w14:textId="3FADE16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Geography</w:t>
            </w:r>
          </w:p>
        </w:tc>
        <w:tc>
          <w:tcPr>
            <w:tcW w:w="993" w:type="dxa"/>
            <w:tcBorders>
              <w:top w:val="nil"/>
              <w:left w:val="nil"/>
              <w:bottom w:val="single" w:sz="4" w:space="0" w:color="auto"/>
              <w:right w:val="single" w:sz="4" w:space="0" w:color="auto"/>
            </w:tcBorders>
            <w:vAlign w:val="center"/>
          </w:tcPr>
          <w:p w14:paraId="034E9241" w14:textId="7DB2780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Pellegrino Gianfranco &amp; Marcello Di Paola (ed.) </w:t>
            </w:r>
            <w:hyperlink r:id="rId182" w:history="1">
              <w:r w:rsidRPr="0002056A">
                <w:rPr>
                  <w:rFonts w:ascii="Georgia" w:eastAsia="Times New Roman" w:hAnsi="Georgia" w:cs="Times New Roman"/>
                  <w:color w:val="000000"/>
                  <w:sz w:val="10"/>
                  <w:szCs w:val="10"/>
                  <w:lang w:val="en-GB" w:eastAsia="hu-HU"/>
                </w:rPr>
                <w:t>Handbook of Philosophy of Climate Change</w:t>
              </w:r>
            </w:hyperlink>
            <w:r w:rsidRPr="0002056A">
              <w:rPr>
                <w:rFonts w:ascii="Georgia" w:eastAsia="Times New Roman" w:hAnsi="Georgia" w:cs="Times New Roman"/>
                <w:color w:val="000000"/>
                <w:sz w:val="10"/>
                <w:szCs w:val="10"/>
                <w:lang w:val="en-GB" w:eastAsia="hu-HU"/>
              </w:rPr>
              <w:t>. Springer Nature. pp. 205-225 (2023)</w:t>
            </w:r>
          </w:p>
        </w:tc>
        <w:tc>
          <w:tcPr>
            <w:tcW w:w="708" w:type="dxa"/>
            <w:tcBorders>
              <w:top w:val="nil"/>
              <w:left w:val="nil"/>
              <w:bottom w:val="single" w:sz="4" w:space="0" w:color="auto"/>
              <w:right w:val="single" w:sz="4" w:space="0" w:color="auto"/>
            </w:tcBorders>
            <w:vAlign w:val="center"/>
          </w:tcPr>
          <w:p w14:paraId="784D7371" w14:textId="0EEB22D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4E52C038" w14:textId="1A77945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7A51329" w14:textId="7881A31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2DCFE88" w14:textId="25FAD97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considers the contribution of the geographical literature to change the perspective of the IPCC on topics like vulnerability, resilience, mitigation, and adaptation policies and to introduce transformation, between the fourth and fifth assessment reports. In particular, the geographical research allowed the IPCC to situate these topics within sociopolitical and socioenvironmental processes</w:t>
            </w:r>
          </w:p>
        </w:tc>
        <w:tc>
          <w:tcPr>
            <w:tcW w:w="2268" w:type="dxa"/>
            <w:tcBorders>
              <w:top w:val="nil"/>
              <w:left w:val="nil"/>
              <w:bottom w:val="single" w:sz="4" w:space="0" w:color="auto"/>
              <w:right w:val="single" w:sz="8" w:space="0" w:color="auto"/>
            </w:tcBorders>
            <w:vAlign w:val="center"/>
          </w:tcPr>
          <w:p w14:paraId="231DA42A" w14:textId="79E5B754"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us with information about geography’s role in climate policy/climate adaptation.</w:t>
            </w:r>
          </w:p>
        </w:tc>
      </w:tr>
      <w:tr w:rsidR="00555B5A" w:rsidRPr="0002056A" w14:paraId="76958063" w14:textId="77777777" w:rsidTr="00D57247">
        <w:trPr>
          <w:trHeight w:val="78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795AD3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Pringle, P.</w:t>
            </w:r>
          </w:p>
        </w:tc>
        <w:tc>
          <w:tcPr>
            <w:tcW w:w="705" w:type="dxa"/>
            <w:tcBorders>
              <w:top w:val="nil"/>
              <w:left w:val="nil"/>
              <w:bottom w:val="single" w:sz="4" w:space="0" w:color="auto"/>
              <w:right w:val="single" w:sz="4" w:space="0" w:color="auto"/>
            </w:tcBorders>
            <w:vAlign w:val="center"/>
            <w:hideMark/>
          </w:tcPr>
          <w:p w14:paraId="54234CF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hideMark/>
          </w:tcPr>
          <w:p w14:paraId="694D1AE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Adapt ME: Adaptation monitoring and evaluation. </w:t>
            </w:r>
          </w:p>
        </w:tc>
        <w:tc>
          <w:tcPr>
            <w:tcW w:w="1134" w:type="dxa"/>
            <w:tcBorders>
              <w:top w:val="nil"/>
              <w:left w:val="nil"/>
              <w:bottom w:val="single" w:sz="4" w:space="0" w:color="auto"/>
              <w:right w:val="single" w:sz="4" w:space="0" w:color="auto"/>
            </w:tcBorders>
            <w:vAlign w:val="center"/>
            <w:hideMark/>
          </w:tcPr>
          <w:p w14:paraId="4E0D714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hideMark/>
          </w:tcPr>
          <w:p w14:paraId="74BF591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UKCIP</w:t>
            </w:r>
          </w:p>
        </w:tc>
        <w:tc>
          <w:tcPr>
            <w:tcW w:w="851" w:type="dxa"/>
            <w:tcBorders>
              <w:top w:val="nil"/>
              <w:left w:val="nil"/>
              <w:bottom w:val="single" w:sz="4" w:space="0" w:color="auto"/>
              <w:right w:val="single" w:sz="4" w:space="0" w:color="auto"/>
            </w:tcBorders>
            <w:vAlign w:val="center"/>
            <w:hideMark/>
          </w:tcPr>
          <w:p w14:paraId="6BCA300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46A0966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UKCIP, Oxford, UK.</w:t>
            </w:r>
            <w:r w:rsidRPr="0002056A">
              <w:rPr>
                <w:rFonts w:ascii="Georgia" w:eastAsia="Times New Roman" w:hAnsi="Georgia" w:cs="Times New Roman"/>
                <w:color w:val="000000"/>
                <w:sz w:val="10"/>
                <w:szCs w:val="10"/>
                <w:lang w:val="en-GB" w:eastAsia="hu-HU"/>
              </w:rPr>
              <w:br/>
              <w:t xml:space="preserve">School of Geography and the Environment, </w:t>
            </w:r>
            <w:hyperlink r:id="rId183" w:history="1">
              <w:r w:rsidRPr="0002056A">
                <w:rPr>
                  <w:rStyle w:val="Hiperhivatkozs"/>
                  <w:rFonts w:ascii="Georgia" w:eastAsia="Times New Roman" w:hAnsi="Georgia" w:cs="Times New Roman"/>
                  <w:sz w:val="10"/>
                  <w:szCs w:val="10"/>
                  <w:lang w:val="en-GB" w:eastAsia="hu-HU"/>
                </w:rPr>
                <w:t>www.ukcip.org.uk</w:t>
              </w:r>
            </w:hyperlink>
          </w:p>
        </w:tc>
        <w:tc>
          <w:tcPr>
            <w:tcW w:w="708" w:type="dxa"/>
            <w:tcBorders>
              <w:top w:val="nil"/>
              <w:left w:val="nil"/>
              <w:bottom w:val="single" w:sz="4" w:space="0" w:color="auto"/>
              <w:right w:val="single" w:sz="4" w:space="0" w:color="auto"/>
            </w:tcBorders>
            <w:vAlign w:val="center"/>
            <w:hideMark/>
          </w:tcPr>
          <w:p w14:paraId="19B74AA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hideMark/>
          </w:tcPr>
          <w:p w14:paraId="27B8DDD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7A223DE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EAE338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offers a toolkit responding to a growing demand</w:t>
            </w:r>
          </w:p>
          <w:p w14:paraId="4BFC26F3" w14:textId="6C99E5D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for practical support in evaluating adaptation progress and performance and enhances Step 5 of the UKCIP Adaptation Wizard (Monitor and Review). It helps users to think through some of the factors that can make an evaluation of adaptation activities inherently challenging and equip you to design a robust evaluation.</w:t>
            </w:r>
          </w:p>
        </w:tc>
        <w:tc>
          <w:tcPr>
            <w:tcW w:w="2268" w:type="dxa"/>
            <w:tcBorders>
              <w:top w:val="nil"/>
              <w:left w:val="nil"/>
              <w:bottom w:val="single" w:sz="4" w:space="0" w:color="auto"/>
              <w:right w:val="single" w:sz="8" w:space="0" w:color="auto"/>
            </w:tcBorders>
            <w:vAlign w:val="center"/>
          </w:tcPr>
          <w:p w14:paraId="236F0EB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among other things, identifies barriers to climate adaptation MRE.</w:t>
            </w:r>
          </w:p>
        </w:tc>
      </w:tr>
      <w:tr w:rsidR="00555B5A" w:rsidRPr="0002056A" w14:paraId="17071A98"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06B4F5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Pringle, P.; Prutsch, A.; Mäkinen, K.; Karali, E.</w:t>
            </w:r>
          </w:p>
        </w:tc>
        <w:tc>
          <w:tcPr>
            <w:tcW w:w="705" w:type="dxa"/>
            <w:tcBorders>
              <w:top w:val="nil"/>
              <w:left w:val="nil"/>
              <w:bottom w:val="single" w:sz="4" w:space="0" w:color="auto"/>
              <w:right w:val="single" w:sz="4" w:space="0" w:color="auto"/>
            </w:tcBorders>
            <w:vAlign w:val="center"/>
            <w:hideMark/>
          </w:tcPr>
          <w:p w14:paraId="0FCFED1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36C64F9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Monitoring, reporting and evaluation of national level adaptation in Europe: Lessons and experiences from other policy domains.</w:t>
            </w:r>
          </w:p>
        </w:tc>
        <w:tc>
          <w:tcPr>
            <w:tcW w:w="1134" w:type="dxa"/>
            <w:tcBorders>
              <w:top w:val="nil"/>
              <w:left w:val="nil"/>
              <w:bottom w:val="single" w:sz="4" w:space="0" w:color="auto"/>
              <w:right w:val="single" w:sz="4" w:space="0" w:color="auto"/>
            </w:tcBorders>
            <w:vAlign w:val="center"/>
            <w:hideMark/>
          </w:tcPr>
          <w:p w14:paraId="70E7FFF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AUT, FIN, GRE</w:t>
            </w:r>
          </w:p>
        </w:tc>
        <w:tc>
          <w:tcPr>
            <w:tcW w:w="708" w:type="dxa"/>
            <w:tcBorders>
              <w:top w:val="nil"/>
              <w:left w:val="nil"/>
              <w:bottom w:val="single" w:sz="4" w:space="0" w:color="auto"/>
              <w:right w:val="single" w:sz="4" w:space="0" w:color="auto"/>
            </w:tcBorders>
            <w:vAlign w:val="center"/>
            <w:hideMark/>
          </w:tcPr>
          <w:p w14:paraId="0F54663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EEA</w:t>
            </w:r>
          </w:p>
        </w:tc>
        <w:tc>
          <w:tcPr>
            <w:tcW w:w="851" w:type="dxa"/>
            <w:tcBorders>
              <w:top w:val="nil"/>
              <w:left w:val="nil"/>
              <w:bottom w:val="single" w:sz="4" w:space="0" w:color="auto"/>
              <w:right w:val="single" w:sz="4" w:space="0" w:color="auto"/>
            </w:tcBorders>
            <w:vAlign w:val="center"/>
            <w:hideMark/>
          </w:tcPr>
          <w:p w14:paraId="33E2865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1448146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European Environmental Agency, European Topic Centre on Climate Change Impacts, Vulnerability and Adaptation. Luxembourg, 2017.</w:t>
            </w:r>
          </w:p>
        </w:tc>
        <w:tc>
          <w:tcPr>
            <w:tcW w:w="708" w:type="dxa"/>
            <w:tcBorders>
              <w:top w:val="nil"/>
              <w:left w:val="nil"/>
              <w:bottom w:val="single" w:sz="4" w:space="0" w:color="auto"/>
              <w:right w:val="single" w:sz="4" w:space="0" w:color="auto"/>
            </w:tcBorders>
            <w:vAlign w:val="center"/>
            <w:hideMark/>
          </w:tcPr>
          <w:p w14:paraId="2C430BE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232D8DD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25A8406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42BBCFEA"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paper highlights transferable lessons learned that may inform MRE practice for climate change adaptation from evaluation communities working in the sectors of biodiversity, adaptation and international development, and sustainability. </w:t>
            </w:r>
          </w:p>
        </w:tc>
        <w:tc>
          <w:tcPr>
            <w:tcW w:w="2268" w:type="dxa"/>
            <w:tcBorders>
              <w:top w:val="nil"/>
              <w:left w:val="nil"/>
              <w:bottom w:val="single" w:sz="4" w:space="0" w:color="auto"/>
              <w:right w:val="single" w:sz="8" w:space="0" w:color="auto"/>
            </w:tcBorders>
            <w:vAlign w:val="center"/>
          </w:tcPr>
          <w:p w14:paraId="3A2420B2"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insightful, inspirational and relevant perspectives for those working on MRE for adaptation in Europe, in particular at national level.</w:t>
            </w:r>
          </w:p>
        </w:tc>
      </w:tr>
      <w:tr w:rsidR="00555B5A" w:rsidRPr="0002056A" w14:paraId="2DEC9EEF"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693E91A"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Probáld F. et al.</w:t>
            </w:r>
          </w:p>
        </w:tc>
        <w:tc>
          <w:tcPr>
            <w:tcW w:w="705" w:type="dxa"/>
            <w:tcBorders>
              <w:top w:val="nil"/>
              <w:left w:val="nil"/>
              <w:bottom w:val="single" w:sz="4" w:space="0" w:color="auto"/>
              <w:right w:val="single" w:sz="4" w:space="0" w:color="auto"/>
            </w:tcBorders>
            <w:vAlign w:val="center"/>
          </w:tcPr>
          <w:p w14:paraId="7362408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2000</w:t>
            </w:r>
          </w:p>
        </w:tc>
        <w:tc>
          <w:tcPr>
            <w:tcW w:w="1137" w:type="dxa"/>
            <w:tcBorders>
              <w:top w:val="nil"/>
              <w:left w:val="nil"/>
              <w:bottom w:val="single" w:sz="4" w:space="0" w:color="auto"/>
              <w:right w:val="single" w:sz="4" w:space="0" w:color="auto"/>
            </w:tcBorders>
            <w:vAlign w:val="center"/>
          </w:tcPr>
          <w:p w14:paraId="1B52F3E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Európa regionális földrajza</w:t>
            </w:r>
          </w:p>
        </w:tc>
        <w:tc>
          <w:tcPr>
            <w:tcW w:w="1134" w:type="dxa"/>
            <w:tcBorders>
              <w:top w:val="nil"/>
              <w:left w:val="nil"/>
              <w:bottom w:val="single" w:sz="4" w:space="0" w:color="auto"/>
              <w:right w:val="single" w:sz="4" w:space="0" w:color="auto"/>
            </w:tcBorders>
            <w:vAlign w:val="center"/>
          </w:tcPr>
          <w:p w14:paraId="5862E16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646EA82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ELTE Eötvös Kiadó</w:t>
            </w:r>
          </w:p>
        </w:tc>
        <w:tc>
          <w:tcPr>
            <w:tcW w:w="851" w:type="dxa"/>
            <w:tcBorders>
              <w:top w:val="nil"/>
              <w:left w:val="nil"/>
              <w:bottom w:val="single" w:sz="4" w:space="0" w:color="auto"/>
              <w:right w:val="single" w:sz="4" w:space="0" w:color="auto"/>
            </w:tcBorders>
            <w:vAlign w:val="center"/>
          </w:tcPr>
          <w:p w14:paraId="0436AC2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geography</w:t>
            </w:r>
          </w:p>
        </w:tc>
        <w:tc>
          <w:tcPr>
            <w:tcW w:w="993" w:type="dxa"/>
            <w:tcBorders>
              <w:top w:val="nil"/>
              <w:left w:val="nil"/>
              <w:bottom w:val="single" w:sz="4" w:space="0" w:color="auto"/>
              <w:right w:val="single" w:sz="4" w:space="0" w:color="auto"/>
            </w:tcBorders>
            <w:vAlign w:val="center"/>
          </w:tcPr>
          <w:p w14:paraId="40780E6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963 463 319 6</w:t>
            </w:r>
          </w:p>
        </w:tc>
        <w:tc>
          <w:tcPr>
            <w:tcW w:w="708" w:type="dxa"/>
            <w:tcBorders>
              <w:top w:val="nil"/>
              <w:left w:val="nil"/>
              <w:bottom w:val="single" w:sz="4" w:space="0" w:color="auto"/>
              <w:right w:val="single" w:sz="4" w:space="0" w:color="auto"/>
            </w:tcBorders>
            <w:vAlign w:val="center"/>
          </w:tcPr>
          <w:p w14:paraId="58CDF11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6FA5FCF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DE700E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1B528C"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As a university schoolbook it provides a regional geography overview of European countries’ ecologic, economic and demographic situation, grouping the countries into bigger regions.</w:t>
            </w:r>
          </w:p>
        </w:tc>
        <w:tc>
          <w:tcPr>
            <w:tcW w:w="2268" w:type="dxa"/>
            <w:tcBorders>
              <w:top w:val="nil"/>
              <w:left w:val="nil"/>
              <w:bottom w:val="single" w:sz="4" w:space="0" w:color="auto"/>
              <w:right w:val="single" w:sz="8" w:space="0" w:color="auto"/>
            </w:tcBorders>
            <w:vAlign w:val="center"/>
          </w:tcPr>
          <w:p w14:paraId="5D3AA584"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helps the delimitation of European subregions.</w:t>
            </w:r>
          </w:p>
        </w:tc>
      </w:tr>
      <w:tr w:rsidR="00555B5A" w:rsidRPr="0002056A" w14:paraId="2D397422" w14:textId="77777777" w:rsidTr="00D57247">
        <w:trPr>
          <w:trHeight w:val="8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999F277"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Qureshi, S. </w:t>
            </w:r>
          </w:p>
        </w:tc>
        <w:tc>
          <w:tcPr>
            <w:tcW w:w="705" w:type="dxa"/>
            <w:tcBorders>
              <w:top w:val="nil"/>
              <w:left w:val="nil"/>
              <w:bottom w:val="single" w:sz="4" w:space="0" w:color="auto"/>
              <w:right w:val="single" w:sz="4" w:space="0" w:color="auto"/>
            </w:tcBorders>
            <w:vAlign w:val="center"/>
            <w:hideMark/>
          </w:tcPr>
          <w:p w14:paraId="51F7AF8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2616726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adaptation for sustainable development: the information and communication technology (ICT) paradox</w:t>
            </w:r>
          </w:p>
        </w:tc>
        <w:tc>
          <w:tcPr>
            <w:tcW w:w="1134" w:type="dxa"/>
            <w:tcBorders>
              <w:top w:val="nil"/>
              <w:left w:val="nil"/>
              <w:bottom w:val="single" w:sz="4" w:space="0" w:color="auto"/>
              <w:right w:val="single" w:sz="4" w:space="0" w:color="auto"/>
            </w:tcBorders>
            <w:vAlign w:val="center"/>
            <w:hideMark/>
          </w:tcPr>
          <w:p w14:paraId="46301D3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3EDD45C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49CAE71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 climate adaptation policy</w:t>
            </w:r>
          </w:p>
        </w:tc>
        <w:tc>
          <w:tcPr>
            <w:tcW w:w="993" w:type="dxa"/>
            <w:tcBorders>
              <w:top w:val="nil"/>
              <w:left w:val="nil"/>
              <w:bottom w:val="single" w:sz="4" w:space="0" w:color="auto"/>
              <w:right w:val="single" w:sz="4" w:space="0" w:color="auto"/>
            </w:tcBorders>
            <w:vAlign w:val="center"/>
            <w:hideMark/>
          </w:tcPr>
          <w:p w14:paraId="08104A9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Information Technology for Development, 25:4, pp. 625-629, DOI: 10.1080/02681102.2019.1680164</w:t>
            </w:r>
          </w:p>
        </w:tc>
        <w:tc>
          <w:tcPr>
            <w:tcW w:w="708" w:type="dxa"/>
            <w:tcBorders>
              <w:top w:val="nil"/>
              <w:left w:val="nil"/>
              <w:bottom w:val="single" w:sz="4" w:space="0" w:color="auto"/>
              <w:right w:val="single" w:sz="4" w:space="0" w:color="auto"/>
            </w:tcBorders>
            <w:vAlign w:val="center"/>
            <w:hideMark/>
          </w:tcPr>
          <w:p w14:paraId="740AC95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CDAEED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608841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FC06117"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focuses on the role of ICTs in climate change and how they may be used to create positive adaptations to climate change.</w:t>
            </w:r>
          </w:p>
        </w:tc>
        <w:tc>
          <w:tcPr>
            <w:tcW w:w="2268" w:type="dxa"/>
            <w:tcBorders>
              <w:top w:val="nil"/>
              <w:left w:val="nil"/>
              <w:bottom w:val="single" w:sz="4" w:space="0" w:color="auto"/>
              <w:right w:val="single" w:sz="8" w:space="0" w:color="auto"/>
            </w:tcBorders>
            <w:vAlign w:val="center"/>
          </w:tcPr>
          <w:p w14:paraId="3259771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calls our attention to the growing importance of adaptation.</w:t>
            </w:r>
          </w:p>
        </w:tc>
      </w:tr>
      <w:tr w:rsidR="00555B5A" w:rsidRPr="0002056A" w14:paraId="0CF116CB" w14:textId="77777777" w:rsidTr="00D57247">
        <w:trPr>
          <w:trHeight w:val="8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1B6A1BE" w14:textId="2AB75BDA"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Randalls, S.</w:t>
            </w:r>
          </w:p>
        </w:tc>
        <w:tc>
          <w:tcPr>
            <w:tcW w:w="705" w:type="dxa"/>
            <w:tcBorders>
              <w:top w:val="nil"/>
              <w:left w:val="nil"/>
              <w:bottom w:val="single" w:sz="4" w:space="0" w:color="auto"/>
              <w:right w:val="single" w:sz="4" w:space="0" w:color="auto"/>
            </w:tcBorders>
            <w:vAlign w:val="center"/>
          </w:tcPr>
          <w:p w14:paraId="7667C9DD" w14:textId="14E321C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06B82D4F" w14:textId="581EE97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Contributions and perspectives from geography to the study of climate</w:t>
            </w:r>
          </w:p>
        </w:tc>
        <w:tc>
          <w:tcPr>
            <w:tcW w:w="1134" w:type="dxa"/>
            <w:tcBorders>
              <w:top w:val="nil"/>
              <w:left w:val="nil"/>
              <w:bottom w:val="single" w:sz="4" w:space="0" w:color="auto"/>
              <w:right w:val="single" w:sz="4" w:space="0" w:color="auto"/>
            </w:tcBorders>
            <w:vAlign w:val="center"/>
          </w:tcPr>
          <w:p w14:paraId="62AED34A" w14:textId="77A661B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67ECA26F" w14:textId="159DB3DA"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Royal Geographical Society</w:t>
            </w:r>
          </w:p>
        </w:tc>
        <w:tc>
          <w:tcPr>
            <w:tcW w:w="851" w:type="dxa"/>
            <w:tcBorders>
              <w:top w:val="nil"/>
              <w:left w:val="nil"/>
              <w:bottom w:val="single" w:sz="4" w:space="0" w:color="auto"/>
              <w:right w:val="single" w:sz="4" w:space="0" w:color="auto"/>
            </w:tcBorders>
            <w:vAlign w:val="center"/>
          </w:tcPr>
          <w:p w14:paraId="7C207362" w14:textId="4AD215C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6B0BE326" w14:textId="52771A0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WIRE’s Climate Change, </w:t>
            </w:r>
            <w:hyperlink r:id="rId184" w:tooltip="View Volume 8, Issue 4" w:history="1">
              <w:r w:rsidRPr="0002056A">
                <w:rPr>
                  <w:rFonts w:ascii="Georgia" w:eastAsia="Times New Roman" w:hAnsi="Georgia" w:cs="Times New Roman"/>
                  <w:color w:val="000000"/>
                  <w:sz w:val="10"/>
                  <w:szCs w:val="10"/>
                  <w:lang w:val="en-GB" w:eastAsia="hu-HU"/>
                </w:rPr>
                <w:t>Volume 8, Issue 4</w:t>
              </w:r>
            </w:hyperlink>
            <w:r w:rsidRPr="0002056A">
              <w:rPr>
                <w:rFonts w:ascii="Georgia" w:eastAsia="Times New Roman" w:hAnsi="Georgia" w:cs="Times New Roman"/>
                <w:color w:val="000000"/>
                <w:sz w:val="10"/>
                <w:szCs w:val="10"/>
                <w:lang w:val="en-GB" w:eastAsia="hu-HU"/>
              </w:rPr>
              <w:t>, July/August 2017</w:t>
            </w:r>
          </w:p>
          <w:p w14:paraId="03F7687F" w14:textId="783757D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hyperlink r:id="rId185" w:history="1">
              <w:r w:rsidRPr="0002056A">
                <w:rPr>
                  <w:rFonts w:ascii="Georgia" w:eastAsia="Times New Roman" w:hAnsi="Georgia" w:cs="Times New Roman"/>
                  <w:color w:val="000000"/>
                  <w:sz w:val="10"/>
                  <w:szCs w:val="10"/>
                  <w:lang w:val="en-GB" w:eastAsia="hu-HU"/>
                </w:rPr>
                <w:t>https://doi.org/10.1002/wcc.466</w:t>
              </w:r>
            </w:hyperlink>
          </w:p>
        </w:tc>
        <w:tc>
          <w:tcPr>
            <w:tcW w:w="708" w:type="dxa"/>
            <w:tcBorders>
              <w:top w:val="nil"/>
              <w:left w:val="nil"/>
              <w:bottom w:val="single" w:sz="4" w:space="0" w:color="auto"/>
              <w:right w:val="single" w:sz="4" w:space="0" w:color="auto"/>
            </w:tcBorders>
            <w:vAlign w:val="center"/>
          </w:tcPr>
          <w:p w14:paraId="45708736" w14:textId="2425ADE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08FFE981" w14:textId="548DD96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CADA6E5" w14:textId="60DB084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EAE8DF9" w14:textId="6A66D28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Geographers have played an important and sometimes controversial role in the study of climate during the 20th century, says the review that traces the historical contributions of geographical scholarship to the study of climate in two primary areas: statistical, descriptive climatology and research in climate and society.</w:t>
            </w:r>
          </w:p>
          <w:p w14:paraId="0CE87F67" w14:textId="0EEF209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t>
            </w:r>
          </w:p>
        </w:tc>
        <w:tc>
          <w:tcPr>
            <w:tcW w:w="2268" w:type="dxa"/>
            <w:tcBorders>
              <w:top w:val="nil"/>
              <w:left w:val="nil"/>
              <w:bottom w:val="single" w:sz="4" w:space="0" w:color="auto"/>
              <w:right w:val="single" w:sz="8" w:space="0" w:color="auto"/>
            </w:tcBorders>
            <w:vAlign w:val="center"/>
          </w:tcPr>
          <w:p w14:paraId="4E6C4E96" w14:textId="38BAC16C"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draws out the specifically geographical nature of climatological work in the 20th century, looking at the role of maps, classifications, and historical statistics in describing and potentially explaining climatic cycles, patterns, and processes. Geographers were keen to demonstrate the broader linkages between climate and the physical environment and humankind, such that applications of climatological expertise were crucial to economic development, imperialism and local scales, particularly the urban scale</w:t>
            </w:r>
          </w:p>
        </w:tc>
      </w:tr>
      <w:tr w:rsidR="00555B5A" w:rsidRPr="0002056A" w14:paraId="5BF4F23B" w14:textId="77777777" w:rsidTr="00D57247">
        <w:trPr>
          <w:trHeight w:val="8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2A31F05" w14:textId="2ACED136"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Rannow, S.; Loibl, W.; Greiving, S.; Gruehn, D.; Meyer, B.C.</w:t>
            </w:r>
          </w:p>
        </w:tc>
        <w:tc>
          <w:tcPr>
            <w:tcW w:w="705" w:type="dxa"/>
            <w:tcBorders>
              <w:top w:val="nil"/>
              <w:left w:val="nil"/>
              <w:bottom w:val="single" w:sz="4" w:space="0" w:color="auto"/>
              <w:right w:val="single" w:sz="4" w:space="0" w:color="auto"/>
            </w:tcBorders>
            <w:vAlign w:val="center"/>
          </w:tcPr>
          <w:p w14:paraId="06E9EBDF" w14:textId="400253A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570A7073" w14:textId="1185F04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Potential impacts of climate change in Germany – Identifying regional priorities for adaptation activities in spatial planning</w:t>
            </w:r>
          </w:p>
        </w:tc>
        <w:tc>
          <w:tcPr>
            <w:tcW w:w="1134" w:type="dxa"/>
            <w:tcBorders>
              <w:top w:val="nil"/>
              <w:left w:val="nil"/>
              <w:bottom w:val="single" w:sz="4" w:space="0" w:color="auto"/>
              <w:right w:val="single" w:sz="4" w:space="0" w:color="auto"/>
            </w:tcBorders>
            <w:vAlign w:val="center"/>
          </w:tcPr>
          <w:p w14:paraId="4688CC96" w14:textId="5F6620D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 GER, GER</w:t>
            </w:r>
          </w:p>
        </w:tc>
        <w:tc>
          <w:tcPr>
            <w:tcW w:w="708" w:type="dxa"/>
            <w:tcBorders>
              <w:top w:val="nil"/>
              <w:left w:val="nil"/>
              <w:bottom w:val="single" w:sz="4" w:space="0" w:color="auto"/>
              <w:right w:val="single" w:sz="4" w:space="0" w:color="auto"/>
            </w:tcBorders>
            <w:vAlign w:val="center"/>
          </w:tcPr>
          <w:p w14:paraId="091D640C" w14:textId="4205AD3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ScienceDirect</w:t>
            </w:r>
          </w:p>
        </w:tc>
        <w:tc>
          <w:tcPr>
            <w:tcW w:w="851" w:type="dxa"/>
            <w:tcBorders>
              <w:top w:val="nil"/>
              <w:left w:val="nil"/>
              <w:bottom w:val="single" w:sz="4" w:space="0" w:color="auto"/>
              <w:right w:val="single" w:sz="4" w:space="0" w:color="auto"/>
            </w:tcBorders>
            <w:vAlign w:val="center"/>
          </w:tcPr>
          <w:p w14:paraId="4793D3C3" w14:textId="62829F6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landscape planning, spatial planning</w:t>
            </w:r>
          </w:p>
        </w:tc>
        <w:tc>
          <w:tcPr>
            <w:tcW w:w="993" w:type="dxa"/>
            <w:tcBorders>
              <w:top w:val="nil"/>
              <w:left w:val="nil"/>
              <w:bottom w:val="single" w:sz="4" w:space="0" w:color="auto"/>
              <w:right w:val="single" w:sz="4" w:space="0" w:color="auto"/>
            </w:tcBorders>
            <w:vAlign w:val="center"/>
          </w:tcPr>
          <w:p w14:paraId="0D2FAA8C" w14:textId="30F4C41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Landscape and Urban Planning, Vol 98, Issues 3-4, December 2010, pp 160-171</w:t>
            </w:r>
          </w:p>
        </w:tc>
        <w:tc>
          <w:tcPr>
            <w:tcW w:w="708" w:type="dxa"/>
            <w:tcBorders>
              <w:top w:val="nil"/>
              <w:left w:val="nil"/>
              <w:bottom w:val="single" w:sz="4" w:space="0" w:color="auto"/>
              <w:right w:val="single" w:sz="4" w:space="0" w:color="auto"/>
            </w:tcBorders>
            <w:vAlign w:val="center"/>
          </w:tcPr>
          <w:p w14:paraId="78AE7401" w14:textId="6A14CA5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7A53E93" w14:textId="3AA3913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95E831D" w14:textId="3006155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9D8D716" w14:textId="1F487E1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Presentation of an assessment framework from exploring the impacts of climate change the context of spatial planning. The framework employs exposure, sensitivity and impact indicators, assessing 11 potential impacts with relevance for the German spatial planning system.</w:t>
            </w:r>
          </w:p>
        </w:tc>
        <w:tc>
          <w:tcPr>
            <w:tcW w:w="2268" w:type="dxa"/>
            <w:tcBorders>
              <w:top w:val="nil"/>
              <w:left w:val="nil"/>
              <w:bottom w:val="single" w:sz="4" w:space="0" w:color="auto"/>
              <w:right w:val="single" w:sz="8" w:space="0" w:color="auto"/>
            </w:tcBorders>
            <w:vAlign w:val="center"/>
          </w:tcPr>
          <w:p w14:paraId="4EC04208" w14:textId="51FC436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assessment provides information of the spatial distribution of potential climate impacts in Germany; the suggested framework says important information about climate adaptation’s spatial logic.</w:t>
            </w:r>
          </w:p>
        </w:tc>
      </w:tr>
      <w:tr w:rsidR="00555B5A" w:rsidRPr="0002056A" w14:paraId="7D6AF1A3" w14:textId="77777777" w:rsidTr="00D57247">
        <w:trPr>
          <w:trHeight w:val="88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01E81DC" w14:textId="477DA41B"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Ricci, L.; Mariano, C.</w:t>
            </w:r>
          </w:p>
        </w:tc>
        <w:tc>
          <w:tcPr>
            <w:tcW w:w="705" w:type="dxa"/>
            <w:tcBorders>
              <w:top w:val="nil"/>
              <w:left w:val="nil"/>
              <w:bottom w:val="single" w:sz="4" w:space="0" w:color="auto"/>
              <w:right w:val="single" w:sz="4" w:space="0" w:color="auto"/>
            </w:tcBorders>
            <w:vAlign w:val="center"/>
          </w:tcPr>
          <w:p w14:paraId="7D687CDB" w14:textId="2F68856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2C8AD6A5" w14:textId="5327CE4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Territorial governance and climate adaptation. Towards an environmental perspective of urban regeneration. </w:t>
            </w:r>
          </w:p>
        </w:tc>
        <w:tc>
          <w:tcPr>
            <w:tcW w:w="1134" w:type="dxa"/>
            <w:tcBorders>
              <w:top w:val="nil"/>
              <w:left w:val="nil"/>
              <w:bottom w:val="single" w:sz="4" w:space="0" w:color="auto"/>
              <w:right w:val="single" w:sz="4" w:space="0" w:color="auto"/>
            </w:tcBorders>
            <w:vAlign w:val="center"/>
          </w:tcPr>
          <w:p w14:paraId="65593FCC" w14:textId="4B53F46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ITA, ITA</w:t>
            </w:r>
          </w:p>
        </w:tc>
        <w:tc>
          <w:tcPr>
            <w:tcW w:w="708" w:type="dxa"/>
            <w:tcBorders>
              <w:top w:val="nil"/>
              <w:left w:val="nil"/>
              <w:bottom w:val="single" w:sz="4" w:space="0" w:color="auto"/>
              <w:right w:val="single" w:sz="4" w:space="0" w:color="auto"/>
            </w:tcBorders>
            <w:vAlign w:val="center"/>
          </w:tcPr>
          <w:p w14:paraId="2BF1565E" w14:textId="554B319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Gangemi Editore International</w:t>
            </w:r>
          </w:p>
        </w:tc>
        <w:tc>
          <w:tcPr>
            <w:tcW w:w="851" w:type="dxa"/>
            <w:tcBorders>
              <w:top w:val="nil"/>
              <w:left w:val="nil"/>
              <w:bottom w:val="single" w:sz="4" w:space="0" w:color="auto"/>
              <w:right w:val="single" w:sz="4" w:space="0" w:color="auto"/>
            </w:tcBorders>
            <w:vAlign w:val="center"/>
          </w:tcPr>
          <w:p w14:paraId="648B2525" w14:textId="2718EE3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491CE3D8" w14:textId="44C2732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WORLD</w:t>
            </w:r>
            <w:r w:rsidRPr="0002056A">
              <w:rPr>
                <w:rFonts w:ascii="Times New Roman" w:eastAsia="Times New Roman" w:hAnsi="Times New Roman" w:cs="Times New Roman"/>
                <w:color w:val="000000"/>
                <w:sz w:val="10"/>
                <w:szCs w:val="10"/>
                <w:lang w:val="en-GB" w:eastAsia="hu-HU"/>
              </w:rPr>
              <w:t> </w:t>
            </w:r>
            <w:r w:rsidRPr="0002056A">
              <w:rPr>
                <w:rFonts w:ascii="Georgia" w:eastAsia="Times New Roman" w:hAnsi="Georgia" w:cs="Times New Roman"/>
                <w:color w:val="000000"/>
                <w:sz w:val="10"/>
                <w:szCs w:val="10"/>
                <w:lang w:val="en-GB" w:eastAsia="hu-HU"/>
              </w:rPr>
              <w:t>HERITAGE and DWELLING ON EARTH pp. 439-449.02 Pubblicazione su volume:02a Capitolo o Articolo. ISBN 978-88-492-4647-6</w:t>
            </w:r>
          </w:p>
        </w:tc>
        <w:tc>
          <w:tcPr>
            <w:tcW w:w="708" w:type="dxa"/>
            <w:tcBorders>
              <w:top w:val="nil"/>
              <w:left w:val="nil"/>
              <w:bottom w:val="single" w:sz="4" w:space="0" w:color="auto"/>
              <w:right w:val="single" w:sz="4" w:space="0" w:color="auto"/>
            </w:tcBorders>
            <w:vAlign w:val="center"/>
          </w:tcPr>
          <w:p w14:paraId="745DA26B" w14:textId="652021E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72CD19D" w14:textId="1CC1E12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D725FDC" w14:textId="54E86D0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6364817" w14:textId="31F8913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urban regeneration</w:t>
            </w:r>
          </w:p>
          <w:p w14:paraId="47D43D02" w14:textId="726DA976"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and governance of the contemporary city from the ecological-environmental perspective.</w:t>
            </w:r>
          </w:p>
        </w:tc>
        <w:tc>
          <w:tcPr>
            <w:tcW w:w="2268" w:type="dxa"/>
            <w:tcBorders>
              <w:top w:val="nil"/>
              <w:left w:val="nil"/>
              <w:bottom w:val="single" w:sz="4" w:space="0" w:color="auto"/>
              <w:right w:val="single" w:sz="8" w:space="0" w:color="auto"/>
            </w:tcBorders>
            <w:vAlign w:val="center"/>
          </w:tcPr>
          <w:p w14:paraId="34355782" w14:textId="7179D8A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Ricci and Mariano analyse territorial governance’s role in climate adaptation, from the perspective of urban regeneration-related planning and development.</w:t>
            </w:r>
          </w:p>
        </w:tc>
      </w:tr>
      <w:tr w:rsidR="00555B5A" w:rsidRPr="0002056A" w14:paraId="08884B9D" w14:textId="77777777" w:rsidTr="00D57247">
        <w:trPr>
          <w:trHeight w:val="3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0291598"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Rittel, H.; Melvin, W. </w:t>
            </w:r>
          </w:p>
        </w:tc>
        <w:tc>
          <w:tcPr>
            <w:tcW w:w="705" w:type="dxa"/>
            <w:tcBorders>
              <w:top w:val="nil"/>
              <w:left w:val="nil"/>
              <w:bottom w:val="single" w:sz="4" w:space="0" w:color="auto"/>
              <w:right w:val="single" w:sz="4" w:space="0" w:color="auto"/>
            </w:tcBorders>
            <w:vAlign w:val="center"/>
            <w:hideMark/>
          </w:tcPr>
          <w:p w14:paraId="132E288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1973</w:t>
            </w:r>
          </w:p>
        </w:tc>
        <w:tc>
          <w:tcPr>
            <w:tcW w:w="1137" w:type="dxa"/>
            <w:tcBorders>
              <w:top w:val="nil"/>
              <w:left w:val="nil"/>
              <w:bottom w:val="single" w:sz="4" w:space="0" w:color="auto"/>
              <w:right w:val="single" w:sz="4" w:space="0" w:color="auto"/>
            </w:tcBorders>
            <w:vAlign w:val="center"/>
            <w:hideMark/>
          </w:tcPr>
          <w:p w14:paraId="6CD4D73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Dilemmas in a general theory of planning </w:t>
            </w:r>
          </w:p>
        </w:tc>
        <w:tc>
          <w:tcPr>
            <w:tcW w:w="1134" w:type="dxa"/>
            <w:tcBorders>
              <w:top w:val="nil"/>
              <w:left w:val="nil"/>
              <w:bottom w:val="single" w:sz="4" w:space="0" w:color="auto"/>
              <w:right w:val="single" w:sz="4" w:space="0" w:color="auto"/>
            </w:tcBorders>
            <w:vAlign w:val="center"/>
            <w:hideMark/>
          </w:tcPr>
          <w:p w14:paraId="3C5170F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hideMark/>
          </w:tcPr>
          <w:p w14:paraId="1B6668C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42CD651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w:t>
            </w:r>
          </w:p>
        </w:tc>
        <w:tc>
          <w:tcPr>
            <w:tcW w:w="993" w:type="dxa"/>
            <w:tcBorders>
              <w:top w:val="nil"/>
              <w:left w:val="nil"/>
              <w:bottom w:val="single" w:sz="4" w:space="0" w:color="auto"/>
              <w:right w:val="single" w:sz="4" w:space="0" w:color="auto"/>
            </w:tcBorders>
            <w:vAlign w:val="center"/>
            <w:hideMark/>
          </w:tcPr>
          <w:p w14:paraId="5CAD01C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sciences 4(2); pp.155–69.</w:t>
            </w:r>
          </w:p>
        </w:tc>
        <w:tc>
          <w:tcPr>
            <w:tcW w:w="708" w:type="dxa"/>
            <w:tcBorders>
              <w:top w:val="nil"/>
              <w:left w:val="nil"/>
              <w:bottom w:val="single" w:sz="4" w:space="0" w:color="auto"/>
              <w:right w:val="single" w:sz="4" w:space="0" w:color="auto"/>
            </w:tcBorders>
            <w:vAlign w:val="center"/>
            <w:hideMark/>
          </w:tcPr>
          <w:p w14:paraId="742AB70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5BCE2D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A57DED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80DFFC1"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searches for scientific bases for special social problems called wicked problems.</w:t>
            </w:r>
          </w:p>
        </w:tc>
        <w:tc>
          <w:tcPr>
            <w:tcW w:w="2268" w:type="dxa"/>
            <w:tcBorders>
              <w:top w:val="nil"/>
              <w:left w:val="nil"/>
              <w:bottom w:val="single" w:sz="4" w:space="0" w:color="auto"/>
              <w:right w:val="single" w:sz="8" w:space="0" w:color="auto"/>
            </w:tcBorders>
            <w:vAlign w:val="center"/>
          </w:tcPr>
          <w:p w14:paraId="4C197AC9"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problem of non-ergodic and wicked issues.</w:t>
            </w:r>
          </w:p>
        </w:tc>
      </w:tr>
      <w:tr w:rsidR="00555B5A" w:rsidRPr="0002056A" w14:paraId="0BE6D977"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FC96A4C"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Roggema R.</w:t>
            </w:r>
          </w:p>
        </w:tc>
        <w:tc>
          <w:tcPr>
            <w:tcW w:w="705" w:type="dxa"/>
            <w:tcBorders>
              <w:top w:val="nil"/>
              <w:left w:val="nil"/>
              <w:bottom w:val="single" w:sz="4" w:space="0" w:color="auto"/>
              <w:right w:val="single" w:sz="4" w:space="0" w:color="auto"/>
            </w:tcBorders>
            <w:vAlign w:val="center"/>
            <w:hideMark/>
          </w:tcPr>
          <w:p w14:paraId="1CFFE28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1FA1B40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to climate change: does spatial planning help? Swarm planning does!</w:t>
            </w:r>
          </w:p>
        </w:tc>
        <w:tc>
          <w:tcPr>
            <w:tcW w:w="1134" w:type="dxa"/>
            <w:tcBorders>
              <w:top w:val="nil"/>
              <w:left w:val="nil"/>
              <w:bottom w:val="single" w:sz="4" w:space="0" w:color="auto"/>
              <w:right w:val="single" w:sz="4" w:space="0" w:color="auto"/>
            </w:tcBorders>
            <w:vAlign w:val="center"/>
            <w:hideMark/>
          </w:tcPr>
          <w:p w14:paraId="198339D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w:t>
            </w:r>
          </w:p>
        </w:tc>
        <w:tc>
          <w:tcPr>
            <w:tcW w:w="708" w:type="dxa"/>
            <w:tcBorders>
              <w:top w:val="nil"/>
              <w:left w:val="nil"/>
              <w:bottom w:val="single" w:sz="4" w:space="0" w:color="auto"/>
              <w:right w:val="single" w:sz="4" w:space="0" w:color="auto"/>
            </w:tcBorders>
            <w:vAlign w:val="center"/>
            <w:hideMark/>
          </w:tcPr>
          <w:p w14:paraId="5A4FD9A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WIT</w:t>
            </w:r>
          </w:p>
        </w:tc>
        <w:tc>
          <w:tcPr>
            <w:tcW w:w="851" w:type="dxa"/>
            <w:tcBorders>
              <w:top w:val="nil"/>
              <w:left w:val="nil"/>
              <w:bottom w:val="single" w:sz="4" w:space="0" w:color="auto"/>
              <w:right w:val="single" w:sz="4" w:space="0" w:color="auto"/>
            </w:tcBorders>
            <w:vAlign w:val="center"/>
            <w:hideMark/>
          </w:tcPr>
          <w:p w14:paraId="445CE97A" w14:textId="0E4179A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climate adaptation planning</w:t>
            </w:r>
          </w:p>
        </w:tc>
        <w:tc>
          <w:tcPr>
            <w:tcW w:w="993" w:type="dxa"/>
            <w:tcBorders>
              <w:top w:val="nil"/>
              <w:left w:val="nil"/>
              <w:bottom w:val="single" w:sz="4" w:space="0" w:color="auto"/>
              <w:right w:val="single" w:sz="4" w:space="0" w:color="auto"/>
            </w:tcBorders>
            <w:vAlign w:val="center"/>
            <w:hideMark/>
          </w:tcPr>
          <w:p w14:paraId="3B75CE0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WIT Transactions on Ecology and the Environment, Vol 127, © 2009 WIT Press</w:t>
            </w:r>
            <w:r w:rsidRPr="0002056A">
              <w:rPr>
                <w:rFonts w:ascii="Georgia" w:eastAsia="Times New Roman" w:hAnsi="Georgia" w:cs="Times New Roman"/>
                <w:color w:val="000000"/>
                <w:sz w:val="10"/>
                <w:szCs w:val="10"/>
                <w:lang w:val="en-GB" w:eastAsia="hu-HU"/>
              </w:rPr>
              <w:br/>
              <w:t>doi:10.2495/RAV090141</w:t>
            </w:r>
          </w:p>
        </w:tc>
        <w:tc>
          <w:tcPr>
            <w:tcW w:w="708" w:type="dxa"/>
            <w:tcBorders>
              <w:top w:val="nil"/>
              <w:left w:val="nil"/>
              <w:bottom w:val="single" w:sz="4" w:space="0" w:color="auto"/>
              <w:right w:val="single" w:sz="4" w:space="0" w:color="auto"/>
            </w:tcBorders>
            <w:vAlign w:val="center"/>
            <w:hideMark/>
          </w:tcPr>
          <w:p w14:paraId="316EB5A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7F3C3F0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549FA0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20ACC1E" w14:textId="681B87F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the author, planning for the longer term is not yet common in spatial planning practice and as climate change appears as a long-term problem, the adaptation of society to climate change is not really facilitated by current spatial planning. The article focuses on the so-called hotspot climate proof Groningen. The content of climate proofing a region is investigated, and this resulted in the development of a new planning paradigm which enables planning for the longer term: swarm planning.</w:t>
            </w:r>
          </w:p>
        </w:tc>
        <w:tc>
          <w:tcPr>
            <w:tcW w:w="2268" w:type="dxa"/>
            <w:tcBorders>
              <w:top w:val="nil"/>
              <w:left w:val="nil"/>
              <w:bottom w:val="single" w:sz="4" w:space="0" w:color="auto"/>
              <w:right w:val="single" w:sz="8" w:space="0" w:color="auto"/>
            </w:tcBorders>
            <w:vAlign w:val="center"/>
          </w:tcPr>
          <w:p w14:paraId="33457D5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a new paradigm in spatial planning that could resonate with growing emphases on adaptation.</w:t>
            </w:r>
          </w:p>
        </w:tc>
      </w:tr>
      <w:tr w:rsidR="00555B5A" w:rsidRPr="0002056A" w14:paraId="48986CCE" w14:textId="77777777" w:rsidTr="00D57247">
        <w:trPr>
          <w:trHeight w:val="12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2314FB2"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Roggema R., Vermeend T., van den Dobbelsteen, A.</w:t>
            </w:r>
          </w:p>
        </w:tc>
        <w:tc>
          <w:tcPr>
            <w:tcW w:w="705" w:type="dxa"/>
            <w:tcBorders>
              <w:top w:val="nil"/>
              <w:left w:val="nil"/>
              <w:bottom w:val="single" w:sz="4" w:space="0" w:color="auto"/>
              <w:right w:val="single" w:sz="4" w:space="0" w:color="auto"/>
            </w:tcBorders>
            <w:vAlign w:val="center"/>
            <w:hideMark/>
          </w:tcPr>
          <w:p w14:paraId="28CB329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1661677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Incremental Change, Transition or Transformation?</w:t>
            </w:r>
            <w:r w:rsidRPr="0002056A">
              <w:rPr>
                <w:rFonts w:ascii="Georgia" w:eastAsia="Times New Roman" w:hAnsi="Georgia" w:cs="Times New Roman"/>
                <w:color w:val="000000"/>
                <w:sz w:val="10"/>
                <w:szCs w:val="10"/>
                <w:lang w:val="en-GB" w:eastAsia="hu-HU"/>
              </w:rPr>
              <w:br/>
              <w:t>Optimising Change Pathways for Climate Adaptation in</w:t>
            </w:r>
            <w:r w:rsidRPr="0002056A">
              <w:rPr>
                <w:rFonts w:ascii="Georgia" w:eastAsia="Times New Roman" w:hAnsi="Georgia" w:cs="Times New Roman"/>
                <w:color w:val="000000"/>
                <w:sz w:val="10"/>
                <w:szCs w:val="10"/>
                <w:lang w:val="en-GB" w:eastAsia="hu-HU"/>
              </w:rPr>
              <w:br/>
              <w:t>Spatial Planning</w:t>
            </w:r>
          </w:p>
        </w:tc>
        <w:tc>
          <w:tcPr>
            <w:tcW w:w="1134" w:type="dxa"/>
            <w:tcBorders>
              <w:top w:val="nil"/>
              <w:left w:val="nil"/>
              <w:bottom w:val="single" w:sz="4" w:space="0" w:color="auto"/>
              <w:right w:val="single" w:sz="4" w:space="0" w:color="auto"/>
            </w:tcBorders>
            <w:vAlign w:val="center"/>
            <w:hideMark/>
          </w:tcPr>
          <w:p w14:paraId="31C9E23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w:t>
            </w:r>
          </w:p>
        </w:tc>
        <w:tc>
          <w:tcPr>
            <w:tcW w:w="708" w:type="dxa"/>
            <w:tcBorders>
              <w:top w:val="nil"/>
              <w:left w:val="nil"/>
              <w:bottom w:val="single" w:sz="4" w:space="0" w:color="auto"/>
              <w:right w:val="single" w:sz="4" w:space="0" w:color="auto"/>
            </w:tcBorders>
            <w:vAlign w:val="center"/>
            <w:hideMark/>
          </w:tcPr>
          <w:p w14:paraId="28F8507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MDPI, Basel, Switzerland</w:t>
            </w:r>
          </w:p>
        </w:tc>
        <w:tc>
          <w:tcPr>
            <w:tcW w:w="851" w:type="dxa"/>
            <w:tcBorders>
              <w:top w:val="nil"/>
              <w:left w:val="nil"/>
              <w:bottom w:val="single" w:sz="4" w:space="0" w:color="auto"/>
              <w:right w:val="single" w:sz="4" w:space="0" w:color="auto"/>
            </w:tcBorders>
            <w:hideMark/>
          </w:tcPr>
          <w:p w14:paraId="5933C211" w14:textId="78659E8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climate adaptation planning</w:t>
            </w:r>
          </w:p>
        </w:tc>
        <w:tc>
          <w:tcPr>
            <w:tcW w:w="993" w:type="dxa"/>
            <w:tcBorders>
              <w:top w:val="nil"/>
              <w:left w:val="nil"/>
              <w:bottom w:val="single" w:sz="4" w:space="0" w:color="auto"/>
              <w:right w:val="single" w:sz="4" w:space="0" w:color="auto"/>
            </w:tcBorders>
            <w:vAlign w:val="center"/>
            <w:hideMark/>
          </w:tcPr>
          <w:p w14:paraId="31A8E20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Sustainability 2012, 4, 2525-2549; doi:10.3390/su4102525</w:t>
            </w:r>
            <w:r w:rsidRPr="0002056A">
              <w:rPr>
                <w:rFonts w:ascii="Georgia" w:eastAsia="Times New Roman" w:hAnsi="Georgia" w:cs="Times New Roman"/>
                <w:color w:val="000000"/>
                <w:sz w:val="10"/>
                <w:szCs w:val="10"/>
                <w:lang w:val="en-GB" w:eastAsia="hu-HU"/>
              </w:rPr>
              <w:br/>
              <w:t>sustainability</w:t>
            </w:r>
            <w:r w:rsidRPr="0002056A">
              <w:rPr>
                <w:rFonts w:ascii="Georgia" w:eastAsia="Times New Roman" w:hAnsi="Georgia" w:cs="Times New Roman"/>
                <w:color w:val="000000"/>
                <w:sz w:val="10"/>
                <w:szCs w:val="10"/>
                <w:lang w:val="en-GB" w:eastAsia="hu-HU"/>
              </w:rPr>
              <w:br/>
              <w:t>ISSN 2071-1050</w:t>
            </w:r>
            <w:r w:rsidRPr="0002056A">
              <w:rPr>
                <w:rFonts w:ascii="Georgia" w:eastAsia="Times New Roman" w:hAnsi="Georgia" w:cs="Times New Roman"/>
                <w:color w:val="000000"/>
                <w:sz w:val="10"/>
                <w:szCs w:val="10"/>
                <w:lang w:val="en-GB" w:eastAsia="hu-HU"/>
              </w:rPr>
              <w:br/>
            </w:r>
            <w:hyperlink r:id="rId186" w:history="1">
              <w:r w:rsidRPr="0002056A">
                <w:rPr>
                  <w:rStyle w:val="Hiperhivatkozs"/>
                  <w:rFonts w:ascii="Georgia" w:eastAsia="Times New Roman" w:hAnsi="Georgia" w:cs="Times New Roman"/>
                  <w:sz w:val="10"/>
                  <w:szCs w:val="10"/>
                  <w:lang w:val="en-GB" w:eastAsia="hu-HU"/>
                </w:rPr>
                <w:t>www.mdpi.com/journal/sustainability</w:t>
              </w:r>
            </w:hyperlink>
          </w:p>
        </w:tc>
        <w:tc>
          <w:tcPr>
            <w:tcW w:w="708" w:type="dxa"/>
            <w:tcBorders>
              <w:top w:val="nil"/>
              <w:left w:val="nil"/>
              <w:bottom w:val="single" w:sz="4" w:space="0" w:color="auto"/>
              <w:right w:val="single" w:sz="4" w:space="0" w:color="auto"/>
            </w:tcBorders>
            <w:vAlign w:val="center"/>
            <w:hideMark/>
          </w:tcPr>
          <w:p w14:paraId="36F467A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9388F1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9D5312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CB84E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order to incorporate climate adaptation in spatial planning change is required, because climate change impacts the way we live. This implies that spatial planning, as the arranger of the spatial organisation and layout needs to be able to support this change. Current spatial planning is not yet well equipped to play this role. In this research article three possible routes to navigate change are explored. Incremental change is seen as a slow process, which modifies the landscape only slightly. Transition is seen as a fluent change towards a new future, which is an improved version of the existing; and transformation is seen as a change towards a future that is fundamentally different from the existing.</w:t>
            </w:r>
          </w:p>
        </w:tc>
        <w:tc>
          <w:tcPr>
            <w:tcW w:w="2268" w:type="dxa"/>
            <w:tcBorders>
              <w:top w:val="nil"/>
              <w:left w:val="nil"/>
              <w:bottom w:val="single" w:sz="4" w:space="0" w:color="auto"/>
              <w:right w:val="single" w:sz="8" w:space="0" w:color="auto"/>
            </w:tcBorders>
            <w:vAlign w:val="center"/>
          </w:tcPr>
          <w:p w14:paraId="44B7572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new directions in spatial planning that could resonate with growing emphases on adaptation.</w:t>
            </w:r>
          </w:p>
        </w:tc>
      </w:tr>
      <w:tr w:rsidR="00555B5A" w:rsidRPr="0002056A" w14:paraId="5DB5719D" w14:textId="77777777" w:rsidTr="00D57247">
        <w:trPr>
          <w:trHeight w:val="13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A9306A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Roggema, R.</w:t>
            </w:r>
          </w:p>
        </w:tc>
        <w:tc>
          <w:tcPr>
            <w:tcW w:w="705" w:type="dxa"/>
            <w:tcBorders>
              <w:top w:val="nil"/>
              <w:left w:val="nil"/>
              <w:bottom w:val="single" w:sz="4" w:space="0" w:color="auto"/>
              <w:right w:val="single" w:sz="4" w:space="0" w:color="auto"/>
            </w:tcBorders>
            <w:vAlign w:val="center"/>
            <w:hideMark/>
          </w:tcPr>
          <w:p w14:paraId="1573437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hideMark/>
          </w:tcPr>
          <w:p w14:paraId="01F0A77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Adaptation to Climate Change: A Spatial Challenge. </w:t>
            </w:r>
          </w:p>
        </w:tc>
        <w:tc>
          <w:tcPr>
            <w:tcW w:w="1134" w:type="dxa"/>
            <w:tcBorders>
              <w:top w:val="nil"/>
              <w:left w:val="nil"/>
              <w:bottom w:val="single" w:sz="4" w:space="0" w:color="auto"/>
              <w:right w:val="single" w:sz="4" w:space="0" w:color="auto"/>
            </w:tcBorders>
            <w:vAlign w:val="center"/>
            <w:hideMark/>
          </w:tcPr>
          <w:p w14:paraId="08555BA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w:t>
            </w:r>
          </w:p>
        </w:tc>
        <w:tc>
          <w:tcPr>
            <w:tcW w:w="708" w:type="dxa"/>
            <w:tcBorders>
              <w:top w:val="nil"/>
              <w:left w:val="nil"/>
              <w:bottom w:val="single" w:sz="4" w:space="0" w:color="auto"/>
              <w:right w:val="single" w:sz="4" w:space="0" w:color="auto"/>
            </w:tcBorders>
            <w:vAlign w:val="center"/>
            <w:hideMark/>
          </w:tcPr>
          <w:p w14:paraId="4DA9937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 Dordrecht Heidelberg London New York</w:t>
            </w:r>
          </w:p>
        </w:tc>
        <w:tc>
          <w:tcPr>
            <w:tcW w:w="851" w:type="dxa"/>
            <w:tcBorders>
              <w:top w:val="nil"/>
              <w:left w:val="nil"/>
              <w:bottom w:val="single" w:sz="4" w:space="0" w:color="auto"/>
              <w:right w:val="single" w:sz="4" w:space="0" w:color="auto"/>
            </w:tcBorders>
            <w:hideMark/>
          </w:tcPr>
          <w:p w14:paraId="7D8C55B3" w14:textId="5223792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climate adaptation planning</w:t>
            </w:r>
          </w:p>
        </w:tc>
        <w:tc>
          <w:tcPr>
            <w:tcW w:w="993" w:type="dxa"/>
            <w:tcBorders>
              <w:top w:val="nil"/>
              <w:left w:val="nil"/>
              <w:bottom w:val="single" w:sz="4" w:space="0" w:color="auto"/>
              <w:right w:val="single" w:sz="4" w:space="0" w:color="auto"/>
            </w:tcBorders>
            <w:vAlign w:val="center"/>
            <w:hideMark/>
          </w:tcPr>
          <w:p w14:paraId="0BC0BE8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978-1-4020-9358-6 e-ISBN 978-1-4020-9359-3</w:t>
            </w:r>
            <w:r w:rsidRPr="0002056A">
              <w:rPr>
                <w:rFonts w:ascii="Georgia" w:eastAsia="Times New Roman" w:hAnsi="Georgia" w:cs="Times New Roman"/>
                <w:color w:val="000000"/>
                <w:sz w:val="10"/>
                <w:szCs w:val="10"/>
                <w:lang w:val="en-GB" w:eastAsia="hu-HU"/>
              </w:rPr>
              <w:br/>
              <w:t>DOI 10.1007/978-1-4020-9359-3</w:t>
            </w:r>
            <w:r w:rsidRPr="0002056A">
              <w:rPr>
                <w:rFonts w:ascii="Georgia" w:eastAsia="Times New Roman" w:hAnsi="Georgia" w:cs="Times New Roman"/>
                <w:color w:val="000000"/>
                <w:sz w:val="10"/>
                <w:szCs w:val="10"/>
                <w:lang w:val="en-GB" w:eastAsia="hu-HU"/>
              </w:rPr>
              <w:br/>
              <w:t>Library of Congress Control Number: 2009929308</w:t>
            </w:r>
            <w:r w:rsidRPr="0002056A">
              <w:rPr>
                <w:rFonts w:ascii="Georgia" w:eastAsia="Times New Roman" w:hAnsi="Georgia" w:cs="Times New Roman"/>
                <w:color w:val="000000"/>
                <w:sz w:val="10"/>
                <w:szCs w:val="10"/>
                <w:lang w:val="en-GB" w:eastAsia="hu-HU"/>
              </w:rPr>
              <w:br/>
              <w:t>© Springer Science+Business Media B.V. 2009</w:t>
            </w:r>
          </w:p>
        </w:tc>
        <w:tc>
          <w:tcPr>
            <w:tcW w:w="708" w:type="dxa"/>
            <w:tcBorders>
              <w:top w:val="nil"/>
              <w:left w:val="nil"/>
              <w:bottom w:val="single" w:sz="4" w:space="0" w:color="auto"/>
              <w:right w:val="single" w:sz="4" w:space="0" w:color="auto"/>
            </w:tcBorders>
            <w:vAlign w:val="center"/>
            <w:hideMark/>
          </w:tcPr>
          <w:p w14:paraId="7C58DB6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77E5493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236C4A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A24313B" w14:textId="0D26887E" w:rsidR="00555B5A" w:rsidRPr="0002056A" w:rsidRDefault="00555B5A" w:rsidP="00555B5A">
            <w:pPr>
              <w:pBdr>
                <w:top w:val="single" w:sz="6" w:space="12" w:color="EEEEEE"/>
              </w:pBd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examines the role of design in dealing with climate change adaptation and overviews plans and designs regarding diverse sections of policy. It offers an insight into the required integrated (design) approach and illuminates the first contours of a new spatial planning paradigm: swarm planning</w:t>
            </w:r>
          </w:p>
        </w:tc>
        <w:tc>
          <w:tcPr>
            <w:tcW w:w="2268" w:type="dxa"/>
            <w:tcBorders>
              <w:top w:val="nil"/>
              <w:left w:val="nil"/>
              <w:bottom w:val="single" w:sz="4" w:space="0" w:color="auto"/>
              <w:right w:val="single" w:sz="8" w:space="0" w:color="auto"/>
            </w:tcBorders>
            <w:vAlign w:val="center"/>
          </w:tcPr>
          <w:p w14:paraId="5981A575"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a new paradigm in spatial planning that could resonate with growing emphases on adaptation.</w:t>
            </w:r>
          </w:p>
        </w:tc>
      </w:tr>
      <w:tr w:rsidR="00555B5A" w:rsidRPr="0002056A" w14:paraId="62F50E58" w14:textId="77777777" w:rsidTr="00D57247">
        <w:trPr>
          <w:trHeight w:val="13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B427549" w14:textId="4623A89A"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Roggema, R. (ed)</w:t>
            </w:r>
          </w:p>
        </w:tc>
        <w:tc>
          <w:tcPr>
            <w:tcW w:w="705" w:type="dxa"/>
            <w:tcBorders>
              <w:top w:val="nil"/>
              <w:left w:val="nil"/>
              <w:bottom w:val="single" w:sz="4" w:space="0" w:color="auto"/>
              <w:right w:val="single" w:sz="4" w:space="0" w:color="auto"/>
            </w:tcBorders>
            <w:vAlign w:val="center"/>
          </w:tcPr>
          <w:p w14:paraId="5F9A4031" w14:textId="008D6AC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tcPr>
          <w:p w14:paraId="3B9D8D5D" w14:textId="46ECC87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Swarming Landscapes – The Art of Designing for Climate adaptation</w:t>
            </w:r>
          </w:p>
        </w:tc>
        <w:tc>
          <w:tcPr>
            <w:tcW w:w="1134" w:type="dxa"/>
            <w:tcBorders>
              <w:top w:val="nil"/>
              <w:left w:val="nil"/>
              <w:bottom w:val="single" w:sz="4" w:space="0" w:color="auto"/>
              <w:right w:val="single" w:sz="4" w:space="0" w:color="auto"/>
            </w:tcBorders>
            <w:vAlign w:val="center"/>
          </w:tcPr>
          <w:p w14:paraId="26450267" w14:textId="49A4F75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w:t>
            </w:r>
          </w:p>
        </w:tc>
        <w:tc>
          <w:tcPr>
            <w:tcW w:w="708" w:type="dxa"/>
            <w:tcBorders>
              <w:top w:val="nil"/>
              <w:left w:val="nil"/>
              <w:bottom w:val="single" w:sz="4" w:space="0" w:color="auto"/>
              <w:right w:val="single" w:sz="4" w:space="0" w:color="auto"/>
            </w:tcBorders>
            <w:vAlign w:val="center"/>
          </w:tcPr>
          <w:p w14:paraId="4079E62F" w14:textId="264FBC1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1F807ED4" w14:textId="7CFA98D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land use planning climate adaptation planning</w:t>
            </w:r>
          </w:p>
        </w:tc>
        <w:tc>
          <w:tcPr>
            <w:tcW w:w="993" w:type="dxa"/>
            <w:tcBorders>
              <w:top w:val="nil"/>
              <w:left w:val="nil"/>
              <w:bottom w:val="single" w:sz="4" w:space="0" w:color="auto"/>
              <w:right w:val="single" w:sz="4" w:space="0" w:color="auto"/>
            </w:tcBorders>
            <w:vAlign w:val="center"/>
          </w:tcPr>
          <w:p w14:paraId="1F8E581F" w14:textId="1686CB5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Advances in Global change Research Vol 48</w:t>
            </w:r>
          </w:p>
        </w:tc>
        <w:tc>
          <w:tcPr>
            <w:tcW w:w="708" w:type="dxa"/>
            <w:tcBorders>
              <w:top w:val="nil"/>
              <w:left w:val="nil"/>
              <w:bottom w:val="single" w:sz="4" w:space="0" w:color="auto"/>
              <w:right w:val="single" w:sz="4" w:space="0" w:color="auto"/>
            </w:tcBorders>
            <w:vAlign w:val="center"/>
          </w:tcPr>
          <w:p w14:paraId="32D74D38" w14:textId="4173ECD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tcPr>
          <w:p w14:paraId="08BA1A6A" w14:textId="6279A27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6940968" w14:textId="1BFCB6F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839BDC3" w14:textId="676C5731" w:rsidR="00555B5A" w:rsidRPr="0002056A" w:rsidRDefault="00555B5A" w:rsidP="00555B5A">
            <w:pPr>
              <w:pBdr>
                <w:top w:val="single" w:sz="6" w:space="12" w:color="EEEEEE"/>
              </w:pBd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book is an essential analysis of planning systems in genuine need of reform, featuring practical examples of ‘swarm’ planning. It is supported by examples from various European countries, four different planning strategies (planning for mitigation, sectored adaptation, integrated adaptation and flexible adaptation) are positioned within the framework. </w:t>
            </w:r>
          </w:p>
        </w:tc>
        <w:tc>
          <w:tcPr>
            <w:tcW w:w="2268" w:type="dxa"/>
            <w:tcBorders>
              <w:top w:val="nil"/>
              <w:left w:val="nil"/>
              <w:bottom w:val="single" w:sz="4" w:space="0" w:color="auto"/>
              <w:right w:val="single" w:sz="8" w:space="0" w:color="auto"/>
            </w:tcBorders>
            <w:vAlign w:val="center"/>
          </w:tcPr>
          <w:p w14:paraId="72EE947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spatial planning role in climate adaptation activities.</w:t>
            </w:r>
          </w:p>
          <w:p w14:paraId="3A31B9A8" w14:textId="789D264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concludes that each of these strategies fills its own niche in the framework, that all strategies together describe the behaviour of a complex system and that flexible adaptation planning is most likely to facilitate a system change. When this reasoning is reversed and the question concerns which planning strategy fits in best with the demands imposed by climatic change (e.g. for a system change), flexible adaptation planning is seen as the most suitable option</w:t>
            </w:r>
          </w:p>
        </w:tc>
      </w:tr>
      <w:tr w:rsidR="00555B5A" w:rsidRPr="0002056A" w14:paraId="07632427" w14:textId="77777777" w:rsidTr="00D57247">
        <w:trPr>
          <w:trHeight w:val="132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4D47465"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Romero Lankao, P., Dodman D. </w:t>
            </w:r>
          </w:p>
          <w:p w14:paraId="358210CC"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9CB2E3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62B9A29D" w14:textId="0FD4DEA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Cities in transition: transforming urban centres from hotbeds of GHG emission and vulnerability to seedbeds of sustainability and resilience. </w:t>
            </w:r>
          </w:p>
        </w:tc>
        <w:tc>
          <w:tcPr>
            <w:tcW w:w="1134" w:type="dxa"/>
            <w:tcBorders>
              <w:top w:val="nil"/>
              <w:left w:val="nil"/>
              <w:bottom w:val="single" w:sz="4" w:space="0" w:color="auto"/>
              <w:right w:val="single" w:sz="4" w:space="0" w:color="auto"/>
            </w:tcBorders>
            <w:vAlign w:val="center"/>
          </w:tcPr>
          <w:p w14:paraId="06A053A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UKG</w:t>
            </w:r>
          </w:p>
        </w:tc>
        <w:tc>
          <w:tcPr>
            <w:tcW w:w="708" w:type="dxa"/>
            <w:tcBorders>
              <w:top w:val="nil"/>
              <w:left w:val="nil"/>
              <w:bottom w:val="single" w:sz="4" w:space="0" w:color="auto"/>
              <w:right w:val="single" w:sz="4" w:space="0" w:color="auto"/>
            </w:tcBorders>
            <w:vAlign w:val="center"/>
          </w:tcPr>
          <w:p w14:paraId="4FB6EA3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3745108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sustainable development, environmental economy, climate adaptation</w:t>
            </w:r>
          </w:p>
        </w:tc>
        <w:tc>
          <w:tcPr>
            <w:tcW w:w="993" w:type="dxa"/>
            <w:tcBorders>
              <w:top w:val="nil"/>
              <w:left w:val="nil"/>
              <w:bottom w:val="single" w:sz="4" w:space="0" w:color="auto"/>
              <w:right w:val="single" w:sz="4" w:space="0" w:color="auto"/>
            </w:tcBorders>
            <w:vAlign w:val="center"/>
          </w:tcPr>
          <w:p w14:paraId="6F99151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Current Opinion in Environmental Sustainability Vol 3 Issue 3: 113–120.</w:t>
            </w:r>
          </w:p>
        </w:tc>
        <w:tc>
          <w:tcPr>
            <w:tcW w:w="708" w:type="dxa"/>
            <w:tcBorders>
              <w:top w:val="nil"/>
              <w:left w:val="nil"/>
              <w:bottom w:val="single" w:sz="4" w:space="0" w:color="auto"/>
              <w:right w:val="single" w:sz="4" w:space="0" w:color="auto"/>
            </w:tcBorders>
            <w:vAlign w:val="center"/>
          </w:tcPr>
          <w:p w14:paraId="5ECAF6B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B67789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B88FAF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1118B1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overview paper draws on the papers in this issue (as well as a wider array of literature) to provide an analytical review of the carbon and climate relevance of urbanization and of some of the interactions between urbanization and global environmental change. The authors’ insights are used to inform a more general set of reflections on the nature of urban and environmental change, and the linkages between the two. Three over-arching themes are identified: the centrality of vulnerability and resilience as concepts shaping urban responses to climate change; the growing recognition of the role of specific governance mechanisms and systems at different scales in shaping the design and implementation of responses; and the particularities, cross-cutting issues and connections between cities from different regions (e.g., Europe, East Africa) in addressing this challenge.</w:t>
            </w:r>
          </w:p>
        </w:tc>
        <w:tc>
          <w:tcPr>
            <w:tcW w:w="2268" w:type="dxa"/>
            <w:tcBorders>
              <w:top w:val="nil"/>
              <w:left w:val="nil"/>
              <w:bottom w:val="single" w:sz="4" w:space="0" w:color="auto"/>
              <w:right w:val="single" w:sz="8" w:space="0" w:color="auto"/>
            </w:tcBorders>
            <w:vAlign w:val="center"/>
          </w:tcPr>
          <w:p w14:paraId="69128AC9" w14:textId="3E46CD9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underlines that cities globally face significant risks from climate change and are taking an active role in formulating and implementing climate adaptation policies.</w:t>
            </w:r>
          </w:p>
        </w:tc>
      </w:tr>
      <w:tr w:rsidR="00555B5A" w:rsidRPr="0002056A" w14:paraId="21851AB6"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16EAB90"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Rosenau, J.N.</w:t>
            </w:r>
          </w:p>
        </w:tc>
        <w:tc>
          <w:tcPr>
            <w:tcW w:w="705" w:type="dxa"/>
            <w:tcBorders>
              <w:top w:val="nil"/>
              <w:left w:val="nil"/>
              <w:bottom w:val="single" w:sz="4" w:space="0" w:color="auto"/>
              <w:right w:val="single" w:sz="4" w:space="0" w:color="auto"/>
            </w:tcBorders>
            <w:vAlign w:val="center"/>
            <w:hideMark/>
          </w:tcPr>
          <w:p w14:paraId="0DB85A0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1995</w:t>
            </w:r>
          </w:p>
        </w:tc>
        <w:tc>
          <w:tcPr>
            <w:tcW w:w="1137" w:type="dxa"/>
            <w:tcBorders>
              <w:top w:val="nil"/>
              <w:left w:val="nil"/>
              <w:bottom w:val="single" w:sz="4" w:space="0" w:color="auto"/>
              <w:right w:val="single" w:sz="4" w:space="0" w:color="auto"/>
            </w:tcBorders>
            <w:vAlign w:val="center"/>
            <w:hideMark/>
          </w:tcPr>
          <w:p w14:paraId="74637B0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Governance in the Twenty-first century.</w:t>
            </w:r>
          </w:p>
        </w:tc>
        <w:tc>
          <w:tcPr>
            <w:tcW w:w="1134" w:type="dxa"/>
            <w:tcBorders>
              <w:top w:val="nil"/>
              <w:left w:val="nil"/>
              <w:bottom w:val="single" w:sz="4" w:space="0" w:color="auto"/>
              <w:right w:val="single" w:sz="4" w:space="0" w:color="auto"/>
            </w:tcBorders>
            <w:vAlign w:val="center"/>
            <w:hideMark/>
          </w:tcPr>
          <w:p w14:paraId="27741D9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2C9F075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Brill</w:t>
            </w:r>
          </w:p>
        </w:tc>
        <w:tc>
          <w:tcPr>
            <w:tcW w:w="851" w:type="dxa"/>
            <w:tcBorders>
              <w:top w:val="nil"/>
              <w:left w:val="nil"/>
              <w:bottom w:val="single" w:sz="4" w:space="0" w:color="auto"/>
              <w:right w:val="single" w:sz="4" w:space="0" w:color="auto"/>
            </w:tcBorders>
            <w:vAlign w:val="center"/>
            <w:hideMark/>
          </w:tcPr>
          <w:p w14:paraId="6BE948E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hideMark/>
          </w:tcPr>
          <w:p w14:paraId="6F9EBDE0" w14:textId="70355B0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Global Governance Vol. 1, No. 1 (Winter 1995), pp. 13-43 (31 pages)</w:t>
            </w:r>
          </w:p>
        </w:tc>
        <w:tc>
          <w:tcPr>
            <w:tcW w:w="708" w:type="dxa"/>
            <w:tcBorders>
              <w:top w:val="nil"/>
              <w:left w:val="nil"/>
              <w:bottom w:val="single" w:sz="4" w:space="0" w:color="auto"/>
              <w:right w:val="single" w:sz="4" w:space="0" w:color="auto"/>
            </w:tcBorders>
            <w:vAlign w:val="center"/>
            <w:hideMark/>
          </w:tcPr>
          <w:p w14:paraId="37E7333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3BA55E3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21B25A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680B68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describes the expected prospects of global governance in the coming decades at the beginning of the 1990s.</w:t>
            </w:r>
          </w:p>
        </w:tc>
        <w:tc>
          <w:tcPr>
            <w:tcW w:w="2268" w:type="dxa"/>
            <w:tcBorders>
              <w:top w:val="nil"/>
              <w:left w:val="nil"/>
              <w:bottom w:val="single" w:sz="4" w:space="0" w:color="auto"/>
              <w:right w:val="single" w:sz="8" w:space="0" w:color="auto"/>
            </w:tcBorders>
            <w:vAlign w:val="center"/>
          </w:tcPr>
          <w:p w14:paraId="42E68B91" w14:textId="5494CCC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articles offer useful definitions for governance and introduce global trends in world politics and changing role of territorial levels.</w:t>
            </w:r>
          </w:p>
        </w:tc>
      </w:tr>
      <w:tr w:rsidR="00555B5A" w:rsidRPr="0002056A" w14:paraId="4B79F764" w14:textId="77777777" w:rsidTr="00D57247">
        <w:trPr>
          <w:trHeight w:val="108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A5E7437"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Rosenau, J.N.</w:t>
            </w:r>
          </w:p>
        </w:tc>
        <w:tc>
          <w:tcPr>
            <w:tcW w:w="705" w:type="dxa"/>
            <w:tcBorders>
              <w:top w:val="nil"/>
              <w:left w:val="nil"/>
              <w:bottom w:val="single" w:sz="4" w:space="0" w:color="auto"/>
              <w:right w:val="single" w:sz="4" w:space="0" w:color="auto"/>
            </w:tcBorders>
            <w:vAlign w:val="center"/>
            <w:hideMark/>
          </w:tcPr>
          <w:p w14:paraId="649D090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1992</w:t>
            </w:r>
          </w:p>
        </w:tc>
        <w:tc>
          <w:tcPr>
            <w:tcW w:w="1137" w:type="dxa"/>
            <w:tcBorders>
              <w:top w:val="nil"/>
              <w:left w:val="nil"/>
              <w:bottom w:val="single" w:sz="4" w:space="0" w:color="auto"/>
              <w:right w:val="single" w:sz="4" w:space="0" w:color="auto"/>
            </w:tcBorders>
            <w:vAlign w:val="center"/>
            <w:hideMark/>
          </w:tcPr>
          <w:p w14:paraId="776FD0A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Governance, Order and change in World Politics.</w:t>
            </w:r>
          </w:p>
        </w:tc>
        <w:tc>
          <w:tcPr>
            <w:tcW w:w="1134" w:type="dxa"/>
            <w:tcBorders>
              <w:top w:val="nil"/>
              <w:left w:val="nil"/>
              <w:bottom w:val="single" w:sz="4" w:space="0" w:color="auto"/>
              <w:right w:val="single" w:sz="4" w:space="0" w:color="auto"/>
            </w:tcBorders>
            <w:vAlign w:val="center"/>
            <w:hideMark/>
          </w:tcPr>
          <w:p w14:paraId="17A41CE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0DF50D4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 Press</w:t>
            </w:r>
          </w:p>
        </w:tc>
        <w:tc>
          <w:tcPr>
            <w:tcW w:w="851" w:type="dxa"/>
            <w:tcBorders>
              <w:top w:val="nil"/>
              <w:left w:val="nil"/>
              <w:bottom w:val="single" w:sz="4" w:space="0" w:color="auto"/>
              <w:right w:val="single" w:sz="4" w:space="0" w:color="auto"/>
            </w:tcBorders>
            <w:vAlign w:val="center"/>
            <w:hideMark/>
          </w:tcPr>
          <w:p w14:paraId="0D0C1ED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hideMark/>
          </w:tcPr>
          <w:p w14:paraId="2507C5BF" w14:textId="5CBEB6E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James N. Rosenau</w:t>
            </w:r>
            <w:r>
              <w:rPr>
                <w:rFonts w:ascii="Georgia" w:eastAsia="Times New Roman" w:hAnsi="Georgia" w:cs="Times New Roman"/>
                <w:color w:val="000000"/>
                <w:sz w:val="10"/>
                <w:szCs w:val="10"/>
                <w:lang w:val="en-GB" w:eastAsia="hu-HU"/>
              </w:rPr>
              <w:t xml:space="preserve"> and </w:t>
            </w:r>
            <w:r w:rsidRPr="0002056A">
              <w:rPr>
                <w:rFonts w:ascii="Georgia" w:eastAsia="Times New Roman" w:hAnsi="Georgia" w:cs="Times New Roman"/>
                <w:color w:val="000000"/>
                <w:sz w:val="10"/>
                <w:szCs w:val="10"/>
                <w:lang w:val="en-GB" w:eastAsia="hu-HU"/>
              </w:rPr>
              <w:t>Ernst-Otto Czeimpel: Governance without Government Order and Change in World Politics, pp. 1 – 29.</w:t>
            </w:r>
          </w:p>
        </w:tc>
        <w:tc>
          <w:tcPr>
            <w:tcW w:w="708" w:type="dxa"/>
            <w:tcBorders>
              <w:top w:val="nil"/>
              <w:left w:val="nil"/>
              <w:bottom w:val="single" w:sz="4" w:space="0" w:color="auto"/>
              <w:right w:val="single" w:sz="4" w:space="0" w:color="auto"/>
            </w:tcBorders>
            <w:vAlign w:val="center"/>
            <w:hideMark/>
          </w:tcPr>
          <w:p w14:paraId="3639E73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668C12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BC63B7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EE4700A" w14:textId="3B8D98B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examined the prospects for global order and governance at a time when former hegemons were declining, when boundaries were disappearing, when military alliances seemed to be losing their viability –in one word: in an era of transforming world politics.</w:t>
            </w:r>
          </w:p>
        </w:tc>
        <w:tc>
          <w:tcPr>
            <w:tcW w:w="2268" w:type="dxa"/>
            <w:tcBorders>
              <w:top w:val="nil"/>
              <w:left w:val="nil"/>
              <w:bottom w:val="single" w:sz="4" w:space="0" w:color="auto"/>
              <w:right w:val="single" w:sz="8" w:space="0" w:color="auto"/>
            </w:tcBorders>
            <w:vAlign w:val="center"/>
          </w:tcPr>
          <w:p w14:paraId="7CAB1CBA" w14:textId="79F5FB7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articles offer useful definitions for governance and introduce global trends in world politics and changing role of territorial levels.</w:t>
            </w:r>
          </w:p>
        </w:tc>
      </w:tr>
      <w:tr w:rsidR="00555B5A" w:rsidRPr="0002056A" w14:paraId="4229C9F4" w14:textId="77777777" w:rsidTr="00D57247">
        <w:trPr>
          <w:trHeight w:val="108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C3797FE" w14:textId="107E353E"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Sack, R.D.</w:t>
            </w:r>
          </w:p>
        </w:tc>
        <w:tc>
          <w:tcPr>
            <w:tcW w:w="705" w:type="dxa"/>
            <w:tcBorders>
              <w:top w:val="nil"/>
              <w:left w:val="nil"/>
              <w:bottom w:val="single" w:sz="4" w:space="0" w:color="auto"/>
              <w:right w:val="single" w:sz="4" w:space="0" w:color="auto"/>
            </w:tcBorders>
            <w:vAlign w:val="center"/>
          </w:tcPr>
          <w:p w14:paraId="5BCEC5B6" w14:textId="5FE3132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1986</w:t>
            </w:r>
          </w:p>
        </w:tc>
        <w:tc>
          <w:tcPr>
            <w:tcW w:w="1137" w:type="dxa"/>
            <w:tcBorders>
              <w:top w:val="nil"/>
              <w:left w:val="nil"/>
              <w:bottom w:val="single" w:sz="4" w:space="0" w:color="auto"/>
              <w:right w:val="single" w:sz="4" w:space="0" w:color="auto"/>
            </w:tcBorders>
            <w:vAlign w:val="center"/>
          </w:tcPr>
          <w:p w14:paraId="2BDFD9D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Human Territoriality</w:t>
            </w:r>
          </w:p>
          <w:p w14:paraId="2683BA2D" w14:textId="45B5744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Its Theory and History</w:t>
            </w:r>
          </w:p>
        </w:tc>
        <w:tc>
          <w:tcPr>
            <w:tcW w:w="1134" w:type="dxa"/>
            <w:tcBorders>
              <w:top w:val="nil"/>
              <w:left w:val="nil"/>
              <w:bottom w:val="single" w:sz="4" w:space="0" w:color="auto"/>
              <w:right w:val="single" w:sz="4" w:space="0" w:color="auto"/>
            </w:tcBorders>
            <w:vAlign w:val="center"/>
          </w:tcPr>
          <w:p w14:paraId="268A08C5" w14:textId="1179F4E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187F3ECB" w14:textId="127253D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 Press</w:t>
            </w:r>
          </w:p>
        </w:tc>
        <w:tc>
          <w:tcPr>
            <w:tcW w:w="851" w:type="dxa"/>
            <w:tcBorders>
              <w:top w:val="nil"/>
              <w:left w:val="nil"/>
              <w:bottom w:val="single" w:sz="4" w:space="0" w:color="auto"/>
              <w:right w:val="single" w:sz="4" w:space="0" w:color="auto"/>
            </w:tcBorders>
            <w:vAlign w:val="center"/>
          </w:tcPr>
          <w:p w14:paraId="6498A153" w14:textId="25BF95F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tcPr>
          <w:p w14:paraId="4E71D41A" w14:textId="267C578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9780521311809</w:t>
            </w:r>
          </w:p>
        </w:tc>
        <w:tc>
          <w:tcPr>
            <w:tcW w:w="708" w:type="dxa"/>
            <w:tcBorders>
              <w:top w:val="nil"/>
              <w:left w:val="nil"/>
              <w:bottom w:val="single" w:sz="4" w:space="0" w:color="auto"/>
              <w:right w:val="single" w:sz="4" w:space="0" w:color="auto"/>
            </w:tcBorders>
            <w:vAlign w:val="center"/>
          </w:tcPr>
          <w:p w14:paraId="7FE2D94F" w14:textId="5F29E7A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CB7B32C" w14:textId="7565E8E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6E61620B" w14:textId="61A5930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8FB2FA4" w14:textId="5FE6EFD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(by analysing the possible advantages and disadvantages that territoriality can provide) demonstrates that territoriality for humans is not an instinct, but a powerful and often indispensable geographical strategy used to control people and things by controlling area. Specific analyses of the pre-modern uses of territoriality are provided through the introduction of the history of the Catholic Church, and North American political territorial organization and the organization of factories, offices, and homes.</w:t>
            </w:r>
          </w:p>
        </w:tc>
        <w:tc>
          <w:tcPr>
            <w:tcW w:w="2268" w:type="dxa"/>
            <w:tcBorders>
              <w:top w:val="nil"/>
              <w:left w:val="nil"/>
              <w:bottom w:val="single" w:sz="4" w:space="0" w:color="auto"/>
              <w:right w:val="single" w:sz="8" w:space="0" w:color="auto"/>
            </w:tcBorders>
            <w:vAlign w:val="center"/>
          </w:tcPr>
          <w:p w14:paraId="475F72EE" w14:textId="14E061B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adds important hints to the definition of territory and territoriality.</w:t>
            </w:r>
          </w:p>
        </w:tc>
      </w:tr>
      <w:tr w:rsidR="00555B5A" w:rsidRPr="0002056A" w14:paraId="71E82783" w14:textId="77777777" w:rsidTr="00D57247">
        <w:trPr>
          <w:trHeight w:val="108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6FDE7E5" w14:textId="2EA79CE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Sapountzaki, K.; Wanczura, S.; Casertano, G.; Greiving, S.; Xanthopoulos, G.; Ferrara, F.F.</w:t>
            </w:r>
          </w:p>
        </w:tc>
        <w:tc>
          <w:tcPr>
            <w:tcW w:w="705" w:type="dxa"/>
            <w:tcBorders>
              <w:top w:val="nil"/>
              <w:left w:val="nil"/>
              <w:bottom w:val="single" w:sz="4" w:space="0" w:color="auto"/>
              <w:right w:val="single" w:sz="4" w:space="0" w:color="auto"/>
            </w:tcBorders>
            <w:vAlign w:val="center"/>
          </w:tcPr>
          <w:p w14:paraId="45B61D39" w14:textId="6BDFFB0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768BF629" w14:textId="0428DB0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Disconnected policies and actors and the missing role of spatial planning throughout the risk management cycle</w:t>
            </w:r>
          </w:p>
        </w:tc>
        <w:tc>
          <w:tcPr>
            <w:tcW w:w="1134" w:type="dxa"/>
            <w:tcBorders>
              <w:top w:val="nil"/>
              <w:left w:val="nil"/>
              <w:bottom w:val="single" w:sz="4" w:space="0" w:color="auto"/>
              <w:right w:val="single" w:sz="4" w:space="0" w:color="auto"/>
            </w:tcBorders>
            <w:vAlign w:val="center"/>
          </w:tcPr>
          <w:p w14:paraId="726F76A8" w14:textId="199D766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GRE, GER, ITA, GER, GRE, ITA</w:t>
            </w:r>
          </w:p>
        </w:tc>
        <w:tc>
          <w:tcPr>
            <w:tcW w:w="708" w:type="dxa"/>
            <w:tcBorders>
              <w:top w:val="nil"/>
              <w:left w:val="nil"/>
              <w:bottom w:val="single" w:sz="4" w:space="0" w:color="auto"/>
              <w:right w:val="single" w:sz="4" w:space="0" w:color="auto"/>
            </w:tcBorders>
            <w:vAlign w:val="center"/>
          </w:tcPr>
          <w:p w14:paraId="3927FD4C" w14:textId="48D322E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4E2D2699" w14:textId="18ACE18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352E9B31" w14:textId="0DC27C4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Natural Hazards (2011) 59:1445–1474 DOI 10.1007/s11069-011-9843</w:t>
            </w:r>
          </w:p>
        </w:tc>
        <w:tc>
          <w:tcPr>
            <w:tcW w:w="708" w:type="dxa"/>
            <w:tcBorders>
              <w:top w:val="nil"/>
              <w:left w:val="nil"/>
              <w:bottom w:val="single" w:sz="4" w:space="0" w:color="auto"/>
              <w:right w:val="single" w:sz="4" w:space="0" w:color="auto"/>
            </w:tcBorders>
            <w:vAlign w:val="center"/>
          </w:tcPr>
          <w:p w14:paraId="580477F2" w14:textId="68F1760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E7A7441" w14:textId="12497DF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ACAA652" w14:textId="2871AED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B5B8748" w14:textId="249B3B1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addresses the problem of lack of coordination between policies and actors with joint competence for risk management, i.e., civil protection, spatial planning, and sectoral planning (e.g., forest policy in the case of forest fire risk). It examines three cases of European risk management systems when confronting with natural hazards.</w:t>
            </w:r>
          </w:p>
        </w:tc>
        <w:tc>
          <w:tcPr>
            <w:tcW w:w="2268" w:type="dxa"/>
            <w:tcBorders>
              <w:top w:val="nil"/>
              <w:left w:val="nil"/>
              <w:bottom w:val="single" w:sz="4" w:space="0" w:color="auto"/>
              <w:right w:val="single" w:sz="8" w:space="0" w:color="auto"/>
            </w:tcBorders>
            <w:vAlign w:val="center"/>
          </w:tcPr>
          <w:p w14:paraId="1161B9CA" w14:textId="0B5252A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concludes that spatial planning in particular is assigned a minor or no role at all though it might perfectly operate as the coordinating policy platform; the reason is that spatially relevant analysis and policy guidance is an omnipresent component of the risk management cycle. It reveals the problems of fragmentation of risk management policies, marginalization of spatial planning, and related repercussions.</w:t>
            </w:r>
          </w:p>
        </w:tc>
      </w:tr>
      <w:tr w:rsidR="00555B5A" w:rsidRPr="0002056A" w14:paraId="00D44DCB"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1149FDB"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Salamin G.</w:t>
            </w:r>
          </w:p>
        </w:tc>
        <w:tc>
          <w:tcPr>
            <w:tcW w:w="705" w:type="dxa"/>
            <w:tcBorders>
              <w:top w:val="nil"/>
              <w:left w:val="nil"/>
              <w:bottom w:val="single" w:sz="4" w:space="0" w:color="auto"/>
              <w:right w:val="single" w:sz="4" w:space="0" w:color="auto"/>
            </w:tcBorders>
            <w:vAlign w:val="center"/>
            <w:hideMark/>
          </w:tcPr>
          <w:p w14:paraId="2F4556F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hideMark/>
          </w:tcPr>
          <w:p w14:paraId="1225593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FÖLDRAJZI TÉR ALAKÍTÁSÁNAK EURÓPAIZÁLÓDÁSA: Az Európai Unió térbeli stratégiáinak, tervezésének és kohéziós politikájának hatása az európai országok térbeli tervezési rendszereinek transzformációjára</w:t>
            </w:r>
          </w:p>
        </w:tc>
        <w:tc>
          <w:tcPr>
            <w:tcW w:w="1134" w:type="dxa"/>
            <w:tcBorders>
              <w:top w:val="nil"/>
              <w:left w:val="nil"/>
              <w:bottom w:val="single" w:sz="4" w:space="0" w:color="auto"/>
              <w:right w:val="single" w:sz="4" w:space="0" w:color="auto"/>
            </w:tcBorders>
            <w:vAlign w:val="center"/>
            <w:hideMark/>
          </w:tcPr>
          <w:p w14:paraId="3DDC112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3E8C042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Enyedi György Regionális Tudományok Doktori Iskola</w:t>
            </w:r>
          </w:p>
        </w:tc>
        <w:tc>
          <w:tcPr>
            <w:tcW w:w="851" w:type="dxa"/>
            <w:tcBorders>
              <w:top w:val="nil"/>
              <w:left w:val="nil"/>
              <w:bottom w:val="single" w:sz="4" w:space="0" w:color="auto"/>
              <w:right w:val="single" w:sz="4" w:space="0" w:color="auto"/>
            </w:tcBorders>
            <w:vAlign w:val="center"/>
            <w:hideMark/>
          </w:tcPr>
          <w:p w14:paraId="1C87277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w:t>
            </w:r>
          </w:p>
        </w:tc>
        <w:tc>
          <w:tcPr>
            <w:tcW w:w="993" w:type="dxa"/>
            <w:tcBorders>
              <w:top w:val="nil"/>
              <w:left w:val="nil"/>
              <w:bottom w:val="single" w:sz="4" w:space="0" w:color="auto"/>
              <w:right w:val="single" w:sz="4" w:space="0" w:color="auto"/>
            </w:tcBorders>
            <w:vAlign w:val="center"/>
            <w:hideMark/>
          </w:tcPr>
          <w:p w14:paraId="080243B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SZIE, 10.14751/SZIE.2018.010</w:t>
            </w:r>
          </w:p>
        </w:tc>
        <w:tc>
          <w:tcPr>
            <w:tcW w:w="708" w:type="dxa"/>
            <w:tcBorders>
              <w:top w:val="nil"/>
              <w:left w:val="nil"/>
              <w:bottom w:val="single" w:sz="4" w:space="0" w:color="auto"/>
              <w:right w:val="single" w:sz="4" w:space="0" w:color="auto"/>
            </w:tcBorders>
            <w:vAlign w:val="center"/>
            <w:hideMark/>
          </w:tcPr>
          <w:p w14:paraId="59ECBFD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doctoral dissertation</w:t>
            </w:r>
          </w:p>
        </w:tc>
        <w:tc>
          <w:tcPr>
            <w:tcW w:w="851" w:type="dxa"/>
            <w:tcBorders>
              <w:top w:val="nil"/>
              <w:left w:val="nil"/>
              <w:bottom w:val="single" w:sz="4" w:space="0" w:color="auto"/>
              <w:right w:val="single" w:sz="4" w:space="0" w:color="auto"/>
            </w:tcBorders>
            <w:vAlign w:val="center"/>
            <w:hideMark/>
          </w:tcPr>
          <w:p w14:paraId="6A8948D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FBC4BD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5B6CBA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examined the growing emphasis of European issues within spatial planning; the impact of the spatial strategies, planning and cohesion policy of the European Union on the transformation of the spatial planning systems of European countries.</w:t>
            </w:r>
          </w:p>
        </w:tc>
        <w:tc>
          <w:tcPr>
            <w:tcW w:w="2268" w:type="dxa"/>
            <w:tcBorders>
              <w:top w:val="nil"/>
              <w:left w:val="nil"/>
              <w:bottom w:val="single" w:sz="4" w:space="0" w:color="auto"/>
              <w:right w:val="single" w:sz="8" w:space="0" w:color="auto"/>
            </w:tcBorders>
            <w:vAlign w:val="center"/>
          </w:tcPr>
          <w:p w14:paraId="30B091C0"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dissertation applies several utilizable qualitative methodologies that can be used in my research, too.</w:t>
            </w:r>
          </w:p>
        </w:tc>
      </w:tr>
      <w:tr w:rsidR="00555B5A" w:rsidRPr="0002056A" w14:paraId="23907236"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77A3DDB" w14:textId="0DEBFA3B"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Salamin, G., Sütő, A. </w:t>
            </w:r>
          </w:p>
          <w:p w14:paraId="1947B73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6F4CC698" w14:textId="0FDE640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6F6B9A98" w14:textId="7B9CD84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 Structures and the Territorial Agenda of the European Union. Regional Responses ans Global Shifts: Actors, Institutions and Organisations.</w:t>
            </w:r>
          </w:p>
        </w:tc>
        <w:tc>
          <w:tcPr>
            <w:tcW w:w="1134" w:type="dxa"/>
            <w:tcBorders>
              <w:top w:val="nil"/>
              <w:left w:val="nil"/>
              <w:bottom w:val="single" w:sz="4" w:space="0" w:color="auto"/>
              <w:right w:val="single" w:sz="4" w:space="0" w:color="auto"/>
            </w:tcBorders>
            <w:vAlign w:val="center"/>
          </w:tcPr>
          <w:p w14:paraId="0E16B048" w14:textId="12CADBA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w:t>
            </w:r>
          </w:p>
        </w:tc>
        <w:tc>
          <w:tcPr>
            <w:tcW w:w="708" w:type="dxa"/>
            <w:tcBorders>
              <w:top w:val="nil"/>
              <w:left w:val="nil"/>
              <w:bottom w:val="single" w:sz="4" w:space="0" w:color="auto"/>
              <w:right w:val="single" w:sz="4" w:space="0" w:color="auto"/>
            </w:tcBorders>
            <w:vAlign w:val="center"/>
          </w:tcPr>
          <w:p w14:paraId="177585C3" w14:textId="572E8E8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RSA Annual International Conference</w:t>
            </w:r>
          </w:p>
        </w:tc>
        <w:tc>
          <w:tcPr>
            <w:tcW w:w="851" w:type="dxa"/>
            <w:tcBorders>
              <w:top w:val="nil"/>
              <w:left w:val="nil"/>
              <w:bottom w:val="single" w:sz="4" w:space="0" w:color="auto"/>
              <w:right w:val="single" w:sz="4" w:space="0" w:color="auto"/>
            </w:tcBorders>
            <w:vAlign w:val="center"/>
          </w:tcPr>
          <w:p w14:paraId="129947E2" w14:textId="277C780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1D676BDD" w14:textId="2406929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Conference article, RSA Annual International Conference, Pécs, 2010. május 26.</w:t>
            </w:r>
          </w:p>
        </w:tc>
        <w:tc>
          <w:tcPr>
            <w:tcW w:w="708" w:type="dxa"/>
            <w:tcBorders>
              <w:top w:val="nil"/>
              <w:left w:val="nil"/>
              <w:bottom w:val="single" w:sz="4" w:space="0" w:color="auto"/>
              <w:right w:val="single" w:sz="4" w:space="0" w:color="auto"/>
            </w:tcBorders>
            <w:vAlign w:val="center"/>
          </w:tcPr>
          <w:p w14:paraId="23A1D10F" w14:textId="26EFA0F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conference article</w:t>
            </w:r>
          </w:p>
        </w:tc>
        <w:tc>
          <w:tcPr>
            <w:tcW w:w="851" w:type="dxa"/>
            <w:tcBorders>
              <w:top w:val="nil"/>
              <w:left w:val="nil"/>
              <w:bottom w:val="single" w:sz="4" w:space="0" w:color="auto"/>
              <w:right w:val="single" w:sz="4" w:space="0" w:color="auto"/>
            </w:tcBorders>
            <w:vAlign w:val="center"/>
          </w:tcPr>
          <w:p w14:paraId="11DDE2C6" w14:textId="0C431FD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85193DC" w14:textId="40442C9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CA20ECD" w14:textId="0BF8D2C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conference article describing the territorial approach and emphasis in the then current Territorial Agenda of the EU</w:t>
            </w:r>
          </w:p>
        </w:tc>
        <w:tc>
          <w:tcPr>
            <w:tcW w:w="2268" w:type="dxa"/>
            <w:tcBorders>
              <w:top w:val="nil"/>
              <w:left w:val="nil"/>
              <w:bottom w:val="single" w:sz="4" w:space="0" w:color="auto"/>
              <w:right w:val="single" w:sz="8" w:space="0" w:color="auto"/>
            </w:tcBorders>
            <w:vAlign w:val="center"/>
          </w:tcPr>
          <w:p w14:paraId="301EAAEF" w14:textId="31C11E8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presents good examples for spatial approaches in development policy planning and describes dimensions, interpretations and sub concepts of territorial cohesion</w:t>
            </w:r>
          </w:p>
        </w:tc>
      </w:tr>
      <w:tr w:rsidR="00555B5A" w:rsidRPr="0002056A" w14:paraId="4115CCBB"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8A5E412" w14:textId="09911AA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Salamin G., Kohán Z., Dobozi E., Péti, M. (Ed.)</w:t>
            </w:r>
          </w:p>
        </w:tc>
        <w:tc>
          <w:tcPr>
            <w:tcW w:w="705" w:type="dxa"/>
            <w:tcBorders>
              <w:top w:val="nil"/>
              <w:left w:val="nil"/>
              <w:bottom w:val="single" w:sz="4" w:space="0" w:color="auto"/>
              <w:right w:val="single" w:sz="4" w:space="0" w:color="auto"/>
            </w:tcBorders>
            <w:vAlign w:val="center"/>
          </w:tcPr>
          <w:p w14:paraId="6F2B6432" w14:textId="158B5CD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iCs/>
                <w:smallCaps/>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6EAFD450" w14:textId="304F2D1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Climate-Friendly Cities: A Handbook on the Tasks and Possibilities of European Cities in Relation to Climate Change</w:t>
            </w:r>
          </w:p>
        </w:tc>
        <w:tc>
          <w:tcPr>
            <w:tcW w:w="1134" w:type="dxa"/>
            <w:tcBorders>
              <w:top w:val="nil"/>
              <w:left w:val="nil"/>
              <w:bottom w:val="single" w:sz="4" w:space="0" w:color="auto"/>
              <w:right w:val="single" w:sz="4" w:space="0" w:color="auto"/>
            </w:tcBorders>
            <w:vAlign w:val="center"/>
          </w:tcPr>
          <w:p w14:paraId="6A70EE88" w14:textId="5EF9582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 HUN</w:t>
            </w:r>
          </w:p>
        </w:tc>
        <w:tc>
          <w:tcPr>
            <w:tcW w:w="708" w:type="dxa"/>
            <w:tcBorders>
              <w:top w:val="nil"/>
              <w:left w:val="nil"/>
              <w:bottom w:val="single" w:sz="4" w:space="0" w:color="auto"/>
              <w:right w:val="single" w:sz="4" w:space="0" w:color="auto"/>
            </w:tcBorders>
            <w:vAlign w:val="center"/>
          </w:tcPr>
          <w:p w14:paraId="097BBFC9" w14:textId="42A6052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VÁTI/Ministry of Interior</w:t>
            </w:r>
          </w:p>
        </w:tc>
        <w:tc>
          <w:tcPr>
            <w:tcW w:w="851" w:type="dxa"/>
            <w:tcBorders>
              <w:top w:val="nil"/>
              <w:left w:val="nil"/>
              <w:bottom w:val="single" w:sz="4" w:space="0" w:color="auto"/>
              <w:right w:val="single" w:sz="4" w:space="0" w:color="auto"/>
            </w:tcBorders>
            <w:vAlign w:val="center"/>
          </w:tcPr>
          <w:p w14:paraId="6B793678" w14:textId="5CA5821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tcPr>
          <w:p w14:paraId="242B7921" w14:textId="1C5F9A6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Budapest, Magyarország: Városépítési Tudományos és Tervező Intézet (VÁTI), Ministry of Interior, Hungary (2011), 268 p.</w:t>
            </w:r>
          </w:p>
        </w:tc>
        <w:tc>
          <w:tcPr>
            <w:tcW w:w="708" w:type="dxa"/>
            <w:tcBorders>
              <w:top w:val="nil"/>
              <w:left w:val="nil"/>
              <w:bottom w:val="single" w:sz="4" w:space="0" w:color="auto"/>
              <w:right w:val="single" w:sz="4" w:space="0" w:color="auto"/>
            </w:tcBorders>
            <w:vAlign w:val="center"/>
          </w:tcPr>
          <w:p w14:paraId="32D2B13E" w14:textId="1946374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handbook</w:t>
            </w:r>
          </w:p>
        </w:tc>
        <w:tc>
          <w:tcPr>
            <w:tcW w:w="851" w:type="dxa"/>
            <w:tcBorders>
              <w:top w:val="nil"/>
              <w:left w:val="nil"/>
              <w:bottom w:val="single" w:sz="4" w:space="0" w:color="auto"/>
              <w:right w:val="single" w:sz="4" w:space="0" w:color="auto"/>
            </w:tcBorders>
            <w:vAlign w:val="center"/>
          </w:tcPr>
          <w:p w14:paraId="57E67196" w14:textId="069B8C0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EA06E12" w14:textId="1858343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BAB7591" w14:textId="45FB09E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Handbook elaborated as part of the HUN EU Presidency 2011, introducing the main tasks and possibilities of European Cities in relation to climate change</w:t>
            </w:r>
          </w:p>
        </w:tc>
        <w:tc>
          <w:tcPr>
            <w:tcW w:w="2268" w:type="dxa"/>
            <w:tcBorders>
              <w:top w:val="nil"/>
              <w:left w:val="nil"/>
              <w:bottom w:val="single" w:sz="4" w:space="0" w:color="auto"/>
              <w:right w:val="single" w:sz="8" w:space="0" w:color="auto"/>
            </w:tcBorders>
            <w:vAlign w:val="center"/>
          </w:tcPr>
          <w:p w14:paraId="6BCA0B06" w14:textId="7963F64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Describing interesting examples of connections between urban and adaptation policies and planning</w:t>
            </w:r>
          </w:p>
        </w:tc>
      </w:tr>
      <w:tr w:rsidR="00555B5A" w:rsidRPr="0002056A" w14:paraId="410397CE"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BB90C75"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Schuster, P.</w:t>
            </w:r>
          </w:p>
        </w:tc>
        <w:tc>
          <w:tcPr>
            <w:tcW w:w="705" w:type="dxa"/>
            <w:tcBorders>
              <w:top w:val="nil"/>
              <w:left w:val="nil"/>
              <w:bottom w:val="single" w:sz="4" w:space="0" w:color="auto"/>
              <w:right w:val="single" w:sz="4" w:space="0" w:color="auto"/>
            </w:tcBorders>
            <w:vAlign w:val="center"/>
          </w:tcPr>
          <w:p w14:paraId="351FC8A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1F62C16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Klimaanpassungstrategien in europaischen nachbarlenadern – win Werkstattberischt.</w:t>
            </w:r>
          </w:p>
        </w:tc>
        <w:tc>
          <w:tcPr>
            <w:tcW w:w="1134" w:type="dxa"/>
            <w:tcBorders>
              <w:top w:val="nil"/>
              <w:left w:val="nil"/>
              <w:bottom w:val="single" w:sz="4" w:space="0" w:color="auto"/>
              <w:right w:val="single" w:sz="4" w:space="0" w:color="auto"/>
            </w:tcBorders>
            <w:vAlign w:val="center"/>
          </w:tcPr>
          <w:p w14:paraId="2AA298D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3ACE0C5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BBR</w:t>
            </w:r>
          </w:p>
        </w:tc>
        <w:tc>
          <w:tcPr>
            <w:tcW w:w="851" w:type="dxa"/>
            <w:tcBorders>
              <w:top w:val="nil"/>
              <w:left w:val="nil"/>
              <w:bottom w:val="single" w:sz="4" w:space="0" w:color="auto"/>
              <w:right w:val="single" w:sz="4" w:space="0" w:color="auto"/>
            </w:tcBorders>
            <w:vAlign w:val="center"/>
          </w:tcPr>
          <w:p w14:paraId="0DBCC4E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spatial planning</w:t>
            </w:r>
          </w:p>
        </w:tc>
        <w:tc>
          <w:tcPr>
            <w:tcW w:w="993" w:type="dxa"/>
            <w:tcBorders>
              <w:top w:val="nil"/>
              <w:left w:val="nil"/>
              <w:bottom w:val="single" w:sz="4" w:space="0" w:color="auto"/>
              <w:right w:val="single" w:sz="4" w:space="0" w:color="auto"/>
            </w:tcBorders>
            <w:vAlign w:val="center"/>
          </w:tcPr>
          <w:p w14:paraId="1DDA43C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Anpassungsstrategien an den Klimawandel in EU 27 und ihre potentielle Bedeutung für die Raumentwicklung in Deutschland. BBR, 2008.</w:t>
            </w:r>
          </w:p>
        </w:tc>
        <w:tc>
          <w:tcPr>
            <w:tcW w:w="708" w:type="dxa"/>
            <w:tcBorders>
              <w:top w:val="nil"/>
              <w:left w:val="nil"/>
              <w:bottom w:val="single" w:sz="4" w:space="0" w:color="auto"/>
              <w:right w:val="single" w:sz="4" w:space="0" w:color="auto"/>
            </w:tcBorders>
            <w:vAlign w:val="center"/>
          </w:tcPr>
          <w:p w14:paraId="596636A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414B81F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8C54CF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425E1E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identifies adaptation measures with spatial planning relevance from Germany’s neighbours.</w:t>
            </w:r>
          </w:p>
        </w:tc>
        <w:tc>
          <w:tcPr>
            <w:tcW w:w="2268" w:type="dxa"/>
            <w:tcBorders>
              <w:top w:val="nil"/>
              <w:left w:val="nil"/>
              <w:bottom w:val="single" w:sz="4" w:space="0" w:color="auto"/>
              <w:right w:val="single" w:sz="8" w:space="0" w:color="auto"/>
            </w:tcBorders>
            <w:vAlign w:val="center"/>
          </w:tcPr>
          <w:p w14:paraId="0C58AD78"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identifies concrete spatial planning-oriented adaptation measures to decrease vulnerability.</w:t>
            </w:r>
          </w:p>
        </w:tc>
      </w:tr>
      <w:tr w:rsidR="00555B5A" w:rsidRPr="0002056A" w14:paraId="4C194E33" w14:textId="77777777" w:rsidTr="00D57247">
        <w:trPr>
          <w:trHeight w:val="91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1E3910D"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Schmidt, Ch.W. </w:t>
            </w:r>
          </w:p>
          <w:p w14:paraId="52408A0C"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10FCBE8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4B264EE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Beyond Mitigation: Planning for Climate Change Adaptation. </w:t>
            </w:r>
          </w:p>
        </w:tc>
        <w:tc>
          <w:tcPr>
            <w:tcW w:w="1134" w:type="dxa"/>
            <w:tcBorders>
              <w:top w:val="nil"/>
              <w:left w:val="nil"/>
              <w:bottom w:val="single" w:sz="4" w:space="0" w:color="auto"/>
              <w:right w:val="single" w:sz="4" w:space="0" w:color="auto"/>
            </w:tcBorders>
            <w:vAlign w:val="center"/>
          </w:tcPr>
          <w:p w14:paraId="17AD080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419927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PMC</w:t>
            </w:r>
          </w:p>
        </w:tc>
        <w:tc>
          <w:tcPr>
            <w:tcW w:w="851" w:type="dxa"/>
            <w:tcBorders>
              <w:top w:val="nil"/>
              <w:left w:val="nil"/>
              <w:bottom w:val="single" w:sz="4" w:space="0" w:color="auto"/>
              <w:right w:val="single" w:sz="4" w:space="0" w:color="auto"/>
            </w:tcBorders>
            <w:vAlign w:val="center"/>
          </w:tcPr>
          <w:p w14:paraId="4413BEB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biology</w:t>
            </w:r>
          </w:p>
        </w:tc>
        <w:tc>
          <w:tcPr>
            <w:tcW w:w="993" w:type="dxa"/>
            <w:tcBorders>
              <w:top w:val="nil"/>
              <w:left w:val="nil"/>
              <w:bottom w:val="single" w:sz="4" w:space="0" w:color="auto"/>
              <w:right w:val="single" w:sz="4" w:space="0" w:color="auto"/>
            </w:tcBorders>
            <w:vAlign w:val="center"/>
          </w:tcPr>
          <w:p w14:paraId="4489094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Health Perspectives.</w:t>
            </w:r>
          </w:p>
          <w:p w14:paraId="5836314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hyperlink r:id="rId187" w:history="1">
              <w:r w:rsidRPr="0002056A">
                <w:rPr>
                  <w:rFonts w:ascii="Georgia" w:eastAsia="Times New Roman" w:hAnsi="Georgia" w:cs="Times New Roman"/>
                  <w:color w:val="000000"/>
                  <w:sz w:val="10"/>
                  <w:szCs w:val="10"/>
                  <w:lang w:val="en-GB" w:eastAsia="hu-HU"/>
                </w:rPr>
                <w:t>Vol. 117, No. 7 (July 2009)</w:t>
              </w:r>
            </w:hyperlink>
            <w:r w:rsidRPr="0002056A">
              <w:rPr>
                <w:rFonts w:ascii="Georgia" w:eastAsia="Times New Roman" w:hAnsi="Georgia" w:cs="Times New Roman"/>
                <w:color w:val="000000"/>
                <w:sz w:val="10"/>
                <w:szCs w:val="10"/>
                <w:lang w:val="en-GB" w:eastAsia="hu-HU"/>
              </w:rPr>
              <w:t>, pp. A306-A309</w:t>
            </w:r>
          </w:p>
        </w:tc>
        <w:tc>
          <w:tcPr>
            <w:tcW w:w="708" w:type="dxa"/>
            <w:tcBorders>
              <w:top w:val="nil"/>
              <w:left w:val="nil"/>
              <w:bottom w:val="single" w:sz="4" w:space="0" w:color="auto"/>
              <w:right w:val="single" w:sz="4" w:space="0" w:color="auto"/>
            </w:tcBorders>
            <w:vAlign w:val="center"/>
          </w:tcPr>
          <w:p w14:paraId="320E338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65DAE89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A19544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8C1F6F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is contemplating about the growing importance of climate adaptation within climate policy.</w:t>
            </w:r>
          </w:p>
        </w:tc>
        <w:tc>
          <w:tcPr>
            <w:tcW w:w="2268" w:type="dxa"/>
            <w:tcBorders>
              <w:top w:val="nil"/>
              <w:left w:val="nil"/>
              <w:bottom w:val="single" w:sz="4" w:space="0" w:color="auto"/>
              <w:right w:val="single" w:sz="8" w:space="0" w:color="auto"/>
            </w:tcBorders>
            <w:vAlign w:val="center"/>
          </w:tcPr>
          <w:p w14:paraId="242C21CC"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points it out that adaptation has become the centre of attention worldwide.</w:t>
            </w:r>
          </w:p>
        </w:tc>
      </w:tr>
      <w:tr w:rsidR="00555B5A" w:rsidRPr="0002056A" w14:paraId="052BBF2E"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1D9D21F"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Schmidt-Thomé, Ph.</w:t>
            </w:r>
          </w:p>
        </w:tc>
        <w:tc>
          <w:tcPr>
            <w:tcW w:w="705" w:type="dxa"/>
            <w:tcBorders>
              <w:top w:val="nil"/>
              <w:left w:val="nil"/>
              <w:bottom w:val="single" w:sz="4" w:space="0" w:color="auto"/>
              <w:right w:val="single" w:sz="4" w:space="0" w:color="auto"/>
            </w:tcBorders>
            <w:vAlign w:val="center"/>
            <w:hideMark/>
          </w:tcPr>
          <w:p w14:paraId="1C5EAFB4" w14:textId="537091A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2007</w:t>
            </w:r>
          </w:p>
        </w:tc>
        <w:tc>
          <w:tcPr>
            <w:tcW w:w="1137" w:type="dxa"/>
            <w:tcBorders>
              <w:top w:val="nil"/>
              <w:left w:val="nil"/>
              <w:bottom w:val="single" w:sz="4" w:space="0" w:color="auto"/>
              <w:right w:val="single" w:sz="4" w:space="0" w:color="auto"/>
            </w:tcBorders>
            <w:vAlign w:val="center"/>
            <w:hideMark/>
          </w:tcPr>
          <w:p w14:paraId="778747F5" w14:textId="0F1230D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Integration of natural hazards, risk, and climate change into spatial planning practices. </w:t>
            </w:r>
          </w:p>
        </w:tc>
        <w:tc>
          <w:tcPr>
            <w:tcW w:w="1134" w:type="dxa"/>
            <w:tcBorders>
              <w:top w:val="nil"/>
              <w:left w:val="nil"/>
              <w:bottom w:val="single" w:sz="4" w:space="0" w:color="auto"/>
              <w:right w:val="single" w:sz="4" w:space="0" w:color="auto"/>
            </w:tcBorders>
            <w:vAlign w:val="center"/>
            <w:hideMark/>
          </w:tcPr>
          <w:p w14:paraId="1BE0825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w:t>
            </w:r>
          </w:p>
        </w:tc>
        <w:tc>
          <w:tcPr>
            <w:tcW w:w="708" w:type="dxa"/>
            <w:tcBorders>
              <w:top w:val="nil"/>
              <w:left w:val="nil"/>
              <w:bottom w:val="single" w:sz="4" w:space="0" w:color="auto"/>
              <w:right w:val="single" w:sz="4" w:space="0" w:color="auto"/>
            </w:tcBorders>
            <w:vAlign w:val="center"/>
          </w:tcPr>
          <w:p w14:paraId="0EF5BCBF" w14:textId="7937F8B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Estonian Academy of Sciences</w:t>
            </w:r>
          </w:p>
        </w:tc>
        <w:tc>
          <w:tcPr>
            <w:tcW w:w="851" w:type="dxa"/>
            <w:tcBorders>
              <w:top w:val="nil"/>
              <w:left w:val="nil"/>
              <w:bottom w:val="single" w:sz="4" w:space="0" w:color="auto"/>
              <w:right w:val="single" w:sz="4" w:space="0" w:color="auto"/>
            </w:tcBorders>
            <w:vAlign w:val="center"/>
            <w:hideMark/>
          </w:tcPr>
          <w:p w14:paraId="04569D2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climate adaptation</w:t>
            </w:r>
          </w:p>
        </w:tc>
        <w:tc>
          <w:tcPr>
            <w:tcW w:w="993" w:type="dxa"/>
            <w:tcBorders>
              <w:top w:val="nil"/>
              <w:left w:val="nil"/>
              <w:bottom w:val="single" w:sz="4" w:space="0" w:color="auto"/>
              <w:right w:val="single" w:sz="4" w:space="0" w:color="auto"/>
            </w:tcBorders>
            <w:vAlign w:val="center"/>
            <w:hideMark/>
          </w:tcPr>
          <w:p w14:paraId="09D738EF" w14:textId="5C5767B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Estonian Journal of Earth Sciences 56(3):183-183.. DOI:10.3176/earth.2007.22</w:t>
            </w:r>
          </w:p>
        </w:tc>
        <w:tc>
          <w:tcPr>
            <w:tcW w:w="708" w:type="dxa"/>
            <w:tcBorders>
              <w:top w:val="nil"/>
              <w:left w:val="nil"/>
              <w:bottom w:val="single" w:sz="4" w:space="0" w:color="auto"/>
              <w:right w:val="single" w:sz="4" w:space="0" w:color="auto"/>
            </w:tcBorders>
            <w:vAlign w:val="center"/>
            <w:hideMark/>
          </w:tcPr>
          <w:p w14:paraId="20AFEDE9" w14:textId="1464306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1846C94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EA392A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43D50C2" w14:textId="29EECA1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presents information on techniques to reduce the risk and the impact of natural disasters and climate change and integrating these factors into spatial planning practices. It analyses the application of risks concepts into spatial planning. It reports that linking of natural disasters and climate change with spatial planning is not complete, but its importance is growing.</w:t>
            </w:r>
          </w:p>
        </w:tc>
        <w:tc>
          <w:tcPr>
            <w:tcW w:w="2268" w:type="dxa"/>
            <w:tcBorders>
              <w:top w:val="nil"/>
              <w:left w:val="nil"/>
              <w:bottom w:val="single" w:sz="4" w:space="0" w:color="auto"/>
              <w:right w:val="single" w:sz="8" w:space="0" w:color="auto"/>
            </w:tcBorders>
            <w:vAlign w:val="center"/>
          </w:tcPr>
          <w:p w14:paraId="0F4FD85A"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emphasises the growing importance of risk assessments and hazard assessments in spatial planning.</w:t>
            </w:r>
          </w:p>
        </w:tc>
      </w:tr>
      <w:tr w:rsidR="00555B5A" w:rsidRPr="0002056A" w14:paraId="6456ABA1"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0DB82F3" w14:textId="6F0BECE0"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Schmidt-Thomé, Ph. Klein, J. </w:t>
            </w:r>
          </w:p>
        </w:tc>
        <w:tc>
          <w:tcPr>
            <w:tcW w:w="705" w:type="dxa"/>
            <w:tcBorders>
              <w:top w:val="nil"/>
              <w:left w:val="nil"/>
              <w:bottom w:val="single" w:sz="4" w:space="0" w:color="auto"/>
              <w:right w:val="single" w:sz="4" w:space="0" w:color="auto"/>
            </w:tcBorders>
            <w:vAlign w:val="center"/>
          </w:tcPr>
          <w:p w14:paraId="703B7C9D" w14:textId="743CBFA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35289928" w14:textId="7BBEC5B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Applying Climate Change Adaptation in Spatial Planning Processes.</w:t>
            </w:r>
          </w:p>
        </w:tc>
        <w:tc>
          <w:tcPr>
            <w:tcW w:w="1134" w:type="dxa"/>
            <w:tcBorders>
              <w:top w:val="nil"/>
              <w:left w:val="nil"/>
              <w:bottom w:val="single" w:sz="4" w:space="0" w:color="auto"/>
              <w:right w:val="single" w:sz="4" w:space="0" w:color="auto"/>
            </w:tcBorders>
            <w:vAlign w:val="center"/>
          </w:tcPr>
          <w:p w14:paraId="718872C3" w14:textId="47FD672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 FIN</w:t>
            </w:r>
          </w:p>
        </w:tc>
        <w:tc>
          <w:tcPr>
            <w:tcW w:w="708" w:type="dxa"/>
            <w:tcBorders>
              <w:top w:val="nil"/>
              <w:left w:val="nil"/>
              <w:bottom w:val="single" w:sz="4" w:space="0" w:color="auto"/>
              <w:right w:val="single" w:sz="4" w:space="0" w:color="auto"/>
            </w:tcBorders>
            <w:vAlign w:val="center"/>
          </w:tcPr>
          <w:p w14:paraId="1AA79DE0" w14:textId="79F2796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2B6057BE" w14:textId="7402954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territorial/spatial planning, climate adaptation</w:t>
            </w:r>
          </w:p>
        </w:tc>
        <w:tc>
          <w:tcPr>
            <w:tcW w:w="993" w:type="dxa"/>
            <w:tcBorders>
              <w:top w:val="nil"/>
              <w:left w:val="nil"/>
              <w:bottom w:val="single" w:sz="4" w:space="0" w:color="auto"/>
              <w:right w:val="single" w:sz="4" w:space="0" w:color="auto"/>
            </w:tcBorders>
            <w:vAlign w:val="center"/>
          </w:tcPr>
          <w:p w14:paraId="2A12E4CC" w14:textId="1FA8CCC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Schernewski, G., Hofstede, J., Neumann, T. (eds) Global Change and Baltic Coastal Zones. Coastal Research Library, vol 1. Springer, Dordrecht. https://doi.org/10.1007/978-94-007-0400-8_11. </w:t>
            </w:r>
          </w:p>
        </w:tc>
        <w:tc>
          <w:tcPr>
            <w:tcW w:w="708" w:type="dxa"/>
            <w:tcBorders>
              <w:top w:val="nil"/>
              <w:left w:val="nil"/>
              <w:bottom w:val="single" w:sz="4" w:space="0" w:color="auto"/>
              <w:right w:val="single" w:sz="4" w:space="0" w:color="auto"/>
            </w:tcBorders>
            <w:vAlign w:val="center"/>
          </w:tcPr>
          <w:p w14:paraId="31E0389B" w14:textId="419D1AF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 chapter</w:t>
            </w:r>
          </w:p>
        </w:tc>
        <w:tc>
          <w:tcPr>
            <w:tcW w:w="851" w:type="dxa"/>
            <w:tcBorders>
              <w:top w:val="nil"/>
              <w:left w:val="nil"/>
              <w:bottom w:val="single" w:sz="4" w:space="0" w:color="auto"/>
              <w:right w:val="single" w:sz="4" w:space="0" w:color="auto"/>
            </w:tcBorders>
            <w:vAlign w:val="center"/>
          </w:tcPr>
          <w:p w14:paraId="01E86BA1" w14:textId="15C6F09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C75A062" w14:textId="0C07C3D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7969F7A" w14:textId="0313A8F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spatial planning as a useful tool to protect settlements from hazard impacts through case studies. However, the tool’s full range of potential is seldom applied or overruled by other priorities.</w:t>
            </w:r>
          </w:p>
        </w:tc>
        <w:tc>
          <w:tcPr>
            <w:tcW w:w="2268" w:type="dxa"/>
            <w:tcBorders>
              <w:top w:val="nil"/>
              <w:left w:val="nil"/>
              <w:bottom w:val="single" w:sz="4" w:space="0" w:color="auto"/>
              <w:right w:val="single" w:sz="8" w:space="0" w:color="auto"/>
            </w:tcBorders>
            <w:vAlign w:val="center"/>
          </w:tcPr>
          <w:p w14:paraId="4870EDED" w14:textId="102A155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planning’s importance in climate adaptation, as well as the EU’s leading role are introduced in a detailed way.</w:t>
            </w:r>
          </w:p>
        </w:tc>
      </w:tr>
      <w:tr w:rsidR="00555B5A" w:rsidRPr="0002056A" w14:paraId="75FA53BB" w14:textId="77777777" w:rsidTr="00D57247">
        <w:trPr>
          <w:trHeight w:val="198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7A51E9F3"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Schönthaler, Konstanze; von Andrian-Werburg, Stefan</w:t>
            </w:r>
          </w:p>
        </w:tc>
        <w:tc>
          <w:tcPr>
            <w:tcW w:w="705" w:type="dxa"/>
            <w:tcBorders>
              <w:top w:val="nil"/>
              <w:left w:val="nil"/>
              <w:bottom w:val="single" w:sz="4" w:space="0" w:color="auto"/>
              <w:right w:val="single" w:sz="4" w:space="0" w:color="auto"/>
            </w:tcBorders>
            <w:vAlign w:val="center"/>
            <w:hideMark/>
          </w:tcPr>
          <w:p w14:paraId="33890FD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2C3212B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Evaluation of the German Strategy for Adaption to Climate Change (DAS) – Reporting and Closing Indicator Gaps. </w:t>
            </w:r>
          </w:p>
        </w:tc>
        <w:tc>
          <w:tcPr>
            <w:tcW w:w="1134" w:type="dxa"/>
            <w:tcBorders>
              <w:top w:val="nil"/>
              <w:left w:val="nil"/>
              <w:bottom w:val="single" w:sz="4" w:space="0" w:color="auto"/>
              <w:right w:val="single" w:sz="4" w:space="0" w:color="auto"/>
            </w:tcBorders>
            <w:vAlign w:val="center"/>
            <w:hideMark/>
          </w:tcPr>
          <w:p w14:paraId="180494E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w:t>
            </w:r>
          </w:p>
        </w:tc>
        <w:tc>
          <w:tcPr>
            <w:tcW w:w="708" w:type="dxa"/>
            <w:tcBorders>
              <w:top w:val="nil"/>
              <w:left w:val="nil"/>
              <w:bottom w:val="single" w:sz="4" w:space="0" w:color="auto"/>
              <w:right w:val="single" w:sz="4" w:space="0" w:color="auto"/>
            </w:tcBorders>
            <w:vAlign w:val="center"/>
            <w:hideMark/>
          </w:tcPr>
          <w:p w14:paraId="02D1320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Federal Ministry for the Environment, Nature Conservation, Building and Nuclear Safety. Umweltbundesamt [German Environment Agency] Dessau-Roßlau, Germany. </w:t>
            </w:r>
          </w:p>
        </w:tc>
        <w:tc>
          <w:tcPr>
            <w:tcW w:w="851" w:type="dxa"/>
            <w:tcBorders>
              <w:top w:val="nil"/>
              <w:left w:val="nil"/>
              <w:bottom w:val="single" w:sz="4" w:space="0" w:color="auto"/>
              <w:right w:val="single" w:sz="4" w:space="0" w:color="auto"/>
            </w:tcBorders>
            <w:vAlign w:val="center"/>
            <w:hideMark/>
          </w:tcPr>
          <w:p w14:paraId="2E78A3F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6536EC6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16/2015</w:t>
            </w:r>
            <w:r w:rsidRPr="0002056A">
              <w:rPr>
                <w:rFonts w:ascii="Georgia" w:eastAsia="Times New Roman" w:hAnsi="Georgia" w:cs="Times New Roman"/>
                <w:color w:val="000000"/>
                <w:sz w:val="10"/>
                <w:szCs w:val="10"/>
                <w:lang w:val="en-GB" w:eastAsia="hu-HU"/>
              </w:rPr>
              <w:br/>
              <w:t>Environmental Research of the</w:t>
            </w:r>
            <w:r w:rsidRPr="0002056A">
              <w:rPr>
                <w:rFonts w:ascii="Georgia" w:eastAsia="Times New Roman" w:hAnsi="Georgia" w:cs="Times New Roman"/>
                <w:color w:val="000000"/>
                <w:sz w:val="10"/>
                <w:szCs w:val="10"/>
                <w:lang w:val="en-GB" w:eastAsia="hu-HU"/>
              </w:rPr>
              <w:br/>
              <w:t>Federal Ministry for the</w:t>
            </w:r>
            <w:r w:rsidRPr="0002056A">
              <w:rPr>
                <w:rFonts w:ascii="Georgia" w:eastAsia="Times New Roman" w:hAnsi="Georgia" w:cs="Times New Roman"/>
                <w:color w:val="000000"/>
                <w:sz w:val="10"/>
                <w:szCs w:val="10"/>
                <w:lang w:val="en-GB" w:eastAsia="hu-HU"/>
              </w:rPr>
              <w:br/>
              <w:t>Environment, Nature Conservation,</w:t>
            </w:r>
            <w:r w:rsidRPr="0002056A">
              <w:rPr>
                <w:rFonts w:ascii="Georgia" w:eastAsia="Times New Roman" w:hAnsi="Georgia" w:cs="Times New Roman"/>
                <w:color w:val="000000"/>
                <w:sz w:val="10"/>
                <w:szCs w:val="10"/>
                <w:lang w:val="en-GB" w:eastAsia="hu-HU"/>
              </w:rPr>
              <w:br/>
              <w:t>Building and Nuclear Safety</w:t>
            </w:r>
            <w:r w:rsidRPr="0002056A">
              <w:rPr>
                <w:rFonts w:ascii="Georgia" w:eastAsia="Times New Roman" w:hAnsi="Georgia" w:cs="Times New Roman"/>
                <w:color w:val="000000"/>
                <w:sz w:val="10"/>
                <w:szCs w:val="10"/>
                <w:lang w:val="en-GB" w:eastAsia="hu-HU"/>
              </w:rPr>
              <w:br/>
              <w:t>Project No. (FKZ) 3711 41 106</w:t>
            </w:r>
            <w:r w:rsidRPr="0002056A">
              <w:rPr>
                <w:rFonts w:ascii="Georgia" w:eastAsia="Times New Roman" w:hAnsi="Georgia" w:cs="Times New Roman"/>
                <w:color w:val="000000"/>
                <w:sz w:val="10"/>
                <w:szCs w:val="10"/>
                <w:lang w:val="en-GB" w:eastAsia="hu-HU"/>
              </w:rPr>
              <w:br/>
              <w:t>Report No. (UBA-FB) 002105/E</w:t>
            </w:r>
          </w:p>
        </w:tc>
        <w:tc>
          <w:tcPr>
            <w:tcW w:w="708" w:type="dxa"/>
            <w:tcBorders>
              <w:top w:val="nil"/>
              <w:left w:val="nil"/>
              <w:bottom w:val="single" w:sz="4" w:space="0" w:color="auto"/>
              <w:right w:val="single" w:sz="4" w:space="0" w:color="auto"/>
            </w:tcBorders>
            <w:vAlign w:val="center"/>
            <w:hideMark/>
          </w:tcPr>
          <w:p w14:paraId="0718530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study (MRE report)</w:t>
            </w:r>
          </w:p>
        </w:tc>
        <w:tc>
          <w:tcPr>
            <w:tcW w:w="851" w:type="dxa"/>
            <w:tcBorders>
              <w:top w:val="nil"/>
              <w:left w:val="nil"/>
              <w:bottom w:val="single" w:sz="4" w:space="0" w:color="auto"/>
              <w:right w:val="single" w:sz="4" w:space="0" w:color="auto"/>
            </w:tcBorders>
            <w:vAlign w:val="center"/>
            <w:hideMark/>
          </w:tcPr>
          <w:p w14:paraId="4B36406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7B51C23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A94185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Indicator System underlying the German Monitoring Report and the overall report itself were created and agreed politically in an inter-departmental process with the participation of numerous experts from the competent sectors of agencies at Federal and Länder level and from scientific and private institutions. The Indicator System comprises 102 indicators; the Monitoring Report runs to some 256 pages. The documentation system was designed in a way to ensure the complete repeatability of calculations.</w:t>
            </w:r>
          </w:p>
        </w:tc>
        <w:tc>
          <w:tcPr>
            <w:tcW w:w="2268" w:type="dxa"/>
            <w:tcBorders>
              <w:top w:val="nil"/>
              <w:left w:val="nil"/>
              <w:bottom w:val="single" w:sz="4" w:space="0" w:color="auto"/>
              <w:right w:val="single" w:sz="8" w:space="0" w:color="auto"/>
            </w:tcBorders>
            <w:vAlign w:val="center"/>
          </w:tcPr>
          <w:p w14:paraId="6E7768B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practical example of strategic evaluation and indicator system building from Germany’s adaptation policy.</w:t>
            </w:r>
          </w:p>
        </w:tc>
      </w:tr>
      <w:tr w:rsidR="00555B5A" w:rsidRPr="0002056A" w14:paraId="00401474"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F6B1FF3" w14:textId="21774C08"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Sharma, J.; Ravindranath, N. 2019. </w:t>
            </w:r>
          </w:p>
        </w:tc>
        <w:tc>
          <w:tcPr>
            <w:tcW w:w="705" w:type="dxa"/>
            <w:tcBorders>
              <w:top w:val="nil"/>
              <w:left w:val="nil"/>
              <w:bottom w:val="single" w:sz="4" w:space="0" w:color="auto"/>
              <w:right w:val="single" w:sz="4" w:space="0" w:color="auto"/>
            </w:tcBorders>
            <w:vAlign w:val="center"/>
            <w:hideMark/>
          </w:tcPr>
          <w:p w14:paraId="6BB5803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2D04E77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Applying IPCC 2014 framework for hazard-specific vulnerability assessment under climate change.</w:t>
            </w:r>
          </w:p>
        </w:tc>
        <w:tc>
          <w:tcPr>
            <w:tcW w:w="1134" w:type="dxa"/>
            <w:tcBorders>
              <w:top w:val="nil"/>
              <w:left w:val="nil"/>
              <w:bottom w:val="single" w:sz="4" w:space="0" w:color="auto"/>
              <w:right w:val="single" w:sz="4" w:space="0" w:color="auto"/>
            </w:tcBorders>
            <w:vAlign w:val="center"/>
            <w:hideMark/>
          </w:tcPr>
          <w:p w14:paraId="3030BBA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IND, IND</w:t>
            </w:r>
          </w:p>
        </w:tc>
        <w:tc>
          <w:tcPr>
            <w:tcW w:w="708" w:type="dxa"/>
            <w:tcBorders>
              <w:top w:val="nil"/>
              <w:left w:val="nil"/>
              <w:bottom w:val="single" w:sz="4" w:space="0" w:color="auto"/>
              <w:right w:val="single" w:sz="4" w:space="0" w:color="auto"/>
            </w:tcBorders>
            <w:vAlign w:val="center"/>
            <w:hideMark/>
          </w:tcPr>
          <w:p w14:paraId="589B3C4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IOP Science</w:t>
            </w:r>
          </w:p>
        </w:tc>
        <w:tc>
          <w:tcPr>
            <w:tcW w:w="851" w:type="dxa"/>
            <w:tcBorders>
              <w:top w:val="nil"/>
              <w:left w:val="nil"/>
              <w:bottom w:val="single" w:sz="4" w:space="0" w:color="auto"/>
              <w:right w:val="single" w:sz="4" w:space="0" w:color="auto"/>
            </w:tcBorders>
            <w:vAlign w:val="center"/>
            <w:hideMark/>
          </w:tcPr>
          <w:p w14:paraId="56641E0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59E0A8C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Research Communication. 1 051004</w:t>
            </w:r>
          </w:p>
        </w:tc>
        <w:tc>
          <w:tcPr>
            <w:tcW w:w="708" w:type="dxa"/>
            <w:tcBorders>
              <w:top w:val="nil"/>
              <w:left w:val="nil"/>
              <w:bottom w:val="single" w:sz="4" w:space="0" w:color="auto"/>
              <w:right w:val="single" w:sz="4" w:space="0" w:color="auto"/>
            </w:tcBorders>
            <w:vAlign w:val="center"/>
            <w:hideMark/>
          </w:tcPr>
          <w:p w14:paraId="1AB83AB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8B0E5C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256AF93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3E6FC70"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IPCC Working Group II Report (2014) presented vulnerability as a pre-existing characteristic property of a system. Accordingly, indicators for ‘sensitivity’ and ‘adaptive capacity’, which are internal properties of a system, are employed to assess it. Comparatively, the IPCC 2007 report includes ‘exposure’, an external factor, as the third component of vulnerability. The authors compared the construct of vulnerability presented in IPCC 2007 and 2014 reports. </w:t>
            </w:r>
          </w:p>
        </w:tc>
        <w:tc>
          <w:tcPr>
            <w:tcW w:w="2268" w:type="dxa"/>
            <w:tcBorders>
              <w:top w:val="nil"/>
              <w:left w:val="nil"/>
              <w:bottom w:val="single" w:sz="4" w:space="0" w:color="auto"/>
              <w:right w:val="single" w:sz="8" w:space="0" w:color="auto"/>
            </w:tcBorders>
            <w:vAlign w:val="center"/>
          </w:tcPr>
          <w:p w14:paraId="1F6EFF2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current vulnerability assessment frameworks and methods of IPCC. It is argued that the results of vulnerability assessment obtained by adopting IPCC 2014 framework are practically more useful for reducing current vulnerability in preparedness to deal with an uncertain future. In the process, the authors articulated the novel concepts of ‘selecting hazard-relevant vulnerability indicators’ and ‘assessing hazard-specific vulnerability’.</w:t>
            </w:r>
          </w:p>
        </w:tc>
      </w:tr>
      <w:tr w:rsidR="00555B5A" w:rsidRPr="0002056A" w14:paraId="3A9DB96B"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55D54F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Shi, L.; Chu, E.; Debats, J. (2015):</w:t>
            </w:r>
          </w:p>
        </w:tc>
        <w:tc>
          <w:tcPr>
            <w:tcW w:w="705" w:type="dxa"/>
            <w:tcBorders>
              <w:top w:val="nil"/>
              <w:left w:val="nil"/>
              <w:bottom w:val="single" w:sz="4" w:space="0" w:color="auto"/>
              <w:right w:val="single" w:sz="4" w:space="0" w:color="auto"/>
            </w:tcBorders>
            <w:vAlign w:val="center"/>
            <w:hideMark/>
          </w:tcPr>
          <w:p w14:paraId="58919C1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651DF91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Explaining Progress in Climate Adaptation Planning Across 156 U.S. Municipalities </w:t>
            </w:r>
          </w:p>
        </w:tc>
        <w:tc>
          <w:tcPr>
            <w:tcW w:w="1134" w:type="dxa"/>
            <w:tcBorders>
              <w:top w:val="nil"/>
              <w:left w:val="nil"/>
              <w:bottom w:val="single" w:sz="4" w:space="0" w:color="auto"/>
              <w:right w:val="single" w:sz="4" w:space="0" w:color="auto"/>
            </w:tcBorders>
            <w:vAlign w:val="center"/>
            <w:hideMark/>
          </w:tcPr>
          <w:p w14:paraId="49E9E64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NRL, USA</w:t>
            </w:r>
          </w:p>
        </w:tc>
        <w:tc>
          <w:tcPr>
            <w:tcW w:w="708" w:type="dxa"/>
            <w:tcBorders>
              <w:top w:val="nil"/>
              <w:left w:val="nil"/>
              <w:bottom w:val="single" w:sz="4" w:space="0" w:color="auto"/>
              <w:right w:val="single" w:sz="4" w:space="0" w:color="auto"/>
            </w:tcBorders>
            <w:vAlign w:val="center"/>
            <w:hideMark/>
          </w:tcPr>
          <w:p w14:paraId="2D344CD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American Planning Association</w:t>
            </w:r>
          </w:p>
        </w:tc>
        <w:tc>
          <w:tcPr>
            <w:tcW w:w="851" w:type="dxa"/>
            <w:tcBorders>
              <w:top w:val="nil"/>
              <w:left w:val="nil"/>
              <w:bottom w:val="single" w:sz="4" w:space="0" w:color="auto"/>
              <w:right w:val="single" w:sz="4" w:space="0" w:color="auto"/>
            </w:tcBorders>
            <w:vAlign w:val="center"/>
            <w:hideMark/>
          </w:tcPr>
          <w:p w14:paraId="4A73E70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planning, monitoring and evaluation</w:t>
            </w:r>
          </w:p>
        </w:tc>
        <w:tc>
          <w:tcPr>
            <w:tcW w:w="993" w:type="dxa"/>
            <w:tcBorders>
              <w:top w:val="nil"/>
              <w:left w:val="nil"/>
              <w:bottom w:val="single" w:sz="4" w:space="0" w:color="auto"/>
              <w:right w:val="single" w:sz="4" w:space="0" w:color="auto"/>
            </w:tcBorders>
            <w:vAlign w:val="center"/>
            <w:hideMark/>
          </w:tcPr>
          <w:p w14:paraId="5B7225F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the American Planning Association 81(3), pp. 1-12. DOI:10.1080/01944363.2015.1074526</w:t>
            </w:r>
          </w:p>
        </w:tc>
        <w:tc>
          <w:tcPr>
            <w:tcW w:w="708" w:type="dxa"/>
            <w:tcBorders>
              <w:top w:val="nil"/>
              <w:left w:val="nil"/>
              <w:bottom w:val="single" w:sz="4" w:space="0" w:color="auto"/>
              <w:right w:val="single" w:sz="4" w:space="0" w:color="auto"/>
            </w:tcBorders>
            <w:vAlign w:val="center"/>
            <w:hideMark/>
          </w:tcPr>
          <w:p w14:paraId="4526962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745BE6F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4B9129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B0AD171"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survey of climate change adaptation in U.S. cities illustrates that the more disbursed nature of U.S. governance (vis-à-vis planning) creates a more heterogeneous response, whereby individual cities are “leading the way” when it comes to climate change planning. However, this heterogeneity creates an uneven response when taken at a national scale. The study also points to the challenges for less wealthy cities and those where climate change effects are still not recognized as having impacts. </w:t>
            </w:r>
          </w:p>
        </w:tc>
        <w:tc>
          <w:tcPr>
            <w:tcW w:w="2268" w:type="dxa"/>
            <w:tcBorders>
              <w:top w:val="nil"/>
              <w:left w:val="nil"/>
              <w:bottom w:val="single" w:sz="4" w:space="0" w:color="auto"/>
              <w:right w:val="single" w:sz="8" w:space="0" w:color="auto"/>
            </w:tcBorders>
            <w:vAlign w:val="center"/>
          </w:tcPr>
          <w:p w14:paraId="7911CAC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example for comprehensive analysis of local adaptation planning activities.</w:t>
            </w:r>
          </w:p>
        </w:tc>
      </w:tr>
      <w:tr w:rsidR="00555B5A" w:rsidRPr="0002056A" w14:paraId="5706345C"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3ECBF82" w14:textId="7B425758"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hyperlink r:id="rId188" w:history="1">
              <w:r w:rsidRPr="0002056A">
                <w:rPr>
                  <w:rFonts w:ascii="Georgia" w:eastAsia="Times New Roman" w:hAnsi="Georgia" w:cs="Times New Roman"/>
                  <w:b/>
                  <w:bCs/>
                  <w:i/>
                  <w:iCs/>
                  <w:color w:val="000000"/>
                  <w:sz w:val="14"/>
                  <w:szCs w:val="14"/>
                  <w:lang w:val="en-GB" w:eastAsia="hu-HU"/>
                </w:rPr>
                <w:t>Skryzhevska</w:t>
              </w:r>
            </w:hyperlink>
            <w:r w:rsidRPr="0002056A">
              <w:rPr>
                <w:rFonts w:ascii="Georgia" w:eastAsia="Times New Roman" w:hAnsi="Georgia" w:cs="Times New Roman"/>
                <w:b/>
                <w:bCs/>
                <w:i/>
                <w:iCs/>
                <w:color w:val="000000"/>
                <w:sz w:val="14"/>
                <w:szCs w:val="14"/>
                <w:lang w:val="en-GB" w:eastAsia="hu-HU"/>
              </w:rPr>
              <w:t xml:space="preserve">, Y; </w:t>
            </w:r>
            <w:hyperlink r:id="rId189" w:history="1">
              <w:r w:rsidRPr="0002056A">
                <w:rPr>
                  <w:rFonts w:ascii="Georgia" w:eastAsia="Times New Roman" w:hAnsi="Georgia" w:cs="Times New Roman"/>
                  <w:b/>
                  <w:bCs/>
                  <w:i/>
                  <w:iCs/>
                  <w:color w:val="000000"/>
                  <w:sz w:val="14"/>
                  <w:szCs w:val="14"/>
                  <w:lang w:val="en-GB" w:eastAsia="hu-HU"/>
                </w:rPr>
                <w:t xml:space="preserve"> Tynkkynen</w:t>
              </w:r>
            </w:hyperlink>
            <w:r w:rsidRPr="0002056A">
              <w:rPr>
                <w:rFonts w:ascii="Georgia" w:eastAsia="Times New Roman" w:hAnsi="Georgia" w:cs="Times New Roman"/>
                <w:b/>
                <w:bCs/>
                <w:i/>
                <w:iCs/>
                <w:color w:val="000000"/>
                <w:sz w:val="14"/>
                <w:szCs w:val="14"/>
                <w:lang w:val="en-GB" w:eastAsia="hu-HU"/>
              </w:rPr>
              <w:t xml:space="preserve">, V-P.; </w:t>
            </w:r>
            <w:hyperlink r:id="rId190" w:history="1">
              <w:r w:rsidRPr="0002056A">
                <w:rPr>
                  <w:rFonts w:ascii="Georgia" w:eastAsia="Times New Roman" w:hAnsi="Georgia" w:cs="Times New Roman"/>
                  <w:b/>
                  <w:bCs/>
                  <w:i/>
                  <w:iCs/>
                  <w:color w:val="000000"/>
                  <w:sz w:val="14"/>
                  <w:szCs w:val="14"/>
                  <w:lang w:val="en-GB" w:eastAsia="hu-HU"/>
                </w:rPr>
                <w:t>Leppänen</w:t>
              </w:r>
            </w:hyperlink>
            <w:r w:rsidRPr="0002056A">
              <w:rPr>
                <w:rFonts w:ascii="Georgia" w:eastAsia="Times New Roman" w:hAnsi="Georgia" w:cs="Times New Roman"/>
                <w:b/>
                <w:bCs/>
                <w:i/>
                <w:iCs/>
                <w:color w:val="000000"/>
                <w:sz w:val="14"/>
                <w:szCs w:val="14"/>
                <w:lang w:val="en-GB" w:eastAsia="hu-HU"/>
              </w:rPr>
              <w:t>, S.</w:t>
            </w:r>
          </w:p>
        </w:tc>
        <w:tc>
          <w:tcPr>
            <w:tcW w:w="705" w:type="dxa"/>
            <w:tcBorders>
              <w:top w:val="nil"/>
              <w:left w:val="nil"/>
              <w:bottom w:val="single" w:sz="4" w:space="0" w:color="auto"/>
              <w:right w:val="single" w:sz="4" w:space="0" w:color="auto"/>
            </w:tcBorders>
            <w:vAlign w:val="center"/>
          </w:tcPr>
          <w:p w14:paraId="2C7B906E" w14:textId="69346A0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1B609A43" w14:textId="141442B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Russia’s climate policies and local reality</w:t>
            </w:r>
          </w:p>
        </w:tc>
        <w:tc>
          <w:tcPr>
            <w:tcW w:w="1134" w:type="dxa"/>
            <w:tcBorders>
              <w:top w:val="nil"/>
              <w:left w:val="nil"/>
              <w:bottom w:val="single" w:sz="4" w:space="0" w:color="auto"/>
              <w:right w:val="single" w:sz="4" w:space="0" w:color="auto"/>
            </w:tcBorders>
            <w:vAlign w:val="center"/>
          </w:tcPr>
          <w:p w14:paraId="640ACF0F" w14:textId="591207B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RUS, FIN, FIN</w:t>
            </w:r>
          </w:p>
        </w:tc>
        <w:tc>
          <w:tcPr>
            <w:tcW w:w="708" w:type="dxa"/>
            <w:tcBorders>
              <w:top w:val="nil"/>
              <w:left w:val="nil"/>
              <w:bottom w:val="single" w:sz="4" w:space="0" w:color="auto"/>
              <w:right w:val="single" w:sz="4" w:space="0" w:color="auto"/>
            </w:tcBorders>
            <w:vAlign w:val="center"/>
          </w:tcPr>
          <w:p w14:paraId="0DB660AC" w14:textId="277667C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w:t>
            </w:r>
          </w:p>
        </w:tc>
        <w:tc>
          <w:tcPr>
            <w:tcW w:w="851" w:type="dxa"/>
            <w:tcBorders>
              <w:top w:val="nil"/>
              <w:left w:val="nil"/>
              <w:bottom w:val="single" w:sz="4" w:space="0" w:color="auto"/>
              <w:right w:val="single" w:sz="4" w:space="0" w:color="auto"/>
            </w:tcBorders>
            <w:vAlign w:val="center"/>
          </w:tcPr>
          <w:p w14:paraId="28A76161" w14:textId="4576EED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28BF4741" w14:textId="1B0B5E8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hyperlink r:id="rId191" w:history="1">
              <w:r w:rsidRPr="0002056A">
                <w:rPr>
                  <w:rFonts w:ascii="Georgia" w:eastAsia="Times New Roman" w:hAnsi="Georgia" w:cs="Times New Roman"/>
                  <w:color w:val="000000"/>
                  <w:sz w:val="10"/>
                  <w:szCs w:val="10"/>
                  <w:lang w:val="en-GB" w:eastAsia="hu-HU"/>
                </w:rPr>
                <w:t>Polar Geography</w:t>
              </w:r>
            </w:hyperlink>
            <w:r w:rsidRPr="0002056A">
              <w:rPr>
                <w:rFonts w:ascii="Georgia" w:eastAsia="Times New Roman" w:hAnsi="Georgia" w:cs="Times New Roman"/>
                <w:color w:val="000000"/>
                <w:sz w:val="10"/>
                <w:szCs w:val="10"/>
                <w:lang w:val="en-GB" w:eastAsia="hu-HU"/>
              </w:rPr>
              <w:t xml:space="preserve"> Volume 38, 2015 -</w:t>
            </w:r>
            <w:hyperlink r:id="rId192" w:history="1">
              <w:r w:rsidRPr="0002056A">
                <w:rPr>
                  <w:rFonts w:ascii="Georgia" w:eastAsia="Times New Roman" w:hAnsi="Georgia" w:cs="Times New Roman"/>
                  <w:color w:val="000000"/>
                  <w:sz w:val="10"/>
                  <w:szCs w:val="10"/>
                  <w:lang w:val="en-GB" w:eastAsia="hu-HU"/>
                </w:rPr>
                <w:t>Issue 2</w:t>
              </w:r>
            </w:hyperlink>
            <w:r w:rsidRPr="0002056A">
              <w:rPr>
                <w:rFonts w:ascii="Georgia" w:eastAsia="Times New Roman" w:hAnsi="Georgia" w:cs="Times New Roman"/>
                <w:color w:val="000000"/>
                <w:sz w:val="10"/>
                <w:szCs w:val="10"/>
                <w:lang w:val="en-GB" w:eastAsia="hu-HU"/>
              </w:rPr>
              <w:t>, Pp 146-170</w:t>
            </w:r>
          </w:p>
          <w:p w14:paraId="384F973D" w14:textId="1CDFD229" w:rsidR="00555B5A" w:rsidRPr="0002056A" w:rsidRDefault="00555B5A" w:rsidP="00555B5A">
            <w:pPr>
              <w:rPr>
                <w:rFonts w:ascii="Georgia" w:eastAsia="Times New Roman" w:hAnsi="Georgia" w:cs="Times New Roman"/>
                <w:color w:val="000000"/>
                <w:sz w:val="10"/>
                <w:szCs w:val="10"/>
                <w:lang w:val="en-GB" w:eastAsia="hu-HU"/>
              </w:rPr>
            </w:pPr>
            <w:hyperlink r:id="rId193" w:history="1">
              <w:r w:rsidRPr="0002056A">
                <w:rPr>
                  <w:rFonts w:ascii="Georgia" w:eastAsia="Times New Roman" w:hAnsi="Georgia" w:cs="Times New Roman"/>
                  <w:color w:val="000000"/>
                  <w:sz w:val="10"/>
                  <w:szCs w:val="10"/>
                  <w:lang w:val="en-GB" w:eastAsia="hu-HU"/>
                </w:rPr>
                <w:t>https://doi.org/10.1080/1088937X.2015.1052031</w:t>
              </w:r>
            </w:hyperlink>
          </w:p>
        </w:tc>
        <w:tc>
          <w:tcPr>
            <w:tcW w:w="708" w:type="dxa"/>
            <w:tcBorders>
              <w:top w:val="nil"/>
              <w:left w:val="nil"/>
              <w:bottom w:val="single" w:sz="4" w:space="0" w:color="auto"/>
              <w:right w:val="single" w:sz="4" w:space="0" w:color="auto"/>
            </w:tcBorders>
            <w:vAlign w:val="center"/>
          </w:tcPr>
          <w:p w14:paraId="6069C032" w14:textId="3B62DFB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3FF317A" w14:textId="5B2C5E6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01A0412" w14:textId="502F15E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11AC57D" w14:textId="0E886A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this paper, the authors attempt to utilize unique interview data from 14 Russian localities about adaptation responses, the results of which revealed three key findings. </w:t>
            </w:r>
          </w:p>
        </w:tc>
        <w:tc>
          <w:tcPr>
            <w:tcW w:w="2268" w:type="dxa"/>
            <w:tcBorders>
              <w:top w:val="nil"/>
              <w:left w:val="nil"/>
              <w:bottom w:val="single" w:sz="4" w:space="0" w:color="auto"/>
              <w:right w:val="single" w:sz="8" w:space="0" w:color="auto"/>
            </w:tcBorders>
            <w:vAlign w:val="center"/>
          </w:tcPr>
          <w:p w14:paraId="7B17008F" w14:textId="1585035C"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First, the federal government of Russia recognizes the problem of CC, but due to budget constraints local authorities cannot implement adaptation actions in their regional planning. Second, only 2 of the 14 surveyed regions have a CC adaptation plan, while a few others incorporate some adaptation measures in their socio-economic development plans. Third, regions with notable agricultural, forestry and fishing sectors have experienced a more significant impact from CC on their economies, and most of the interviewed regional authorities perceived these effects as negative.</w:t>
            </w:r>
          </w:p>
        </w:tc>
      </w:tr>
      <w:tr w:rsidR="00555B5A" w:rsidRPr="0002056A" w14:paraId="2192EB5F"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2AA267D" w14:textId="75E000C6"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Soja, E.</w:t>
            </w:r>
          </w:p>
        </w:tc>
        <w:tc>
          <w:tcPr>
            <w:tcW w:w="705" w:type="dxa"/>
            <w:tcBorders>
              <w:top w:val="nil"/>
              <w:left w:val="nil"/>
              <w:bottom w:val="single" w:sz="4" w:space="0" w:color="auto"/>
              <w:right w:val="single" w:sz="4" w:space="0" w:color="auto"/>
            </w:tcBorders>
            <w:vAlign w:val="center"/>
          </w:tcPr>
          <w:p w14:paraId="14936773" w14:textId="7C3FC80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1971</w:t>
            </w:r>
          </w:p>
        </w:tc>
        <w:tc>
          <w:tcPr>
            <w:tcW w:w="1137" w:type="dxa"/>
            <w:tcBorders>
              <w:top w:val="nil"/>
              <w:left w:val="nil"/>
              <w:bottom w:val="single" w:sz="4" w:space="0" w:color="auto"/>
              <w:right w:val="single" w:sz="4" w:space="0" w:color="auto"/>
            </w:tcBorders>
            <w:vAlign w:val="center"/>
          </w:tcPr>
          <w:p w14:paraId="75F458AD" w14:textId="6AF71A3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political organization of space.</w:t>
            </w:r>
          </w:p>
        </w:tc>
        <w:tc>
          <w:tcPr>
            <w:tcW w:w="1134" w:type="dxa"/>
            <w:tcBorders>
              <w:top w:val="nil"/>
              <w:left w:val="nil"/>
              <w:bottom w:val="single" w:sz="4" w:space="0" w:color="auto"/>
              <w:right w:val="single" w:sz="4" w:space="0" w:color="auto"/>
            </w:tcBorders>
            <w:vAlign w:val="center"/>
          </w:tcPr>
          <w:p w14:paraId="39FAE400" w14:textId="5EE2326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909B747" w14:textId="010F5D2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Association of American Geographers, Commission on College Geography</w:t>
            </w:r>
          </w:p>
        </w:tc>
        <w:tc>
          <w:tcPr>
            <w:tcW w:w="851" w:type="dxa"/>
            <w:tcBorders>
              <w:top w:val="nil"/>
              <w:left w:val="nil"/>
              <w:bottom w:val="single" w:sz="4" w:space="0" w:color="auto"/>
              <w:right w:val="single" w:sz="4" w:space="0" w:color="auto"/>
            </w:tcBorders>
            <w:vAlign w:val="center"/>
          </w:tcPr>
          <w:p w14:paraId="34C9127C" w14:textId="5E07A70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 administration studies</w:t>
            </w:r>
          </w:p>
        </w:tc>
        <w:tc>
          <w:tcPr>
            <w:tcW w:w="993" w:type="dxa"/>
            <w:tcBorders>
              <w:top w:val="nil"/>
              <w:left w:val="nil"/>
              <w:bottom w:val="single" w:sz="4" w:space="0" w:color="auto"/>
              <w:right w:val="single" w:sz="4" w:space="0" w:color="auto"/>
            </w:tcBorders>
            <w:vAlign w:val="center"/>
          </w:tcPr>
          <w:p w14:paraId="20D6E3E9" w14:textId="3A4AF33A"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Association of American Geographers, Commission on College Geography Resource Paper 8: Washington DC.</w:t>
            </w:r>
          </w:p>
        </w:tc>
        <w:tc>
          <w:tcPr>
            <w:tcW w:w="708" w:type="dxa"/>
            <w:tcBorders>
              <w:top w:val="nil"/>
              <w:left w:val="nil"/>
              <w:bottom w:val="single" w:sz="4" w:space="0" w:color="auto"/>
              <w:right w:val="single" w:sz="4" w:space="0" w:color="auto"/>
            </w:tcBorders>
            <w:vAlign w:val="center"/>
          </w:tcPr>
          <w:p w14:paraId="6EF21258" w14:textId="50E8927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resource paper (book)</w:t>
            </w:r>
          </w:p>
        </w:tc>
        <w:tc>
          <w:tcPr>
            <w:tcW w:w="851" w:type="dxa"/>
            <w:tcBorders>
              <w:top w:val="nil"/>
              <w:left w:val="nil"/>
              <w:bottom w:val="single" w:sz="4" w:space="0" w:color="auto"/>
              <w:right w:val="single" w:sz="4" w:space="0" w:color="auto"/>
            </w:tcBorders>
            <w:vAlign w:val="center"/>
          </w:tcPr>
          <w:p w14:paraId="57B6BCB8" w14:textId="592AA71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872B756" w14:textId="5458E82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3F02594" w14:textId="430070A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resource overview about political space concepts.</w:t>
            </w:r>
          </w:p>
        </w:tc>
        <w:tc>
          <w:tcPr>
            <w:tcW w:w="2268" w:type="dxa"/>
            <w:tcBorders>
              <w:top w:val="nil"/>
              <w:left w:val="nil"/>
              <w:bottom w:val="single" w:sz="4" w:space="0" w:color="auto"/>
              <w:right w:val="single" w:sz="8" w:space="0" w:color="auto"/>
            </w:tcBorders>
            <w:vAlign w:val="center"/>
          </w:tcPr>
          <w:p w14:paraId="2EDE4F3F" w14:textId="19C029DA"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contributed to the research with descriptions of the concept of “territory”.</w:t>
            </w:r>
          </w:p>
        </w:tc>
      </w:tr>
      <w:tr w:rsidR="00555B5A" w:rsidRPr="0002056A" w14:paraId="7E2492BE"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0B42F5E" w14:textId="0E8DB3C7"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Somlyódiné Pfeil, E.</w:t>
            </w:r>
          </w:p>
        </w:tc>
        <w:tc>
          <w:tcPr>
            <w:tcW w:w="705" w:type="dxa"/>
            <w:tcBorders>
              <w:top w:val="nil"/>
              <w:left w:val="nil"/>
              <w:bottom w:val="single" w:sz="4" w:space="0" w:color="auto"/>
              <w:right w:val="single" w:sz="4" w:space="0" w:color="auto"/>
            </w:tcBorders>
            <w:vAlign w:val="center"/>
          </w:tcPr>
          <w:p w14:paraId="2B8A1173" w14:textId="6E18373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tcPr>
          <w:p w14:paraId="6ACC3C9F" w14:textId="08342AC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Adaptation of Territorial Governance from Unitary State Perspective: About the Framework of Functional Space Construction.</w:t>
            </w:r>
          </w:p>
        </w:tc>
        <w:tc>
          <w:tcPr>
            <w:tcW w:w="1134" w:type="dxa"/>
            <w:tcBorders>
              <w:top w:val="nil"/>
              <w:left w:val="nil"/>
              <w:bottom w:val="single" w:sz="4" w:space="0" w:color="auto"/>
              <w:right w:val="single" w:sz="4" w:space="0" w:color="auto"/>
            </w:tcBorders>
            <w:vAlign w:val="center"/>
          </w:tcPr>
          <w:p w14:paraId="383E836B" w14:textId="3F7A7C9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514469D3" w14:textId="72B250B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BCE</w:t>
            </w:r>
          </w:p>
        </w:tc>
        <w:tc>
          <w:tcPr>
            <w:tcW w:w="851" w:type="dxa"/>
            <w:tcBorders>
              <w:top w:val="nil"/>
              <w:left w:val="nil"/>
              <w:bottom w:val="single" w:sz="4" w:space="0" w:color="auto"/>
              <w:right w:val="single" w:sz="4" w:space="0" w:color="auto"/>
            </w:tcBorders>
            <w:vAlign w:val="center"/>
          </w:tcPr>
          <w:p w14:paraId="489CA835" w14:textId="7C35258A"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 administration studies</w:t>
            </w:r>
          </w:p>
        </w:tc>
        <w:tc>
          <w:tcPr>
            <w:tcW w:w="993" w:type="dxa"/>
            <w:tcBorders>
              <w:top w:val="nil"/>
              <w:left w:val="nil"/>
              <w:bottom w:val="single" w:sz="4" w:space="0" w:color="auto"/>
              <w:right w:val="single" w:sz="4" w:space="0" w:color="auto"/>
            </w:tcBorders>
            <w:vAlign w:val="center"/>
          </w:tcPr>
          <w:p w14:paraId="3CEDC9F4" w14:textId="624723C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Corvinus Regional Studies 4. (1–2.): pp. 41–60</w:t>
            </w:r>
          </w:p>
        </w:tc>
        <w:tc>
          <w:tcPr>
            <w:tcW w:w="708" w:type="dxa"/>
            <w:tcBorders>
              <w:top w:val="nil"/>
              <w:left w:val="nil"/>
              <w:bottom w:val="single" w:sz="4" w:space="0" w:color="auto"/>
              <w:right w:val="single" w:sz="4" w:space="0" w:color="auto"/>
            </w:tcBorders>
            <w:vAlign w:val="center"/>
          </w:tcPr>
          <w:p w14:paraId="0969612C" w14:textId="6255392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AC18C0F" w14:textId="7A7E188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E26E254" w14:textId="5280F0C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526454C" w14:textId="6A7BCCD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paper reveals different characteristics of territorial governance efforts in CEE, especially in Hungary compared to highly developed countries. </w:t>
            </w:r>
          </w:p>
          <w:p w14:paraId="14C5AA47" w14:textId="0396A7C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analysis based on the institutional and regulatory environment proves the lack of desired authorisation of the local and subnational levels for network-building and taking part in the national planning scheme.</w:t>
            </w:r>
          </w:p>
        </w:tc>
        <w:tc>
          <w:tcPr>
            <w:tcW w:w="2268" w:type="dxa"/>
            <w:tcBorders>
              <w:top w:val="nil"/>
              <w:left w:val="nil"/>
              <w:bottom w:val="single" w:sz="4" w:space="0" w:color="auto"/>
              <w:right w:val="single" w:sz="8" w:space="0" w:color="auto"/>
            </w:tcBorders>
            <w:vAlign w:val="center"/>
          </w:tcPr>
          <w:p w14:paraId="7E221FA2" w14:textId="5B483E6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contributed to the research with descriptions of concepts “constructivist space theories” and “functional territories”.</w:t>
            </w:r>
          </w:p>
        </w:tc>
      </w:tr>
      <w:tr w:rsidR="00555B5A" w:rsidRPr="0002056A" w14:paraId="6135715C"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71E9C09" w14:textId="25C528E8"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Stern, M.: </w:t>
            </w:r>
          </w:p>
        </w:tc>
        <w:tc>
          <w:tcPr>
            <w:tcW w:w="705" w:type="dxa"/>
            <w:tcBorders>
              <w:top w:val="nil"/>
              <w:left w:val="nil"/>
              <w:bottom w:val="single" w:sz="4" w:space="0" w:color="auto"/>
              <w:right w:val="single" w:sz="4" w:space="0" w:color="auto"/>
            </w:tcBorders>
            <w:vAlign w:val="center"/>
          </w:tcPr>
          <w:p w14:paraId="7C54DFEE" w14:textId="1519091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2006</w:t>
            </w:r>
          </w:p>
        </w:tc>
        <w:tc>
          <w:tcPr>
            <w:tcW w:w="1137" w:type="dxa"/>
            <w:tcBorders>
              <w:top w:val="nil"/>
              <w:left w:val="nil"/>
              <w:bottom w:val="single" w:sz="4" w:space="0" w:color="auto"/>
              <w:right w:val="single" w:sz="4" w:space="0" w:color="auto"/>
            </w:tcBorders>
            <w:vAlign w:val="center"/>
          </w:tcPr>
          <w:p w14:paraId="5F1FA56B" w14:textId="52AE784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Economics of Climate Change - The Stern Review. -</w:t>
            </w:r>
          </w:p>
        </w:tc>
        <w:tc>
          <w:tcPr>
            <w:tcW w:w="1134" w:type="dxa"/>
            <w:tcBorders>
              <w:top w:val="nil"/>
              <w:left w:val="nil"/>
              <w:bottom w:val="single" w:sz="4" w:space="0" w:color="auto"/>
              <w:right w:val="single" w:sz="4" w:space="0" w:color="auto"/>
            </w:tcBorders>
            <w:vAlign w:val="center"/>
          </w:tcPr>
          <w:p w14:paraId="5C19F2BB" w14:textId="3B1DD34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6A81C93F" w14:textId="3838F5A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University</w:t>
            </w:r>
          </w:p>
        </w:tc>
        <w:tc>
          <w:tcPr>
            <w:tcW w:w="851" w:type="dxa"/>
            <w:tcBorders>
              <w:top w:val="nil"/>
              <w:left w:val="nil"/>
              <w:bottom w:val="single" w:sz="4" w:space="0" w:color="auto"/>
              <w:right w:val="single" w:sz="4" w:space="0" w:color="auto"/>
            </w:tcBorders>
            <w:vAlign w:val="center"/>
          </w:tcPr>
          <w:p w14:paraId="10126383" w14:textId="33E5E5D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economics, environmental economics</w:t>
            </w:r>
          </w:p>
        </w:tc>
        <w:tc>
          <w:tcPr>
            <w:tcW w:w="993" w:type="dxa"/>
            <w:tcBorders>
              <w:top w:val="nil"/>
              <w:left w:val="nil"/>
              <w:bottom w:val="single" w:sz="4" w:space="0" w:color="auto"/>
              <w:right w:val="single" w:sz="4" w:space="0" w:color="auto"/>
            </w:tcBorders>
            <w:vAlign w:val="center"/>
          </w:tcPr>
          <w:p w14:paraId="2C80421A" w14:textId="17BF1AF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Cambridge 2006</w:t>
            </w:r>
          </w:p>
        </w:tc>
        <w:tc>
          <w:tcPr>
            <w:tcW w:w="708" w:type="dxa"/>
            <w:tcBorders>
              <w:top w:val="nil"/>
              <w:left w:val="nil"/>
              <w:bottom w:val="single" w:sz="4" w:space="0" w:color="auto"/>
              <w:right w:val="single" w:sz="4" w:space="0" w:color="auto"/>
            </w:tcBorders>
            <w:vAlign w:val="center"/>
          </w:tcPr>
          <w:p w14:paraId="4F74AB0C" w14:textId="581CDB0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review (policy study)</w:t>
            </w:r>
          </w:p>
        </w:tc>
        <w:tc>
          <w:tcPr>
            <w:tcW w:w="851" w:type="dxa"/>
            <w:tcBorders>
              <w:top w:val="nil"/>
              <w:left w:val="nil"/>
              <w:bottom w:val="single" w:sz="4" w:space="0" w:color="auto"/>
              <w:right w:val="single" w:sz="4" w:space="0" w:color="auto"/>
            </w:tcBorders>
            <w:vAlign w:val="center"/>
          </w:tcPr>
          <w:p w14:paraId="49D2CFC3" w14:textId="150C29D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77954F7" w14:textId="0DC0DAA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4BD5B80" w14:textId="32EF11E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Review has assessed a wide range of evidence on the impacts of climate change and on the economic costs and has used a number of different techniques to assess costs and risks. From all of these perspectives, the evidence gathered by the Review leads to a simple conclusion: the benefits of strong and early action far outweigh the economic costs of not acting.</w:t>
            </w:r>
          </w:p>
        </w:tc>
        <w:tc>
          <w:tcPr>
            <w:tcW w:w="2268" w:type="dxa"/>
            <w:tcBorders>
              <w:top w:val="nil"/>
              <w:left w:val="nil"/>
              <w:bottom w:val="single" w:sz="4" w:space="0" w:color="auto"/>
              <w:right w:val="single" w:sz="8" w:space="0" w:color="auto"/>
            </w:tcBorders>
            <w:vAlign w:val="center"/>
          </w:tcPr>
          <w:p w14:paraId="2F6C1A30" w14:textId="0F5608EA"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emphasises that planning and planners play key role in reducing vulnerability</w:t>
            </w:r>
          </w:p>
        </w:tc>
      </w:tr>
      <w:tr w:rsidR="00555B5A" w:rsidRPr="0002056A" w14:paraId="14CC5758"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C08B475" w14:textId="5A144EEC"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Störbjork, S.; Uggla, Y.</w:t>
            </w:r>
          </w:p>
        </w:tc>
        <w:tc>
          <w:tcPr>
            <w:tcW w:w="705" w:type="dxa"/>
            <w:tcBorders>
              <w:top w:val="nil"/>
              <w:left w:val="nil"/>
              <w:bottom w:val="single" w:sz="4" w:space="0" w:color="auto"/>
              <w:right w:val="single" w:sz="4" w:space="0" w:color="auto"/>
            </w:tcBorders>
            <w:vAlign w:val="center"/>
          </w:tcPr>
          <w:p w14:paraId="04FFD63B" w14:textId="65A3E0B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tcPr>
          <w:p w14:paraId="65CA5439" w14:textId="7F52823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practice of settling and enacting strategic guidelines for climate adaptation in spatial planning: lessons from ten Swedish municipalities</w:t>
            </w:r>
          </w:p>
        </w:tc>
        <w:tc>
          <w:tcPr>
            <w:tcW w:w="1134" w:type="dxa"/>
            <w:tcBorders>
              <w:top w:val="nil"/>
              <w:left w:val="nil"/>
              <w:bottom w:val="single" w:sz="4" w:space="0" w:color="auto"/>
              <w:right w:val="single" w:sz="4" w:space="0" w:color="auto"/>
            </w:tcBorders>
            <w:vAlign w:val="center"/>
          </w:tcPr>
          <w:p w14:paraId="1E0DF0CA" w14:textId="0A803A8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SWE, SWE</w:t>
            </w:r>
          </w:p>
        </w:tc>
        <w:tc>
          <w:tcPr>
            <w:tcW w:w="708" w:type="dxa"/>
            <w:tcBorders>
              <w:top w:val="nil"/>
              <w:left w:val="nil"/>
              <w:bottom w:val="single" w:sz="4" w:space="0" w:color="auto"/>
              <w:right w:val="single" w:sz="4" w:space="0" w:color="auto"/>
            </w:tcBorders>
            <w:vAlign w:val="center"/>
          </w:tcPr>
          <w:p w14:paraId="17DB464F" w14:textId="36141C7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5224FEC5" w14:textId="3C95230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w:t>
            </w:r>
          </w:p>
        </w:tc>
        <w:tc>
          <w:tcPr>
            <w:tcW w:w="993" w:type="dxa"/>
            <w:tcBorders>
              <w:top w:val="nil"/>
              <w:left w:val="nil"/>
              <w:bottom w:val="single" w:sz="4" w:space="0" w:color="auto"/>
              <w:right w:val="single" w:sz="4" w:space="0" w:color="auto"/>
            </w:tcBorders>
            <w:vAlign w:val="center"/>
          </w:tcPr>
          <w:p w14:paraId="354EEF0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Environmental Change 15 (2015)</w:t>
            </w:r>
          </w:p>
          <w:p w14:paraId="704E9CA3" w14:textId="28C3922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DOI: 1.1007/s10013-014-0690-0 </w:t>
            </w:r>
          </w:p>
        </w:tc>
        <w:tc>
          <w:tcPr>
            <w:tcW w:w="708" w:type="dxa"/>
            <w:tcBorders>
              <w:top w:val="nil"/>
              <w:left w:val="nil"/>
              <w:bottom w:val="single" w:sz="4" w:space="0" w:color="auto"/>
              <w:right w:val="single" w:sz="4" w:space="0" w:color="auto"/>
            </w:tcBorders>
            <w:vAlign w:val="center"/>
          </w:tcPr>
          <w:p w14:paraId="12DC0796" w14:textId="67A782D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E1BCE66" w14:textId="2053C4C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BC9EEC8" w14:textId="48B1E3F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CDA2C52" w14:textId="0BFB336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aim of the paper is to analyse how frontline planners approach climate change adaptation in an urban context, emphasizing the process of settling and enacting strategic guidelines in spatial planning. </w:t>
            </w:r>
          </w:p>
        </w:tc>
        <w:tc>
          <w:tcPr>
            <w:tcW w:w="2268" w:type="dxa"/>
            <w:tcBorders>
              <w:top w:val="nil"/>
              <w:left w:val="nil"/>
              <w:bottom w:val="single" w:sz="4" w:space="0" w:color="auto"/>
              <w:right w:val="single" w:sz="8" w:space="0" w:color="auto"/>
            </w:tcBorders>
            <w:vAlign w:val="center"/>
          </w:tcPr>
          <w:p w14:paraId="58E3326F" w14:textId="6C7A7A56"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provides us with important information on spatial planning role and function, the role of locality in adaptation planning and introduces the difference between reactive and proactive strategies.</w:t>
            </w:r>
          </w:p>
        </w:tc>
      </w:tr>
      <w:tr w:rsidR="00555B5A" w:rsidRPr="0002056A" w14:paraId="6D50111A"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FDF1875" w14:textId="77777777"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Sütő A., Fejes L.</w:t>
            </w:r>
          </w:p>
        </w:tc>
        <w:tc>
          <w:tcPr>
            <w:tcW w:w="705" w:type="dxa"/>
            <w:tcBorders>
              <w:top w:val="nil"/>
              <w:left w:val="nil"/>
              <w:bottom w:val="single" w:sz="4" w:space="0" w:color="auto"/>
              <w:right w:val="single" w:sz="4" w:space="0" w:color="auto"/>
            </w:tcBorders>
            <w:vAlign w:val="center"/>
            <w:hideMark/>
          </w:tcPr>
          <w:p w14:paraId="3CBA317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4E09ABA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turizmus ágazat jelenlegi és potenciális éghajlati sérülékenységének területi különbségei Magyarországon.</w:t>
            </w:r>
          </w:p>
        </w:tc>
        <w:tc>
          <w:tcPr>
            <w:tcW w:w="1134" w:type="dxa"/>
            <w:tcBorders>
              <w:top w:val="nil"/>
              <w:left w:val="nil"/>
              <w:bottom w:val="single" w:sz="4" w:space="0" w:color="auto"/>
              <w:right w:val="single" w:sz="4" w:space="0" w:color="auto"/>
            </w:tcBorders>
            <w:vAlign w:val="center"/>
            <w:hideMark/>
          </w:tcPr>
          <w:p w14:paraId="640C042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w:t>
            </w:r>
          </w:p>
        </w:tc>
        <w:tc>
          <w:tcPr>
            <w:tcW w:w="708" w:type="dxa"/>
            <w:tcBorders>
              <w:top w:val="nil"/>
              <w:left w:val="nil"/>
              <w:bottom w:val="single" w:sz="4" w:space="0" w:color="auto"/>
              <w:right w:val="single" w:sz="4" w:space="0" w:color="auto"/>
            </w:tcBorders>
            <w:vAlign w:val="center"/>
            <w:hideMark/>
          </w:tcPr>
          <w:p w14:paraId="3C094DF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MTA</w:t>
            </w:r>
          </w:p>
        </w:tc>
        <w:tc>
          <w:tcPr>
            <w:tcW w:w="851" w:type="dxa"/>
            <w:tcBorders>
              <w:top w:val="nil"/>
              <w:left w:val="nil"/>
              <w:bottom w:val="single" w:sz="4" w:space="0" w:color="auto"/>
              <w:right w:val="single" w:sz="4" w:space="0" w:color="auto"/>
            </w:tcBorders>
            <w:vAlign w:val="center"/>
            <w:hideMark/>
          </w:tcPr>
          <w:p w14:paraId="4C012D9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643DBA9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Tér és Társadalom 3/2019.</w:t>
            </w:r>
          </w:p>
        </w:tc>
        <w:tc>
          <w:tcPr>
            <w:tcW w:w="708" w:type="dxa"/>
            <w:tcBorders>
              <w:top w:val="nil"/>
              <w:left w:val="nil"/>
              <w:bottom w:val="single" w:sz="4" w:space="0" w:color="auto"/>
              <w:right w:val="single" w:sz="4" w:space="0" w:color="auto"/>
            </w:tcBorders>
            <w:vAlign w:val="center"/>
            <w:hideMark/>
          </w:tcPr>
          <w:p w14:paraId="2F2B0A9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214137D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E08F54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8B7408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Since 2017, under the coordination of the Department of the National Adaptation Centre of the Hungarian Mining and Geological Service, the further development of the National Adaptation Spatial Information System project has been taking place, the C3 module of which researched the climate vulnerability of tourism. The aim of the article is to present the methodology developed during the research on climate vulnerability of the tourism sector in Hungary and its dimensions of exposure, sensitivity and adaptability.</w:t>
            </w:r>
          </w:p>
        </w:tc>
        <w:tc>
          <w:tcPr>
            <w:tcW w:w="2268" w:type="dxa"/>
            <w:tcBorders>
              <w:top w:val="nil"/>
              <w:left w:val="nil"/>
              <w:bottom w:val="single" w:sz="4" w:space="0" w:color="auto"/>
              <w:right w:val="single" w:sz="8" w:space="0" w:color="auto"/>
            </w:tcBorders>
            <w:vAlign w:val="center"/>
          </w:tcPr>
          <w:p w14:paraId="49340FD4" w14:textId="740EF7E4"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practical application of the NAGiS’s CIVAS model in a sectoral vulnerability assessment at national level.</w:t>
            </w:r>
          </w:p>
        </w:tc>
      </w:tr>
      <w:tr w:rsidR="00555B5A" w:rsidRPr="0002056A" w14:paraId="14CC832A"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3AD1186" w14:textId="77777777"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Sütő, A. </w:t>
            </w:r>
          </w:p>
        </w:tc>
        <w:tc>
          <w:tcPr>
            <w:tcW w:w="705" w:type="dxa"/>
            <w:tcBorders>
              <w:top w:val="nil"/>
              <w:left w:val="nil"/>
              <w:bottom w:val="single" w:sz="4" w:space="0" w:color="auto"/>
              <w:right w:val="single" w:sz="4" w:space="0" w:color="auto"/>
            </w:tcBorders>
            <w:vAlign w:val="center"/>
            <w:hideMark/>
          </w:tcPr>
          <w:p w14:paraId="11861DE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61368AD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Értékelési rendszerek és hazai alkalmazhatóságuk a klímapolitikában. </w:t>
            </w:r>
          </w:p>
        </w:tc>
        <w:tc>
          <w:tcPr>
            <w:tcW w:w="1134" w:type="dxa"/>
            <w:tcBorders>
              <w:top w:val="nil"/>
              <w:left w:val="nil"/>
              <w:bottom w:val="single" w:sz="4" w:space="0" w:color="auto"/>
              <w:right w:val="single" w:sz="4" w:space="0" w:color="auto"/>
            </w:tcBorders>
            <w:vAlign w:val="center"/>
            <w:hideMark/>
          </w:tcPr>
          <w:p w14:paraId="047995C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4774B3B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BCE</w:t>
            </w:r>
          </w:p>
        </w:tc>
        <w:tc>
          <w:tcPr>
            <w:tcW w:w="851" w:type="dxa"/>
            <w:tcBorders>
              <w:top w:val="nil"/>
              <w:left w:val="nil"/>
              <w:bottom w:val="single" w:sz="4" w:space="0" w:color="auto"/>
              <w:right w:val="single" w:sz="4" w:space="0" w:color="auto"/>
            </w:tcBorders>
            <w:vAlign w:val="center"/>
            <w:hideMark/>
          </w:tcPr>
          <w:p w14:paraId="631E351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18E7782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Diplomamunka. Budapesti Corvinus Egyetem, Társadalomtudományi és Nemzetközi Kapcsolatok Kar, Gazdaságföldrajz, Geoökonómia és Fenntartható Fejlődés Intézet. Budapest, 2017.</w:t>
            </w:r>
          </w:p>
        </w:tc>
        <w:tc>
          <w:tcPr>
            <w:tcW w:w="708" w:type="dxa"/>
            <w:tcBorders>
              <w:top w:val="nil"/>
              <w:left w:val="nil"/>
              <w:bottom w:val="single" w:sz="4" w:space="0" w:color="auto"/>
              <w:right w:val="single" w:sz="4" w:space="0" w:color="auto"/>
            </w:tcBorders>
            <w:vAlign w:val="center"/>
            <w:hideMark/>
          </w:tcPr>
          <w:p w14:paraId="02F8CD2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MSc thesis</w:t>
            </w:r>
          </w:p>
        </w:tc>
        <w:tc>
          <w:tcPr>
            <w:tcW w:w="851" w:type="dxa"/>
            <w:tcBorders>
              <w:top w:val="nil"/>
              <w:left w:val="nil"/>
              <w:bottom w:val="single" w:sz="4" w:space="0" w:color="auto"/>
              <w:right w:val="single" w:sz="4" w:space="0" w:color="auto"/>
            </w:tcBorders>
            <w:vAlign w:val="center"/>
            <w:hideMark/>
          </w:tcPr>
          <w:p w14:paraId="1DE417D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5274049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7E162D5"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thesis is practically a monography on the history and characteristics of the Hungarian development policy-related and climate-policy oriented planning, monitoring and evaluation activities.</w:t>
            </w:r>
          </w:p>
        </w:tc>
        <w:tc>
          <w:tcPr>
            <w:tcW w:w="2268" w:type="dxa"/>
            <w:tcBorders>
              <w:top w:val="nil"/>
              <w:left w:val="nil"/>
              <w:bottom w:val="single" w:sz="4" w:space="0" w:color="auto"/>
              <w:right w:val="single" w:sz="8" w:space="0" w:color="auto"/>
            </w:tcBorders>
            <w:vAlign w:val="center"/>
          </w:tcPr>
          <w:p w14:paraId="2C996BE2"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the development of general development policy oriented and climate policy related MRE activities in Hungary and Europe in the mid-2010s.</w:t>
            </w:r>
          </w:p>
        </w:tc>
      </w:tr>
      <w:tr w:rsidR="00555B5A" w:rsidRPr="0002056A" w14:paraId="2A2F2BBE"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4D08F5E" w14:textId="77777777"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Sütő, A. (ed.)</w:t>
            </w:r>
          </w:p>
        </w:tc>
        <w:tc>
          <w:tcPr>
            <w:tcW w:w="705" w:type="dxa"/>
            <w:tcBorders>
              <w:top w:val="nil"/>
              <w:left w:val="nil"/>
              <w:bottom w:val="single" w:sz="4" w:space="0" w:color="auto"/>
              <w:right w:val="single" w:sz="4" w:space="0" w:color="auto"/>
            </w:tcBorders>
            <w:vAlign w:val="center"/>
            <w:hideMark/>
          </w:tcPr>
          <w:p w14:paraId="5018C9F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hideMark/>
          </w:tcPr>
          <w:p w14:paraId="6208C0C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magyarországi klímapolitikai monitoring, jelentéstételi és értékelési rendszer (KIMÉR) felállítását és működésének elindítását közvetlenül megalapozó rendszerkoncepció javaslat. </w:t>
            </w:r>
          </w:p>
        </w:tc>
        <w:tc>
          <w:tcPr>
            <w:tcW w:w="1134" w:type="dxa"/>
            <w:tcBorders>
              <w:top w:val="nil"/>
              <w:left w:val="nil"/>
              <w:bottom w:val="single" w:sz="4" w:space="0" w:color="auto"/>
              <w:right w:val="single" w:sz="4" w:space="0" w:color="auto"/>
            </w:tcBorders>
            <w:vAlign w:val="center"/>
            <w:hideMark/>
          </w:tcPr>
          <w:p w14:paraId="04D8670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7CF5AED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HMGS</w:t>
            </w:r>
          </w:p>
        </w:tc>
        <w:tc>
          <w:tcPr>
            <w:tcW w:w="851" w:type="dxa"/>
            <w:tcBorders>
              <w:top w:val="nil"/>
              <w:left w:val="nil"/>
              <w:bottom w:val="single" w:sz="4" w:space="0" w:color="auto"/>
              <w:right w:val="single" w:sz="4" w:space="0" w:color="auto"/>
            </w:tcBorders>
            <w:vAlign w:val="center"/>
            <w:hideMark/>
          </w:tcPr>
          <w:p w14:paraId="78406D0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5AA29A8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Magyar Bányászati és Földtani Szolgálat, Nemzeti Alkalmazkodási Központ. Budapest, 2020.</w:t>
            </w:r>
          </w:p>
        </w:tc>
        <w:tc>
          <w:tcPr>
            <w:tcW w:w="708" w:type="dxa"/>
            <w:tcBorders>
              <w:top w:val="nil"/>
              <w:left w:val="nil"/>
              <w:bottom w:val="single" w:sz="4" w:space="0" w:color="auto"/>
              <w:right w:val="single" w:sz="4" w:space="0" w:color="auto"/>
            </w:tcBorders>
            <w:vAlign w:val="center"/>
            <w:hideMark/>
          </w:tcPr>
          <w:p w14:paraId="2B0FEF5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w:t>
            </w:r>
          </w:p>
        </w:tc>
        <w:tc>
          <w:tcPr>
            <w:tcW w:w="851" w:type="dxa"/>
            <w:tcBorders>
              <w:top w:val="nil"/>
              <w:left w:val="nil"/>
              <w:bottom w:val="single" w:sz="4" w:space="0" w:color="auto"/>
              <w:right w:val="single" w:sz="4" w:space="0" w:color="auto"/>
            </w:tcBorders>
            <w:vAlign w:val="center"/>
            <w:hideMark/>
          </w:tcPr>
          <w:p w14:paraId="1D5C8C9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028AE72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25D2C2F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system concept proposal directly makes the foundations of the establishment and the setting up of operation of the Hungarian climate policy monitoring, reporting and evaluation system (CliMES).</w:t>
            </w:r>
          </w:p>
          <w:p w14:paraId="218F85D6"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1A0E1B04"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working paper summarizes the European and Hungarian good practices and experience of MRE in climate adaptation.</w:t>
            </w:r>
          </w:p>
        </w:tc>
      </w:tr>
      <w:tr w:rsidR="00555B5A" w:rsidRPr="0002056A" w14:paraId="461FEC45"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EADCFD8" w14:textId="77777777" w:rsidR="00555B5A" w:rsidRPr="0002056A" w:rsidRDefault="00555B5A" w:rsidP="00555B5A">
            <w:pPr>
              <w:spacing w:after="0" w:line="240" w:lineRule="auto"/>
              <w:ind w:right="162"/>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Sütő, A. (ed.) </w:t>
            </w:r>
          </w:p>
        </w:tc>
        <w:tc>
          <w:tcPr>
            <w:tcW w:w="705" w:type="dxa"/>
            <w:tcBorders>
              <w:top w:val="nil"/>
              <w:left w:val="nil"/>
              <w:bottom w:val="single" w:sz="4" w:space="0" w:color="auto"/>
              <w:right w:val="single" w:sz="4" w:space="0" w:color="auto"/>
            </w:tcBorders>
            <w:vAlign w:val="center"/>
            <w:hideMark/>
          </w:tcPr>
          <w:p w14:paraId="1D0B77A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2016</w:t>
            </w:r>
          </w:p>
        </w:tc>
        <w:tc>
          <w:tcPr>
            <w:tcW w:w="1137" w:type="dxa"/>
            <w:tcBorders>
              <w:top w:val="nil"/>
              <w:left w:val="nil"/>
              <w:bottom w:val="single" w:sz="4" w:space="0" w:color="auto"/>
              <w:right w:val="single" w:sz="4" w:space="0" w:color="auto"/>
            </w:tcBorders>
            <w:vAlign w:val="center"/>
            <w:hideMark/>
          </w:tcPr>
          <w:p w14:paraId="5BFAD20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Climate Change and Adaptation – Establishing the National Adaptation Geo-Information System (NAGiS). An effective tool to provide the right answers. </w:t>
            </w:r>
          </w:p>
        </w:tc>
        <w:tc>
          <w:tcPr>
            <w:tcW w:w="1134" w:type="dxa"/>
            <w:tcBorders>
              <w:top w:val="nil"/>
              <w:left w:val="nil"/>
              <w:bottom w:val="single" w:sz="4" w:space="0" w:color="auto"/>
              <w:right w:val="single" w:sz="4" w:space="0" w:color="auto"/>
            </w:tcBorders>
            <w:vAlign w:val="center"/>
            <w:hideMark/>
          </w:tcPr>
          <w:p w14:paraId="405860D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hideMark/>
          </w:tcPr>
          <w:p w14:paraId="1988BD9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HMGS</w:t>
            </w:r>
          </w:p>
        </w:tc>
        <w:tc>
          <w:tcPr>
            <w:tcW w:w="851" w:type="dxa"/>
            <w:tcBorders>
              <w:top w:val="nil"/>
              <w:left w:val="nil"/>
              <w:bottom w:val="single" w:sz="4" w:space="0" w:color="auto"/>
              <w:right w:val="single" w:sz="4" w:space="0" w:color="auto"/>
            </w:tcBorders>
            <w:vAlign w:val="center"/>
            <w:hideMark/>
          </w:tcPr>
          <w:p w14:paraId="2DDE831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4C5770B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HU04 – Programme for adaptation and climate change. EEA-C11-1 project. Hungarian Mining and Geological institute. Budapest, 2016.</w:t>
            </w:r>
          </w:p>
        </w:tc>
        <w:tc>
          <w:tcPr>
            <w:tcW w:w="708" w:type="dxa"/>
            <w:tcBorders>
              <w:top w:val="nil"/>
              <w:left w:val="nil"/>
              <w:bottom w:val="single" w:sz="4" w:space="0" w:color="auto"/>
              <w:right w:val="single" w:sz="4" w:space="0" w:color="auto"/>
            </w:tcBorders>
            <w:vAlign w:val="center"/>
            <w:hideMark/>
          </w:tcPr>
          <w:p w14:paraId="518B8C7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hideMark/>
          </w:tcPr>
          <w:p w14:paraId="7197D03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681B05B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6FB86CB1"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introduces the history, development, main vulnerability thematic fields and main pillars (GeoDat database, meta-database, mapping system, document inventory) of the National Adaptation Geo-Information System (NAGiS).</w:t>
            </w:r>
          </w:p>
        </w:tc>
        <w:tc>
          <w:tcPr>
            <w:tcW w:w="2268" w:type="dxa"/>
            <w:tcBorders>
              <w:top w:val="nil"/>
              <w:left w:val="nil"/>
              <w:bottom w:val="single" w:sz="4" w:space="0" w:color="auto"/>
              <w:right w:val="single" w:sz="8" w:space="0" w:color="auto"/>
            </w:tcBorders>
            <w:vAlign w:val="center"/>
          </w:tcPr>
          <w:p w14:paraId="112EA941"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introduces the European and Hungarian good practice DS system, the NAGiS.</w:t>
            </w:r>
          </w:p>
        </w:tc>
      </w:tr>
      <w:tr w:rsidR="00555B5A" w:rsidRPr="0002056A" w14:paraId="6E77F085"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394E0A3" w14:textId="08AB7DB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Sütő, A. </w:t>
            </w:r>
          </w:p>
          <w:p w14:paraId="54FF0A4B"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73AD076" w14:textId="15304CD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065C2A51" w14:textId="4938B42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role of strategic planning and territorial aspects of sustainability and climate adaptation activities. </w:t>
            </w:r>
          </w:p>
        </w:tc>
        <w:tc>
          <w:tcPr>
            <w:tcW w:w="1134" w:type="dxa"/>
            <w:tcBorders>
              <w:top w:val="nil"/>
              <w:left w:val="nil"/>
              <w:bottom w:val="single" w:sz="4" w:space="0" w:color="auto"/>
              <w:right w:val="single" w:sz="4" w:space="0" w:color="auto"/>
            </w:tcBorders>
            <w:vAlign w:val="center"/>
          </w:tcPr>
          <w:p w14:paraId="18D02B09" w14:textId="38D0E0B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050FC84C" w14:textId="6DE5B16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University of Sopron</w:t>
            </w:r>
          </w:p>
        </w:tc>
        <w:tc>
          <w:tcPr>
            <w:tcW w:w="851" w:type="dxa"/>
            <w:tcBorders>
              <w:top w:val="nil"/>
              <w:left w:val="nil"/>
              <w:bottom w:val="single" w:sz="4" w:space="0" w:color="auto"/>
              <w:right w:val="single" w:sz="4" w:space="0" w:color="auto"/>
            </w:tcBorders>
            <w:vAlign w:val="center"/>
          </w:tcPr>
          <w:p w14:paraId="4983BEC9" w14:textId="644CF76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5E3B012E" w14:textId="1F639A0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Under publication in E-Econ. Sopron, 2023.</w:t>
            </w:r>
          </w:p>
        </w:tc>
        <w:tc>
          <w:tcPr>
            <w:tcW w:w="708" w:type="dxa"/>
            <w:tcBorders>
              <w:top w:val="nil"/>
              <w:left w:val="nil"/>
              <w:bottom w:val="single" w:sz="4" w:space="0" w:color="auto"/>
              <w:right w:val="single" w:sz="4" w:space="0" w:color="auto"/>
            </w:tcBorders>
            <w:vAlign w:val="center"/>
          </w:tcPr>
          <w:p w14:paraId="18A92B96" w14:textId="1157A1F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CF9E638" w14:textId="7A8A6A8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A01CC30" w14:textId="3C05987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202F8C0" w14:textId="22E3685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summarizes the main challenges gaps and results of adaptation policy and planning related literature.</w:t>
            </w:r>
          </w:p>
        </w:tc>
        <w:tc>
          <w:tcPr>
            <w:tcW w:w="2268" w:type="dxa"/>
            <w:tcBorders>
              <w:top w:val="nil"/>
              <w:left w:val="nil"/>
              <w:bottom w:val="single" w:sz="4" w:space="0" w:color="auto"/>
              <w:right w:val="single" w:sz="8" w:space="0" w:color="auto"/>
            </w:tcBorders>
            <w:vAlign w:val="center"/>
          </w:tcPr>
          <w:p w14:paraId="470D90C7" w14:textId="461947C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the actual trend of climate adaptation planning in Europe, the main territorial levels of activities, and the current challenges and approaches in climate policy.</w:t>
            </w:r>
          </w:p>
        </w:tc>
      </w:tr>
      <w:tr w:rsidR="00555B5A" w:rsidRPr="0002056A" w14:paraId="64FC5B71"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3E89AAD" w14:textId="4D4F354C"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Sütő, A.; Selmeczi, P.; Lovász, Cs. </w:t>
            </w:r>
          </w:p>
          <w:p w14:paraId="6AB6CCE1" w14:textId="7D82BE14"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01DEC46F" w14:textId="26D28B1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5A2290FE" w14:textId="1654A6E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Decision support activities and sectoral vulnerability assessment tools and their potential applicability in the Western Balkan countries. </w:t>
            </w:r>
          </w:p>
        </w:tc>
        <w:tc>
          <w:tcPr>
            <w:tcW w:w="1134" w:type="dxa"/>
            <w:tcBorders>
              <w:top w:val="nil"/>
              <w:left w:val="nil"/>
              <w:bottom w:val="single" w:sz="4" w:space="0" w:color="auto"/>
              <w:right w:val="single" w:sz="4" w:space="0" w:color="auto"/>
            </w:tcBorders>
            <w:vAlign w:val="center"/>
          </w:tcPr>
          <w:p w14:paraId="7B2142BA" w14:textId="422F896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 HUN, HUN</w:t>
            </w:r>
          </w:p>
        </w:tc>
        <w:tc>
          <w:tcPr>
            <w:tcW w:w="708" w:type="dxa"/>
            <w:tcBorders>
              <w:top w:val="nil"/>
              <w:left w:val="nil"/>
              <w:bottom w:val="single" w:sz="4" w:space="0" w:color="auto"/>
              <w:right w:val="single" w:sz="4" w:space="0" w:color="auto"/>
            </w:tcBorders>
            <w:vAlign w:val="center"/>
          </w:tcPr>
          <w:p w14:paraId="4609E456" w14:textId="1F5B895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KNE Publishing</w:t>
            </w:r>
          </w:p>
        </w:tc>
        <w:tc>
          <w:tcPr>
            <w:tcW w:w="851" w:type="dxa"/>
            <w:tcBorders>
              <w:top w:val="nil"/>
              <w:left w:val="nil"/>
              <w:bottom w:val="single" w:sz="4" w:space="0" w:color="auto"/>
              <w:right w:val="single" w:sz="4" w:space="0" w:color="auto"/>
            </w:tcBorders>
            <w:vAlign w:val="center"/>
          </w:tcPr>
          <w:p w14:paraId="0489A05F" w14:textId="0879103E"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2EDA09EB" w14:textId="4893761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Economies of the Balkan and Eastern European Countries, KnE Social Sciences, pages 505–535. DOI 10.18502/kss.v8i1.12673</w:t>
            </w:r>
          </w:p>
        </w:tc>
        <w:tc>
          <w:tcPr>
            <w:tcW w:w="708" w:type="dxa"/>
            <w:tcBorders>
              <w:top w:val="nil"/>
              <w:left w:val="nil"/>
              <w:bottom w:val="single" w:sz="4" w:space="0" w:color="auto"/>
              <w:right w:val="single" w:sz="4" w:space="0" w:color="auto"/>
            </w:tcBorders>
            <w:vAlign w:val="center"/>
          </w:tcPr>
          <w:p w14:paraId="7DBB590E" w14:textId="366F6B6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7546261" w14:textId="6B77F34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B4ED31F" w14:textId="73BCF91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A06025C" w14:textId="731DC42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main CC-related challenges in the Balkan region and different CC-related strategic planning and GIS-based developments of activities in the different countries, even introducing the results of two vulnerability topic. -related case studies, one for Montenegro, one for Albania</w:t>
            </w:r>
          </w:p>
        </w:tc>
        <w:tc>
          <w:tcPr>
            <w:tcW w:w="2268" w:type="dxa"/>
            <w:tcBorders>
              <w:top w:val="nil"/>
              <w:left w:val="nil"/>
              <w:bottom w:val="single" w:sz="4" w:space="0" w:color="auto"/>
              <w:right w:val="single" w:sz="8" w:space="0" w:color="auto"/>
            </w:tcBorders>
            <w:vAlign w:val="center"/>
          </w:tcPr>
          <w:p w14:paraId="139562CF" w14:textId="5F0F1AC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gives useful information about adaptation planning’s and decision support activities' role at different territorial levels.</w:t>
            </w:r>
          </w:p>
        </w:tc>
      </w:tr>
      <w:tr w:rsidR="00555B5A" w:rsidRPr="0002056A" w14:paraId="19B5E177"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B760752" w14:textId="78A799B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Sütő, A.</w:t>
            </w:r>
          </w:p>
        </w:tc>
        <w:tc>
          <w:tcPr>
            <w:tcW w:w="705" w:type="dxa"/>
            <w:tcBorders>
              <w:top w:val="nil"/>
              <w:left w:val="nil"/>
              <w:bottom w:val="single" w:sz="4" w:space="0" w:color="auto"/>
              <w:right w:val="single" w:sz="4" w:space="0" w:color="auto"/>
            </w:tcBorders>
            <w:vAlign w:val="center"/>
          </w:tcPr>
          <w:p w14:paraId="4A039BE5" w14:textId="50C0AD1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2025b</w:t>
            </w:r>
          </w:p>
        </w:tc>
        <w:tc>
          <w:tcPr>
            <w:tcW w:w="1137" w:type="dxa"/>
            <w:tcBorders>
              <w:top w:val="nil"/>
              <w:left w:val="nil"/>
              <w:bottom w:val="single" w:sz="4" w:space="0" w:color="auto"/>
              <w:right w:val="single" w:sz="4" w:space="0" w:color="auto"/>
            </w:tcBorders>
            <w:vAlign w:val="center"/>
          </w:tcPr>
          <w:p w14:paraId="0780887F" w14:textId="0ABD1A6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sensitivity of national adaptation policies in Eastern-Central Europe - first results of national comparative studies.</w:t>
            </w:r>
          </w:p>
        </w:tc>
        <w:tc>
          <w:tcPr>
            <w:tcW w:w="1134" w:type="dxa"/>
            <w:tcBorders>
              <w:top w:val="nil"/>
              <w:left w:val="nil"/>
              <w:bottom w:val="single" w:sz="4" w:space="0" w:color="auto"/>
              <w:right w:val="single" w:sz="4" w:space="0" w:color="auto"/>
            </w:tcBorders>
            <w:vAlign w:val="center"/>
          </w:tcPr>
          <w:p w14:paraId="69011D9E" w14:textId="13AAD37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6ADA1A0D" w14:textId="1B7F1AE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University of Sopron</w:t>
            </w:r>
          </w:p>
        </w:tc>
        <w:tc>
          <w:tcPr>
            <w:tcW w:w="851" w:type="dxa"/>
            <w:tcBorders>
              <w:top w:val="nil"/>
              <w:left w:val="nil"/>
              <w:bottom w:val="single" w:sz="4" w:space="0" w:color="auto"/>
              <w:right w:val="single" w:sz="4" w:space="0" w:color="auto"/>
            </w:tcBorders>
            <w:vAlign w:val="center"/>
          </w:tcPr>
          <w:p w14:paraId="4C2654E4" w14:textId="7636E86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75938584" w14:textId="337DA56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E-conom, 14. évf. 1 szám. pp. 33-70. Sopron, 2025.</w:t>
            </w:r>
          </w:p>
        </w:tc>
        <w:tc>
          <w:tcPr>
            <w:tcW w:w="708" w:type="dxa"/>
            <w:tcBorders>
              <w:top w:val="nil"/>
              <w:left w:val="nil"/>
              <w:bottom w:val="single" w:sz="4" w:space="0" w:color="auto"/>
              <w:right w:val="single" w:sz="4" w:space="0" w:color="auto"/>
            </w:tcBorders>
            <w:vAlign w:val="center"/>
          </w:tcPr>
          <w:p w14:paraId="37761F3A" w14:textId="763E79D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998BABA" w14:textId="55D513C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0340566E" w14:textId="6A63CD9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64059CE" w14:textId="11D425E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aim of the paper is to provide a brief overview of the research results to date, including the methodological background. The paper concludes with the first empirical results of the analysis for the Eastern-Central European region: that adaptation policy and planning are growing in importance in many countries, but the related monitoring/assessment activities and the emergence of spatial considerations in these and in planning itself are still in their early stages.</w:t>
            </w:r>
          </w:p>
        </w:tc>
        <w:tc>
          <w:tcPr>
            <w:tcW w:w="2268" w:type="dxa"/>
            <w:tcBorders>
              <w:top w:val="nil"/>
              <w:left w:val="nil"/>
              <w:bottom w:val="single" w:sz="4" w:space="0" w:color="auto"/>
              <w:right w:val="single" w:sz="8" w:space="0" w:color="auto"/>
            </w:tcBorders>
            <w:vAlign w:val="center"/>
          </w:tcPr>
          <w:p w14:paraId="7DC2153E" w14:textId="12BFD4C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first introduction and publishing of the research methodological background and its first results.</w:t>
            </w:r>
          </w:p>
        </w:tc>
      </w:tr>
      <w:tr w:rsidR="00555B5A" w:rsidRPr="0002056A" w14:paraId="4BF9F82F"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432E5435" w14:textId="517C06B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Sütő, A.</w:t>
            </w:r>
          </w:p>
        </w:tc>
        <w:tc>
          <w:tcPr>
            <w:tcW w:w="705" w:type="dxa"/>
            <w:tcBorders>
              <w:top w:val="nil"/>
              <w:left w:val="nil"/>
              <w:bottom w:val="single" w:sz="4" w:space="0" w:color="auto"/>
              <w:right w:val="single" w:sz="4" w:space="0" w:color="auto"/>
            </w:tcBorders>
            <w:vAlign w:val="center"/>
          </w:tcPr>
          <w:p w14:paraId="63615A68" w14:textId="1249D5E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2025a</w:t>
            </w:r>
          </w:p>
        </w:tc>
        <w:tc>
          <w:tcPr>
            <w:tcW w:w="1137" w:type="dxa"/>
            <w:tcBorders>
              <w:top w:val="nil"/>
              <w:left w:val="nil"/>
              <w:bottom w:val="single" w:sz="4" w:space="0" w:color="auto"/>
              <w:right w:val="single" w:sz="4" w:space="0" w:color="auto"/>
            </w:tcBorders>
            <w:vAlign w:val="center"/>
          </w:tcPr>
          <w:p w14:paraId="28D629DD" w14:textId="4C0C8370" w:rsidR="00555B5A" w:rsidRPr="0002056A" w:rsidRDefault="00555B5A" w:rsidP="00555B5A">
            <w:pPr>
              <w:spacing w:before="60" w:after="6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 hazai klímaalkalmazkodási politika 2022-23. évi felülvizsgálatának szempontjai és területi jellemzői. </w:t>
            </w:r>
          </w:p>
        </w:tc>
        <w:tc>
          <w:tcPr>
            <w:tcW w:w="1134" w:type="dxa"/>
            <w:tcBorders>
              <w:top w:val="nil"/>
              <w:left w:val="nil"/>
              <w:bottom w:val="single" w:sz="4" w:space="0" w:color="auto"/>
              <w:right w:val="single" w:sz="4" w:space="0" w:color="auto"/>
            </w:tcBorders>
            <w:vAlign w:val="center"/>
          </w:tcPr>
          <w:p w14:paraId="3B10D435" w14:textId="1C92999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HUN</w:t>
            </w:r>
          </w:p>
        </w:tc>
        <w:tc>
          <w:tcPr>
            <w:tcW w:w="708" w:type="dxa"/>
            <w:tcBorders>
              <w:top w:val="nil"/>
              <w:left w:val="nil"/>
              <w:bottom w:val="single" w:sz="4" w:space="0" w:color="auto"/>
              <w:right w:val="single" w:sz="4" w:space="0" w:color="auto"/>
            </w:tcBorders>
            <w:vAlign w:val="center"/>
          </w:tcPr>
          <w:p w14:paraId="0FA9D5B1" w14:textId="4299F2DA"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Central Statistical Office of Hungary</w:t>
            </w:r>
          </w:p>
        </w:tc>
        <w:tc>
          <w:tcPr>
            <w:tcW w:w="851" w:type="dxa"/>
            <w:tcBorders>
              <w:top w:val="nil"/>
              <w:left w:val="nil"/>
              <w:bottom w:val="single" w:sz="4" w:space="0" w:color="auto"/>
              <w:right w:val="single" w:sz="4" w:space="0" w:color="auto"/>
            </w:tcBorders>
            <w:vAlign w:val="center"/>
          </w:tcPr>
          <w:p w14:paraId="01779204" w14:textId="353D494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tcPr>
          <w:p w14:paraId="63294518" w14:textId="51A2298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Területi Statisztika, 2025, 65 (1): 3-40. </w:t>
            </w:r>
            <w:hyperlink r:id="rId194" w:history="1">
              <w:r w:rsidRPr="0002056A">
                <w:rPr>
                  <w:rFonts w:ascii="Georgia" w:eastAsia="Times New Roman" w:hAnsi="Georgia" w:cs="Times New Roman"/>
                  <w:color w:val="000000"/>
                  <w:sz w:val="10"/>
                  <w:szCs w:val="10"/>
                  <w:lang w:val="en-GB" w:eastAsia="hu-HU"/>
                </w:rPr>
                <w:t>https://doi.org/10.15196/TS650101</w:t>
              </w:r>
            </w:hyperlink>
          </w:p>
        </w:tc>
        <w:tc>
          <w:tcPr>
            <w:tcW w:w="708" w:type="dxa"/>
            <w:tcBorders>
              <w:top w:val="nil"/>
              <w:left w:val="nil"/>
              <w:bottom w:val="single" w:sz="4" w:space="0" w:color="auto"/>
              <w:right w:val="single" w:sz="4" w:space="0" w:color="auto"/>
            </w:tcBorders>
            <w:vAlign w:val="center"/>
          </w:tcPr>
          <w:p w14:paraId="414C98EA" w14:textId="0490ECE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2931D3A" w14:textId="46DC098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0D51A34" w14:textId="0266EDD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A5B1875" w14:textId="7C4B640C"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climate change-related increase of intensity and frequency of weather extremities (especially considering the weather events of recent years) and their consequences, both globally and in Hungary, are increasingly becoming the focus of public policy debates. The importance of adaptation at the national, regional and local level is underlined, among other things, by the UN Framework Convention on Climate Change and the revised Adaptation Strategy of the European Union (2021). The floods, flash floods and the extreme droughts of recent years brought attention to the issue also in Hungary - especially to the need for regional and local response measures. As the Parliamentary Decree on the adoption of the second National Climate Change Strategy (NCCS-2) declares, the first revision of the document would take place 5 years after the adoption of the strategy. The HungaroMet National Adaptation Centre carried this evaluation out during 2022-23, to assess the implementation of NCCS-2 and its Action Plans, based on extensive document analysis, and interviews involving governmental bodies and experts. The main goal of this article is to present this revision process, introducing its main conclusions and potential directions of the future NCCS update, focusing among them especially on the spatial emphases of climate policy and the affected sectors as the first (partially spatial) outputs of the process.</w:t>
            </w:r>
          </w:p>
        </w:tc>
        <w:tc>
          <w:tcPr>
            <w:tcW w:w="2268" w:type="dxa"/>
            <w:tcBorders>
              <w:top w:val="nil"/>
              <w:left w:val="nil"/>
              <w:bottom w:val="single" w:sz="4" w:space="0" w:color="auto"/>
              <w:right w:val="single" w:sz="8" w:space="0" w:color="auto"/>
            </w:tcBorders>
            <w:vAlign w:val="center"/>
          </w:tcPr>
          <w:p w14:paraId="33C5F2A2" w14:textId="4FDDC22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Description of the methodology and outcomes of the current NAS evaluation in Hungary, touching even spatial emphases.</w:t>
            </w:r>
          </w:p>
        </w:tc>
      </w:tr>
      <w:tr w:rsidR="00555B5A" w:rsidRPr="0002056A" w14:paraId="75254FA0"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1B7DBBF" w14:textId="77EA41B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Swart, R.; Biesbroek, R., Binnerup, S. Carter, T.R.; Cowan, C.; Heinrichs T.; Loquen S.; Mela, H.; Morecroft, M.; Reese, M.; Rey, D.</w:t>
            </w:r>
          </w:p>
        </w:tc>
        <w:tc>
          <w:tcPr>
            <w:tcW w:w="705" w:type="dxa"/>
            <w:tcBorders>
              <w:top w:val="nil"/>
              <w:left w:val="nil"/>
              <w:bottom w:val="single" w:sz="4" w:space="0" w:color="auto"/>
              <w:right w:val="single" w:sz="4" w:space="0" w:color="auto"/>
            </w:tcBorders>
            <w:vAlign w:val="center"/>
          </w:tcPr>
          <w:p w14:paraId="15760F9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2009</w:t>
            </w:r>
          </w:p>
        </w:tc>
        <w:tc>
          <w:tcPr>
            <w:tcW w:w="1137" w:type="dxa"/>
            <w:tcBorders>
              <w:top w:val="nil"/>
              <w:left w:val="nil"/>
              <w:bottom w:val="single" w:sz="4" w:space="0" w:color="auto"/>
              <w:right w:val="single" w:sz="4" w:space="0" w:color="auto"/>
            </w:tcBorders>
            <w:vAlign w:val="center"/>
          </w:tcPr>
          <w:p w14:paraId="6D401E1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Europe adapts to climate change: Comparing National Adaptation Strategies</w:t>
            </w:r>
          </w:p>
        </w:tc>
        <w:tc>
          <w:tcPr>
            <w:tcW w:w="1134" w:type="dxa"/>
            <w:tcBorders>
              <w:top w:val="nil"/>
              <w:left w:val="nil"/>
              <w:bottom w:val="single" w:sz="4" w:space="0" w:color="auto"/>
              <w:right w:val="single" w:sz="4" w:space="0" w:color="auto"/>
            </w:tcBorders>
            <w:vAlign w:val="center"/>
          </w:tcPr>
          <w:p w14:paraId="4FCE5DB2" w14:textId="31F1862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EU</w:t>
            </w:r>
          </w:p>
        </w:tc>
        <w:tc>
          <w:tcPr>
            <w:tcW w:w="708" w:type="dxa"/>
            <w:tcBorders>
              <w:top w:val="nil"/>
              <w:left w:val="nil"/>
              <w:bottom w:val="single" w:sz="4" w:space="0" w:color="auto"/>
              <w:right w:val="single" w:sz="4" w:space="0" w:color="auto"/>
            </w:tcBorders>
            <w:vAlign w:val="center"/>
          </w:tcPr>
          <w:p w14:paraId="3AED68A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PEER (Partnership for European Environmental Research)</w:t>
            </w:r>
          </w:p>
        </w:tc>
        <w:tc>
          <w:tcPr>
            <w:tcW w:w="851" w:type="dxa"/>
            <w:tcBorders>
              <w:top w:val="nil"/>
              <w:left w:val="nil"/>
              <w:bottom w:val="single" w:sz="4" w:space="0" w:color="auto"/>
              <w:right w:val="single" w:sz="4" w:space="0" w:color="auto"/>
            </w:tcBorders>
            <w:vAlign w:val="center"/>
          </w:tcPr>
          <w:p w14:paraId="40D5AE1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w:t>
            </w:r>
          </w:p>
        </w:tc>
        <w:tc>
          <w:tcPr>
            <w:tcW w:w="993" w:type="dxa"/>
            <w:tcBorders>
              <w:top w:val="nil"/>
              <w:left w:val="nil"/>
              <w:bottom w:val="single" w:sz="4" w:space="0" w:color="auto"/>
              <w:right w:val="single" w:sz="4" w:space="0" w:color="auto"/>
            </w:tcBorders>
            <w:vAlign w:val="center"/>
          </w:tcPr>
          <w:p w14:paraId="6084316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PEER Report 01. Helsinki, 2009.</w:t>
            </w:r>
          </w:p>
        </w:tc>
        <w:tc>
          <w:tcPr>
            <w:tcW w:w="708" w:type="dxa"/>
            <w:tcBorders>
              <w:top w:val="nil"/>
              <w:left w:val="nil"/>
              <w:bottom w:val="single" w:sz="4" w:space="0" w:color="auto"/>
              <w:right w:val="single" w:sz="4" w:space="0" w:color="auto"/>
            </w:tcBorders>
            <w:vAlign w:val="center"/>
          </w:tcPr>
          <w:p w14:paraId="4A68D54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32C9C9F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2571C0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2D9CFBD"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presents a comparative analysis of national adaptation strategies from given European countries, identify policy-relevant findings and recommendations for the future.</w:t>
            </w:r>
          </w:p>
        </w:tc>
        <w:tc>
          <w:tcPr>
            <w:tcW w:w="2268" w:type="dxa"/>
            <w:tcBorders>
              <w:top w:val="nil"/>
              <w:left w:val="nil"/>
              <w:bottom w:val="single" w:sz="4" w:space="0" w:color="auto"/>
              <w:right w:val="single" w:sz="8" w:space="0" w:color="auto"/>
            </w:tcBorders>
            <w:vAlign w:val="center"/>
          </w:tcPr>
          <w:p w14:paraId="59037827"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Along six themes (facilitating strategic development; science-policy interaction; communication; multilevel governance; sectoral mainstreaming; role of policy monitoring) the report examined the different countries’ approach and progresses.</w:t>
            </w:r>
          </w:p>
        </w:tc>
      </w:tr>
      <w:tr w:rsidR="00555B5A" w:rsidRPr="0002056A" w14:paraId="0B8B3CC4"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1CDE66DD" w14:textId="15A77B49"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Taylor, P.J.; O’Keefe, Ph.</w:t>
            </w:r>
          </w:p>
        </w:tc>
        <w:tc>
          <w:tcPr>
            <w:tcW w:w="705" w:type="dxa"/>
            <w:tcBorders>
              <w:top w:val="nil"/>
              <w:left w:val="nil"/>
              <w:bottom w:val="single" w:sz="4" w:space="0" w:color="auto"/>
              <w:right w:val="single" w:sz="4" w:space="0" w:color="auto"/>
            </w:tcBorders>
            <w:vAlign w:val="center"/>
          </w:tcPr>
          <w:p w14:paraId="1B1CE60F" w14:textId="0D7C702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3EB282A6" w14:textId="620A772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praise of Geography as a field of study for the climate emergency</w:t>
            </w:r>
          </w:p>
        </w:tc>
        <w:tc>
          <w:tcPr>
            <w:tcW w:w="1134" w:type="dxa"/>
            <w:tcBorders>
              <w:top w:val="nil"/>
              <w:left w:val="nil"/>
              <w:bottom w:val="single" w:sz="4" w:space="0" w:color="auto"/>
              <w:right w:val="single" w:sz="4" w:space="0" w:color="auto"/>
            </w:tcBorders>
            <w:vAlign w:val="center"/>
          </w:tcPr>
          <w:p w14:paraId="614AF2CB" w14:textId="7039D7F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 USA</w:t>
            </w:r>
          </w:p>
        </w:tc>
        <w:tc>
          <w:tcPr>
            <w:tcW w:w="708" w:type="dxa"/>
            <w:tcBorders>
              <w:top w:val="nil"/>
              <w:left w:val="nil"/>
              <w:bottom w:val="single" w:sz="4" w:space="0" w:color="auto"/>
              <w:right w:val="single" w:sz="4" w:space="0" w:color="auto"/>
            </w:tcBorders>
            <w:vAlign w:val="center"/>
          </w:tcPr>
          <w:p w14:paraId="13514372" w14:textId="7C5C738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Royal Geographical Society</w:t>
            </w:r>
          </w:p>
        </w:tc>
        <w:tc>
          <w:tcPr>
            <w:tcW w:w="851" w:type="dxa"/>
            <w:tcBorders>
              <w:top w:val="nil"/>
              <w:left w:val="nil"/>
              <w:bottom w:val="single" w:sz="4" w:space="0" w:color="auto"/>
              <w:right w:val="single" w:sz="4" w:space="0" w:color="auto"/>
            </w:tcBorders>
            <w:vAlign w:val="center"/>
          </w:tcPr>
          <w:p w14:paraId="2F951CE5" w14:textId="767EC56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Geography</w:t>
            </w:r>
          </w:p>
        </w:tc>
        <w:tc>
          <w:tcPr>
            <w:tcW w:w="993" w:type="dxa"/>
            <w:tcBorders>
              <w:top w:val="nil"/>
              <w:left w:val="nil"/>
              <w:bottom w:val="single" w:sz="4" w:space="0" w:color="auto"/>
              <w:right w:val="single" w:sz="4" w:space="0" w:color="auto"/>
            </w:tcBorders>
            <w:vAlign w:val="center"/>
          </w:tcPr>
          <w:p w14:paraId="0CF423AB" w14:textId="4BEB3E1F" w:rsidR="00555B5A" w:rsidRPr="0002056A" w:rsidRDefault="00555B5A" w:rsidP="00555B5A">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 xml:space="preserve">The Geographical journal. </w:t>
            </w:r>
            <w:hyperlink r:id="rId195" w:tooltip="View Volume 187, Issue 4" w:history="1">
              <w:r w:rsidRPr="0002056A">
                <w:rPr>
                  <w:rFonts w:ascii="Georgia" w:eastAsia="Times New Roman" w:hAnsi="Georgia" w:cs="Times New Roman"/>
                  <w:color w:val="000000"/>
                  <w:sz w:val="10"/>
                  <w:szCs w:val="10"/>
                  <w:lang w:val="en-GB"/>
                </w:rPr>
                <w:t>Volume</w:t>
              </w:r>
              <w:r w:rsidRPr="0002056A">
                <w:rPr>
                  <w:rFonts w:ascii="Georgia" w:hAnsi="Georgia" w:cs="Times New Roman"/>
                  <w:color w:val="000000"/>
                  <w:sz w:val="10"/>
                  <w:szCs w:val="10"/>
                  <w:lang w:val="en-GB"/>
                </w:rPr>
                <w:t>187</w:t>
              </w:r>
              <w:r w:rsidRPr="0002056A">
                <w:rPr>
                  <w:rFonts w:ascii="Georgia" w:eastAsia="Times New Roman" w:hAnsi="Georgia" w:cs="Times New Roman"/>
                  <w:color w:val="000000"/>
                  <w:sz w:val="10"/>
                  <w:szCs w:val="10"/>
                  <w:lang w:val="en-GB"/>
                </w:rPr>
                <w:t>,</w:t>
              </w:r>
              <w:r w:rsidRPr="0002056A">
                <w:rPr>
                  <w:rFonts w:ascii="Georgia" w:eastAsia="Times New Roman" w:hAnsi="Georgia" w:cs="Times New Roman"/>
                  <w:color w:val="000000"/>
                  <w:sz w:val="10"/>
                  <w:szCs w:val="10"/>
                  <w:lang w:val="en-GB" w:eastAsia="hu-HU"/>
                </w:rPr>
                <w:t xml:space="preserve"> </w:t>
              </w:r>
              <w:r w:rsidRPr="0002056A">
                <w:rPr>
                  <w:rFonts w:ascii="Georgia" w:eastAsia="Times New Roman" w:hAnsi="Georgia" w:cs="Times New Roman"/>
                  <w:color w:val="000000"/>
                  <w:sz w:val="10"/>
                  <w:szCs w:val="10"/>
                  <w:lang w:val="en-GB"/>
                </w:rPr>
                <w:t>Issue</w:t>
              </w:r>
              <w:r w:rsidRPr="0002056A">
                <w:rPr>
                  <w:rFonts w:ascii="Georgia" w:eastAsia="Times New Roman" w:hAnsi="Georgia" w:cs="Times New Roman"/>
                  <w:color w:val="000000"/>
                  <w:sz w:val="10"/>
                  <w:szCs w:val="10"/>
                  <w:lang w:val="en-GB" w:eastAsia="hu-HU"/>
                </w:rPr>
                <w:t xml:space="preserve"> </w:t>
              </w:r>
              <w:r w:rsidRPr="0002056A">
                <w:rPr>
                  <w:rFonts w:ascii="Georgia" w:hAnsi="Georgia" w:cs="Times New Roman"/>
                  <w:color w:val="000000"/>
                  <w:sz w:val="10"/>
                  <w:szCs w:val="10"/>
                  <w:lang w:val="en-GB"/>
                </w:rPr>
                <w:t>4</w:t>
              </w:r>
            </w:hyperlink>
          </w:p>
          <w:p w14:paraId="0D08FC84" w14:textId="77777777" w:rsidR="00555B5A" w:rsidRPr="0002056A" w:rsidRDefault="00555B5A" w:rsidP="00555B5A">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December 2021</w:t>
            </w:r>
          </w:p>
          <w:p w14:paraId="2CCBF992" w14:textId="0F7AC89B" w:rsidR="00555B5A" w:rsidRPr="0002056A" w:rsidRDefault="00555B5A" w:rsidP="00555B5A">
            <w:pPr>
              <w:spacing w:after="0" w:line="240" w:lineRule="auto"/>
              <w:rPr>
                <w:rFonts w:ascii="Georgia" w:hAnsi="Georgia" w:cs="Times New Roman"/>
                <w:color w:val="000000"/>
                <w:sz w:val="10"/>
                <w:szCs w:val="10"/>
                <w:lang w:val="en-GB"/>
              </w:rPr>
            </w:pPr>
            <w:r w:rsidRPr="0002056A">
              <w:rPr>
                <w:rFonts w:ascii="Georgia" w:eastAsia="Times New Roman" w:hAnsi="Georgia" w:cs="Times New Roman"/>
                <w:color w:val="000000"/>
                <w:sz w:val="10"/>
                <w:szCs w:val="10"/>
                <w:lang w:val="en-GB" w:eastAsia="hu-HU"/>
              </w:rPr>
              <w:t>Pp 394-401</w:t>
            </w:r>
          </w:p>
          <w:p w14:paraId="068244AD" w14:textId="2832108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https://doi.org/10.1111/geoj.12404</w:t>
            </w:r>
          </w:p>
        </w:tc>
        <w:tc>
          <w:tcPr>
            <w:tcW w:w="708" w:type="dxa"/>
            <w:tcBorders>
              <w:top w:val="nil"/>
              <w:left w:val="nil"/>
              <w:bottom w:val="single" w:sz="4" w:space="0" w:color="auto"/>
              <w:right w:val="single" w:sz="4" w:space="0" w:color="auto"/>
            </w:tcBorders>
            <w:vAlign w:val="center"/>
          </w:tcPr>
          <w:p w14:paraId="4E915F43" w14:textId="107B984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3A0072F1" w14:textId="708CF2B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E466D14" w14:textId="6A4949E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ED376D4" w14:textId="1733DA92"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argues that Geography should be centre stage for understanding today's climate emergency. This position is because as a field of study it uniquely straddles physical/environmental and human/social scholarships. In the wider academic world, bringing together scholars across this “cultural” divide has traditionally been difficult, and continues to be so in current responses to human-induced climate change.</w:t>
            </w:r>
          </w:p>
        </w:tc>
        <w:tc>
          <w:tcPr>
            <w:tcW w:w="2268" w:type="dxa"/>
            <w:tcBorders>
              <w:top w:val="nil"/>
              <w:left w:val="nil"/>
              <w:bottom w:val="single" w:sz="4" w:space="0" w:color="auto"/>
              <w:right w:val="single" w:sz="8" w:space="0" w:color="auto"/>
            </w:tcBorders>
            <w:vAlign w:val="center"/>
          </w:tcPr>
          <w:p w14:paraId="01825F56" w14:textId="5B6DF22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provides us with information about geography’s role in climate policy/climate adaptation.</w:t>
            </w:r>
          </w:p>
        </w:tc>
      </w:tr>
      <w:tr w:rsidR="00555B5A" w:rsidRPr="0002056A" w14:paraId="457B6BD8"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4A5A319" w14:textId="44CACFE6"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Taylor, P.J.</w:t>
            </w:r>
          </w:p>
        </w:tc>
        <w:tc>
          <w:tcPr>
            <w:tcW w:w="705" w:type="dxa"/>
            <w:tcBorders>
              <w:top w:val="nil"/>
              <w:left w:val="nil"/>
              <w:bottom w:val="single" w:sz="4" w:space="0" w:color="auto"/>
              <w:right w:val="single" w:sz="4" w:space="0" w:color="auto"/>
            </w:tcBorders>
            <w:vAlign w:val="center"/>
          </w:tcPr>
          <w:p w14:paraId="416ED3BE" w14:textId="56BCEE4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53BDFBCF" w14:textId="60B7899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geographical ontology challenge in attending to anthropogenic climate change: regional geography revisited</w:t>
            </w:r>
          </w:p>
        </w:tc>
        <w:tc>
          <w:tcPr>
            <w:tcW w:w="1134" w:type="dxa"/>
            <w:tcBorders>
              <w:top w:val="nil"/>
              <w:left w:val="nil"/>
              <w:bottom w:val="single" w:sz="4" w:space="0" w:color="auto"/>
              <w:right w:val="single" w:sz="4" w:space="0" w:color="auto"/>
            </w:tcBorders>
            <w:vAlign w:val="center"/>
          </w:tcPr>
          <w:p w14:paraId="3A722198" w14:textId="5EB3818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UKG</w:t>
            </w:r>
          </w:p>
        </w:tc>
        <w:tc>
          <w:tcPr>
            <w:tcW w:w="708" w:type="dxa"/>
            <w:tcBorders>
              <w:top w:val="nil"/>
              <w:left w:val="nil"/>
              <w:bottom w:val="single" w:sz="4" w:space="0" w:color="auto"/>
              <w:right w:val="single" w:sz="4" w:space="0" w:color="auto"/>
            </w:tcBorders>
            <w:vAlign w:val="center"/>
          </w:tcPr>
          <w:p w14:paraId="477FA58D" w14:textId="3DF7C40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w:t>
            </w:r>
          </w:p>
        </w:tc>
        <w:tc>
          <w:tcPr>
            <w:tcW w:w="851" w:type="dxa"/>
            <w:tcBorders>
              <w:top w:val="nil"/>
              <w:left w:val="nil"/>
              <w:bottom w:val="single" w:sz="4" w:space="0" w:color="auto"/>
              <w:right w:val="single" w:sz="4" w:space="0" w:color="auto"/>
            </w:tcBorders>
            <w:vAlign w:val="center"/>
          </w:tcPr>
          <w:p w14:paraId="06FEEA31" w14:textId="522D6C7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geography</w:t>
            </w:r>
          </w:p>
        </w:tc>
        <w:tc>
          <w:tcPr>
            <w:tcW w:w="993" w:type="dxa"/>
            <w:tcBorders>
              <w:top w:val="nil"/>
              <w:left w:val="nil"/>
              <w:bottom w:val="single" w:sz="4" w:space="0" w:color="auto"/>
              <w:right w:val="single" w:sz="4" w:space="0" w:color="auto"/>
            </w:tcBorders>
            <w:vAlign w:val="center"/>
          </w:tcPr>
          <w:p w14:paraId="7C6B16B7" w14:textId="5FB836E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Journal of Economic and Human Geography, </w:t>
            </w:r>
            <w:hyperlink r:id="rId196" w:history="1">
              <w:r w:rsidRPr="0002056A">
                <w:rPr>
                  <w:rFonts w:ascii="Georgia" w:eastAsia="Times New Roman" w:hAnsi="Georgia" w:cs="Times New Roman"/>
                  <w:color w:val="000000"/>
                  <w:sz w:val="10"/>
                  <w:szCs w:val="10"/>
                  <w:lang w:val="en-GB" w:eastAsia="hu-HU"/>
                </w:rPr>
                <w:t>https://doi.org/10.1111/tesg.12540</w:t>
              </w:r>
            </w:hyperlink>
          </w:p>
        </w:tc>
        <w:tc>
          <w:tcPr>
            <w:tcW w:w="708" w:type="dxa"/>
            <w:tcBorders>
              <w:top w:val="nil"/>
              <w:left w:val="nil"/>
              <w:bottom w:val="single" w:sz="4" w:space="0" w:color="auto"/>
              <w:right w:val="single" w:sz="4" w:space="0" w:color="auto"/>
            </w:tcBorders>
            <w:vAlign w:val="center"/>
          </w:tcPr>
          <w:p w14:paraId="33535E2C" w14:textId="05FECD8D"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05082D9" w14:textId="1B203BD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4BB86F89" w14:textId="3EA57C7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D9BB727" w14:textId="2FB8FF9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is experimenting with geographical regions encompassing human-environmental interactions as alternative spatial policy framings to the world political map. Three examples are presented: intergovernmental resilient regions for mitigation; localization through urban sustainable regions; and regions for planetary stewardship of humans-in-nature. None of these are ‘solutions’, rather they are illustrations of possible future regional geographies intended to stimulate current cohorts of geographers to contribute necessary regional thinking to the scholarship unpinning climate change policymaking</w:t>
            </w:r>
          </w:p>
        </w:tc>
        <w:tc>
          <w:tcPr>
            <w:tcW w:w="2268" w:type="dxa"/>
            <w:tcBorders>
              <w:top w:val="nil"/>
              <w:left w:val="nil"/>
              <w:bottom w:val="single" w:sz="4" w:space="0" w:color="auto"/>
              <w:right w:val="single" w:sz="8" w:space="0" w:color="auto"/>
            </w:tcBorders>
            <w:vAlign w:val="center"/>
          </w:tcPr>
          <w:p w14:paraId="59CE51F2" w14:textId="10B9740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Additional information to understand adaptation’s spatiality and the role of regional geography in this understanding process.</w:t>
            </w:r>
          </w:p>
        </w:tc>
      </w:tr>
      <w:tr w:rsidR="00555B5A" w:rsidRPr="0002056A" w14:paraId="784CBC89"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36C96B3"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Termeer, C.; Biesbroek, R.; van den Brink, M.</w:t>
            </w:r>
          </w:p>
        </w:tc>
        <w:tc>
          <w:tcPr>
            <w:tcW w:w="705" w:type="dxa"/>
            <w:tcBorders>
              <w:top w:val="nil"/>
              <w:left w:val="nil"/>
              <w:bottom w:val="single" w:sz="4" w:space="0" w:color="auto"/>
              <w:right w:val="single" w:sz="4" w:space="0" w:color="auto"/>
            </w:tcBorders>
            <w:vAlign w:val="center"/>
          </w:tcPr>
          <w:p w14:paraId="67DE285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2011</w:t>
            </w:r>
          </w:p>
        </w:tc>
        <w:tc>
          <w:tcPr>
            <w:tcW w:w="1137" w:type="dxa"/>
            <w:tcBorders>
              <w:top w:val="nil"/>
              <w:left w:val="nil"/>
              <w:bottom w:val="single" w:sz="4" w:space="0" w:color="auto"/>
              <w:right w:val="single" w:sz="4" w:space="0" w:color="auto"/>
            </w:tcBorders>
            <w:vAlign w:val="center"/>
          </w:tcPr>
          <w:p w14:paraId="50BD9CB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Institutions for adaptation to climate change: comparing national adaptation strategies in Europe</w:t>
            </w:r>
          </w:p>
        </w:tc>
        <w:tc>
          <w:tcPr>
            <w:tcW w:w="1134" w:type="dxa"/>
            <w:tcBorders>
              <w:top w:val="nil"/>
              <w:left w:val="nil"/>
              <w:bottom w:val="single" w:sz="4" w:space="0" w:color="auto"/>
              <w:right w:val="single" w:sz="4" w:space="0" w:color="auto"/>
            </w:tcBorders>
            <w:vAlign w:val="center"/>
          </w:tcPr>
          <w:p w14:paraId="15320AE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w:t>
            </w:r>
          </w:p>
        </w:tc>
        <w:tc>
          <w:tcPr>
            <w:tcW w:w="708" w:type="dxa"/>
            <w:tcBorders>
              <w:top w:val="nil"/>
              <w:left w:val="nil"/>
              <w:bottom w:val="single" w:sz="4" w:space="0" w:color="auto"/>
              <w:right w:val="single" w:sz="4" w:space="0" w:color="auto"/>
            </w:tcBorders>
            <w:vAlign w:val="center"/>
          </w:tcPr>
          <w:p w14:paraId="3BD8DB0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Wageningen University</w:t>
            </w:r>
          </w:p>
        </w:tc>
        <w:tc>
          <w:tcPr>
            <w:tcW w:w="851" w:type="dxa"/>
            <w:tcBorders>
              <w:top w:val="nil"/>
              <w:left w:val="nil"/>
              <w:bottom w:val="single" w:sz="4" w:space="0" w:color="auto"/>
              <w:right w:val="single" w:sz="4" w:space="0" w:color="auto"/>
            </w:tcBorders>
            <w:vAlign w:val="center"/>
          </w:tcPr>
          <w:p w14:paraId="0958056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administrational studies</w:t>
            </w:r>
          </w:p>
        </w:tc>
        <w:tc>
          <w:tcPr>
            <w:tcW w:w="993" w:type="dxa"/>
            <w:tcBorders>
              <w:top w:val="nil"/>
              <w:left w:val="nil"/>
              <w:bottom w:val="single" w:sz="4" w:space="0" w:color="auto"/>
              <w:right w:val="single" w:sz="4" w:space="0" w:color="auto"/>
            </w:tcBorders>
            <w:vAlign w:val="center"/>
          </w:tcPr>
          <w:p w14:paraId="10D3C9B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Symposium. Wageningen University, Netherland. Published online 24 June 2011. doi.: 10.1057/eps.2011.7.</w:t>
            </w:r>
          </w:p>
        </w:tc>
        <w:tc>
          <w:tcPr>
            <w:tcW w:w="708" w:type="dxa"/>
            <w:tcBorders>
              <w:top w:val="nil"/>
              <w:left w:val="nil"/>
              <w:bottom w:val="single" w:sz="4" w:space="0" w:color="auto"/>
              <w:right w:val="single" w:sz="4" w:space="0" w:color="auto"/>
            </w:tcBorders>
            <w:vAlign w:val="center"/>
          </w:tcPr>
          <w:p w14:paraId="27EE12A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research report</w:t>
            </w:r>
          </w:p>
        </w:tc>
        <w:tc>
          <w:tcPr>
            <w:tcW w:w="851" w:type="dxa"/>
            <w:tcBorders>
              <w:top w:val="nil"/>
              <w:left w:val="nil"/>
              <w:bottom w:val="single" w:sz="4" w:space="0" w:color="auto"/>
              <w:right w:val="single" w:sz="4" w:space="0" w:color="auto"/>
            </w:tcBorders>
            <w:vAlign w:val="center"/>
          </w:tcPr>
          <w:p w14:paraId="734F3C3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1C684E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7E5EAF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report examined historically grown institutions’ ability to cope with new challenges of climate adaptation. </w:t>
            </w:r>
          </w:p>
        </w:tc>
        <w:tc>
          <w:tcPr>
            <w:tcW w:w="2268" w:type="dxa"/>
            <w:tcBorders>
              <w:top w:val="nil"/>
              <w:left w:val="nil"/>
              <w:bottom w:val="single" w:sz="4" w:space="0" w:color="auto"/>
              <w:right w:val="single" w:sz="8" w:space="0" w:color="auto"/>
            </w:tcBorders>
            <w:vAlign w:val="center"/>
          </w:tcPr>
          <w:p w14:paraId="4A74A78E"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Introduction of aspects of successful adaptation governance in six qualities of governance institutions (variety, learning, rom for autonomous processes, resources, leadership, fair governance).</w:t>
            </w:r>
          </w:p>
        </w:tc>
      </w:tr>
      <w:tr w:rsidR="00555B5A" w:rsidRPr="0002056A" w14:paraId="3A3AF89A"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2E9DEB0"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Tompkins, E.L.; Amundsen, H.</w:t>
            </w:r>
          </w:p>
        </w:tc>
        <w:tc>
          <w:tcPr>
            <w:tcW w:w="705" w:type="dxa"/>
            <w:tcBorders>
              <w:top w:val="nil"/>
              <w:left w:val="nil"/>
              <w:bottom w:val="single" w:sz="4" w:space="0" w:color="auto"/>
              <w:right w:val="single" w:sz="4" w:space="0" w:color="auto"/>
            </w:tcBorders>
            <w:vAlign w:val="center"/>
          </w:tcPr>
          <w:p w14:paraId="5110D6C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tcPr>
          <w:p w14:paraId="0E0CB67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Perceptions of the effectiveness of the UNFCCC in advancing natural action on climate change.</w:t>
            </w:r>
          </w:p>
        </w:tc>
        <w:tc>
          <w:tcPr>
            <w:tcW w:w="1134" w:type="dxa"/>
            <w:tcBorders>
              <w:top w:val="nil"/>
              <w:left w:val="nil"/>
              <w:bottom w:val="single" w:sz="4" w:space="0" w:color="auto"/>
              <w:right w:val="single" w:sz="4" w:space="0" w:color="auto"/>
            </w:tcBorders>
            <w:vAlign w:val="center"/>
          </w:tcPr>
          <w:p w14:paraId="18C1883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UK, NOR</w:t>
            </w:r>
          </w:p>
        </w:tc>
        <w:tc>
          <w:tcPr>
            <w:tcW w:w="708" w:type="dxa"/>
            <w:tcBorders>
              <w:top w:val="nil"/>
              <w:left w:val="nil"/>
              <w:bottom w:val="single" w:sz="4" w:space="0" w:color="auto"/>
              <w:right w:val="single" w:sz="4" w:space="0" w:color="auto"/>
            </w:tcBorders>
            <w:vAlign w:val="center"/>
          </w:tcPr>
          <w:p w14:paraId="53947A2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021F1CE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tcPr>
          <w:p w14:paraId="7EA3E77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Environmental Science and Policy, 11 (1) pp 1-13.</w:t>
            </w:r>
          </w:p>
        </w:tc>
        <w:tc>
          <w:tcPr>
            <w:tcW w:w="708" w:type="dxa"/>
            <w:tcBorders>
              <w:top w:val="nil"/>
              <w:left w:val="nil"/>
              <w:bottom w:val="single" w:sz="4" w:space="0" w:color="auto"/>
              <w:right w:val="single" w:sz="4" w:space="0" w:color="auto"/>
            </w:tcBorders>
            <w:vAlign w:val="center"/>
          </w:tcPr>
          <w:p w14:paraId="70F3802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887F9F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238D293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972C418" w14:textId="5ABCA1F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article characterises the ways in which the UNFCCC is trickling down to affect national level action on climate change. State and non-state actors were interviewed at the 8th UNFCCC Conference of Parties (COP8) during October and November 2002. </w:t>
            </w:r>
          </w:p>
        </w:tc>
        <w:tc>
          <w:tcPr>
            <w:tcW w:w="2268" w:type="dxa"/>
            <w:tcBorders>
              <w:top w:val="nil"/>
              <w:left w:val="nil"/>
              <w:bottom w:val="single" w:sz="4" w:space="0" w:color="auto"/>
              <w:right w:val="single" w:sz="8" w:space="0" w:color="auto"/>
            </w:tcBorders>
            <w:vAlign w:val="center"/>
          </w:tcPr>
          <w:p w14:paraId="42D9D7DC" w14:textId="0DB793B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Among interviewees, climate change was already perceived to be or was becoming a priority issue. In a number of countries substantial legislation is already in place to facilitate climate change preparedness (both adaptation and mitigation), although respondents suggest that in the majority of cases these changes are not being developed in response to the UNFCCC, but to other drivers. While all respondents saw change occurring at the national level, mostly through planning and research, few saw climate change response actions at the local level.</w:t>
            </w:r>
          </w:p>
        </w:tc>
      </w:tr>
      <w:tr w:rsidR="00555B5A" w:rsidRPr="0002056A" w14:paraId="0162F0E8"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35FF215"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Tuan, Y.F. </w:t>
            </w:r>
          </w:p>
          <w:p w14:paraId="12D6C3B5"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41EB37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1979</w:t>
            </w:r>
          </w:p>
        </w:tc>
        <w:tc>
          <w:tcPr>
            <w:tcW w:w="1137" w:type="dxa"/>
            <w:tcBorders>
              <w:top w:val="nil"/>
              <w:left w:val="nil"/>
              <w:bottom w:val="single" w:sz="4" w:space="0" w:color="auto"/>
              <w:right w:val="single" w:sz="4" w:space="0" w:color="auto"/>
            </w:tcBorders>
            <w:vAlign w:val="center"/>
          </w:tcPr>
          <w:p w14:paraId="38D6FB3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Space and Place: Humanistic Perspective. </w:t>
            </w:r>
          </w:p>
        </w:tc>
        <w:tc>
          <w:tcPr>
            <w:tcW w:w="1134" w:type="dxa"/>
            <w:tcBorders>
              <w:top w:val="nil"/>
              <w:left w:val="nil"/>
              <w:bottom w:val="single" w:sz="4" w:space="0" w:color="auto"/>
              <w:right w:val="single" w:sz="4" w:space="0" w:color="auto"/>
            </w:tcBorders>
            <w:vAlign w:val="center"/>
          </w:tcPr>
          <w:p w14:paraId="2A6FA4C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18102FB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tcPr>
          <w:p w14:paraId="4002804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3AFF071E" w14:textId="19EE1B1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Gale, S., Olsson, G. (eds) Philosophy in Geography. Theory and Decision Library, vol 20. Springer, Dordrecht. </w:t>
            </w:r>
          </w:p>
        </w:tc>
        <w:tc>
          <w:tcPr>
            <w:tcW w:w="708" w:type="dxa"/>
            <w:tcBorders>
              <w:top w:val="nil"/>
              <w:left w:val="nil"/>
              <w:bottom w:val="single" w:sz="4" w:space="0" w:color="auto"/>
              <w:right w:val="single" w:sz="4" w:space="0" w:color="auto"/>
            </w:tcBorders>
            <w:vAlign w:val="center"/>
          </w:tcPr>
          <w:p w14:paraId="64C0EB0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tcPr>
          <w:p w14:paraId="58046EC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D1B04A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08EB9F6"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Tuan, space and place together define the nature of geography. Spatial analysis or the explanation of spatial organisation is at the forefront of geographical research. The author says that geographers appear to be confident of both the meaning of space and the methods suited to its analysis. Their interpretation of spatial elements requires an abstract and objective frame of thought, quantifiable data, and ideally the language of mathematics. Place, like space, lies at the core of geographical discipline. The article examines the different concepts of place and space.</w:t>
            </w:r>
          </w:p>
        </w:tc>
        <w:tc>
          <w:tcPr>
            <w:tcW w:w="2268" w:type="dxa"/>
            <w:tcBorders>
              <w:top w:val="nil"/>
              <w:left w:val="nil"/>
              <w:bottom w:val="single" w:sz="4" w:space="0" w:color="auto"/>
              <w:right w:val="single" w:sz="8" w:space="0" w:color="auto"/>
            </w:tcBorders>
            <w:vAlign w:val="center"/>
          </w:tcPr>
          <w:p w14:paraId="0E80E1C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offers space- and place-definitions.</w:t>
            </w:r>
          </w:p>
        </w:tc>
      </w:tr>
      <w:tr w:rsidR="00555B5A" w:rsidRPr="0002056A" w14:paraId="33FD7C3D"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03E06F2A" w14:textId="1F069325"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UBA  </w:t>
            </w:r>
          </w:p>
        </w:tc>
        <w:tc>
          <w:tcPr>
            <w:tcW w:w="705" w:type="dxa"/>
            <w:tcBorders>
              <w:top w:val="nil"/>
              <w:left w:val="nil"/>
              <w:bottom w:val="single" w:sz="4" w:space="0" w:color="auto"/>
              <w:right w:val="single" w:sz="4" w:space="0" w:color="auto"/>
            </w:tcBorders>
            <w:vAlign w:val="center"/>
          </w:tcPr>
          <w:p w14:paraId="54155541" w14:textId="1CB5473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2025</w:t>
            </w:r>
          </w:p>
        </w:tc>
        <w:tc>
          <w:tcPr>
            <w:tcW w:w="1137" w:type="dxa"/>
            <w:tcBorders>
              <w:top w:val="nil"/>
              <w:left w:val="nil"/>
              <w:bottom w:val="single" w:sz="4" w:space="0" w:color="auto"/>
              <w:right w:val="single" w:sz="4" w:space="0" w:color="auto"/>
            </w:tcBorders>
            <w:vAlign w:val="center"/>
          </w:tcPr>
          <w:p w14:paraId="517484E4" w14:textId="7178CD8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Towards a climate resilient Europe. Recommendations for the European Climate Resilience and Risk Management Framework.</w:t>
            </w:r>
          </w:p>
        </w:tc>
        <w:tc>
          <w:tcPr>
            <w:tcW w:w="1134" w:type="dxa"/>
            <w:tcBorders>
              <w:top w:val="nil"/>
              <w:left w:val="nil"/>
              <w:bottom w:val="single" w:sz="4" w:space="0" w:color="auto"/>
              <w:right w:val="single" w:sz="4" w:space="0" w:color="auto"/>
            </w:tcBorders>
            <w:vAlign w:val="center"/>
          </w:tcPr>
          <w:p w14:paraId="7E1AF657" w14:textId="4270E29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6B696DCD" w14:textId="7FB1D07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UBA</w:t>
            </w:r>
          </w:p>
        </w:tc>
        <w:tc>
          <w:tcPr>
            <w:tcW w:w="851" w:type="dxa"/>
            <w:tcBorders>
              <w:top w:val="nil"/>
              <w:left w:val="nil"/>
              <w:bottom w:val="single" w:sz="4" w:space="0" w:color="auto"/>
              <w:right w:val="single" w:sz="4" w:space="0" w:color="auto"/>
            </w:tcBorders>
            <w:vAlign w:val="center"/>
          </w:tcPr>
          <w:p w14:paraId="46A6379A" w14:textId="63981B2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policy</w:t>
            </w:r>
          </w:p>
        </w:tc>
        <w:tc>
          <w:tcPr>
            <w:tcW w:w="993" w:type="dxa"/>
            <w:tcBorders>
              <w:top w:val="nil"/>
              <w:left w:val="nil"/>
              <w:bottom w:val="single" w:sz="4" w:space="0" w:color="auto"/>
              <w:right w:val="single" w:sz="4" w:space="0" w:color="auto"/>
            </w:tcBorders>
            <w:vAlign w:val="center"/>
          </w:tcPr>
          <w:p w14:paraId="71AFD899" w14:textId="5D55CB6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Umweltbundesamt Deutschland, KomPass Competence Centre for Climate Impacts and Adaptation. August 2025. Dessau-Roslau</w:t>
            </w:r>
          </w:p>
        </w:tc>
        <w:tc>
          <w:tcPr>
            <w:tcW w:w="708" w:type="dxa"/>
            <w:tcBorders>
              <w:top w:val="nil"/>
              <w:left w:val="nil"/>
              <w:bottom w:val="single" w:sz="4" w:space="0" w:color="auto"/>
              <w:right w:val="single" w:sz="4" w:space="0" w:color="auto"/>
            </w:tcBorders>
            <w:vAlign w:val="center"/>
          </w:tcPr>
          <w:p w14:paraId="021554A1" w14:textId="0338031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Scientific Opinion Paper.</w:t>
            </w:r>
          </w:p>
        </w:tc>
        <w:tc>
          <w:tcPr>
            <w:tcW w:w="851" w:type="dxa"/>
            <w:tcBorders>
              <w:top w:val="nil"/>
              <w:left w:val="nil"/>
              <w:bottom w:val="single" w:sz="4" w:space="0" w:color="auto"/>
              <w:right w:val="single" w:sz="4" w:space="0" w:color="auto"/>
            </w:tcBorders>
            <w:vAlign w:val="center"/>
          </w:tcPr>
          <w:p w14:paraId="075C5F76" w14:textId="1BC1AA7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7DC6E378" w14:textId="6FB5E52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2116CDE" w14:textId="302428E3"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Scientific opinion paper of the German climate adaptation background institute of the federal government about the then-drafted ECAP document.</w:t>
            </w:r>
          </w:p>
        </w:tc>
        <w:tc>
          <w:tcPr>
            <w:tcW w:w="2268" w:type="dxa"/>
            <w:tcBorders>
              <w:top w:val="nil"/>
              <w:left w:val="nil"/>
              <w:bottom w:val="single" w:sz="4" w:space="0" w:color="auto"/>
              <w:right w:val="single" w:sz="8" w:space="0" w:color="auto"/>
            </w:tcBorders>
            <w:vAlign w:val="center"/>
          </w:tcPr>
          <w:p w14:paraId="018A5C24" w14:textId="2DA3F2B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offers important information about the recently plan</w:t>
            </w:r>
            <w:r>
              <w:rPr>
                <w:rFonts w:ascii="Georgia" w:eastAsia="Times New Roman" w:hAnsi="Georgia" w:cs="Times New Roman"/>
                <w:color w:val="000000"/>
                <w:sz w:val="10"/>
                <w:szCs w:val="10"/>
                <w:lang w:val="en-GB" w:eastAsia="hu-HU"/>
              </w:rPr>
              <w:t>ned</w:t>
            </w:r>
            <w:r w:rsidRPr="0002056A">
              <w:rPr>
                <w:rFonts w:ascii="Georgia" w:eastAsia="Times New Roman" w:hAnsi="Georgia" w:cs="Times New Roman"/>
                <w:color w:val="000000"/>
                <w:sz w:val="10"/>
                <w:szCs w:val="10"/>
                <w:lang w:val="en-GB" w:eastAsia="hu-HU"/>
              </w:rPr>
              <w:t xml:space="preserve"> ECAP document (being under elaboration).</w:t>
            </w:r>
          </w:p>
        </w:tc>
      </w:tr>
      <w:tr w:rsidR="00555B5A" w:rsidRPr="0002056A" w14:paraId="49283AD1" w14:textId="77777777" w:rsidTr="00D57247">
        <w:trPr>
          <w:trHeight w:val="67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BC0A4AF"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Uittenbroek, C.J., Janssen-Jansen, L.B., Runhaar, H.A.C. </w:t>
            </w:r>
          </w:p>
        </w:tc>
        <w:tc>
          <w:tcPr>
            <w:tcW w:w="705" w:type="dxa"/>
            <w:tcBorders>
              <w:top w:val="nil"/>
              <w:left w:val="nil"/>
              <w:bottom w:val="single" w:sz="4" w:space="0" w:color="auto"/>
              <w:right w:val="single" w:sz="4" w:space="0" w:color="auto"/>
            </w:tcBorders>
            <w:vAlign w:val="center"/>
            <w:hideMark/>
          </w:tcPr>
          <w:p w14:paraId="387AB47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5669942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Mainstreaming climate adaptation into urban planning: overcoming barriers, seizing opportunities and evaluating the results in two Dutch case studies</w:t>
            </w:r>
          </w:p>
        </w:tc>
        <w:tc>
          <w:tcPr>
            <w:tcW w:w="1134" w:type="dxa"/>
            <w:tcBorders>
              <w:top w:val="nil"/>
              <w:left w:val="nil"/>
              <w:bottom w:val="single" w:sz="4" w:space="0" w:color="auto"/>
              <w:right w:val="single" w:sz="4" w:space="0" w:color="auto"/>
            </w:tcBorders>
            <w:vAlign w:val="center"/>
            <w:hideMark/>
          </w:tcPr>
          <w:p w14:paraId="2B65064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NRL, NRL</w:t>
            </w:r>
          </w:p>
        </w:tc>
        <w:tc>
          <w:tcPr>
            <w:tcW w:w="708" w:type="dxa"/>
            <w:tcBorders>
              <w:top w:val="nil"/>
              <w:left w:val="nil"/>
              <w:bottom w:val="single" w:sz="4" w:space="0" w:color="auto"/>
              <w:right w:val="single" w:sz="4" w:space="0" w:color="auto"/>
            </w:tcBorders>
            <w:vAlign w:val="center"/>
            <w:hideMark/>
          </w:tcPr>
          <w:p w14:paraId="5DAF1D3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2200F37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planning, monitoring and evaluation</w:t>
            </w:r>
          </w:p>
        </w:tc>
        <w:tc>
          <w:tcPr>
            <w:tcW w:w="993" w:type="dxa"/>
            <w:tcBorders>
              <w:top w:val="nil"/>
              <w:left w:val="nil"/>
              <w:bottom w:val="single" w:sz="4" w:space="0" w:color="auto"/>
              <w:right w:val="single" w:sz="4" w:space="0" w:color="auto"/>
            </w:tcBorders>
            <w:vAlign w:val="center"/>
            <w:hideMark/>
          </w:tcPr>
          <w:p w14:paraId="1988FB5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Regional Environmental Change volume 13, pages399–411 (2013)</w:t>
            </w:r>
          </w:p>
        </w:tc>
        <w:tc>
          <w:tcPr>
            <w:tcW w:w="708" w:type="dxa"/>
            <w:tcBorders>
              <w:top w:val="nil"/>
              <w:left w:val="nil"/>
              <w:bottom w:val="single" w:sz="4" w:space="0" w:color="auto"/>
              <w:right w:val="single" w:sz="4" w:space="0" w:color="auto"/>
            </w:tcBorders>
            <w:vAlign w:val="center"/>
            <w:hideMark/>
          </w:tcPr>
          <w:p w14:paraId="371E192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18B7FF5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5CC082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F615539"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a conceptual model for mainstreaming climate adaptation to enhance our understanding of the concept as well as the barriers and opportunities that influence these integration processes and to explore strategies for overcoming barriers and creating opportunities. Two Dutch case studies—related to urban planning—are used to illustrate the value of the model.</w:t>
            </w:r>
          </w:p>
        </w:tc>
        <w:tc>
          <w:tcPr>
            <w:tcW w:w="2268" w:type="dxa"/>
            <w:tcBorders>
              <w:top w:val="nil"/>
              <w:left w:val="nil"/>
              <w:bottom w:val="single" w:sz="4" w:space="0" w:color="auto"/>
              <w:right w:val="single" w:sz="8" w:space="0" w:color="auto"/>
            </w:tcBorders>
            <w:vAlign w:val="center"/>
          </w:tcPr>
          <w:p w14:paraId="340F471F" w14:textId="5C823980"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authors emphasise the importance of mainstreaming of adaptation objectives into existing policy domains (especially urban planning).</w:t>
            </w:r>
          </w:p>
        </w:tc>
      </w:tr>
      <w:tr w:rsidR="00555B5A" w:rsidRPr="0002056A" w14:paraId="50C4FE3C"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7653380"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UNFCCC</w:t>
            </w:r>
          </w:p>
        </w:tc>
        <w:tc>
          <w:tcPr>
            <w:tcW w:w="705" w:type="dxa"/>
            <w:tcBorders>
              <w:top w:val="nil"/>
              <w:left w:val="nil"/>
              <w:bottom w:val="single" w:sz="4" w:space="0" w:color="auto"/>
              <w:right w:val="single" w:sz="4" w:space="0" w:color="auto"/>
            </w:tcBorders>
            <w:vAlign w:val="center"/>
            <w:hideMark/>
          </w:tcPr>
          <w:p w14:paraId="70758B9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hideMark/>
          </w:tcPr>
          <w:p w14:paraId="687914BE"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Paris Agreement. United Nations Framework Convention on Climate Change.</w:t>
            </w:r>
          </w:p>
        </w:tc>
        <w:tc>
          <w:tcPr>
            <w:tcW w:w="1134" w:type="dxa"/>
            <w:tcBorders>
              <w:top w:val="nil"/>
              <w:left w:val="nil"/>
              <w:bottom w:val="single" w:sz="4" w:space="0" w:color="auto"/>
              <w:right w:val="single" w:sz="4" w:space="0" w:color="auto"/>
            </w:tcBorders>
            <w:vAlign w:val="center"/>
            <w:hideMark/>
          </w:tcPr>
          <w:p w14:paraId="081DA4A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hideMark/>
          </w:tcPr>
          <w:p w14:paraId="7442562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UNFCCC</w:t>
            </w:r>
          </w:p>
        </w:tc>
        <w:tc>
          <w:tcPr>
            <w:tcW w:w="851" w:type="dxa"/>
            <w:tcBorders>
              <w:top w:val="nil"/>
              <w:left w:val="nil"/>
              <w:bottom w:val="single" w:sz="4" w:space="0" w:color="auto"/>
              <w:right w:val="single" w:sz="4" w:space="0" w:color="auto"/>
            </w:tcBorders>
            <w:vAlign w:val="center"/>
            <w:hideMark/>
          </w:tcPr>
          <w:p w14:paraId="2FF0454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w:t>
            </w:r>
          </w:p>
        </w:tc>
        <w:tc>
          <w:tcPr>
            <w:tcW w:w="993" w:type="dxa"/>
            <w:tcBorders>
              <w:top w:val="nil"/>
              <w:left w:val="nil"/>
              <w:bottom w:val="single" w:sz="4" w:space="0" w:color="auto"/>
              <w:right w:val="single" w:sz="4" w:space="0" w:color="auto"/>
            </w:tcBorders>
            <w:vAlign w:val="center"/>
            <w:hideMark/>
          </w:tcPr>
          <w:p w14:paraId="2F9E7B4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United Nations, 2015</w:t>
            </w:r>
          </w:p>
        </w:tc>
        <w:tc>
          <w:tcPr>
            <w:tcW w:w="708" w:type="dxa"/>
            <w:tcBorders>
              <w:top w:val="nil"/>
              <w:left w:val="nil"/>
              <w:bottom w:val="single" w:sz="4" w:space="0" w:color="auto"/>
              <w:right w:val="single" w:sz="4" w:space="0" w:color="auto"/>
            </w:tcBorders>
            <w:vAlign w:val="center"/>
            <w:hideMark/>
          </w:tcPr>
          <w:p w14:paraId="6DED0FE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paper</w:t>
            </w:r>
          </w:p>
        </w:tc>
        <w:tc>
          <w:tcPr>
            <w:tcW w:w="851" w:type="dxa"/>
            <w:tcBorders>
              <w:top w:val="nil"/>
              <w:left w:val="nil"/>
              <w:bottom w:val="single" w:sz="4" w:space="0" w:color="auto"/>
              <w:right w:val="single" w:sz="4" w:space="0" w:color="auto"/>
            </w:tcBorders>
            <w:vAlign w:val="center"/>
            <w:hideMark/>
          </w:tcPr>
          <w:p w14:paraId="3A876C4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7851C08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secondary</w:t>
            </w:r>
          </w:p>
        </w:tc>
        <w:tc>
          <w:tcPr>
            <w:tcW w:w="3686" w:type="dxa"/>
            <w:tcBorders>
              <w:top w:val="nil"/>
              <w:left w:val="nil"/>
              <w:bottom w:val="single" w:sz="4" w:space="0" w:color="auto"/>
              <w:right w:val="single" w:sz="8" w:space="0" w:color="auto"/>
            </w:tcBorders>
            <w:vAlign w:val="center"/>
          </w:tcPr>
          <w:p w14:paraId="7353C19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legally binding international treaty on climate change. It was adopted by 196 Parties at the UN Climate Change Conference (COP21) in Paris, France, on 12 December 2015. It entered into force on 4 November 2016. Its overarching goal is to hold “the increase in the global average temperature to well below 2°C above pre-industrial levels” and pursue efforts “to limit the temperature increase to 1.5°C above pre-industrial levels.” However, in recent years, world leaders have stressed the need to limit global warming to 1.5°C by the end of this century.</w:t>
            </w:r>
          </w:p>
        </w:tc>
        <w:tc>
          <w:tcPr>
            <w:tcW w:w="2268" w:type="dxa"/>
            <w:tcBorders>
              <w:top w:val="nil"/>
              <w:left w:val="nil"/>
              <w:bottom w:val="single" w:sz="4" w:space="0" w:color="auto"/>
              <w:right w:val="single" w:sz="8" w:space="0" w:color="auto"/>
            </w:tcBorders>
            <w:vAlign w:val="center"/>
          </w:tcPr>
          <w:p w14:paraId="6F37F528"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important milestone in international climate policy as well as in the evolution of adaptation policy.</w:t>
            </w:r>
          </w:p>
        </w:tc>
      </w:tr>
      <w:tr w:rsidR="00555B5A" w:rsidRPr="0002056A" w14:paraId="13E9007C"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EFA49C7" w14:textId="344313F0"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UNFCCC</w:t>
            </w:r>
          </w:p>
        </w:tc>
        <w:tc>
          <w:tcPr>
            <w:tcW w:w="705" w:type="dxa"/>
            <w:tcBorders>
              <w:top w:val="nil"/>
              <w:left w:val="nil"/>
              <w:bottom w:val="single" w:sz="4" w:space="0" w:color="auto"/>
              <w:right w:val="single" w:sz="4" w:space="0" w:color="auto"/>
            </w:tcBorders>
            <w:vAlign w:val="center"/>
          </w:tcPr>
          <w:p w14:paraId="42ED2EBC" w14:textId="10359C4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2026BB2A" w14:textId="5CC24F5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National Adaptation Plans 2020 – Progress in the Formulation and Implementation of NAPs</w:t>
            </w:r>
          </w:p>
        </w:tc>
        <w:tc>
          <w:tcPr>
            <w:tcW w:w="1134" w:type="dxa"/>
            <w:tcBorders>
              <w:top w:val="nil"/>
              <w:left w:val="nil"/>
              <w:bottom w:val="single" w:sz="4" w:space="0" w:color="auto"/>
              <w:right w:val="single" w:sz="4" w:space="0" w:color="auto"/>
            </w:tcBorders>
            <w:vAlign w:val="center"/>
          </w:tcPr>
          <w:p w14:paraId="08E6FE12" w14:textId="4C06FF7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20ADBAC7" w14:textId="240707A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UNFCCC</w:t>
            </w:r>
          </w:p>
        </w:tc>
        <w:tc>
          <w:tcPr>
            <w:tcW w:w="851" w:type="dxa"/>
            <w:tcBorders>
              <w:top w:val="nil"/>
              <w:left w:val="nil"/>
              <w:bottom w:val="single" w:sz="4" w:space="0" w:color="auto"/>
              <w:right w:val="single" w:sz="4" w:space="0" w:color="auto"/>
            </w:tcBorders>
            <w:vAlign w:val="center"/>
          </w:tcPr>
          <w:p w14:paraId="43E32DA6" w14:textId="77FF54C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w:t>
            </w:r>
          </w:p>
        </w:tc>
        <w:tc>
          <w:tcPr>
            <w:tcW w:w="993" w:type="dxa"/>
            <w:tcBorders>
              <w:top w:val="nil"/>
              <w:left w:val="nil"/>
              <w:bottom w:val="single" w:sz="4" w:space="0" w:color="auto"/>
              <w:right w:val="single" w:sz="4" w:space="0" w:color="auto"/>
            </w:tcBorders>
            <w:vAlign w:val="center"/>
          </w:tcPr>
          <w:p w14:paraId="78A09E5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United Nations Climate Change Secretariat</w:t>
            </w:r>
          </w:p>
          <w:p w14:paraId="44E809B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 Campus</w:t>
            </w:r>
          </w:p>
          <w:p w14:paraId="14C9605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Platz der Vereinten Nationen 1</w:t>
            </w:r>
          </w:p>
          <w:p w14:paraId="0C80A4B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53113 Bonn</w:t>
            </w:r>
          </w:p>
          <w:p w14:paraId="7D5B0C79" w14:textId="3E3B0D0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Germany</w:t>
            </w:r>
          </w:p>
        </w:tc>
        <w:tc>
          <w:tcPr>
            <w:tcW w:w="708" w:type="dxa"/>
            <w:tcBorders>
              <w:top w:val="nil"/>
              <w:left w:val="nil"/>
              <w:bottom w:val="single" w:sz="4" w:space="0" w:color="auto"/>
              <w:right w:val="single" w:sz="4" w:space="0" w:color="auto"/>
            </w:tcBorders>
            <w:vAlign w:val="center"/>
          </w:tcPr>
          <w:p w14:paraId="28FA6FA0" w14:textId="0AEE284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2A9915BB" w14:textId="500FA80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4DE38126" w14:textId="470D7A8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EB87C26" w14:textId="77777777" w:rsidR="00555B5A" w:rsidRDefault="00555B5A" w:rsidP="00555B5A">
            <w:pPr>
              <w:spacing w:after="0" w:line="240" w:lineRule="auto"/>
              <w:jc w:val="both"/>
              <w:rPr>
                <w:rFonts w:ascii="Georgia" w:eastAsia="Times New Roman" w:hAnsi="Georgia" w:cs="Times New Roman"/>
                <w:color w:val="000000"/>
                <w:sz w:val="10"/>
                <w:szCs w:val="10"/>
                <w:lang w:val="en-GB" w:eastAsia="hu-HU"/>
              </w:rPr>
            </w:pPr>
          </w:p>
          <w:p w14:paraId="29EBEF77" w14:textId="77777777" w:rsidR="00555B5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Least Developed Countries Expert Group (LEG) was established in 2001 as one of the primary pillars under the UNFCCC to support the least developed countries (LDCs) in addressing the adverse impacts of climate change. The LEG produces the annual progress report on the process to formulate and implement NAPs. The topics covered in the report include the progress made under the four elements and related steps of the process to formulate and implement NAPs; progress in achieving the objectives of the process; support provided and received in the process; and gaps and needs and challenges faced by developing countries in the process. </w:t>
            </w:r>
          </w:p>
          <w:p w14:paraId="2BDE5CF5" w14:textId="21FE957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p>
        </w:tc>
        <w:tc>
          <w:tcPr>
            <w:tcW w:w="2268" w:type="dxa"/>
            <w:tcBorders>
              <w:top w:val="nil"/>
              <w:left w:val="nil"/>
              <w:bottom w:val="single" w:sz="4" w:space="0" w:color="auto"/>
              <w:right w:val="single" w:sz="8" w:space="0" w:color="auto"/>
            </w:tcBorders>
            <w:vAlign w:val="center"/>
          </w:tcPr>
          <w:p w14:paraId="0CA0E7CB" w14:textId="1A1184A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gives information about the proportion of the 154 developing countries that had undertaken activities related to the process to formulate and implement NAPs.</w:t>
            </w:r>
          </w:p>
        </w:tc>
      </w:tr>
      <w:tr w:rsidR="00555B5A" w:rsidRPr="0002056A" w14:paraId="5BF28838"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F2FE823" w14:textId="15EB8C21"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UNFCCC </w:t>
            </w:r>
          </w:p>
        </w:tc>
        <w:tc>
          <w:tcPr>
            <w:tcW w:w="705" w:type="dxa"/>
            <w:tcBorders>
              <w:top w:val="nil"/>
              <w:left w:val="nil"/>
              <w:bottom w:val="single" w:sz="4" w:space="0" w:color="auto"/>
              <w:right w:val="single" w:sz="4" w:space="0" w:color="auto"/>
            </w:tcBorders>
            <w:vAlign w:val="center"/>
          </w:tcPr>
          <w:p w14:paraId="4BE9674D" w14:textId="5012BEA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2023</w:t>
            </w:r>
          </w:p>
        </w:tc>
        <w:tc>
          <w:tcPr>
            <w:tcW w:w="1137" w:type="dxa"/>
            <w:tcBorders>
              <w:top w:val="nil"/>
              <w:left w:val="nil"/>
              <w:bottom w:val="single" w:sz="4" w:space="0" w:color="auto"/>
              <w:right w:val="single" w:sz="4" w:space="0" w:color="auto"/>
            </w:tcBorders>
            <w:vAlign w:val="center"/>
          </w:tcPr>
          <w:p w14:paraId="542CC49F" w14:textId="2D7A240A"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COP28 Agreement Signals “Beginning of the End” of the Fossil Fuel Era.</w:t>
            </w:r>
          </w:p>
        </w:tc>
        <w:tc>
          <w:tcPr>
            <w:tcW w:w="1134" w:type="dxa"/>
            <w:tcBorders>
              <w:top w:val="nil"/>
              <w:left w:val="nil"/>
              <w:bottom w:val="single" w:sz="4" w:space="0" w:color="auto"/>
              <w:right w:val="single" w:sz="4" w:space="0" w:color="auto"/>
            </w:tcBorders>
            <w:vAlign w:val="center"/>
          </w:tcPr>
          <w:p w14:paraId="547FE4D2" w14:textId="38F099F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497A3D0E" w14:textId="7D6690B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UNFCCC</w:t>
            </w:r>
          </w:p>
        </w:tc>
        <w:tc>
          <w:tcPr>
            <w:tcW w:w="851" w:type="dxa"/>
            <w:tcBorders>
              <w:top w:val="nil"/>
              <w:left w:val="nil"/>
              <w:bottom w:val="single" w:sz="4" w:space="0" w:color="auto"/>
              <w:right w:val="single" w:sz="4" w:space="0" w:color="auto"/>
            </w:tcBorders>
            <w:vAlign w:val="center"/>
          </w:tcPr>
          <w:p w14:paraId="71852A15" w14:textId="79BA418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w:t>
            </w:r>
          </w:p>
        </w:tc>
        <w:tc>
          <w:tcPr>
            <w:tcW w:w="993" w:type="dxa"/>
            <w:tcBorders>
              <w:top w:val="nil"/>
              <w:left w:val="nil"/>
              <w:bottom w:val="single" w:sz="4" w:space="0" w:color="auto"/>
              <w:right w:val="single" w:sz="4" w:space="0" w:color="auto"/>
            </w:tcBorders>
            <w:vAlign w:val="center"/>
          </w:tcPr>
          <w:p w14:paraId="1CAC6C54" w14:textId="138B679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 Climate Press, 13 December 2023. https://unfccc.int/news/cop28-agreement-signals-beginning-of-the-end-of-the-fossil-fuel-era</w:t>
            </w:r>
          </w:p>
        </w:tc>
        <w:tc>
          <w:tcPr>
            <w:tcW w:w="708" w:type="dxa"/>
            <w:tcBorders>
              <w:top w:val="nil"/>
              <w:left w:val="nil"/>
              <w:bottom w:val="single" w:sz="4" w:space="0" w:color="auto"/>
              <w:right w:val="single" w:sz="4" w:space="0" w:color="auto"/>
            </w:tcBorders>
            <w:vAlign w:val="center"/>
          </w:tcPr>
          <w:p w14:paraId="1DC4A05E" w14:textId="1BBA150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web article</w:t>
            </w:r>
          </w:p>
        </w:tc>
        <w:tc>
          <w:tcPr>
            <w:tcW w:w="851" w:type="dxa"/>
            <w:tcBorders>
              <w:top w:val="nil"/>
              <w:left w:val="nil"/>
              <w:bottom w:val="single" w:sz="4" w:space="0" w:color="auto"/>
              <w:right w:val="single" w:sz="4" w:space="0" w:color="auto"/>
            </w:tcBorders>
            <w:vAlign w:val="center"/>
          </w:tcPr>
          <w:p w14:paraId="1B49056D" w14:textId="5978C99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5B61E0D1" w14:textId="4BAC365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4FA90EF" w14:textId="22FA34C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Brief overview about the outcomes of the COP 28. The article reports that the United Nations Climate Change Conference (COP28) closed with an agreement that signals the “beginning of the end” of the fossil fuel era by laying the ground for a swift, just and equitable transition, underpinned by deep emissions cuts and scaled-up finance.</w:t>
            </w:r>
          </w:p>
        </w:tc>
        <w:tc>
          <w:tcPr>
            <w:tcW w:w="2268" w:type="dxa"/>
            <w:tcBorders>
              <w:top w:val="nil"/>
              <w:left w:val="nil"/>
              <w:bottom w:val="single" w:sz="4" w:space="0" w:color="auto"/>
              <w:right w:val="single" w:sz="8" w:space="0" w:color="auto"/>
            </w:tcBorders>
            <w:vAlign w:val="center"/>
          </w:tcPr>
          <w:p w14:paraId="2B9706F4" w14:textId="5F42CAD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offers important implications for the adaptation policy contexts chapter of the dissertation.</w:t>
            </w:r>
          </w:p>
        </w:tc>
      </w:tr>
      <w:tr w:rsidR="00555B5A" w:rsidRPr="0002056A" w14:paraId="79D52AA6"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50F88ADD"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 xml:space="preserve">UN General Assembly </w:t>
            </w:r>
          </w:p>
          <w:p w14:paraId="6CC86642"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5F07E1D8" w14:textId="69F40F8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4C6FFCA6" w14:textId="5305C18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Transforming our world: The 2030 Agenda for Sustainable Development. </w:t>
            </w:r>
          </w:p>
        </w:tc>
        <w:tc>
          <w:tcPr>
            <w:tcW w:w="1134" w:type="dxa"/>
            <w:tcBorders>
              <w:top w:val="nil"/>
              <w:left w:val="nil"/>
              <w:bottom w:val="single" w:sz="4" w:space="0" w:color="auto"/>
              <w:right w:val="single" w:sz="4" w:space="0" w:color="auto"/>
            </w:tcBorders>
            <w:vAlign w:val="center"/>
          </w:tcPr>
          <w:p w14:paraId="7F3C5CB2" w14:textId="1EDE5D6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49BD0430" w14:textId="53B291A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851" w:type="dxa"/>
            <w:tcBorders>
              <w:top w:val="nil"/>
              <w:left w:val="nil"/>
              <w:bottom w:val="single" w:sz="4" w:space="0" w:color="auto"/>
              <w:right w:val="single" w:sz="4" w:space="0" w:color="auto"/>
            </w:tcBorders>
            <w:vAlign w:val="center"/>
          </w:tcPr>
          <w:p w14:paraId="73567216" w14:textId="0489E3C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w:t>
            </w:r>
          </w:p>
        </w:tc>
        <w:tc>
          <w:tcPr>
            <w:tcW w:w="993" w:type="dxa"/>
            <w:tcBorders>
              <w:top w:val="nil"/>
              <w:left w:val="nil"/>
              <w:bottom w:val="single" w:sz="4" w:space="0" w:color="auto"/>
              <w:right w:val="single" w:sz="4" w:space="0" w:color="auto"/>
            </w:tcBorders>
            <w:vAlign w:val="center"/>
          </w:tcPr>
          <w:p w14:paraId="5663AF3A" w14:textId="38F4CAD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Adopted by the General Assembly on 25 September 2015 [without reference to a Main Committee (A/70/L.1)] 70/1.</w:t>
            </w:r>
          </w:p>
        </w:tc>
        <w:tc>
          <w:tcPr>
            <w:tcW w:w="708" w:type="dxa"/>
            <w:tcBorders>
              <w:top w:val="nil"/>
              <w:left w:val="nil"/>
              <w:bottom w:val="single" w:sz="4" w:space="0" w:color="auto"/>
              <w:right w:val="single" w:sz="4" w:space="0" w:color="auto"/>
            </w:tcBorders>
            <w:vAlign w:val="center"/>
          </w:tcPr>
          <w:p w14:paraId="49461A03" w14:textId="2215BF9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strategy</w:t>
            </w:r>
          </w:p>
        </w:tc>
        <w:tc>
          <w:tcPr>
            <w:tcW w:w="851" w:type="dxa"/>
            <w:tcBorders>
              <w:top w:val="nil"/>
              <w:left w:val="nil"/>
              <w:bottom w:val="single" w:sz="4" w:space="0" w:color="auto"/>
              <w:right w:val="single" w:sz="4" w:space="0" w:color="auto"/>
            </w:tcBorders>
            <w:vAlign w:val="center"/>
          </w:tcPr>
          <w:p w14:paraId="2160CC0B" w14:textId="3763F3E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9808B81" w14:textId="108FA10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3748E9B" w14:textId="71227744"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UN’s Agenda is a plan of action for people, planet and prosperity. It also seeks to strengthen universal peace in larger freedom. It recognises that eradicating poverty in all its forms and dimensions, including extreme poverty, is the greatest global challenge and an indispensable requirement for sustainable development. All countries and all stakeholders, acting in collaborative partnership, will implement this plan. The 17 Sustainable Development Goals and 169 targets which were announced demonstrate the scale and ambition of this new universal Agenda.</w:t>
            </w:r>
          </w:p>
        </w:tc>
        <w:tc>
          <w:tcPr>
            <w:tcW w:w="2268" w:type="dxa"/>
            <w:tcBorders>
              <w:top w:val="nil"/>
              <w:left w:val="nil"/>
              <w:bottom w:val="single" w:sz="4" w:space="0" w:color="auto"/>
              <w:right w:val="single" w:sz="8" w:space="0" w:color="auto"/>
            </w:tcBorders>
            <w:vAlign w:val="center"/>
          </w:tcPr>
          <w:p w14:paraId="598FB9BB" w14:textId="52465C1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UN’s sustainable development planning</w:t>
            </w:r>
          </w:p>
        </w:tc>
      </w:tr>
      <w:tr w:rsidR="00555B5A" w:rsidRPr="0002056A" w14:paraId="379BED9E" w14:textId="77777777" w:rsidTr="00D57247">
        <w:trPr>
          <w:trHeight w:val="45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047F03D"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UNISDR </w:t>
            </w:r>
          </w:p>
          <w:p w14:paraId="14A03C9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p>
        </w:tc>
        <w:tc>
          <w:tcPr>
            <w:tcW w:w="705" w:type="dxa"/>
            <w:tcBorders>
              <w:top w:val="nil"/>
              <w:left w:val="nil"/>
              <w:bottom w:val="single" w:sz="4" w:space="0" w:color="auto"/>
              <w:right w:val="single" w:sz="4" w:space="0" w:color="auto"/>
            </w:tcBorders>
            <w:vAlign w:val="center"/>
          </w:tcPr>
          <w:p w14:paraId="624188EE" w14:textId="12D8471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2015</w:t>
            </w:r>
          </w:p>
        </w:tc>
        <w:tc>
          <w:tcPr>
            <w:tcW w:w="1137" w:type="dxa"/>
            <w:tcBorders>
              <w:top w:val="nil"/>
              <w:left w:val="nil"/>
              <w:bottom w:val="single" w:sz="4" w:space="0" w:color="auto"/>
              <w:right w:val="single" w:sz="4" w:space="0" w:color="auto"/>
            </w:tcBorders>
            <w:vAlign w:val="center"/>
          </w:tcPr>
          <w:p w14:paraId="072EFA04" w14:textId="0E2C7C8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Sendai Framework for Disaster Risk Reduction 2015-2030.</w:t>
            </w:r>
          </w:p>
        </w:tc>
        <w:tc>
          <w:tcPr>
            <w:tcW w:w="1134" w:type="dxa"/>
            <w:tcBorders>
              <w:top w:val="nil"/>
              <w:left w:val="nil"/>
              <w:bottom w:val="single" w:sz="4" w:space="0" w:color="auto"/>
              <w:right w:val="single" w:sz="4" w:space="0" w:color="auto"/>
            </w:tcBorders>
            <w:vAlign w:val="center"/>
          </w:tcPr>
          <w:p w14:paraId="303A1FFB" w14:textId="5BB0FBF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708" w:type="dxa"/>
            <w:tcBorders>
              <w:top w:val="nil"/>
              <w:left w:val="nil"/>
              <w:bottom w:val="single" w:sz="4" w:space="0" w:color="auto"/>
              <w:right w:val="single" w:sz="4" w:space="0" w:color="auto"/>
            </w:tcBorders>
            <w:vAlign w:val="center"/>
          </w:tcPr>
          <w:p w14:paraId="40E9A053" w14:textId="2FBFE94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w:t>
            </w:r>
          </w:p>
        </w:tc>
        <w:tc>
          <w:tcPr>
            <w:tcW w:w="851" w:type="dxa"/>
            <w:tcBorders>
              <w:top w:val="nil"/>
              <w:left w:val="nil"/>
              <w:bottom w:val="single" w:sz="4" w:space="0" w:color="auto"/>
              <w:right w:val="single" w:sz="4" w:space="0" w:color="auto"/>
            </w:tcBorders>
            <w:vAlign w:val="center"/>
          </w:tcPr>
          <w:p w14:paraId="5DB85635" w14:textId="706651B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disaster risk management, sustainable development</w:t>
            </w:r>
          </w:p>
        </w:tc>
        <w:tc>
          <w:tcPr>
            <w:tcW w:w="993" w:type="dxa"/>
            <w:tcBorders>
              <w:top w:val="nil"/>
              <w:left w:val="nil"/>
              <w:bottom w:val="single" w:sz="4" w:space="0" w:color="auto"/>
              <w:right w:val="single" w:sz="4" w:space="0" w:color="auto"/>
            </w:tcBorders>
            <w:vAlign w:val="center"/>
          </w:tcPr>
          <w:p w14:paraId="03D02917" w14:textId="2059C76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Geneva Switzerland. </w:t>
            </w:r>
            <w:hyperlink r:id="rId197" w:history="1">
              <w:r w:rsidRPr="0002056A">
                <w:rPr>
                  <w:rFonts w:ascii="Georgia" w:eastAsia="Times New Roman" w:hAnsi="Georgia" w:cs="Times New Roman"/>
                  <w:color w:val="000000"/>
                  <w:sz w:val="10"/>
                  <w:szCs w:val="10"/>
                  <w:lang w:val="en-GB" w:eastAsia="hu-HU"/>
                </w:rPr>
                <w:t>www.unisdr.org</w:t>
              </w:r>
            </w:hyperlink>
          </w:p>
        </w:tc>
        <w:tc>
          <w:tcPr>
            <w:tcW w:w="708" w:type="dxa"/>
            <w:tcBorders>
              <w:top w:val="nil"/>
              <w:left w:val="nil"/>
              <w:bottom w:val="single" w:sz="4" w:space="0" w:color="auto"/>
              <w:right w:val="single" w:sz="4" w:space="0" w:color="auto"/>
            </w:tcBorders>
            <w:vAlign w:val="center"/>
          </w:tcPr>
          <w:p w14:paraId="63C5182B" w14:textId="0593B50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framework</w:t>
            </w:r>
          </w:p>
        </w:tc>
        <w:tc>
          <w:tcPr>
            <w:tcW w:w="851" w:type="dxa"/>
            <w:tcBorders>
              <w:top w:val="nil"/>
              <w:left w:val="nil"/>
              <w:bottom w:val="single" w:sz="4" w:space="0" w:color="auto"/>
              <w:right w:val="single" w:sz="4" w:space="0" w:color="auto"/>
            </w:tcBorders>
            <w:vAlign w:val="center"/>
          </w:tcPr>
          <w:p w14:paraId="1B3D0809" w14:textId="4B8D9CD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0F69EFA7" w14:textId="12C62C7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E1B9DDA" w14:textId="6872DE3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heme="minorHAnsi"/>
                <w:color w:val="000000"/>
                <w:sz w:val="10"/>
                <w:szCs w:val="10"/>
                <w:lang w:val="en-GB" w:eastAsia="hu-HU"/>
              </w:rPr>
              <w:t>The Framework was adopted at the Third UN World Conference on Disaster Risk Reduction in Sendai, Japan, on March 18, 2015. It outlines seven clear targets and four priorities for action to prevent new and reduce existing disaster risks: (i) Understanding disaster risk; (ii) Strengthening disaster risk governance to manage disaster risk; (iii) Investing in disaster reduction for resilience and (iv) Enhancing disaster preparedness for effective response, and to "Build Back Better" in recovery, rehabilitation and reconstruction. It aims to achieve the substantial reduction of disaster risk and losses in lives, livelihoods and health and in the economic, physical, social, cultural and environmental assets of persons, businesses, communities and countries by 2030.</w:t>
            </w:r>
          </w:p>
        </w:tc>
        <w:tc>
          <w:tcPr>
            <w:tcW w:w="2268" w:type="dxa"/>
            <w:tcBorders>
              <w:top w:val="nil"/>
              <w:left w:val="nil"/>
              <w:bottom w:val="single" w:sz="4" w:space="0" w:color="auto"/>
              <w:right w:val="single" w:sz="8" w:space="0" w:color="auto"/>
            </w:tcBorders>
            <w:vAlign w:val="center"/>
          </w:tcPr>
          <w:p w14:paraId="34839946" w14:textId="3582123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subject of document analysis to examine the weight of climate adaptation in UN’s disaster risk management</w:t>
            </w:r>
          </w:p>
        </w:tc>
      </w:tr>
      <w:tr w:rsidR="00555B5A" w:rsidRPr="0002056A" w14:paraId="033A555D"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05A23A2"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Vallejo, L. (ed)</w:t>
            </w:r>
          </w:p>
        </w:tc>
        <w:tc>
          <w:tcPr>
            <w:tcW w:w="705" w:type="dxa"/>
            <w:tcBorders>
              <w:top w:val="nil"/>
              <w:left w:val="nil"/>
              <w:bottom w:val="single" w:sz="4" w:space="0" w:color="auto"/>
              <w:right w:val="single" w:sz="4" w:space="0" w:color="auto"/>
            </w:tcBorders>
            <w:vAlign w:val="center"/>
          </w:tcPr>
          <w:p w14:paraId="0D15BD8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tcPr>
          <w:p w14:paraId="1615401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Insights from national adaptation monitoring and evaluation systems</w:t>
            </w:r>
          </w:p>
        </w:tc>
        <w:tc>
          <w:tcPr>
            <w:tcW w:w="1134" w:type="dxa"/>
            <w:tcBorders>
              <w:top w:val="nil"/>
              <w:left w:val="nil"/>
              <w:bottom w:val="single" w:sz="4" w:space="0" w:color="auto"/>
              <w:right w:val="single" w:sz="4" w:space="0" w:color="auto"/>
            </w:tcBorders>
            <w:vAlign w:val="center"/>
          </w:tcPr>
          <w:p w14:paraId="4849380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708" w:type="dxa"/>
            <w:tcBorders>
              <w:top w:val="nil"/>
              <w:left w:val="nil"/>
              <w:bottom w:val="single" w:sz="4" w:space="0" w:color="auto"/>
              <w:right w:val="single" w:sz="4" w:space="0" w:color="auto"/>
            </w:tcBorders>
            <w:shd w:val="clear" w:color="000000" w:fill="FFFFFF"/>
            <w:vAlign w:val="center"/>
          </w:tcPr>
          <w:p w14:paraId="3BF6634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OECD</w:t>
            </w:r>
          </w:p>
        </w:tc>
        <w:tc>
          <w:tcPr>
            <w:tcW w:w="851" w:type="dxa"/>
            <w:tcBorders>
              <w:top w:val="nil"/>
              <w:left w:val="nil"/>
              <w:bottom w:val="single" w:sz="4" w:space="0" w:color="auto"/>
              <w:right w:val="single" w:sz="4" w:space="0" w:color="auto"/>
            </w:tcBorders>
            <w:shd w:val="clear" w:color="000000" w:fill="FFFFFF"/>
            <w:vAlign w:val="center"/>
          </w:tcPr>
          <w:p w14:paraId="764C016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MRE</w:t>
            </w:r>
          </w:p>
        </w:tc>
        <w:tc>
          <w:tcPr>
            <w:tcW w:w="993" w:type="dxa"/>
            <w:tcBorders>
              <w:top w:val="nil"/>
              <w:left w:val="nil"/>
              <w:bottom w:val="single" w:sz="4" w:space="0" w:color="auto"/>
              <w:right w:val="single" w:sz="4" w:space="0" w:color="auto"/>
            </w:tcBorders>
            <w:vAlign w:val="center"/>
          </w:tcPr>
          <w:p w14:paraId="5CDF698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Change Expert Group Paper No. 2017(3)</w:t>
            </w:r>
          </w:p>
        </w:tc>
        <w:tc>
          <w:tcPr>
            <w:tcW w:w="708" w:type="dxa"/>
            <w:tcBorders>
              <w:top w:val="nil"/>
              <w:left w:val="nil"/>
              <w:bottom w:val="single" w:sz="4" w:space="0" w:color="auto"/>
              <w:right w:val="single" w:sz="4" w:space="0" w:color="auto"/>
            </w:tcBorders>
            <w:vAlign w:val="center"/>
          </w:tcPr>
          <w:p w14:paraId="01DFF2B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technical report</w:t>
            </w:r>
          </w:p>
        </w:tc>
        <w:tc>
          <w:tcPr>
            <w:tcW w:w="851" w:type="dxa"/>
            <w:tcBorders>
              <w:top w:val="nil"/>
              <w:left w:val="nil"/>
              <w:bottom w:val="single" w:sz="4" w:space="0" w:color="auto"/>
              <w:right w:val="single" w:sz="4" w:space="0" w:color="auto"/>
            </w:tcBorders>
            <w:vAlign w:val="center"/>
          </w:tcPr>
          <w:p w14:paraId="076E9FA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39EEE53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CDB6362"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report draws on insights into national approaches of adaptation MRE, overviewing these approaches’ development and present good examples showing the diversity of purposes, indicators and geographical aggregation.</w:t>
            </w:r>
          </w:p>
        </w:tc>
        <w:tc>
          <w:tcPr>
            <w:tcW w:w="2268" w:type="dxa"/>
            <w:tcBorders>
              <w:top w:val="nil"/>
              <w:left w:val="nil"/>
              <w:bottom w:val="single" w:sz="4" w:space="0" w:color="auto"/>
              <w:right w:val="single" w:sz="8" w:space="0" w:color="auto"/>
            </w:tcBorders>
            <w:vAlign w:val="center"/>
          </w:tcPr>
          <w:p w14:paraId="278061F2"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describes worldwide situation of national adaptation MRE activities and its challenges</w:t>
            </w:r>
          </w:p>
        </w:tc>
      </w:tr>
      <w:tr w:rsidR="00555B5A" w:rsidRPr="0002056A" w14:paraId="50ED08C5"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FE97918"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van Minnen J, Harley M, van de Sandt K, Ligtvoet W, </w:t>
            </w:r>
          </w:p>
        </w:tc>
        <w:tc>
          <w:tcPr>
            <w:tcW w:w="705" w:type="dxa"/>
            <w:tcBorders>
              <w:top w:val="nil"/>
              <w:left w:val="nil"/>
              <w:bottom w:val="single" w:sz="4" w:space="0" w:color="auto"/>
              <w:right w:val="single" w:sz="4" w:space="0" w:color="auto"/>
            </w:tcBorders>
            <w:vAlign w:val="center"/>
            <w:hideMark/>
          </w:tcPr>
          <w:p w14:paraId="6AD7834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2014</w:t>
            </w:r>
          </w:p>
        </w:tc>
        <w:tc>
          <w:tcPr>
            <w:tcW w:w="1137" w:type="dxa"/>
            <w:tcBorders>
              <w:top w:val="nil"/>
              <w:left w:val="nil"/>
              <w:bottom w:val="single" w:sz="4" w:space="0" w:color="auto"/>
              <w:right w:val="single" w:sz="4" w:space="0" w:color="auto"/>
            </w:tcBorders>
            <w:vAlign w:val="center"/>
            <w:hideMark/>
          </w:tcPr>
          <w:p w14:paraId="68D451C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Adaptation indicators: a basis for monitoring implementation and effectiveness. </w:t>
            </w:r>
          </w:p>
        </w:tc>
        <w:tc>
          <w:tcPr>
            <w:tcW w:w="1134" w:type="dxa"/>
            <w:tcBorders>
              <w:top w:val="nil"/>
              <w:left w:val="nil"/>
              <w:bottom w:val="single" w:sz="4" w:space="0" w:color="auto"/>
              <w:right w:val="single" w:sz="4" w:space="0" w:color="auto"/>
            </w:tcBorders>
            <w:vAlign w:val="center"/>
            <w:hideMark/>
          </w:tcPr>
          <w:p w14:paraId="3451F31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UKG, NRL, NRL</w:t>
            </w:r>
          </w:p>
        </w:tc>
        <w:tc>
          <w:tcPr>
            <w:tcW w:w="708" w:type="dxa"/>
            <w:tcBorders>
              <w:top w:val="nil"/>
              <w:left w:val="nil"/>
              <w:bottom w:val="single" w:sz="4" w:space="0" w:color="auto"/>
              <w:right w:val="single" w:sz="4" w:space="0" w:color="auto"/>
            </w:tcBorders>
            <w:vAlign w:val="center"/>
            <w:hideMark/>
          </w:tcPr>
          <w:p w14:paraId="46E6C0B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 New York</w:t>
            </w:r>
          </w:p>
        </w:tc>
        <w:tc>
          <w:tcPr>
            <w:tcW w:w="851" w:type="dxa"/>
            <w:tcBorders>
              <w:top w:val="nil"/>
              <w:left w:val="nil"/>
              <w:bottom w:val="single" w:sz="4" w:space="0" w:color="auto"/>
              <w:right w:val="single" w:sz="4" w:space="0" w:color="auto"/>
            </w:tcBorders>
            <w:vAlign w:val="center"/>
            <w:hideMark/>
          </w:tcPr>
          <w:p w14:paraId="1D7C421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adaptation monitoring and evaluation</w:t>
            </w:r>
          </w:p>
        </w:tc>
        <w:tc>
          <w:tcPr>
            <w:tcW w:w="993" w:type="dxa"/>
            <w:tcBorders>
              <w:top w:val="nil"/>
              <w:left w:val="nil"/>
              <w:bottom w:val="single" w:sz="4" w:space="0" w:color="auto"/>
              <w:right w:val="single" w:sz="4" w:space="0" w:color="auto"/>
            </w:tcBorders>
            <w:vAlign w:val="center"/>
            <w:hideMark/>
          </w:tcPr>
          <w:p w14:paraId="4301224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 Prutsch A, Grothmann T, McCallum S, Schauser I, Swart R (ed) (2014) Climate Change Adaptation Manual, Lessons learned from European and other industrialised countries, Chapter 14,</w:t>
            </w:r>
          </w:p>
        </w:tc>
        <w:tc>
          <w:tcPr>
            <w:tcW w:w="708" w:type="dxa"/>
            <w:tcBorders>
              <w:top w:val="nil"/>
              <w:left w:val="nil"/>
              <w:bottom w:val="single" w:sz="4" w:space="0" w:color="auto"/>
              <w:right w:val="single" w:sz="4" w:space="0" w:color="auto"/>
            </w:tcBorders>
            <w:vAlign w:val="center"/>
            <w:hideMark/>
          </w:tcPr>
          <w:p w14:paraId="1D8C220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hideMark/>
          </w:tcPr>
          <w:p w14:paraId="24016D0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5BFCE1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0A529643"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An examination of predominantly European policy and inter-disciplinary insight into cutting edge knowledge and lessons learnt in a relatively new field of implementation.</w:t>
            </w:r>
          </w:p>
        </w:tc>
        <w:tc>
          <w:tcPr>
            <w:tcW w:w="2268" w:type="dxa"/>
            <w:tcBorders>
              <w:top w:val="nil"/>
              <w:left w:val="nil"/>
              <w:bottom w:val="single" w:sz="4" w:space="0" w:color="auto"/>
              <w:right w:val="single" w:sz="8" w:space="0" w:color="auto"/>
            </w:tcBorders>
            <w:vAlign w:val="center"/>
          </w:tcPr>
          <w:p w14:paraId="1D5B4183"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chapter emphasises adaptation indicators’ importance as basic tools for monitoring implementation and effectiveness.</w:t>
            </w:r>
          </w:p>
        </w:tc>
      </w:tr>
      <w:tr w:rsidR="00555B5A" w:rsidRPr="0002056A" w14:paraId="11AE0990" w14:textId="77777777" w:rsidTr="00D57247">
        <w:trPr>
          <w:trHeight w:val="8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07640AA"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Van Minnen J.G., Harley, M., Franken, R., Ligtvoet, W. </w:t>
            </w:r>
          </w:p>
        </w:tc>
        <w:tc>
          <w:tcPr>
            <w:tcW w:w="705" w:type="dxa"/>
            <w:tcBorders>
              <w:top w:val="nil"/>
              <w:left w:val="nil"/>
              <w:bottom w:val="single" w:sz="4" w:space="0" w:color="auto"/>
              <w:right w:val="single" w:sz="4" w:space="0" w:color="auto"/>
            </w:tcBorders>
            <w:vAlign w:val="center"/>
            <w:hideMark/>
          </w:tcPr>
          <w:p w14:paraId="439B7E1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hideMark/>
          </w:tcPr>
          <w:p w14:paraId="3F412B5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Developments in Monitoring Climate Change Adaptation in Urban Areas. Quick scan of experiences outside the Netherlands. </w:t>
            </w:r>
          </w:p>
        </w:tc>
        <w:tc>
          <w:tcPr>
            <w:tcW w:w="1134" w:type="dxa"/>
            <w:tcBorders>
              <w:top w:val="nil"/>
              <w:left w:val="nil"/>
              <w:bottom w:val="single" w:sz="4" w:space="0" w:color="auto"/>
              <w:right w:val="single" w:sz="4" w:space="0" w:color="auto"/>
            </w:tcBorders>
            <w:vAlign w:val="center"/>
            <w:hideMark/>
          </w:tcPr>
          <w:p w14:paraId="4229AE6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NRL, UKG, NRL, NRL</w:t>
            </w:r>
          </w:p>
        </w:tc>
        <w:tc>
          <w:tcPr>
            <w:tcW w:w="708" w:type="dxa"/>
            <w:tcBorders>
              <w:top w:val="nil"/>
              <w:left w:val="nil"/>
              <w:bottom w:val="single" w:sz="4" w:space="0" w:color="auto"/>
              <w:right w:val="single" w:sz="4" w:space="0" w:color="auto"/>
            </w:tcBorders>
            <w:vAlign w:val="center"/>
            <w:hideMark/>
          </w:tcPr>
          <w:p w14:paraId="5413BB6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PBL Netherlands Environmental Assessment Agency, The Hague</w:t>
            </w:r>
          </w:p>
        </w:tc>
        <w:tc>
          <w:tcPr>
            <w:tcW w:w="851" w:type="dxa"/>
            <w:tcBorders>
              <w:top w:val="nil"/>
              <w:left w:val="nil"/>
              <w:bottom w:val="single" w:sz="4" w:space="0" w:color="auto"/>
              <w:right w:val="single" w:sz="4" w:space="0" w:color="auto"/>
            </w:tcBorders>
            <w:vAlign w:val="center"/>
            <w:hideMark/>
          </w:tcPr>
          <w:p w14:paraId="1408EAB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monitoring, evaluation</w:t>
            </w:r>
          </w:p>
        </w:tc>
        <w:tc>
          <w:tcPr>
            <w:tcW w:w="993" w:type="dxa"/>
            <w:tcBorders>
              <w:top w:val="nil"/>
              <w:left w:val="nil"/>
              <w:bottom w:val="single" w:sz="4" w:space="0" w:color="auto"/>
              <w:right w:val="single" w:sz="4" w:space="0" w:color="auto"/>
            </w:tcBorders>
            <w:vAlign w:val="center"/>
            <w:hideMark/>
          </w:tcPr>
          <w:p w14:paraId="3520F380" w14:textId="156FF98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PBL Netherlands Environmental Assessment Agency the Hague, 2018 PBL publication number: 3018</w:t>
            </w:r>
          </w:p>
        </w:tc>
        <w:tc>
          <w:tcPr>
            <w:tcW w:w="708" w:type="dxa"/>
            <w:tcBorders>
              <w:top w:val="nil"/>
              <w:left w:val="nil"/>
              <w:bottom w:val="single" w:sz="4" w:space="0" w:color="auto"/>
              <w:right w:val="single" w:sz="4" w:space="0" w:color="auto"/>
            </w:tcBorders>
            <w:vAlign w:val="center"/>
            <w:hideMark/>
          </w:tcPr>
          <w:p w14:paraId="4C2A55D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working paper (policy note)</w:t>
            </w:r>
          </w:p>
        </w:tc>
        <w:tc>
          <w:tcPr>
            <w:tcW w:w="851" w:type="dxa"/>
            <w:tcBorders>
              <w:top w:val="nil"/>
              <w:left w:val="nil"/>
              <w:bottom w:val="single" w:sz="4" w:space="0" w:color="auto"/>
              <w:right w:val="single" w:sz="4" w:space="0" w:color="auto"/>
            </w:tcBorders>
            <w:vAlign w:val="center"/>
            <w:hideMark/>
          </w:tcPr>
          <w:p w14:paraId="0F2CA30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3E770FA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8A101F0"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Delta Programme on Spatial Adaptation is building a system for the monitoring and evaluation (M&amp;E) of climate change adaptation in the Dutch urban environment. In this context, PBL has been asked to develop an indicator framework for the urban environment, and to update knowledge of M&amp;E systems through a quick scan of developments in a selected number of countries and cities outside the Netherlands.</w:t>
            </w:r>
          </w:p>
        </w:tc>
        <w:tc>
          <w:tcPr>
            <w:tcW w:w="2268" w:type="dxa"/>
            <w:tcBorders>
              <w:top w:val="nil"/>
              <w:left w:val="nil"/>
              <w:bottom w:val="single" w:sz="4" w:space="0" w:color="auto"/>
              <w:right w:val="single" w:sz="8" w:space="0" w:color="auto"/>
            </w:tcBorders>
            <w:vAlign w:val="center"/>
          </w:tcPr>
          <w:p w14:paraId="53D446D4"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report presents developments in the monitoring and evaluation (M&amp;E) of climate change adaptation in various countries and cities [6 European countries – GER, UKG, SWI in detail; FIN, FRA, POL in general; and South Africa) were selected for this quick scan], in particular with respect to monitoring outputs, outcomes and the effectiveness of adaptation measures. </w:t>
            </w:r>
          </w:p>
        </w:tc>
      </w:tr>
      <w:tr w:rsidR="00555B5A" w:rsidRPr="0002056A" w14:paraId="145C5E63" w14:textId="77777777" w:rsidTr="00D57247">
        <w:trPr>
          <w:trHeight w:val="11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CB184EB"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van Rüth, P.; Schönthaler, K.; von Andrian-Werburg, S.; Buth, M.</w:t>
            </w:r>
          </w:p>
        </w:tc>
        <w:tc>
          <w:tcPr>
            <w:tcW w:w="705" w:type="dxa"/>
            <w:tcBorders>
              <w:top w:val="nil"/>
              <w:left w:val="nil"/>
              <w:bottom w:val="single" w:sz="4" w:space="0" w:color="auto"/>
              <w:right w:val="single" w:sz="4" w:space="0" w:color="auto"/>
            </w:tcBorders>
            <w:vAlign w:val="center"/>
            <w:hideMark/>
          </w:tcPr>
          <w:p w14:paraId="214520A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2019</w:t>
            </w:r>
          </w:p>
        </w:tc>
        <w:tc>
          <w:tcPr>
            <w:tcW w:w="1137" w:type="dxa"/>
            <w:tcBorders>
              <w:top w:val="nil"/>
              <w:left w:val="nil"/>
              <w:bottom w:val="single" w:sz="4" w:space="0" w:color="auto"/>
              <w:right w:val="single" w:sz="4" w:space="0" w:color="auto"/>
            </w:tcBorders>
            <w:vAlign w:val="center"/>
            <w:hideMark/>
          </w:tcPr>
          <w:p w14:paraId="7401CAF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Monitoringbericht 2019 zur Deutschen Anpassungsstrategie an den Klimawandel. Bericht der Interministeriellen Arbeitsgruppe Anpassungsstrategie der Bundesregierung. </w:t>
            </w:r>
          </w:p>
        </w:tc>
        <w:tc>
          <w:tcPr>
            <w:tcW w:w="1134" w:type="dxa"/>
            <w:tcBorders>
              <w:top w:val="nil"/>
              <w:left w:val="nil"/>
              <w:bottom w:val="single" w:sz="4" w:space="0" w:color="auto"/>
              <w:right w:val="single" w:sz="4" w:space="0" w:color="auto"/>
            </w:tcBorders>
            <w:vAlign w:val="center"/>
            <w:hideMark/>
          </w:tcPr>
          <w:p w14:paraId="03D3E64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 GER</w:t>
            </w:r>
          </w:p>
        </w:tc>
        <w:tc>
          <w:tcPr>
            <w:tcW w:w="708" w:type="dxa"/>
            <w:tcBorders>
              <w:top w:val="nil"/>
              <w:left w:val="nil"/>
              <w:bottom w:val="single" w:sz="4" w:space="0" w:color="auto"/>
              <w:right w:val="single" w:sz="4" w:space="0" w:color="auto"/>
            </w:tcBorders>
            <w:vAlign w:val="center"/>
            <w:hideMark/>
          </w:tcPr>
          <w:p w14:paraId="73352FF1" w14:textId="026B541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Umwelt-bundesamt, Dessau-Roßlau, Germany. </w:t>
            </w:r>
          </w:p>
        </w:tc>
        <w:tc>
          <w:tcPr>
            <w:tcW w:w="851" w:type="dxa"/>
            <w:tcBorders>
              <w:top w:val="nil"/>
              <w:left w:val="nil"/>
              <w:bottom w:val="single" w:sz="4" w:space="0" w:color="auto"/>
              <w:right w:val="single" w:sz="4" w:space="0" w:color="auto"/>
            </w:tcBorders>
            <w:vAlign w:val="center"/>
            <w:hideMark/>
          </w:tcPr>
          <w:p w14:paraId="5A7D12B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monitoring, evaluation</w:t>
            </w:r>
          </w:p>
        </w:tc>
        <w:tc>
          <w:tcPr>
            <w:tcW w:w="993" w:type="dxa"/>
            <w:tcBorders>
              <w:top w:val="nil"/>
              <w:left w:val="nil"/>
              <w:bottom w:val="single" w:sz="4" w:space="0" w:color="auto"/>
              <w:right w:val="single" w:sz="4" w:space="0" w:color="auto"/>
            </w:tcBorders>
            <w:vAlign w:val="center"/>
            <w:hideMark/>
          </w:tcPr>
          <w:p w14:paraId="0B4381C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Publikation als pdf: www.umweltbundesamt.de/publikationen/ monitoringbericht-2019 (downloaded: 2021. 09. 23.) </w:t>
            </w:r>
            <w:hyperlink r:id="rId198" w:history="1">
              <w:r w:rsidRPr="0002056A">
                <w:rPr>
                  <w:rStyle w:val="Hiperhivatkozs"/>
                  <w:rFonts w:ascii="Georgia" w:eastAsia="Times New Roman" w:hAnsi="Georgia" w:cs="Times New Roman"/>
                  <w:sz w:val="10"/>
                  <w:szCs w:val="10"/>
                  <w:lang w:val="en-GB" w:eastAsia="hu-HU"/>
                </w:rPr>
                <w:t>www.klivoportal.de/monitoringbericht2019</w:t>
              </w:r>
            </w:hyperlink>
          </w:p>
        </w:tc>
        <w:tc>
          <w:tcPr>
            <w:tcW w:w="708" w:type="dxa"/>
            <w:tcBorders>
              <w:top w:val="nil"/>
              <w:left w:val="nil"/>
              <w:bottom w:val="single" w:sz="4" w:space="0" w:color="auto"/>
              <w:right w:val="single" w:sz="4" w:space="0" w:color="auto"/>
            </w:tcBorders>
            <w:vAlign w:val="center"/>
            <w:hideMark/>
          </w:tcPr>
          <w:p w14:paraId="37D732F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policy study (MRE report)</w:t>
            </w:r>
          </w:p>
        </w:tc>
        <w:tc>
          <w:tcPr>
            <w:tcW w:w="851" w:type="dxa"/>
            <w:tcBorders>
              <w:top w:val="nil"/>
              <w:left w:val="nil"/>
              <w:bottom w:val="single" w:sz="4" w:space="0" w:color="auto"/>
              <w:right w:val="single" w:sz="4" w:space="0" w:color="auto"/>
            </w:tcBorders>
            <w:vAlign w:val="center"/>
            <w:hideMark/>
          </w:tcPr>
          <w:p w14:paraId="55CC29D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146E08B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C50B4E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German NAS’s first monitoring report.</w:t>
            </w:r>
          </w:p>
        </w:tc>
        <w:tc>
          <w:tcPr>
            <w:tcW w:w="2268" w:type="dxa"/>
            <w:tcBorders>
              <w:top w:val="nil"/>
              <w:left w:val="nil"/>
              <w:bottom w:val="single" w:sz="4" w:space="0" w:color="auto"/>
              <w:right w:val="single" w:sz="8" w:space="0" w:color="auto"/>
            </w:tcBorders>
            <w:vAlign w:val="center"/>
          </w:tcPr>
          <w:p w14:paraId="1F3A22F9"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 practical example for a monitoring report from the national level.</w:t>
            </w:r>
          </w:p>
        </w:tc>
      </w:tr>
      <w:tr w:rsidR="00555B5A" w:rsidRPr="0002056A" w14:paraId="6AEED006" w14:textId="77777777" w:rsidTr="00D57247">
        <w:trPr>
          <w:trHeight w:val="112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B52F8EC" w14:textId="52C40C8E"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von Lucke, F.</w:t>
            </w:r>
          </w:p>
        </w:tc>
        <w:tc>
          <w:tcPr>
            <w:tcW w:w="705" w:type="dxa"/>
            <w:tcBorders>
              <w:top w:val="nil"/>
              <w:left w:val="nil"/>
              <w:bottom w:val="single" w:sz="4" w:space="0" w:color="auto"/>
              <w:right w:val="single" w:sz="4" w:space="0" w:color="auto"/>
            </w:tcBorders>
            <w:vAlign w:val="center"/>
          </w:tcPr>
          <w:p w14:paraId="79243F9C" w14:textId="7DEF159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7EA9479E" w14:textId="17F891E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Principled pragmatism in climate policy? The EU and changing practices of climate justice</w:t>
            </w:r>
          </w:p>
        </w:tc>
        <w:tc>
          <w:tcPr>
            <w:tcW w:w="1134" w:type="dxa"/>
            <w:tcBorders>
              <w:top w:val="nil"/>
              <w:left w:val="nil"/>
              <w:bottom w:val="single" w:sz="4" w:space="0" w:color="auto"/>
              <w:right w:val="single" w:sz="4" w:space="0" w:color="auto"/>
            </w:tcBorders>
            <w:vAlign w:val="center"/>
          </w:tcPr>
          <w:p w14:paraId="3F2D73A8" w14:textId="3323A89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tcPr>
          <w:p w14:paraId="4DBAC63A" w14:textId="3C68393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Science Direct</w:t>
            </w:r>
          </w:p>
        </w:tc>
        <w:tc>
          <w:tcPr>
            <w:tcW w:w="851" w:type="dxa"/>
            <w:tcBorders>
              <w:top w:val="nil"/>
              <w:left w:val="nil"/>
              <w:bottom w:val="single" w:sz="4" w:space="0" w:color="auto"/>
              <w:right w:val="single" w:sz="4" w:space="0" w:color="auto"/>
            </w:tcBorders>
            <w:vAlign w:val="center"/>
          </w:tcPr>
          <w:p w14:paraId="115382E1" w14:textId="23B98CA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political geography</w:t>
            </w:r>
          </w:p>
        </w:tc>
        <w:tc>
          <w:tcPr>
            <w:tcW w:w="993" w:type="dxa"/>
            <w:tcBorders>
              <w:top w:val="nil"/>
              <w:left w:val="nil"/>
              <w:bottom w:val="single" w:sz="4" w:space="0" w:color="auto"/>
              <w:right w:val="single" w:sz="4" w:space="0" w:color="auto"/>
            </w:tcBorders>
            <w:vAlign w:val="center"/>
          </w:tcPr>
          <w:p w14:paraId="6A98E4F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Political geography, Volume 86, April 2021, 102355</w:t>
            </w:r>
          </w:p>
          <w:p w14:paraId="4BD0A31E" w14:textId="176F202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https://doi.org/10.1016/j.polgeo.2021.102355</w:t>
            </w:r>
          </w:p>
        </w:tc>
        <w:tc>
          <w:tcPr>
            <w:tcW w:w="708" w:type="dxa"/>
            <w:tcBorders>
              <w:top w:val="nil"/>
              <w:left w:val="nil"/>
              <w:bottom w:val="single" w:sz="4" w:space="0" w:color="auto"/>
              <w:right w:val="single" w:sz="4" w:space="0" w:color="auto"/>
            </w:tcBorders>
            <w:vAlign w:val="center"/>
          </w:tcPr>
          <w:p w14:paraId="1E0E8447" w14:textId="50751AD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DF54B1F" w14:textId="37933E0A"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364FA7FF" w14:textId="26BFC54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28ECC345" w14:textId="1C2A57D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paper critically assesses the EU's role concerning climate change from a perspective of global political justice, which builds on a tripartite theoretical conception, consisting of ‘non-domination’, ‘impartiality’ and ‘mutual recognition’. It inquires to which conceptions of justice the EU's climate strategy and approach to the international negotiations have corresponded, how and why changes have come about, and whether the EU was able to influence the international regime. </w:t>
            </w:r>
          </w:p>
        </w:tc>
        <w:tc>
          <w:tcPr>
            <w:tcW w:w="2268" w:type="dxa"/>
            <w:tcBorders>
              <w:top w:val="nil"/>
              <w:left w:val="nil"/>
              <w:bottom w:val="single" w:sz="4" w:space="0" w:color="auto"/>
              <w:right w:val="single" w:sz="8" w:space="0" w:color="auto"/>
            </w:tcBorders>
            <w:vAlign w:val="center"/>
          </w:tcPr>
          <w:p w14:paraId="1E0BFB8B" w14:textId="1F79C1CF"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paper finds that while the EU started out from a focus on political measures linked to impartiality, after the failed negotiations in Copenhagen in 2009 it has become more open towards policies and instruments in line with mutual recognition and non-domination. Thus, the emphasis moved away from top-down, legally binding measures, towards voluntary bottom-up procedures, a recognition of difference and diplomatic outreach activities. While this shift was necessary to reinstate the EU's influence and secure the Paris Agreement, it could hamper the quest for robust climate abatement measures and global climate justice.</w:t>
            </w:r>
          </w:p>
        </w:tc>
      </w:tr>
      <w:tr w:rsidR="00555B5A" w:rsidRPr="0002056A" w14:paraId="5BB47828"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243A325"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lastRenderedPageBreak/>
              <w:t>Vedung, E.</w:t>
            </w:r>
          </w:p>
        </w:tc>
        <w:tc>
          <w:tcPr>
            <w:tcW w:w="705" w:type="dxa"/>
            <w:tcBorders>
              <w:top w:val="nil"/>
              <w:left w:val="nil"/>
              <w:bottom w:val="single" w:sz="4" w:space="0" w:color="auto"/>
              <w:right w:val="single" w:sz="4" w:space="0" w:color="auto"/>
            </w:tcBorders>
            <w:vAlign w:val="center"/>
            <w:hideMark/>
          </w:tcPr>
          <w:p w14:paraId="17D67AF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1997</w:t>
            </w:r>
          </w:p>
        </w:tc>
        <w:tc>
          <w:tcPr>
            <w:tcW w:w="1137" w:type="dxa"/>
            <w:tcBorders>
              <w:top w:val="nil"/>
              <w:left w:val="nil"/>
              <w:bottom w:val="single" w:sz="4" w:space="0" w:color="auto"/>
              <w:right w:val="single" w:sz="4" w:space="0" w:color="auto"/>
            </w:tcBorders>
            <w:vAlign w:val="center"/>
            <w:hideMark/>
          </w:tcPr>
          <w:p w14:paraId="1A37216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Public Policy and Program Evaluation</w:t>
            </w:r>
          </w:p>
        </w:tc>
        <w:tc>
          <w:tcPr>
            <w:tcW w:w="1134" w:type="dxa"/>
            <w:tcBorders>
              <w:top w:val="nil"/>
              <w:left w:val="nil"/>
              <w:bottom w:val="single" w:sz="4" w:space="0" w:color="auto"/>
              <w:right w:val="single" w:sz="4" w:space="0" w:color="auto"/>
            </w:tcBorders>
            <w:vAlign w:val="center"/>
            <w:hideMark/>
          </w:tcPr>
          <w:p w14:paraId="5008580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6B271EC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 New York</w:t>
            </w:r>
          </w:p>
        </w:tc>
        <w:tc>
          <w:tcPr>
            <w:tcW w:w="851" w:type="dxa"/>
            <w:tcBorders>
              <w:top w:val="nil"/>
              <w:left w:val="nil"/>
              <w:bottom w:val="single" w:sz="4" w:space="0" w:color="auto"/>
              <w:right w:val="single" w:sz="4" w:space="0" w:color="auto"/>
            </w:tcBorders>
            <w:vAlign w:val="center"/>
            <w:hideMark/>
          </w:tcPr>
          <w:p w14:paraId="56D47E4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evaluation theory, methodology</w:t>
            </w:r>
          </w:p>
        </w:tc>
        <w:tc>
          <w:tcPr>
            <w:tcW w:w="993" w:type="dxa"/>
            <w:tcBorders>
              <w:top w:val="nil"/>
              <w:left w:val="nil"/>
              <w:bottom w:val="single" w:sz="4" w:space="0" w:color="auto"/>
              <w:right w:val="single" w:sz="4" w:space="0" w:color="auto"/>
            </w:tcBorders>
            <w:vAlign w:val="center"/>
            <w:hideMark/>
          </w:tcPr>
          <w:p w14:paraId="30FD367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9780765806871</w:t>
            </w:r>
          </w:p>
        </w:tc>
        <w:tc>
          <w:tcPr>
            <w:tcW w:w="708" w:type="dxa"/>
            <w:tcBorders>
              <w:top w:val="nil"/>
              <w:left w:val="nil"/>
              <w:bottom w:val="single" w:sz="4" w:space="0" w:color="auto"/>
              <w:right w:val="single" w:sz="4" w:space="0" w:color="auto"/>
            </w:tcBorders>
            <w:vAlign w:val="center"/>
            <w:hideMark/>
          </w:tcPr>
          <w:p w14:paraId="7D1E864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1712745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A04FA2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BFD82E1"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Written from a political science perspective, the book provides an overview of the possibilities and limits of public sector evaluation. Vedung examines evaluation as a mechanism for monitoring, systematizing, and grading government activities and their results so that public officials, in their future-oriented work, will be able to act efficiently.</w:t>
            </w:r>
          </w:p>
        </w:tc>
        <w:tc>
          <w:tcPr>
            <w:tcW w:w="2268" w:type="dxa"/>
            <w:tcBorders>
              <w:top w:val="nil"/>
              <w:left w:val="nil"/>
              <w:bottom w:val="single" w:sz="4" w:space="0" w:color="auto"/>
              <w:right w:val="single" w:sz="8" w:space="0" w:color="auto"/>
            </w:tcBorders>
            <w:vAlign w:val="center"/>
          </w:tcPr>
          <w:p w14:paraId="7792F456"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Concepts/definitions of evaluation are provided by the book.</w:t>
            </w:r>
          </w:p>
        </w:tc>
      </w:tr>
      <w:tr w:rsidR="00555B5A" w:rsidRPr="0002056A" w14:paraId="7BB910EC" w14:textId="77777777" w:rsidTr="00D57247">
        <w:trPr>
          <w:trHeight w:val="33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0595F6C" w14:textId="241F0E4C"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Velazquez, D. R.</w:t>
            </w:r>
          </w:p>
        </w:tc>
        <w:tc>
          <w:tcPr>
            <w:tcW w:w="705" w:type="dxa"/>
            <w:tcBorders>
              <w:top w:val="nil"/>
              <w:left w:val="nil"/>
              <w:bottom w:val="single" w:sz="4" w:space="0" w:color="auto"/>
              <w:right w:val="single" w:sz="4" w:space="0" w:color="auto"/>
            </w:tcBorders>
            <w:vAlign w:val="center"/>
          </w:tcPr>
          <w:p w14:paraId="1FAE6A35" w14:textId="2BDCF8A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tcPr>
          <w:p w14:paraId="012D4109" w14:textId="4654FFE6"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Territorial Risks and Climate Change. </w:t>
            </w:r>
          </w:p>
        </w:tc>
        <w:tc>
          <w:tcPr>
            <w:tcW w:w="1134" w:type="dxa"/>
            <w:tcBorders>
              <w:top w:val="nil"/>
              <w:left w:val="nil"/>
              <w:bottom w:val="single" w:sz="4" w:space="0" w:color="auto"/>
              <w:right w:val="single" w:sz="4" w:space="0" w:color="auto"/>
            </w:tcBorders>
            <w:vAlign w:val="center"/>
          </w:tcPr>
          <w:p w14:paraId="40249836" w14:textId="1B8B68B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MEX</w:t>
            </w:r>
          </w:p>
        </w:tc>
        <w:tc>
          <w:tcPr>
            <w:tcW w:w="708" w:type="dxa"/>
            <w:tcBorders>
              <w:top w:val="nil"/>
              <w:left w:val="nil"/>
              <w:bottom w:val="single" w:sz="4" w:space="0" w:color="auto"/>
              <w:right w:val="single" w:sz="4" w:space="0" w:color="auto"/>
            </w:tcBorders>
            <w:vAlign w:val="center"/>
          </w:tcPr>
          <w:p w14:paraId="56F03452" w14:textId="5D1BF76B"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UNAM</w:t>
            </w:r>
          </w:p>
        </w:tc>
        <w:tc>
          <w:tcPr>
            <w:tcW w:w="851" w:type="dxa"/>
            <w:tcBorders>
              <w:top w:val="nil"/>
              <w:left w:val="nil"/>
              <w:bottom w:val="single" w:sz="4" w:space="0" w:color="auto"/>
              <w:right w:val="single" w:sz="4" w:space="0" w:color="auto"/>
            </w:tcBorders>
            <w:vAlign w:val="center"/>
          </w:tcPr>
          <w:p w14:paraId="581417E3" w14:textId="0F90CFCF"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policy, public administration</w:t>
            </w:r>
          </w:p>
        </w:tc>
        <w:tc>
          <w:tcPr>
            <w:tcW w:w="993" w:type="dxa"/>
            <w:tcBorders>
              <w:top w:val="nil"/>
              <w:left w:val="nil"/>
              <w:bottom w:val="single" w:sz="4" w:space="0" w:color="auto"/>
              <w:right w:val="single" w:sz="4" w:space="0" w:color="auto"/>
            </w:tcBorders>
            <w:vAlign w:val="center"/>
          </w:tcPr>
          <w:p w14:paraId="15E54119" w14:textId="45E9EB5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Voices of Mexico. No 95., 2012.</w:t>
            </w:r>
          </w:p>
        </w:tc>
        <w:tc>
          <w:tcPr>
            <w:tcW w:w="708" w:type="dxa"/>
            <w:tcBorders>
              <w:top w:val="nil"/>
              <w:left w:val="nil"/>
              <w:bottom w:val="single" w:sz="4" w:space="0" w:color="auto"/>
              <w:right w:val="single" w:sz="4" w:space="0" w:color="auto"/>
            </w:tcBorders>
            <w:vAlign w:val="center"/>
          </w:tcPr>
          <w:p w14:paraId="16FF2990" w14:textId="7492B091"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5EA25BE" w14:textId="3A8C98E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tcPr>
          <w:p w14:paraId="12B6DF37" w14:textId="3ED26A86"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3686" w:type="dxa"/>
            <w:tcBorders>
              <w:top w:val="nil"/>
              <w:left w:val="nil"/>
              <w:bottom w:val="single" w:sz="4" w:space="0" w:color="auto"/>
              <w:right w:val="single" w:sz="8" w:space="0" w:color="auto"/>
            </w:tcBorders>
            <w:vAlign w:val="center"/>
          </w:tcPr>
          <w:p w14:paraId="2733FF1E" w14:textId="5C12E86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article sets out to reflect on the social and human implication of climate change. Such a complex subject cannot be understood solely through the prism of technology and science; analysing it is difficult when using the time-based, measurable reference points that conform to short-term-oriented business and government interests, given their overriding concern with investment performance and immediate electoral</w:t>
            </w:r>
          </w:p>
          <w:p w14:paraId="0C9DF7C2" w14:textId="10CEDA66"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results.</w:t>
            </w:r>
          </w:p>
        </w:tc>
        <w:tc>
          <w:tcPr>
            <w:tcW w:w="2268" w:type="dxa"/>
            <w:tcBorders>
              <w:top w:val="nil"/>
              <w:left w:val="nil"/>
              <w:bottom w:val="single" w:sz="4" w:space="0" w:color="auto"/>
              <w:right w:val="single" w:sz="8" w:space="0" w:color="auto"/>
            </w:tcBorders>
            <w:vAlign w:val="center"/>
          </w:tcPr>
          <w:p w14:paraId="2336787D" w14:textId="08DB437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Gives some important aspects to territoriality of climate change, but not exclusively from adaptation point of view.</w:t>
            </w:r>
          </w:p>
        </w:tc>
      </w:tr>
      <w:tr w:rsidR="00555B5A" w:rsidRPr="0002056A" w14:paraId="6E1C1034" w14:textId="77777777" w:rsidTr="00D57247">
        <w:trPr>
          <w:trHeight w:val="90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5728C8B"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Villanueva, P.S.</w:t>
            </w:r>
          </w:p>
        </w:tc>
        <w:tc>
          <w:tcPr>
            <w:tcW w:w="705" w:type="dxa"/>
            <w:tcBorders>
              <w:top w:val="nil"/>
              <w:left w:val="nil"/>
              <w:bottom w:val="single" w:sz="4" w:space="0" w:color="auto"/>
              <w:right w:val="single" w:sz="4" w:space="0" w:color="auto"/>
            </w:tcBorders>
            <w:vAlign w:val="center"/>
            <w:hideMark/>
          </w:tcPr>
          <w:p w14:paraId="06868D9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2012</w:t>
            </w:r>
          </w:p>
        </w:tc>
        <w:tc>
          <w:tcPr>
            <w:tcW w:w="1137" w:type="dxa"/>
            <w:tcBorders>
              <w:top w:val="nil"/>
              <w:left w:val="nil"/>
              <w:bottom w:val="single" w:sz="4" w:space="0" w:color="auto"/>
              <w:right w:val="single" w:sz="4" w:space="0" w:color="auto"/>
            </w:tcBorders>
            <w:vAlign w:val="center"/>
            <w:hideMark/>
          </w:tcPr>
          <w:p w14:paraId="72F1715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Learning to ADAPT: monitoring and evaluation approaches in climate change adaptation and disaster risk reduction – challenges, gaps and ways forward</w:t>
            </w:r>
          </w:p>
        </w:tc>
        <w:tc>
          <w:tcPr>
            <w:tcW w:w="1134" w:type="dxa"/>
            <w:tcBorders>
              <w:top w:val="nil"/>
              <w:left w:val="nil"/>
              <w:bottom w:val="single" w:sz="4" w:space="0" w:color="auto"/>
              <w:right w:val="single" w:sz="4" w:space="0" w:color="auto"/>
            </w:tcBorders>
            <w:vAlign w:val="center"/>
            <w:hideMark/>
          </w:tcPr>
          <w:p w14:paraId="339671B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ESP</w:t>
            </w:r>
          </w:p>
        </w:tc>
        <w:tc>
          <w:tcPr>
            <w:tcW w:w="708" w:type="dxa"/>
            <w:tcBorders>
              <w:top w:val="nil"/>
              <w:left w:val="nil"/>
              <w:bottom w:val="single" w:sz="4" w:space="0" w:color="auto"/>
              <w:right w:val="single" w:sz="4" w:space="0" w:color="auto"/>
            </w:tcBorders>
            <w:vAlign w:val="center"/>
            <w:hideMark/>
          </w:tcPr>
          <w:p w14:paraId="2D94980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Strengthening Climate</w:t>
            </w:r>
            <w:r w:rsidRPr="0002056A">
              <w:rPr>
                <w:rFonts w:ascii="Georgia" w:eastAsia="Times New Roman" w:hAnsi="Georgia" w:cs="Times New Roman"/>
                <w:color w:val="000000"/>
                <w:sz w:val="10"/>
                <w:szCs w:val="10"/>
                <w:lang w:val="en-GB" w:eastAsia="hu-HU"/>
              </w:rPr>
              <w:br/>
              <w:t xml:space="preserve">Resilience, </w:t>
            </w:r>
            <w:hyperlink r:id="rId199" w:history="1">
              <w:r w:rsidRPr="0002056A">
                <w:rPr>
                  <w:rStyle w:val="Hiperhivatkozs"/>
                  <w:rFonts w:ascii="Georgia" w:eastAsia="Times New Roman" w:hAnsi="Georgia" w:cs="Times New Roman"/>
                  <w:sz w:val="10"/>
                  <w:szCs w:val="10"/>
                  <w:lang w:val="en-GB" w:eastAsia="hu-HU"/>
                </w:rPr>
                <w:t>www.csdrm.org</w:t>
              </w:r>
            </w:hyperlink>
          </w:p>
        </w:tc>
        <w:tc>
          <w:tcPr>
            <w:tcW w:w="851" w:type="dxa"/>
            <w:tcBorders>
              <w:top w:val="nil"/>
              <w:left w:val="nil"/>
              <w:bottom w:val="single" w:sz="4" w:space="0" w:color="auto"/>
              <w:right w:val="single" w:sz="4" w:space="0" w:color="auto"/>
            </w:tcBorders>
            <w:vAlign w:val="center"/>
            <w:hideMark/>
          </w:tcPr>
          <w:p w14:paraId="389805C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monitoring and evaluation</w:t>
            </w:r>
          </w:p>
        </w:tc>
        <w:tc>
          <w:tcPr>
            <w:tcW w:w="993" w:type="dxa"/>
            <w:tcBorders>
              <w:top w:val="nil"/>
              <w:left w:val="nil"/>
              <w:bottom w:val="single" w:sz="4" w:space="0" w:color="auto"/>
              <w:right w:val="single" w:sz="4" w:space="0" w:color="auto"/>
            </w:tcBorders>
            <w:vAlign w:val="center"/>
            <w:hideMark/>
          </w:tcPr>
          <w:p w14:paraId="3B226B99" w14:textId="2FF9A74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SCR Discussion Paper (technical report)9</w:t>
            </w:r>
          </w:p>
        </w:tc>
        <w:tc>
          <w:tcPr>
            <w:tcW w:w="708" w:type="dxa"/>
            <w:tcBorders>
              <w:top w:val="nil"/>
              <w:left w:val="nil"/>
              <w:bottom w:val="single" w:sz="4" w:space="0" w:color="auto"/>
              <w:right w:val="single" w:sz="4" w:space="0" w:color="auto"/>
            </w:tcBorders>
            <w:vAlign w:val="center"/>
            <w:hideMark/>
          </w:tcPr>
          <w:p w14:paraId="3286B149"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discussion paper</w:t>
            </w:r>
          </w:p>
        </w:tc>
        <w:tc>
          <w:tcPr>
            <w:tcW w:w="851" w:type="dxa"/>
            <w:tcBorders>
              <w:top w:val="nil"/>
              <w:left w:val="nil"/>
              <w:bottom w:val="single" w:sz="4" w:space="0" w:color="auto"/>
              <w:right w:val="single" w:sz="4" w:space="0" w:color="auto"/>
            </w:tcBorders>
            <w:vAlign w:val="center"/>
            <w:hideMark/>
          </w:tcPr>
          <w:p w14:paraId="744C1C2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no</w:t>
            </w:r>
          </w:p>
        </w:tc>
        <w:tc>
          <w:tcPr>
            <w:tcW w:w="708" w:type="dxa"/>
            <w:tcBorders>
              <w:top w:val="nil"/>
              <w:left w:val="nil"/>
              <w:bottom w:val="single" w:sz="4" w:space="0" w:color="auto"/>
              <w:right w:val="single" w:sz="8" w:space="0" w:color="auto"/>
            </w:tcBorders>
            <w:vAlign w:val="center"/>
            <w:hideMark/>
          </w:tcPr>
          <w:p w14:paraId="26E0EDD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1E104943" w14:textId="77777777" w:rsidR="00555B5A" w:rsidRPr="0002056A" w:rsidRDefault="00555B5A" w:rsidP="00555B5A">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color w:val="333333"/>
                <w:sz w:val="10"/>
                <w:szCs w:val="10"/>
                <w:shd w:val="clear" w:color="auto" w:fill="FFFFFF"/>
                <w:lang w:val="en-GB"/>
              </w:rPr>
              <w:t xml:space="preserve">The paper is a methodological contribution to the emerging debate on monitoring and evaluation (M&amp;E) in the context of climate change adaptation and disaster risk reduction. </w:t>
            </w:r>
          </w:p>
        </w:tc>
        <w:tc>
          <w:tcPr>
            <w:tcW w:w="2268" w:type="dxa"/>
            <w:tcBorders>
              <w:top w:val="nil"/>
              <w:left w:val="nil"/>
              <w:bottom w:val="single" w:sz="4" w:space="0" w:color="auto"/>
              <w:right w:val="single" w:sz="8" w:space="0" w:color="auto"/>
            </w:tcBorders>
            <w:vAlign w:val="center"/>
          </w:tcPr>
          <w:p w14:paraId="71D75D1D" w14:textId="77777777" w:rsidR="00555B5A" w:rsidRPr="0002056A" w:rsidRDefault="00555B5A" w:rsidP="00555B5A">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It concludes that e</w:t>
            </w:r>
            <w:r w:rsidRPr="0002056A">
              <w:rPr>
                <w:rFonts w:ascii="Georgia" w:hAnsi="Georgia" w:cstheme="minorHAnsi"/>
                <w:color w:val="333333"/>
                <w:sz w:val="10"/>
                <w:szCs w:val="10"/>
                <w:shd w:val="clear" w:color="auto" w:fill="FFFFFF"/>
                <w:lang w:val="en-GB"/>
              </w:rPr>
              <w:t>ffective management of disaster risk is critical for adapting to the impacts of climate change, however disasters risk reduction MRE practice may be limited in capturing progress towards adaptation. The unique nature of adaptation to climate change calls for experience-based learning MRE processes for discovering the key insights into adaptive capacity and its links to adaptation processes, and to risk and vulnerability reduction at large. The ADAPT guiding principles and indicators set the foundations towards this end.</w:t>
            </w:r>
          </w:p>
        </w:tc>
      </w:tr>
      <w:tr w:rsidR="00555B5A" w:rsidRPr="0002056A" w14:paraId="7A201508" w14:textId="77777777" w:rsidTr="00D57247">
        <w:trPr>
          <w:trHeight w:val="99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45A67FAB"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Vogler, J. </w:t>
            </w:r>
          </w:p>
        </w:tc>
        <w:tc>
          <w:tcPr>
            <w:tcW w:w="705" w:type="dxa"/>
            <w:tcBorders>
              <w:top w:val="nil"/>
              <w:left w:val="nil"/>
              <w:bottom w:val="single" w:sz="4" w:space="0" w:color="auto"/>
              <w:right w:val="single" w:sz="4" w:space="0" w:color="auto"/>
            </w:tcBorders>
            <w:vAlign w:val="center"/>
            <w:hideMark/>
          </w:tcPr>
          <w:p w14:paraId="1F7CA8C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2017</w:t>
            </w:r>
          </w:p>
        </w:tc>
        <w:tc>
          <w:tcPr>
            <w:tcW w:w="1137" w:type="dxa"/>
            <w:tcBorders>
              <w:top w:val="nil"/>
              <w:left w:val="nil"/>
              <w:bottom w:val="single" w:sz="4" w:space="0" w:color="auto"/>
              <w:right w:val="single" w:sz="4" w:space="0" w:color="auto"/>
            </w:tcBorders>
            <w:vAlign w:val="center"/>
            <w:hideMark/>
          </w:tcPr>
          <w:p w14:paraId="0C64869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Environmental issues </w:t>
            </w:r>
          </w:p>
        </w:tc>
        <w:tc>
          <w:tcPr>
            <w:tcW w:w="1134" w:type="dxa"/>
            <w:tcBorders>
              <w:top w:val="nil"/>
              <w:left w:val="nil"/>
              <w:bottom w:val="single" w:sz="4" w:space="0" w:color="auto"/>
              <w:right w:val="single" w:sz="4" w:space="0" w:color="auto"/>
            </w:tcBorders>
            <w:vAlign w:val="center"/>
            <w:hideMark/>
          </w:tcPr>
          <w:p w14:paraId="078CC2C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shd w:val="clear" w:color="000000" w:fill="FFFFFF"/>
            <w:vAlign w:val="center"/>
            <w:hideMark/>
          </w:tcPr>
          <w:p w14:paraId="3E17FC7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Oxford University Press</w:t>
            </w:r>
          </w:p>
        </w:tc>
        <w:tc>
          <w:tcPr>
            <w:tcW w:w="851" w:type="dxa"/>
            <w:tcBorders>
              <w:top w:val="nil"/>
              <w:left w:val="nil"/>
              <w:bottom w:val="single" w:sz="4" w:space="0" w:color="auto"/>
              <w:right w:val="single" w:sz="4" w:space="0" w:color="auto"/>
            </w:tcBorders>
            <w:shd w:val="clear" w:color="000000" w:fill="FFFFFF"/>
            <w:vAlign w:val="center"/>
            <w:hideMark/>
          </w:tcPr>
          <w:p w14:paraId="393C59D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IR, governance </w:t>
            </w:r>
          </w:p>
        </w:tc>
        <w:tc>
          <w:tcPr>
            <w:tcW w:w="993" w:type="dxa"/>
            <w:tcBorders>
              <w:top w:val="nil"/>
              <w:left w:val="nil"/>
              <w:bottom w:val="single" w:sz="4" w:space="0" w:color="auto"/>
              <w:right w:val="single" w:sz="4" w:space="0" w:color="auto"/>
            </w:tcBorders>
            <w:vAlign w:val="center"/>
            <w:hideMark/>
          </w:tcPr>
          <w:p w14:paraId="5B4F37F7"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J Baylis, S. Smith, P. Owens: The Globalization of World Politics. Published in the United States by Oxford University Press Inc., New York Oxford University Press, 2017. ISBN </w:t>
            </w:r>
          </w:p>
        </w:tc>
        <w:tc>
          <w:tcPr>
            <w:tcW w:w="708" w:type="dxa"/>
            <w:tcBorders>
              <w:top w:val="nil"/>
              <w:left w:val="nil"/>
              <w:bottom w:val="single" w:sz="4" w:space="0" w:color="auto"/>
              <w:right w:val="single" w:sz="4" w:space="0" w:color="auto"/>
            </w:tcBorders>
            <w:vAlign w:val="center"/>
            <w:hideMark/>
          </w:tcPr>
          <w:p w14:paraId="0922D4A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chapter</w:t>
            </w:r>
          </w:p>
        </w:tc>
        <w:tc>
          <w:tcPr>
            <w:tcW w:w="851" w:type="dxa"/>
            <w:tcBorders>
              <w:top w:val="nil"/>
              <w:left w:val="nil"/>
              <w:bottom w:val="single" w:sz="4" w:space="0" w:color="auto"/>
              <w:right w:val="single" w:sz="4" w:space="0" w:color="auto"/>
            </w:tcBorders>
            <w:vAlign w:val="center"/>
            <w:hideMark/>
          </w:tcPr>
          <w:p w14:paraId="1845B17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44B4DF3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9E33BE8"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This chapter examines how environmental issues have become increasingly prominent on the international agenda over the last five decades. It considers whether globalization and development must come at the expense of the physical environment, whether state governments can cooperate to protect the planet, and whether climate justice is possible. </w:t>
            </w:r>
          </w:p>
        </w:tc>
        <w:tc>
          <w:tcPr>
            <w:tcW w:w="2268" w:type="dxa"/>
            <w:tcBorders>
              <w:top w:val="nil"/>
              <w:left w:val="nil"/>
              <w:bottom w:val="single" w:sz="4" w:space="0" w:color="auto"/>
              <w:right w:val="single" w:sz="8" w:space="0" w:color="auto"/>
            </w:tcBorders>
            <w:vAlign w:val="center"/>
          </w:tcPr>
          <w:p w14:paraId="4D7E1CB4" w14:textId="1A3A600A"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chapter first provides a brief history of the development of an international environmental agenda before discussing the functions of international environmental cooperation. It then explores efforts to address the problem of climate change through the establishment of an international climate regime and highlights the neglect of environmental issues in traditional and realist international relations theory. </w:t>
            </w:r>
          </w:p>
        </w:tc>
      </w:tr>
      <w:tr w:rsidR="00555B5A" w:rsidRPr="0002056A" w14:paraId="4C16AC0D"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3BD3C679"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Waterman, R.W., Wood. B.D.</w:t>
            </w:r>
          </w:p>
        </w:tc>
        <w:tc>
          <w:tcPr>
            <w:tcW w:w="705" w:type="dxa"/>
            <w:tcBorders>
              <w:top w:val="nil"/>
              <w:left w:val="nil"/>
              <w:bottom w:val="single" w:sz="4" w:space="0" w:color="auto"/>
              <w:right w:val="single" w:sz="4" w:space="0" w:color="auto"/>
            </w:tcBorders>
            <w:vAlign w:val="center"/>
            <w:hideMark/>
          </w:tcPr>
          <w:p w14:paraId="4671DF7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1993</w:t>
            </w:r>
          </w:p>
        </w:tc>
        <w:tc>
          <w:tcPr>
            <w:tcW w:w="1137" w:type="dxa"/>
            <w:tcBorders>
              <w:top w:val="nil"/>
              <w:left w:val="nil"/>
              <w:bottom w:val="single" w:sz="4" w:space="0" w:color="auto"/>
              <w:right w:val="single" w:sz="4" w:space="0" w:color="auto"/>
            </w:tcBorders>
            <w:vAlign w:val="center"/>
            <w:hideMark/>
          </w:tcPr>
          <w:p w14:paraId="19965AA1"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Policy Monitoring and Policy Analysis. </w:t>
            </w:r>
          </w:p>
        </w:tc>
        <w:tc>
          <w:tcPr>
            <w:tcW w:w="1134" w:type="dxa"/>
            <w:tcBorders>
              <w:top w:val="nil"/>
              <w:left w:val="nil"/>
              <w:bottom w:val="single" w:sz="4" w:space="0" w:color="auto"/>
              <w:right w:val="single" w:sz="4" w:space="0" w:color="auto"/>
            </w:tcBorders>
            <w:vAlign w:val="center"/>
            <w:hideMark/>
          </w:tcPr>
          <w:p w14:paraId="381FA523"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hideMark/>
          </w:tcPr>
          <w:p w14:paraId="310EF09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Wiley-Blackwell </w:t>
            </w:r>
          </w:p>
        </w:tc>
        <w:tc>
          <w:tcPr>
            <w:tcW w:w="851" w:type="dxa"/>
            <w:tcBorders>
              <w:top w:val="nil"/>
              <w:left w:val="nil"/>
              <w:bottom w:val="single" w:sz="4" w:space="0" w:color="auto"/>
              <w:right w:val="single" w:sz="4" w:space="0" w:color="auto"/>
            </w:tcBorders>
            <w:vAlign w:val="center"/>
            <w:hideMark/>
          </w:tcPr>
          <w:p w14:paraId="2531295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strategic planning</w:t>
            </w:r>
          </w:p>
        </w:tc>
        <w:tc>
          <w:tcPr>
            <w:tcW w:w="993" w:type="dxa"/>
            <w:tcBorders>
              <w:top w:val="nil"/>
              <w:left w:val="nil"/>
              <w:bottom w:val="single" w:sz="4" w:space="0" w:color="auto"/>
              <w:right w:val="single" w:sz="4" w:space="0" w:color="auto"/>
            </w:tcBorders>
            <w:vAlign w:val="center"/>
            <w:hideMark/>
          </w:tcPr>
          <w:p w14:paraId="6A0B25C6"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Journal of Policy Analysis and Management. Vol. 12, No. 4 (Autumn, 1993), pp. 685-699.</w:t>
            </w:r>
          </w:p>
        </w:tc>
        <w:tc>
          <w:tcPr>
            <w:tcW w:w="708" w:type="dxa"/>
            <w:tcBorders>
              <w:top w:val="nil"/>
              <w:left w:val="nil"/>
              <w:bottom w:val="single" w:sz="4" w:space="0" w:color="auto"/>
              <w:right w:val="single" w:sz="4" w:space="0" w:color="auto"/>
            </w:tcBorders>
            <w:vAlign w:val="center"/>
            <w:hideMark/>
          </w:tcPr>
          <w:p w14:paraId="48B507D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63FB17C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2CB0D9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2D663AE"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introduces a policy analytic technique called “policy monitoring.” The authors demonstrate how the technique can be employed in actual practice. In addition to demonstrating how policy monitoring can be employed, the authors also discussed how it can be used in other policy analytic situations.</w:t>
            </w:r>
          </w:p>
        </w:tc>
        <w:tc>
          <w:tcPr>
            <w:tcW w:w="2268" w:type="dxa"/>
            <w:tcBorders>
              <w:top w:val="nil"/>
              <w:left w:val="nil"/>
              <w:bottom w:val="single" w:sz="4" w:space="0" w:color="auto"/>
              <w:right w:val="single" w:sz="8" w:space="0" w:color="auto"/>
            </w:tcBorders>
            <w:vAlign w:val="center"/>
          </w:tcPr>
          <w:p w14:paraId="65BAD8A9"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offers definition for monitoring activities.</w:t>
            </w:r>
          </w:p>
        </w:tc>
      </w:tr>
      <w:tr w:rsidR="00555B5A" w:rsidRPr="0002056A" w14:paraId="4C548C7F"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2277A000" w14:textId="7332265F"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Weckroth, M.; Ala-Mantila, S.</w:t>
            </w:r>
          </w:p>
        </w:tc>
        <w:tc>
          <w:tcPr>
            <w:tcW w:w="705" w:type="dxa"/>
            <w:tcBorders>
              <w:top w:val="nil"/>
              <w:left w:val="nil"/>
              <w:bottom w:val="single" w:sz="4" w:space="0" w:color="auto"/>
              <w:right w:val="single" w:sz="4" w:space="0" w:color="auto"/>
            </w:tcBorders>
            <w:vAlign w:val="center"/>
          </w:tcPr>
          <w:p w14:paraId="6241E2D6" w14:textId="0905150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2022</w:t>
            </w:r>
          </w:p>
        </w:tc>
        <w:tc>
          <w:tcPr>
            <w:tcW w:w="1137" w:type="dxa"/>
            <w:tcBorders>
              <w:top w:val="nil"/>
              <w:left w:val="nil"/>
              <w:bottom w:val="single" w:sz="4" w:space="0" w:color="auto"/>
              <w:right w:val="single" w:sz="4" w:space="0" w:color="auto"/>
            </w:tcBorders>
            <w:vAlign w:val="center"/>
          </w:tcPr>
          <w:p w14:paraId="14A8067C" w14:textId="66A762F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Socioeconomic geography of climate change views in Europe</w:t>
            </w:r>
          </w:p>
        </w:tc>
        <w:tc>
          <w:tcPr>
            <w:tcW w:w="1134" w:type="dxa"/>
            <w:tcBorders>
              <w:top w:val="nil"/>
              <w:left w:val="nil"/>
              <w:bottom w:val="single" w:sz="4" w:space="0" w:color="auto"/>
              <w:right w:val="single" w:sz="4" w:space="0" w:color="auto"/>
            </w:tcBorders>
            <w:vAlign w:val="center"/>
          </w:tcPr>
          <w:p w14:paraId="0D0D7541" w14:textId="57357088"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FIN, FIN</w:t>
            </w:r>
          </w:p>
        </w:tc>
        <w:tc>
          <w:tcPr>
            <w:tcW w:w="708" w:type="dxa"/>
            <w:tcBorders>
              <w:top w:val="nil"/>
              <w:left w:val="nil"/>
              <w:bottom w:val="single" w:sz="4" w:space="0" w:color="auto"/>
              <w:right w:val="single" w:sz="4" w:space="0" w:color="auto"/>
            </w:tcBorders>
            <w:vAlign w:val="center"/>
          </w:tcPr>
          <w:p w14:paraId="5857E68D" w14:textId="5B44546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w:t>
            </w:r>
          </w:p>
        </w:tc>
        <w:tc>
          <w:tcPr>
            <w:tcW w:w="851" w:type="dxa"/>
            <w:tcBorders>
              <w:top w:val="nil"/>
              <w:left w:val="nil"/>
              <w:bottom w:val="single" w:sz="4" w:space="0" w:color="auto"/>
              <w:right w:val="single" w:sz="4" w:space="0" w:color="auto"/>
            </w:tcBorders>
            <w:vAlign w:val="center"/>
          </w:tcPr>
          <w:p w14:paraId="3F3481F2" w14:textId="78DCB779"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5C69E8C5" w14:textId="56D6F3A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Global Environmental Change 72 (2022) 102453</w:t>
            </w:r>
          </w:p>
        </w:tc>
        <w:tc>
          <w:tcPr>
            <w:tcW w:w="708" w:type="dxa"/>
            <w:tcBorders>
              <w:top w:val="nil"/>
              <w:left w:val="nil"/>
              <w:bottom w:val="single" w:sz="4" w:space="0" w:color="auto"/>
              <w:right w:val="single" w:sz="4" w:space="0" w:color="auto"/>
            </w:tcBorders>
            <w:vAlign w:val="center"/>
          </w:tcPr>
          <w:p w14:paraId="6613AED2" w14:textId="1FCE88E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C26A5A7" w14:textId="51664794"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1ADB8B5" w14:textId="5BD4CDC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60FE33A" w14:textId="5A87B041"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article’s aim is to better understand the spatially bounded human agency associated with climate change views. More specifically, using nationally representative survey data from 23 European countries it examines urban–rural differences and regional level contextual effects in four explicit concepts discussed in environmental psychology, each of which focus on individual-level perceptions</w:t>
            </w:r>
          </w:p>
          <w:p w14:paraId="5093C4B4" w14:textId="7FDC69CC"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of climate change: 1) climate change scepticism, 2) climate change concern, 3) foundations of pro-environmental personal norms and 4) a willingness to engage in low-carbon behaviour. We argue that the geography of these concepts is an especially timely subject for empirical evaluation, since recent decades have witnessed increasing interregional inequality and deepening urban–rural divisions within the EU. Economic and political geographers have noted that this ongoing unbalancing of the spatial economy within the EU, together with increasing urbanisation, inevitably provokes anti-establishment attitudes.</w:t>
            </w:r>
          </w:p>
        </w:tc>
        <w:tc>
          <w:tcPr>
            <w:tcW w:w="2268" w:type="dxa"/>
            <w:tcBorders>
              <w:top w:val="nil"/>
              <w:left w:val="nil"/>
              <w:bottom w:val="single" w:sz="4" w:space="0" w:color="auto"/>
              <w:right w:val="single" w:sz="8" w:space="0" w:color="auto"/>
            </w:tcBorders>
            <w:vAlign w:val="center"/>
          </w:tcPr>
          <w:p w14:paraId="4FEE1C22" w14:textId="02FF339E"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study finds that climate change scepticism and concern do exhibit urban–rural differences, where living in a country village is associated with greater climate scepticism and lower concern compared to living in a big city. Also, higher climate change concern and pro-environmental norms are associated with living in a region with constant population growth. These geographical differences are independent of individual-level socioeconomic attributes as well as one’s political orientation.</w:t>
            </w:r>
          </w:p>
        </w:tc>
      </w:tr>
      <w:tr w:rsidR="00555B5A" w:rsidRPr="0002056A" w14:paraId="7C356FC1" w14:textId="77777777" w:rsidTr="00D57247">
        <w:trPr>
          <w:trHeight w:val="959"/>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AB4CB35" w14:textId="71AE9B21"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Weinger, B.K.</w:t>
            </w:r>
          </w:p>
        </w:tc>
        <w:tc>
          <w:tcPr>
            <w:tcW w:w="705" w:type="dxa"/>
            <w:tcBorders>
              <w:top w:val="nil"/>
              <w:left w:val="nil"/>
              <w:bottom w:val="single" w:sz="4" w:space="0" w:color="auto"/>
              <w:right w:val="single" w:sz="4" w:space="0" w:color="auto"/>
            </w:tcBorders>
            <w:vAlign w:val="center"/>
          </w:tcPr>
          <w:p w14:paraId="34E4AD89" w14:textId="4826A9D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43E22F38" w14:textId="520DB4B3"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Scripting climate futures: The geographical assumptions of climate planning</w:t>
            </w:r>
          </w:p>
        </w:tc>
        <w:tc>
          <w:tcPr>
            <w:tcW w:w="1134" w:type="dxa"/>
            <w:tcBorders>
              <w:top w:val="nil"/>
              <w:left w:val="nil"/>
              <w:bottom w:val="single" w:sz="4" w:space="0" w:color="auto"/>
              <w:right w:val="single" w:sz="4" w:space="0" w:color="auto"/>
            </w:tcBorders>
            <w:vAlign w:val="center"/>
          </w:tcPr>
          <w:p w14:paraId="573A5800" w14:textId="5BB6E68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744EDDF9" w14:textId="5C7E586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w:t>
            </w:r>
          </w:p>
        </w:tc>
        <w:tc>
          <w:tcPr>
            <w:tcW w:w="851" w:type="dxa"/>
            <w:tcBorders>
              <w:top w:val="nil"/>
              <w:left w:val="nil"/>
              <w:bottom w:val="single" w:sz="4" w:space="0" w:color="auto"/>
              <w:right w:val="single" w:sz="4" w:space="0" w:color="auto"/>
            </w:tcBorders>
            <w:vAlign w:val="center"/>
          </w:tcPr>
          <w:p w14:paraId="10A6A1D4" w14:textId="6DE315DE" w:rsidR="00555B5A" w:rsidRPr="0002056A" w:rsidRDefault="00555B5A" w:rsidP="00555B5A">
            <w:pPr>
              <w:spacing w:after="0" w:line="240" w:lineRule="auto"/>
              <w:rPr>
                <w:rFonts w:ascii="Georgia" w:eastAsia="Times New Roman" w:hAnsi="Georgia" w:cs="Times New Roman"/>
                <w:sz w:val="10"/>
                <w:szCs w:val="10"/>
                <w:lang w:val="en-GB" w:eastAsia="hu-HU"/>
              </w:rPr>
            </w:pPr>
            <w:r w:rsidRPr="0002056A">
              <w:rPr>
                <w:rFonts w:ascii="Georgia" w:eastAsia="Times New Roman" w:hAnsi="Georgia" w:cs="Times New Roman"/>
                <w:color w:val="000000"/>
                <w:sz w:val="10"/>
                <w:szCs w:val="10"/>
                <w:lang w:val="en-GB" w:eastAsia="hu-HU"/>
              </w:rPr>
              <w:t>political geography</w:t>
            </w:r>
          </w:p>
        </w:tc>
        <w:tc>
          <w:tcPr>
            <w:tcW w:w="993" w:type="dxa"/>
            <w:tcBorders>
              <w:top w:val="nil"/>
              <w:left w:val="nil"/>
              <w:bottom w:val="single" w:sz="4" w:space="0" w:color="auto"/>
              <w:right w:val="single" w:sz="4" w:space="0" w:color="auto"/>
            </w:tcBorders>
            <w:vAlign w:val="center"/>
          </w:tcPr>
          <w:p w14:paraId="639B0BF8" w14:textId="5053AE24"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Political Geography 88 (2021) 102409</w:t>
            </w:r>
          </w:p>
        </w:tc>
        <w:tc>
          <w:tcPr>
            <w:tcW w:w="708" w:type="dxa"/>
            <w:tcBorders>
              <w:top w:val="nil"/>
              <w:left w:val="nil"/>
              <w:bottom w:val="single" w:sz="4" w:space="0" w:color="auto"/>
              <w:right w:val="single" w:sz="4" w:space="0" w:color="auto"/>
            </w:tcBorders>
            <w:vAlign w:val="center"/>
          </w:tcPr>
          <w:p w14:paraId="4E270DA6" w14:textId="5483CC4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4B436A01" w14:textId="5F3FEDD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744673E3" w14:textId="3293761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4DD8CF43" w14:textId="37E3287A"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Through discourse analysis and the multi-scalar institutional and political history of climate planning, this article examines how normative discursive parameters enact prevailing political dynamics that script material futures. Drawing on recent climate planning reports of Palestine and Israel, this article investigates how state discourses operate within an asymmetric geopolitical context where issues of territoriality, sovereignty, and statecraft remain fractured and contested. </w:t>
            </w:r>
          </w:p>
        </w:tc>
        <w:tc>
          <w:tcPr>
            <w:tcW w:w="2268" w:type="dxa"/>
            <w:tcBorders>
              <w:top w:val="nil"/>
              <w:left w:val="nil"/>
              <w:bottom w:val="single" w:sz="4" w:space="0" w:color="auto"/>
              <w:right w:val="single" w:sz="8" w:space="0" w:color="auto"/>
            </w:tcBorders>
            <w:vAlign w:val="center"/>
          </w:tcPr>
          <w:p w14:paraId="11942AAA" w14:textId="0D66CC49"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author positions climate reports as discursive formations embedded in and productive of wider national strategies. to build a comparative analysis. The article very well shows the geopolitical importance of the climate adaptation issue.</w:t>
            </w:r>
          </w:p>
        </w:tc>
      </w:tr>
      <w:tr w:rsidR="00555B5A" w:rsidRPr="0002056A" w14:paraId="4CDAF863" w14:textId="77777777" w:rsidTr="00D57247">
        <w:trPr>
          <w:trHeight w:val="49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1CD354B4"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hyperlink r:id="rId200" w:tgtFrame="_blank" w:history="1">
              <w:r w:rsidRPr="0002056A">
                <w:rPr>
                  <w:rFonts w:ascii="Georgia" w:eastAsia="Times New Roman" w:hAnsi="Georgia" w:cs="Times New Roman"/>
                  <w:b/>
                  <w:bCs/>
                  <w:i/>
                  <w:iCs/>
                  <w:color w:val="000000"/>
                  <w:sz w:val="14"/>
                  <w:szCs w:val="14"/>
                  <w:lang w:val="en-GB" w:eastAsia="hu-HU"/>
                </w:rPr>
                <w:t xml:space="preserve">Wheeler, S. </w:t>
              </w:r>
            </w:hyperlink>
          </w:p>
        </w:tc>
        <w:tc>
          <w:tcPr>
            <w:tcW w:w="705" w:type="dxa"/>
            <w:tcBorders>
              <w:top w:val="nil"/>
              <w:left w:val="nil"/>
              <w:bottom w:val="single" w:sz="4" w:space="0" w:color="auto"/>
              <w:right w:val="single" w:sz="4" w:space="0" w:color="auto"/>
            </w:tcBorders>
            <w:vAlign w:val="center"/>
            <w:hideMark/>
          </w:tcPr>
          <w:p w14:paraId="7265390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2013</w:t>
            </w:r>
          </w:p>
        </w:tc>
        <w:tc>
          <w:tcPr>
            <w:tcW w:w="1137" w:type="dxa"/>
            <w:tcBorders>
              <w:top w:val="nil"/>
              <w:left w:val="nil"/>
              <w:bottom w:val="single" w:sz="4" w:space="0" w:color="auto"/>
              <w:right w:val="single" w:sz="4" w:space="0" w:color="auto"/>
            </w:tcBorders>
            <w:vAlign w:val="center"/>
            <w:hideMark/>
          </w:tcPr>
          <w:p w14:paraId="3049D83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Planning for Sustainability. Creating Liveable, Equitable and Ecological Communities. </w:t>
            </w:r>
          </w:p>
        </w:tc>
        <w:tc>
          <w:tcPr>
            <w:tcW w:w="1134" w:type="dxa"/>
            <w:tcBorders>
              <w:top w:val="nil"/>
              <w:left w:val="nil"/>
              <w:bottom w:val="single" w:sz="4" w:space="0" w:color="auto"/>
              <w:right w:val="single" w:sz="4" w:space="0" w:color="auto"/>
            </w:tcBorders>
            <w:vAlign w:val="center"/>
            <w:hideMark/>
          </w:tcPr>
          <w:p w14:paraId="1BF8E757"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hideMark/>
          </w:tcPr>
          <w:p w14:paraId="36CFA5E9"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Routledge. London, </w:t>
            </w:r>
          </w:p>
        </w:tc>
        <w:tc>
          <w:tcPr>
            <w:tcW w:w="851" w:type="dxa"/>
            <w:tcBorders>
              <w:top w:val="nil"/>
              <w:left w:val="nil"/>
              <w:bottom w:val="single" w:sz="4" w:space="0" w:color="auto"/>
              <w:right w:val="single" w:sz="4" w:space="0" w:color="auto"/>
            </w:tcBorders>
            <w:vAlign w:val="center"/>
            <w:hideMark/>
          </w:tcPr>
          <w:p w14:paraId="571CA30D"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development</w:t>
            </w:r>
          </w:p>
        </w:tc>
        <w:tc>
          <w:tcPr>
            <w:tcW w:w="993" w:type="dxa"/>
            <w:tcBorders>
              <w:top w:val="nil"/>
              <w:left w:val="nil"/>
              <w:bottom w:val="single" w:sz="4" w:space="0" w:color="auto"/>
              <w:right w:val="single" w:sz="4" w:space="0" w:color="auto"/>
            </w:tcBorders>
            <w:vAlign w:val="center"/>
            <w:hideMark/>
          </w:tcPr>
          <w:p w14:paraId="00A80789" w14:textId="1E1942FD"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Routledge. London, 2013. </w:t>
            </w:r>
          </w:p>
        </w:tc>
        <w:tc>
          <w:tcPr>
            <w:tcW w:w="708" w:type="dxa"/>
            <w:tcBorders>
              <w:top w:val="nil"/>
              <w:left w:val="nil"/>
              <w:bottom w:val="single" w:sz="4" w:space="0" w:color="auto"/>
              <w:right w:val="single" w:sz="4" w:space="0" w:color="auto"/>
            </w:tcBorders>
            <w:vAlign w:val="center"/>
            <w:hideMark/>
          </w:tcPr>
          <w:p w14:paraId="4935D62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3164952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7ABA739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DF28A07"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book is a well-grounded and accessible introduction to the concept of planning for more sustainable and liveable communities. The text explores topics such as how more compact and walkable cities and towns might be created, how local ecosystems can be restored, how social inequalities might be reduced, how greenhouse gas emissions might be lowered, and how more sustainable forms of economic development can be brought about.</w:t>
            </w:r>
          </w:p>
        </w:tc>
        <w:tc>
          <w:tcPr>
            <w:tcW w:w="2268" w:type="dxa"/>
            <w:tcBorders>
              <w:top w:val="nil"/>
              <w:left w:val="nil"/>
              <w:bottom w:val="single" w:sz="4" w:space="0" w:color="auto"/>
              <w:right w:val="single" w:sz="8" w:space="0" w:color="auto"/>
            </w:tcBorders>
            <w:vAlign w:val="center"/>
          </w:tcPr>
          <w:p w14:paraId="3CA624B5"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It introduces proactive ways of sustainable urban planning strategies and introduces some new tools that have also been developed in consideration with sustainable development aspects.</w:t>
            </w:r>
          </w:p>
        </w:tc>
      </w:tr>
      <w:tr w:rsidR="00555B5A" w:rsidRPr="0002056A" w14:paraId="1F891608" w14:textId="77777777" w:rsidTr="00D57247">
        <w:trPr>
          <w:trHeight w:val="1155"/>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0777D67E"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hyperlink r:id="rId201" w:history="1">
              <w:r w:rsidRPr="0002056A">
                <w:rPr>
                  <w:rFonts w:ascii="Georgia" w:eastAsia="Times New Roman" w:hAnsi="Georgia" w:cs="Times New Roman"/>
                  <w:b/>
                  <w:bCs/>
                  <w:i/>
                  <w:iCs/>
                  <w:color w:val="000000"/>
                  <w:sz w:val="14"/>
                  <w:szCs w:val="14"/>
                  <w:lang w:val="en-GB" w:eastAsia="hu-HU"/>
                </w:rPr>
                <w:t>Wiechmann, T.</w:t>
              </w:r>
            </w:hyperlink>
          </w:p>
        </w:tc>
        <w:tc>
          <w:tcPr>
            <w:tcW w:w="705" w:type="dxa"/>
            <w:tcBorders>
              <w:top w:val="nil"/>
              <w:left w:val="nil"/>
              <w:bottom w:val="single" w:sz="4" w:space="0" w:color="auto"/>
              <w:right w:val="single" w:sz="4" w:space="0" w:color="auto"/>
            </w:tcBorders>
            <w:vAlign w:val="center"/>
            <w:hideMark/>
          </w:tcPr>
          <w:p w14:paraId="1B6C622A"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2008</w:t>
            </w:r>
          </w:p>
        </w:tc>
        <w:tc>
          <w:tcPr>
            <w:tcW w:w="1137" w:type="dxa"/>
            <w:tcBorders>
              <w:top w:val="nil"/>
              <w:left w:val="nil"/>
              <w:bottom w:val="single" w:sz="4" w:space="0" w:color="auto"/>
              <w:right w:val="single" w:sz="4" w:space="0" w:color="auto"/>
            </w:tcBorders>
            <w:vAlign w:val="center"/>
            <w:hideMark/>
          </w:tcPr>
          <w:p w14:paraId="27FE963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Errors Expected – Aligning Urban Strategy with Demographic Uncertainty in Shrinking Cities </w:t>
            </w:r>
          </w:p>
        </w:tc>
        <w:tc>
          <w:tcPr>
            <w:tcW w:w="1134" w:type="dxa"/>
            <w:tcBorders>
              <w:top w:val="nil"/>
              <w:left w:val="nil"/>
              <w:bottom w:val="single" w:sz="4" w:space="0" w:color="auto"/>
              <w:right w:val="single" w:sz="4" w:space="0" w:color="auto"/>
            </w:tcBorders>
            <w:vAlign w:val="center"/>
            <w:hideMark/>
          </w:tcPr>
          <w:p w14:paraId="6CD47A5D"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w:t>
            </w:r>
          </w:p>
        </w:tc>
        <w:tc>
          <w:tcPr>
            <w:tcW w:w="708" w:type="dxa"/>
            <w:tcBorders>
              <w:top w:val="nil"/>
              <w:left w:val="nil"/>
              <w:bottom w:val="single" w:sz="4" w:space="0" w:color="auto"/>
              <w:right w:val="single" w:sz="4" w:space="0" w:color="auto"/>
            </w:tcBorders>
            <w:vAlign w:val="center"/>
            <w:hideMark/>
          </w:tcPr>
          <w:p w14:paraId="2E67343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Taylor&amp;Francis Online</w:t>
            </w:r>
          </w:p>
        </w:tc>
        <w:tc>
          <w:tcPr>
            <w:tcW w:w="851" w:type="dxa"/>
            <w:tcBorders>
              <w:top w:val="nil"/>
              <w:left w:val="nil"/>
              <w:bottom w:val="single" w:sz="4" w:space="0" w:color="auto"/>
              <w:right w:val="single" w:sz="4" w:space="0" w:color="auto"/>
            </w:tcBorders>
            <w:vAlign w:val="center"/>
            <w:hideMark/>
          </w:tcPr>
          <w:p w14:paraId="484A7074"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w:t>
            </w:r>
          </w:p>
        </w:tc>
        <w:tc>
          <w:tcPr>
            <w:tcW w:w="993" w:type="dxa"/>
            <w:tcBorders>
              <w:top w:val="nil"/>
              <w:left w:val="nil"/>
              <w:bottom w:val="single" w:sz="4" w:space="0" w:color="auto"/>
              <w:right w:val="single" w:sz="4" w:space="0" w:color="auto"/>
            </w:tcBorders>
            <w:vAlign w:val="center"/>
            <w:hideMark/>
          </w:tcPr>
          <w:p w14:paraId="6AC8E981" w14:textId="099E6F1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International Planning Studies Volume 13, 2008 – Issue 4 Demographic Changes and the New Landscape for Planning. Special Issue; pp. 431-446</w:t>
            </w:r>
          </w:p>
        </w:tc>
        <w:tc>
          <w:tcPr>
            <w:tcW w:w="708" w:type="dxa"/>
            <w:tcBorders>
              <w:top w:val="nil"/>
              <w:left w:val="nil"/>
              <w:bottom w:val="single" w:sz="4" w:space="0" w:color="auto"/>
              <w:right w:val="single" w:sz="4" w:space="0" w:color="auto"/>
            </w:tcBorders>
            <w:vAlign w:val="center"/>
            <w:hideMark/>
          </w:tcPr>
          <w:p w14:paraId="38B2F220"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43FF7DA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3B8378AF"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DB99A54"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the author, at the beginning of the 21st century, the majority of Europe's cities experienced a population decrease. Dealing with the results of demographic, economic and physical contraction processes and planning for the future of considerably smaller but nevertheless liveable cities presents some of the most challenging tasks for urban Europe in the near future. The article highlights the example of Dresden in Eastern Germany, where the breakdown of the state-directed economy caused economic decline, industrial regression, and high unemployment rates.</w:t>
            </w:r>
          </w:p>
        </w:tc>
        <w:tc>
          <w:tcPr>
            <w:tcW w:w="2268" w:type="dxa"/>
            <w:tcBorders>
              <w:top w:val="nil"/>
              <w:left w:val="nil"/>
              <w:bottom w:val="single" w:sz="4" w:space="0" w:color="auto"/>
              <w:right w:val="single" w:sz="8" w:space="0" w:color="auto"/>
            </w:tcBorders>
            <w:vAlign w:val="center"/>
          </w:tcPr>
          <w:p w14:paraId="146270AB"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Slightly touches the issue of sustainable and adaptive solutions in urban planning.</w:t>
            </w:r>
          </w:p>
        </w:tc>
      </w:tr>
      <w:tr w:rsidR="00555B5A" w:rsidRPr="0002056A" w14:paraId="3322F73D"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691EF670"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Wilson, E., Piper, J.</w:t>
            </w:r>
          </w:p>
        </w:tc>
        <w:tc>
          <w:tcPr>
            <w:tcW w:w="705" w:type="dxa"/>
            <w:tcBorders>
              <w:top w:val="nil"/>
              <w:left w:val="nil"/>
              <w:bottom w:val="single" w:sz="4" w:space="0" w:color="auto"/>
              <w:right w:val="single" w:sz="4" w:space="0" w:color="auto"/>
            </w:tcBorders>
            <w:vAlign w:val="center"/>
            <w:hideMark/>
          </w:tcPr>
          <w:p w14:paraId="63E1161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hideMark/>
          </w:tcPr>
          <w:p w14:paraId="4D19E778"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and Climate Change</w:t>
            </w:r>
          </w:p>
        </w:tc>
        <w:tc>
          <w:tcPr>
            <w:tcW w:w="1134" w:type="dxa"/>
            <w:tcBorders>
              <w:top w:val="nil"/>
              <w:left w:val="nil"/>
              <w:bottom w:val="single" w:sz="4" w:space="0" w:color="auto"/>
              <w:right w:val="single" w:sz="4" w:space="0" w:color="auto"/>
            </w:tcBorders>
            <w:vAlign w:val="center"/>
            <w:hideMark/>
          </w:tcPr>
          <w:p w14:paraId="75D1C26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hideMark/>
          </w:tcPr>
          <w:p w14:paraId="0B1AF0A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Routledge, New York</w:t>
            </w:r>
          </w:p>
        </w:tc>
        <w:tc>
          <w:tcPr>
            <w:tcW w:w="851" w:type="dxa"/>
            <w:tcBorders>
              <w:top w:val="nil"/>
              <w:left w:val="nil"/>
              <w:bottom w:val="single" w:sz="4" w:space="0" w:color="auto"/>
              <w:right w:val="single" w:sz="4" w:space="0" w:color="auto"/>
            </w:tcBorders>
            <w:vAlign w:val="center"/>
            <w:hideMark/>
          </w:tcPr>
          <w:p w14:paraId="238E582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spatial planning, climate adaptation planning, monitoring and evaluation</w:t>
            </w:r>
          </w:p>
        </w:tc>
        <w:tc>
          <w:tcPr>
            <w:tcW w:w="993" w:type="dxa"/>
            <w:tcBorders>
              <w:top w:val="nil"/>
              <w:left w:val="nil"/>
              <w:bottom w:val="single" w:sz="4" w:space="0" w:color="auto"/>
              <w:right w:val="single" w:sz="4" w:space="0" w:color="auto"/>
            </w:tcBorders>
            <w:vAlign w:val="center"/>
            <w:hideMark/>
          </w:tcPr>
          <w:p w14:paraId="26D9DB0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ISBN 9780415495912</w:t>
            </w:r>
            <w:r w:rsidRPr="0002056A">
              <w:rPr>
                <w:rFonts w:ascii="Georgia" w:eastAsia="Times New Roman" w:hAnsi="Georgia" w:cs="Times New Roman"/>
                <w:color w:val="000000"/>
                <w:sz w:val="10"/>
                <w:szCs w:val="10"/>
                <w:lang w:val="en-GB" w:eastAsia="hu-HU"/>
              </w:rPr>
              <w:br/>
              <w:t>Published August 16, 2010, by Routledge</w:t>
            </w:r>
            <w:r w:rsidRPr="0002056A">
              <w:rPr>
                <w:rFonts w:ascii="Georgia" w:eastAsia="Times New Roman" w:hAnsi="Georgia" w:cs="Times New Roman"/>
                <w:color w:val="000000"/>
                <w:sz w:val="10"/>
                <w:szCs w:val="10"/>
                <w:lang w:val="en-GB" w:eastAsia="hu-HU"/>
              </w:rPr>
              <w:br/>
              <w:t>480 Pages</w:t>
            </w:r>
          </w:p>
        </w:tc>
        <w:tc>
          <w:tcPr>
            <w:tcW w:w="708" w:type="dxa"/>
            <w:tcBorders>
              <w:top w:val="nil"/>
              <w:left w:val="nil"/>
              <w:bottom w:val="single" w:sz="4" w:space="0" w:color="auto"/>
              <w:right w:val="single" w:sz="4" w:space="0" w:color="auto"/>
            </w:tcBorders>
            <w:vAlign w:val="center"/>
            <w:hideMark/>
          </w:tcPr>
          <w:p w14:paraId="0EB4F1E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book</w:t>
            </w:r>
          </w:p>
        </w:tc>
        <w:tc>
          <w:tcPr>
            <w:tcW w:w="851" w:type="dxa"/>
            <w:tcBorders>
              <w:top w:val="nil"/>
              <w:left w:val="nil"/>
              <w:bottom w:val="single" w:sz="4" w:space="0" w:color="auto"/>
              <w:right w:val="single" w:sz="4" w:space="0" w:color="auto"/>
            </w:tcBorders>
            <w:vAlign w:val="center"/>
            <w:hideMark/>
          </w:tcPr>
          <w:p w14:paraId="4EB16B5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076F871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5C9EC783" w14:textId="77777777" w:rsidR="00555B5A" w:rsidRPr="0002056A" w:rsidRDefault="00555B5A" w:rsidP="00555B5A">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heme="minorHAnsi"/>
                <w:color w:val="000000"/>
                <w:sz w:val="10"/>
                <w:szCs w:val="10"/>
                <w:lang w:val="en-GB" w:eastAsia="hu-HU"/>
              </w:rPr>
              <w:t xml:space="preserve">The 2 authors </w:t>
            </w:r>
            <w:r w:rsidRPr="0002056A">
              <w:rPr>
                <w:rFonts w:ascii="Georgia" w:hAnsi="Georgia" w:cstheme="minorHAnsi"/>
                <w:color w:val="212529"/>
                <w:sz w:val="10"/>
                <w:szCs w:val="10"/>
                <w:shd w:val="clear" w:color="auto" w:fill="FFFFFF"/>
                <w:lang w:val="en-GB"/>
              </w:rPr>
              <w:t>explore a wide range of issues in their comprehensive book on the relationship between the changing climate and spatial planning. Moreover, they suggest ways of addressing the challenges by taking a longer-sighted approach to our preparation for the future.</w:t>
            </w:r>
          </w:p>
        </w:tc>
        <w:tc>
          <w:tcPr>
            <w:tcW w:w="2268" w:type="dxa"/>
            <w:tcBorders>
              <w:top w:val="nil"/>
              <w:left w:val="nil"/>
              <w:bottom w:val="single" w:sz="4" w:space="0" w:color="auto"/>
              <w:right w:val="single" w:sz="8" w:space="0" w:color="auto"/>
            </w:tcBorders>
            <w:vAlign w:val="center"/>
          </w:tcPr>
          <w:p w14:paraId="5258C8FA" w14:textId="77777777" w:rsidR="00555B5A" w:rsidRPr="0002056A" w:rsidRDefault="00555B5A" w:rsidP="00555B5A">
            <w:pPr>
              <w:spacing w:after="0" w:line="240" w:lineRule="auto"/>
              <w:jc w:val="both"/>
              <w:rPr>
                <w:rFonts w:ascii="Georgia" w:eastAsia="Times New Roman" w:hAnsi="Georgia" w:cstheme="minorHAnsi"/>
                <w:color w:val="000000"/>
                <w:sz w:val="10"/>
                <w:szCs w:val="10"/>
                <w:lang w:val="en-GB" w:eastAsia="hu-HU"/>
              </w:rPr>
            </w:pPr>
            <w:r w:rsidRPr="0002056A">
              <w:rPr>
                <w:rFonts w:ascii="Georgia" w:hAnsi="Georgia" w:cstheme="minorHAnsi"/>
                <w:sz w:val="10"/>
                <w:szCs w:val="10"/>
                <w:lang w:val="en-GB"/>
              </w:rPr>
              <w:t>The book emphasises the relationship between changing climatic factors and spatial planning, seeking for theoretical/political explanations of the challenges planning facing with.</w:t>
            </w:r>
          </w:p>
        </w:tc>
      </w:tr>
      <w:tr w:rsidR="00555B5A" w:rsidRPr="0002056A" w14:paraId="154C96A5"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32A31A8D" w14:textId="1290B098"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Wright, J.; Flacke, J.; Schmitt, J.P.; Schultze, J.; Greiving, S.</w:t>
            </w:r>
          </w:p>
        </w:tc>
        <w:tc>
          <w:tcPr>
            <w:tcW w:w="705" w:type="dxa"/>
            <w:tcBorders>
              <w:top w:val="nil"/>
              <w:left w:val="nil"/>
              <w:bottom w:val="single" w:sz="4" w:space="0" w:color="auto"/>
              <w:right w:val="single" w:sz="4" w:space="0" w:color="auto"/>
            </w:tcBorders>
            <w:vAlign w:val="center"/>
          </w:tcPr>
          <w:p w14:paraId="363E5157" w14:textId="53D37449"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tcPr>
          <w:p w14:paraId="0FC34057" w14:textId="7220EFC8"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Comparing Climate Impact Assessments for Rural Adaptation Planning in Germany and the Netherlands</w:t>
            </w:r>
          </w:p>
        </w:tc>
        <w:tc>
          <w:tcPr>
            <w:tcW w:w="1134" w:type="dxa"/>
            <w:tcBorders>
              <w:top w:val="nil"/>
              <w:left w:val="nil"/>
              <w:bottom w:val="single" w:sz="4" w:space="0" w:color="auto"/>
              <w:right w:val="single" w:sz="4" w:space="0" w:color="auto"/>
            </w:tcBorders>
            <w:vAlign w:val="center"/>
          </w:tcPr>
          <w:p w14:paraId="5087F2E4" w14:textId="749BAEA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GER, GER, GER, GER, GER</w:t>
            </w:r>
          </w:p>
        </w:tc>
        <w:tc>
          <w:tcPr>
            <w:tcW w:w="708" w:type="dxa"/>
            <w:tcBorders>
              <w:top w:val="nil"/>
              <w:left w:val="nil"/>
              <w:bottom w:val="single" w:sz="4" w:space="0" w:color="auto"/>
              <w:right w:val="single" w:sz="4" w:space="0" w:color="auto"/>
            </w:tcBorders>
            <w:vAlign w:val="center"/>
          </w:tcPr>
          <w:p w14:paraId="0A7DF1E5" w14:textId="13877B1C"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COGITATIO</w:t>
            </w:r>
          </w:p>
        </w:tc>
        <w:tc>
          <w:tcPr>
            <w:tcW w:w="851" w:type="dxa"/>
            <w:tcBorders>
              <w:top w:val="nil"/>
              <w:left w:val="nil"/>
              <w:bottom w:val="single" w:sz="4" w:space="0" w:color="auto"/>
              <w:right w:val="single" w:sz="4" w:space="0" w:color="auto"/>
            </w:tcBorders>
            <w:vAlign w:val="center"/>
          </w:tcPr>
          <w:p w14:paraId="1CB5823C" w14:textId="4F8A973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climate adaptation planning, physical (land use) planning, rural development</w:t>
            </w:r>
          </w:p>
        </w:tc>
        <w:tc>
          <w:tcPr>
            <w:tcW w:w="993" w:type="dxa"/>
            <w:tcBorders>
              <w:top w:val="nil"/>
              <w:left w:val="nil"/>
              <w:bottom w:val="single" w:sz="4" w:space="0" w:color="auto"/>
              <w:right w:val="single" w:sz="4" w:space="0" w:color="auto"/>
            </w:tcBorders>
            <w:vAlign w:val="center"/>
          </w:tcPr>
          <w:p w14:paraId="7A51F96E" w14:textId="12D73195"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2021 Vol 6 Issue 3, pp. 306-320.</w:t>
            </w:r>
          </w:p>
        </w:tc>
        <w:tc>
          <w:tcPr>
            <w:tcW w:w="708" w:type="dxa"/>
            <w:tcBorders>
              <w:top w:val="nil"/>
              <w:left w:val="nil"/>
              <w:bottom w:val="single" w:sz="4" w:space="0" w:color="auto"/>
              <w:right w:val="single" w:sz="4" w:space="0" w:color="auto"/>
            </w:tcBorders>
            <w:vAlign w:val="center"/>
          </w:tcPr>
          <w:p w14:paraId="35DAF5A9" w14:textId="6495E17E"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2C0F223F" w14:textId="64F879BC"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BA19A29" w14:textId="2B630EC5"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1A3F77A" w14:textId="123A5D82" w:rsidR="00555B5A" w:rsidRPr="0002056A" w:rsidRDefault="00555B5A" w:rsidP="00555B5A">
            <w:pPr>
              <w:spacing w:after="0" w:line="240" w:lineRule="auto"/>
              <w:jc w:val="both"/>
              <w:rPr>
                <w:rFonts w:ascii="Georgia" w:eastAsia="Times New Roman" w:hAnsi="Georgia" w:cstheme="minorHAnsi"/>
                <w:color w:val="000000"/>
                <w:sz w:val="10"/>
                <w:szCs w:val="10"/>
                <w:lang w:val="en-GB" w:eastAsia="hu-HU"/>
              </w:rPr>
            </w:pPr>
            <w:r w:rsidRPr="0002056A">
              <w:rPr>
                <w:rFonts w:ascii="Georgia" w:eastAsia="Times New Roman" w:hAnsi="Georgia" w:cs="Times New Roman"/>
                <w:color w:val="000000"/>
                <w:sz w:val="10"/>
                <w:szCs w:val="10"/>
                <w:lang w:val="en-GB" w:eastAsia="hu-HU"/>
              </w:rPr>
              <w:t>The article offers a comparison of climate impact assessments done in two regional climate adaptation processes, in a Dutch and a German region.</w:t>
            </w:r>
          </w:p>
        </w:tc>
        <w:tc>
          <w:tcPr>
            <w:tcW w:w="2268" w:type="dxa"/>
            <w:tcBorders>
              <w:top w:val="nil"/>
              <w:left w:val="nil"/>
              <w:bottom w:val="single" w:sz="4" w:space="0" w:color="auto"/>
              <w:right w:val="single" w:sz="8" w:space="0" w:color="auto"/>
            </w:tcBorders>
            <w:vAlign w:val="center"/>
          </w:tcPr>
          <w:p w14:paraId="6A59E254" w14:textId="6421F1B5" w:rsidR="00555B5A" w:rsidRPr="0002056A" w:rsidRDefault="00555B5A" w:rsidP="00555B5A">
            <w:pPr>
              <w:spacing w:after="0" w:line="240" w:lineRule="auto"/>
              <w:jc w:val="both"/>
              <w:rPr>
                <w:rFonts w:ascii="Georgia" w:hAnsi="Georgia" w:cstheme="minorHAnsi"/>
                <w:sz w:val="10"/>
                <w:szCs w:val="10"/>
                <w:lang w:val="en-GB"/>
              </w:rPr>
            </w:pPr>
            <w:r w:rsidRPr="0002056A">
              <w:rPr>
                <w:rFonts w:ascii="Georgia" w:eastAsia="Times New Roman" w:hAnsi="Georgia" w:cs="Times New Roman"/>
                <w:color w:val="000000"/>
                <w:sz w:val="10"/>
                <w:szCs w:val="10"/>
                <w:lang w:val="en-GB" w:eastAsia="hu-HU"/>
              </w:rPr>
              <w:t>It introduces two different analytical approaches and gives recommendations for strengthening communication and visualization of CRA’s results to enhance decision makers’ knowledge base and stakeholders’ involvement.</w:t>
            </w:r>
          </w:p>
        </w:tc>
      </w:tr>
      <w:tr w:rsidR="00555B5A" w:rsidRPr="0002056A" w14:paraId="1F161B1D"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5F739F86"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Woodruff, S.C., Regan P.</w:t>
            </w:r>
          </w:p>
        </w:tc>
        <w:tc>
          <w:tcPr>
            <w:tcW w:w="705" w:type="dxa"/>
            <w:tcBorders>
              <w:top w:val="nil"/>
              <w:left w:val="nil"/>
              <w:bottom w:val="single" w:sz="4" w:space="0" w:color="auto"/>
              <w:right w:val="single" w:sz="4" w:space="0" w:color="auto"/>
            </w:tcBorders>
            <w:vAlign w:val="center"/>
            <w:hideMark/>
          </w:tcPr>
          <w:p w14:paraId="71BBB2A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2018</w:t>
            </w:r>
          </w:p>
        </w:tc>
        <w:tc>
          <w:tcPr>
            <w:tcW w:w="1137" w:type="dxa"/>
            <w:tcBorders>
              <w:top w:val="nil"/>
              <w:left w:val="nil"/>
              <w:bottom w:val="single" w:sz="4" w:space="0" w:color="auto"/>
              <w:right w:val="single" w:sz="4" w:space="0" w:color="auto"/>
            </w:tcBorders>
            <w:vAlign w:val="center"/>
            <w:hideMark/>
          </w:tcPr>
          <w:p w14:paraId="48C12B0C"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Quality of national adaptation plans and opportunities for improvement. </w:t>
            </w:r>
          </w:p>
        </w:tc>
        <w:tc>
          <w:tcPr>
            <w:tcW w:w="1134" w:type="dxa"/>
            <w:tcBorders>
              <w:top w:val="nil"/>
              <w:left w:val="nil"/>
              <w:bottom w:val="single" w:sz="4" w:space="0" w:color="auto"/>
              <w:right w:val="single" w:sz="4" w:space="0" w:color="auto"/>
            </w:tcBorders>
            <w:vAlign w:val="center"/>
            <w:hideMark/>
          </w:tcPr>
          <w:p w14:paraId="359D53B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USA</w:t>
            </w:r>
          </w:p>
        </w:tc>
        <w:tc>
          <w:tcPr>
            <w:tcW w:w="708" w:type="dxa"/>
            <w:tcBorders>
              <w:top w:val="nil"/>
              <w:left w:val="nil"/>
              <w:bottom w:val="single" w:sz="4" w:space="0" w:color="auto"/>
              <w:right w:val="single" w:sz="4" w:space="0" w:color="auto"/>
            </w:tcBorders>
            <w:vAlign w:val="center"/>
            <w:hideMark/>
          </w:tcPr>
          <w:p w14:paraId="6FA22E1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Springer</w:t>
            </w:r>
          </w:p>
        </w:tc>
        <w:tc>
          <w:tcPr>
            <w:tcW w:w="851" w:type="dxa"/>
            <w:tcBorders>
              <w:top w:val="nil"/>
              <w:left w:val="nil"/>
              <w:bottom w:val="single" w:sz="4" w:space="0" w:color="auto"/>
              <w:right w:val="single" w:sz="4" w:space="0" w:color="auto"/>
            </w:tcBorders>
            <w:vAlign w:val="center"/>
            <w:hideMark/>
          </w:tcPr>
          <w:p w14:paraId="3BCFC7B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planning, monitoring and evaluation</w:t>
            </w:r>
          </w:p>
        </w:tc>
        <w:tc>
          <w:tcPr>
            <w:tcW w:w="993" w:type="dxa"/>
            <w:tcBorders>
              <w:top w:val="nil"/>
              <w:left w:val="nil"/>
              <w:bottom w:val="single" w:sz="4" w:space="0" w:color="auto"/>
              <w:right w:val="single" w:sz="4" w:space="0" w:color="auto"/>
            </w:tcBorders>
            <w:vAlign w:val="center"/>
            <w:hideMark/>
          </w:tcPr>
          <w:p w14:paraId="2D2D350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Mitigation and Adaptation Strategies for Global Change, Springer, vol. 24(1), pages 53-71, January.</w:t>
            </w:r>
          </w:p>
        </w:tc>
        <w:tc>
          <w:tcPr>
            <w:tcW w:w="708" w:type="dxa"/>
            <w:tcBorders>
              <w:top w:val="nil"/>
              <w:left w:val="nil"/>
              <w:bottom w:val="single" w:sz="4" w:space="0" w:color="auto"/>
              <w:right w:val="single" w:sz="4" w:space="0" w:color="auto"/>
            </w:tcBorders>
            <w:vAlign w:val="center"/>
            <w:hideMark/>
          </w:tcPr>
          <w:p w14:paraId="3A5767CB"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463596F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10ED286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5337A0A"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In order to identify how NAPs could be improved, this paper analyses 38 national adaptation plans using plan quality evaluation methods and explores national characteristics that are associated with high-quality plans. </w:t>
            </w:r>
          </w:p>
        </w:tc>
        <w:tc>
          <w:tcPr>
            <w:tcW w:w="2268" w:type="dxa"/>
            <w:tcBorders>
              <w:top w:val="nil"/>
              <w:left w:val="nil"/>
              <w:bottom w:val="single" w:sz="4" w:space="0" w:color="auto"/>
              <w:right w:val="single" w:sz="8" w:space="0" w:color="auto"/>
            </w:tcBorders>
            <w:vAlign w:val="center"/>
          </w:tcPr>
          <w:p w14:paraId="52DDB92F"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According to the authors NAPs typically include multiple data sources, explore current impacts and future vulnerabilities, establish goals, and identify potential adaptation strategies. Plans are weaker in the articulation of implementation and monitoring measures, raising concerns about whether plans will translate into action and how success will be measured. In addition, plans generally do not include a broad range of stakeholders in the planning process. The institutional authorship is a strong predictor of plan quality. Plans written by multi-agency committees are significantly higher quality than those written by single agencies, especially on engagement of stakeholders.</w:t>
            </w:r>
          </w:p>
        </w:tc>
      </w:tr>
      <w:tr w:rsidR="00555B5A" w:rsidRPr="0002056A" w14:paraId="2FD07D52"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hideMark/>
          </w:tcPr>
          <w:p w14:paraId="2F858374"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 xml:space="preserve">Yang H.; Lee, T.; Juhola, S. </w:t>
            </w:r>
          </w:p>
        </w:tc>
        <w:tc>
          <w:tcPr>
            <w:tcW w:w="705" w:type="dxa"/>
            <w:tcBorders>
              <w:top w:val="nil"/>
              <w:left w:val="nil"/>
              <w:bottom w:val="single" w:sz="4" w:space="0" w:color="auto"/>
              <w:right w:val="single" w:sz="4" w:space="0" w:color="auto"/>
            </w:tcBorders>
            <w:vAlign w:val="center"/>
            <w:hideMark/>
          </w:tcPr>
          <w:p w14:paraId="3010B47C"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2021</w:t>
            </w:r>
          </w:p>
        </w:tc>
        <w:tc>
          <w:tcPr>
            <w:tcW w:w="1137" w:type="dxa"/>
            <w:tcBorders>
              <w:top w:val="nil"/>
              <w:left w:val="nil"/>
              <w:bottom w:val="single" w:sz="4" w:space="0" w:color="auto"/>
              <w:right w:val="single" w:sz="4" w:space="0" w:color="auto"/>
            </w:tcBorders>
            <w:vAlign w:val="center"/>
            <w:hideMark/>
          </w:tcPr>
          <w:p w14:paraId="0BE8CD7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The old and the climate adaptation: Climate justice, risks, and urban adaptation plan. </w:t>
            </w:r>
          </w:p>
        </w:tc>
        <w:tc>
          <w:tcPr>
            <w:tcW w:w="1134" w:type="dxa"/>
            <w:tcBorders>
              <w:top w:val="nil"/>
              <w:left w:val="nil"/>
              <w:bottom w:val="single" w:sz="4" w:space="0" w:color="auto"/>
              <w:right w:val="single" w:sz="4" w:space="0" w:color="auto"/>
            </w:tcBorders>
            <w:vAlign w:val="center"/>
            <w:hideMark/>
          </w:tcPr>
          <w:p w14:paraId="7D202972"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 KOR, FIN</w:t>
            </w:r>
          </w:p>
        </w:tc>
        <w:tc>
          <w:tcPr>
            <w:tcW w:w="708" w:type="dxa"/>
            <w:tcBorders>
              <w:top w:val="nil"/>
              <w:left w:val="nil"/>
              <w:bottom w:val="single" w:sz="4" w:space="0" w:color="auto"/>
              <w:right w:val="single" w:sz="4" w:space="0" w:color="auto"/>
            </w:tcBorders>
            <w:vAlign w:val="center"/>
            <w:hideMark/>
          </w:tcPr>
          <w:p w14:paraId="55E2EFF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hideMark/>
          </w:tcPr>
          <w:p w14:paraId="7E1D2382"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planning, monitoring and evaluation</w:t>
            </w:r>
          </w:p>
        </w:tc>
        <w:tc>
          <w:tcPr>
            <w:tcW w:w="993" w:type="dxa"/>
            <w:tcBorders>
              <w:top w:val="nil"/>
              <w:left w:val="nil"/>
              <w:bottom w:val="single" w:sz="4" w:space="0" w:color="auto"/>
              <w:right w:val="single" w:sz="4" w:space="0" w:color="auto"/>
            </w:tcBorders>
            <w:vAlign w:val="center"/>
            <w:hideMark/>
          </w:tcPr>
          <w:p w14:paraId="3EE81C5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Sustainable Cities and Society 67 (2021).  https://doi.org/10.1016/j.scs.2021.102755.</w:t>
            </w:r>
          </w:p>
        </w:tc>
        <w:tc>
          <w:tcPr>
            <w:tcW w:w="708" w:type="dxa"/>
            <w:tcBorders>
              <w:top w:val="nil"/>
              <w:left w:val="nil"/>
              <w:bottom w:val="single" w:sz="4" w:space="0" w:color="auto"/>
              <w:right w:val="single" w:sz="4" w:space="0" w:color="auto"/>
            </w:tcBorders>
            <w:vAlign w:val="center"/>
            <w:hideMark/>
          </w:tcPr>
          <w:p w14:paraId="69937DC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hideMark/>
          </w:tcPr>
          <w:p w14:paraId="5A4D557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hideMark/>
          </w:tcPr>
          <w:p w14:paraId="63D5BBEE"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66485370" w14:textId="17B2C528"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 xml:space="preserve">Accounting for local climate risks and the presence of national adaptation schemes, this study examines whether the implementation of adaptation policies in the 902 European cities is influenced by the proportion of these vulnerable groups. </w:t>
            </w:r>
          </w:p>
        </w:tc>
        <w:tc>
          <w:tcPr>
            <w:tcW w:w="2268" w:type="dxa"/>
            <w:tcBorders>
              <w:top w:val="nil"/>
              <w:left w:val="nil"/>
              <w:bottom w:val="single" w:sz="4" w:space="0" w:color="auto"/>
              <w:right w:val="single" w:sz="8" w:space="0" w:color="auto"/>
            </w:tcBorders>
            <w:vAlign w:val="center"/>
          </w:tcPr>
          <w:p w14:paraId="007BFE1E" w14:textId="06D3639B"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results show a positive and significant association between the proportion of elderly citizens and adaptation policies among these European cities, offering local level empirical evidence to the climate justice discussion and suggests that the adaptation policies adopted by these European cities are working to ameliorate environmental injustice faced by the older and weaker social groups.</w:t>
            </w:r>
          </w:p>
        </w:tc>
      </w:tr>
      <w:tr w:rsidR="00555B5A" w:rsidRPr="0002056A" w14:paraId="1645AB3F"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75E73D4C" w14:textId="59232A1C"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Yarmal, B.</w:t>
            </w:r>
          </w:p>
        </w:tc>
        <w:tc>
          <w:tcPr>
            <w:tcW w:w="705" w:type="dxa"/>
            <w:tcBorders>
              <w:top w:val="nil"/>
              <w:left w:val="nil"/>
              <w:bottom w:val="single" w:sz="4" w:space="0" w:color="auto"/>
              <w:right w:val="single" w:sz="4" w:space="0" w:color="auto"/>
            </w:tcBorders>
            <w:vAlign w:val="center"/>
          </w:tcPr>
          <w:p w14:paraId="43277C8D" w14:textId="4AA3685B"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2010</w:t>
            </w:r>
          </w:p>
        </w:tc>
        <w:tc>
          <w:tcPr>
            <w:tcW w:w="1137" w:type="dxa"/>
            <w:tcBorders>
              <w:top w:val="nil"/>
              <w:left w:val="nil"/>
              <w:bottom w:val="single" w:sz="4" w:space="0" w:color="auto"/>
              <w:right w:val="single" w:sz="4" w:space="0" w:color="auto"/>
            </w:tcBorders>
            <w:vAlign w:val="center"/>
          </w:tcPr>
          <w:p w14:paraId="5CE21572" w14:textId="73AE9CC2"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Special Issue: Climate change and applied geography - place, policy, and practice</w:t>
            </w:r>
          </w:p>
        </w:tc>
        <w:tc>
          <w:tcPr>
            <w:tcW w:w="1134" w:type="dxa"/>
            <w:tcBorders>
              <w:top w:val="nil"/>
              <w:left w:val="nil"/>
              <w:bottom w:val="single" w:sz="4" w:space="0" w:color="auto"/>
              <w:right w:val="single" w:sz="4" w:space="0" w:color="auto"/>
            </w:tcBorders>
            <w:vAlign w:val="center"/>
          </w:tcPr>
          <w:p w14:paraId="685DA9A7" w14:textId="42D3ED8F"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USA</w:t>
            </w:r>
          </w:p>
        </w:tc>
        <w:tc>
          <w:tcPr>
            <w:tcW w:w="708" w:type="dxa"/>
            <w:tcBorders>
              <w:top w:val="nil"/>
              <w:left w:val="nil"/>
              <w:bottom w:val="single" w:sz="4" w:space="0" w:color="auto"/>
              <w:right w:val="single" w:sz="4" w:space="0" w:color="auto"/>
            </w:tcBorders>
            <w:vAlign w:val="center"/>
          </w:tcPr>
          <w:p w14:paraId="6C425371" w14:textId="25A456C1"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Science Direct</w:t>
            </w:r>
          </w:p>
        </w:tc>
        <w:tc>
          <w:tcPr>
            <w:tcW w:w="851" w:type="dxa"/>
            <w:tcBorders>
              <w:top w:val="nil"/>
              <w:left w:val="nil"/>
              <w:bottom w:val="single" w:sz="4" w:space="0" w:color="auto"/>
              <w:right w:val="single" w:sz="4" w:space="0" w:color="auto"/>
            </w:tcBorders>
            <w:vAlign w:val="center"/>
          </w:tcPr>
          <w:p w14:paraId="478805D8" w14:textId="728F7670"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social geography</w:t>
            </w:r>
          </w:p>
        </w:tc>
        <w:tc>
          <w:tcPr>
            <w:tcW w:w="993" w:type="dxa"/>
            <w:tcBorders>
              <w:top w:val="nil"/>
              <w:left w:val="nil"/>
              <w:bottom w:val="single" w:sz="4" w:space="0" w:color="auto"/>
              <w:right w:val="single" w:sz="4" w:space="0" w:color="auto"/>
            </w:tcBorders>
            <w:vAlign w:val="center"/>
          </w:tcPr>
          <w:p w14:paraId="1BAD8651" w14:textId="301CE3F3" w:rsidR="00555B5A" w:rsidRPr="0002056A" w:rsidRDefault="00555B5A" w:rsidP="00555B5A">
            <w:pPr>
              <w:spacing w:after="0" w:line="240" w:lineRule="auto"/>
              <w:rPr>
                <w:rFonts w:ascii="Georgia" w:hAnsi="Georgia"/>
                <w:color w:val="000000"/>
                <w:sz w:val="10"/>
                <w:szCs w:val="10"/>
                <w:lang w:val="en-GB"/>
              </w:rPr>
            </w:pPr>
            <w:hyperlink r:id="rId202" w:history="1">
              <w:r w:rsidRPr="0002056A">
                <w:rPr>
                  <w:rFonts w:ascii="Georgia" w:eastAsia="Times New Roman" w:hAnsi="Georgia"/>
                  <w:color w:val="000000"/>
                  <w:sz w:val="10"/>
                  <w:szCs w:val="10"/>
                  <w:lang w:val="en-GB"/>
                </w:rPr>
                <w:t>Applied Geography</w:t>
              </w:r>
            </w:hyperlink>
            <w:r w:rsidRPr="0002056A">
              <w:rPr>
                <w:rFonts w:ascii="Georgia" w:eastAsia="Times New Roman" w:hAnsi="Georgia" w:cs="Times New Roman"/>
                <w:color w:val="000000"/>
                <w:sz w:val="10"/>
                <w:szCs w:val="10"/>
                <w:lang w:val="en-GB" w:eastAsia="hu-HU"/>
              </w:rPr>
              <w:t> 30(4):461-463, December 2010</w:t>
            </w:r>
          </w:p>
          <w:p w14:paraId="1B4B4640"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DOI:</w:t>
            </w:r>
            <w:hyperlink r:id="rId203" w:tgtFrame="_blank" w:history="1">
              <w:r w:rsidRPr="0002056A">
                <w:rPr>
                  <w:rFonts w:ascii="Georgia" w:eastAsia="Times New Roman" w:hAnsi="Georgia" w:cs="Times New Roman"/>
                  <w:color w:val="000000"/>
                  <w:sz w:val="10"/>
                  <w:szCs w:val="10"/>
                  <w:lang w:val="en-GB" w:eastAsia="hu-HU"/>
                </w:rPr>
                <w:t>10.1016/j.apgeog.2010.05.008</w:t>
              </w:r>
            </w:hyperlink>
          </w:p>
          <w:p w14:paraId="4855099B"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p>
        </w:tc>
        <w:tc>
          <w:tcPr>
            <w:tcW w:w="708" w:type="dxa"/>
            <w:tcBorders>
              <w:top w:val="nil"/>
              <w:left w:val="nil"/>
              <w:bottom w:val="single" w:sz="4" w:space="0" w:color="auto"/>
              <w:right w:val="single" w:sz="4" w:space="0" w:color="auto"/>
            </w:tcBorders>
            <w:vAlign w:val="center"/>
          </w:tcPr>
          <w:p w14:paraId="015E6CDC" w14:textId="6CBFAD22"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1E82D677" w14:textId="1061D143"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1C6A62F5" w14:textId="13A5BE00"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38631A2C" w14:textId="46C67A15"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This special issue contains 6 papers covering topics on: the need for more societally relevant research on vulnerability and adaptation to climate change; greenhouse gas inventories at US national parks and its implications to the public society; rainfall variability and trends in semiarid Botswana; the influence of potential sea level on societal vulnerability to hurricanes; stakeholders perspectives on land use strategies for adapting to climate change-enhanced coastal hazards; and reduction of emissions in a suburban landscape.</w:t>
            </w:r>
          </w:p>
        </w:tc>
        <w:tc>
          <w:tcPr>
            <w:tcW w:w="2268" w:type="dxa"/>
            <w:tcBorders>
              <w:top w:val="nil"/>
              <w:left w:val="nil"/>
              <w:bottom w:val="single" w:sz="4" w:space="0" w:color="auto"/>
              <w:right w:val="single" w:sz="8" w:space="0" w:color="auto"/>
            </w:tcBorders>
            <w:vAlign w:val="center"/>
          </w:tcPr>
          <w:p w14:paraId="4CEFDEEA" w14:textId="5297DADD"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Introduces case studies.</w:t>
            </w:r>
          </w:p>
        </w:tc>
      </w:tr>
      <w:tr w:rsidR="00555B5A" w:rsidRPr="0002056A" w14:paraId="3797D1B3" w14:textId="77777777" w:rsidTr="00D57247">
        <w:trPr>
          <w:trHeight w:val="660"/>
          <w:jc w:val="center"/>
        </w:trPr>
        <w:tc>
          <w:tcPr>
            <w:tcW w:w="1703" w:type="dxa"/>
            <w:tcBorders>
              <w:top w:val="nil"/>
              <w:left w:val="single" w:sz="8" w:space="0" w:color="auto"/>
              <w:bottom w:val="single" w:sz="4" w:space="0" w:color="auto"/>
              <w:right w:val="single" w:sz="4" w:space="0" w:color="auto"/>
            </w:tcBorders>
            <w:shd w:val="clear" w:color="auto" w:fill="C5E0B3" w:themeFill="accent6" w:themeFillTint="66"/>
            <w:vAlign w:val="center"/>
          </w:tcPr>
          <w:p w14:paraId="6C648403" w14:textId="77777777" w:rsidR="00555B5A" w:rsidRPr="0002056A" w:rsidRDefault="00555B5A" w:rsidP="00555B5A">
            <w:pPr>
              <w:spacing w:after="0" w:line="240" w:lineRule="auto"/>
              <w:rPr>
                <w:rFonts w:ascii="Georgia" w:eastAsia="Times New Roman" w:hAnsi="Georgia" w:cs="Times New Roman"/>
                <w:b/>
                <w:bCs/>
                <w:i/>
                <w:iCs/>
                <w:color w:val="000000"/>
                <w:sz w:val="14"/>
                <w:szCs w:val="14"/>
                <w:lang w:val="en-GB" w:eastAsia="hu-HU"/>
              </w:rPr>
            </w:pPr>
            <w:r w:rsidRPr="0002056A">
              <w:rPr>
                <w:rFonts w:ascii="Georgia" w:eastAsia="Times New Roman" w:hAnsi="Georgia" w:cs="Times New Roman"/>
                <w:b/>
                <w:bCs/>
                <w:i/>
                <w:iCs/>
                <w:color w:val="000000"/>
                <w:sz w:val="14"/>
                <w:szCs w:val="14"/>
                <w:lang w:val="en-GB" w:eastAsia="hu-HU"/>
              </w:rPr>
              <w:t>Ye, B.; Jiang J.; Liu J.; Zheng, Y.; Zhou, N.</w:t>
            </w:r>
          </w:p>
        </w:tc>
        <w:tc>
          <w:tcPr>
            <w:tcW w:w="705" w:type="dxa"/>
            <w:tcBorders>
              <w:top w:val="nil"/>
              <w:left w:val="nil"/>
              <w:bottom w:val="single" w:sz="4" w:space="0" w:color="auto"/>
              <w:right w:val="single" w:sz="4" w:space="0" w:color="auto"/>
            </w:tcBorders>
            <w:vAlign w:val="center"/>
          </w:tcPr>
          <w:p w14:paraId="67294888"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2020</w:t>
            </w:r>
          </w:p>
        </w:tc>
        <w:tc>
          <w:tcPr>
            <w:tcW w:w="1137" w:type="dxa"/>
            <w:tcBorders>
              <w:top w:val="nil"/>
              <w:left w:val="nil"/>
              <w:bottom w:val="single" w:sz="4" w:space="0" w:color="auto"/>
              <w:right w:val="single" w:sz="4" w:space="0" w:color="auto"/>
            </w:tcBorders>
            <w:vAlign w:val="center"/>
          </w:tcPr>
          <w:p w14:paraId="35D07F1F"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Research on quantitative assessment of climate change risk at an urban scale: review of recent progress and outlook of future direction</w:t>
            </w:r>
          </w:p>
        </w:tc>
        <w:tc>
          <w:tcPr>
            <w:tcW w:w="1134" w:type="dxa"/>
            <w:tcBorders>
              <w:top w:val="nil"/>
              <w:left w:val="nil"/>
              <w:bottom w:val="single" w:sz="4" w:space="0" w:color="auto"/>
              <w:right w:val="single" w:sz="4" w:space="0" w:color="auto"/>
            </w:tcBorders>
            <w:vAlign w:val="center"/>
          </w:tcPr>
          <w:p w14:paraId="1AA98974"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CHI, CHI, CHI, CHI, CHI</w:t>
            </w:r>
          </w:p>
        </w:tc>
        <w:tc>
          <w:tcPr>
            <w:tcW w:w="708" w:type="dxa"/>
            <w:tcBorders>
              <w:top w:val="nil"/>
              <w:left w:val="nil"/>
              <w:bottom w:val="single" w:sz="4" w:space="0" w:color="auto"/>
              <w:right w:val="single" w:sz="4" w:space="0" w:color="auto"/>
            </w:tcBorders>
            <w:vAlign w:val="center"/>
          </w:tcPr>
          <w:p w14:paraId="750ADBAA"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Elsevier Ltd.</w:t>
            </w:r>
          </w:p>
        </w:tc>
        <w:tc>
          <w:tcPr>
            <w:tcW w:w="851" w:type="dxa"/>
            <w:tcBorders>
              <w:top w:val="nil"/>
              <w:left w:val="nil"/>
              <w:bottom w:val="single" w:sz="4" w:space="0" w:color="auto"/>
              <w:right w:val="single" w:sz="4" w:space="0" w:color="auto"/>
            </w:tcBorders>
            <w:vAlign w:val="center"/>
          </w:tcPr>
          <w:p w14:paraId="3C99EF43"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urban planning, climate adaptation planning</w:t>
            </w:r>
          </w:p>
        </w:tc>
        <w:tc>
          <w:tcPr>
            <w:tcW w:w="993" w:type="dxa"/>
            <w:tcBorders>
              <w:top w:val="nil"/>
              <w:left w:val="nil"/>
              <w:bottom w:val="single" w:sz="4" w:space="0" w:color="auto"/>
              <w:right w:val="single" w:sz="4" w:space="0" w:color="auto"/>
            </w:tcBorders>
            <w:vAlign w:val="center"/>
          </w:tcPr>
          <w:p w14:paraId="787CA365" w14:textId="77777777" w:rsidR="00555B5A" w:rsidRPr="0002056A" w:rsidRDefault="00555B5A" w:rsidP="00555B5A">
            <w:pPr>
              <w:spacing w:after="0" w:line="240" w:lineRule="auto"/>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Renewable and Sustainable Energy Reviews 135 (2021)</w:t>
            </w:r>
          </w:p>
        </w:tc>
        <w:tc>
          <w:tcPr>
            <w:tcW w:w="708" w:type="dxa"/>
            <w:tcBorders>
              <w:top w:val="nil"/>
              <w:left w:val="nil"/>
              <w:bottom w:val="single" w:sz="4" w:space="0" w:color="auto"/>
              <w:right w:val="single" w:sz="4" w:space="0" w:color="auto"/>
            </w:tcBorders>
            <w:vAlign w:val="center"/>
          </w:tcPr>
          <w:p w14:paraId="60955386"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article</w:t>
            </w:r>
          </w:p>
        </w:tc>
        <w:tc>
          <w:tcPr>
            <w:tcW w:w="851" w:type="dxa"/>
            <w:tcBorders>
              <w:top w:val="nil"/>
              <w:left w:val="nil"/>
              <w:bottom w:val="single" w:sz="4" w:space="0" w:color="auto"/>
              <w:right w:val="single" w:sz="4" w:space="0" w:color="auto"/>
            </w:tcBorders>
            <w:vAlign w:val="center"/>
          </w:tcPr>
          <w:p w14:paraId="5BB22301"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yes</w:t>
            </w:r>
          </w:p>
        </w:tc>
        <w:tc>
          <w:tcPr>
            <w:tcW w:w="708" w:type="dxa"/>
            <w:tcBorders>
              <w:top w:val="nil"/>
              <w:left w:val="nil"/>
              <w:bottom w:val="single" w:sz="4" w:space="0" w:color="auto"/>
              <w:right w:val="single" w:sz="8" w:space="0" w:color="auto"/>
            </w:tcBorders>
            <w:vAlign w:val="center"/>
          </w:tcPr>
          <w:p w14:paraId="5BF5C9B5" w14:textId="77777777" w:rsidR="00555B5A" w:rsidRPr="0002056A" w:rsidRDefault="00555B5A" w:rsidP="00555B5A">
            <w:pPr>
              <w:spacing w:after="0" w:line="240" w:lineRule="auto"/>
              <w:jc w:val="center"/>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primary</w:t>
            </w:r>
          </w:p>
        </w:tc>
        <w:tc>
          <w:tcPr>
            <w:tcW w:w="3686" w:type="dxa"/>
            <w:tcBorders>
              <w:top w:val="nil"/>
              <w:left w:val="nil"/>
              <w:bottom w:val="single" w:sz="4" w:space="0" w:color="auto"/>
              <w:right w:val="single" w:sz="8" w:space="0" w:color="auto"/>
            </w:tcBorders>
            <w:vAlign w:val="center"/>
          </w:tcPr>
          <w:p w14:paraId="7F48179E" w14:textId="77777777"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article summarizes the updated research progresses and literature results and discusses the major challenges to be overcome; identifies future directions to advance quantitative assessment of urban –scale climate risks and improves related methodology.</w:t>
            </w:r>
          </w:p>
        </w:tc>
        <w:tc>
          <w:tcPr>
            <w:tcW w:w="2268" w:type="dxa"/>
            <w:tcBorders>
              <w:top w:val="nil"/>
              <w:left w:val="nil"/>
              <w:bottom w:val="single" w:sz="4" w:space="0" w:color="auto"/>
              <w:right w:val="single" w:sz="8" w:space="0" w:color="auto"/>
            </w:tcBorders>
            <w:vAlign w:val="center"/>
          </w:tcPr>
          <w:p w14:paraId="0BBEF3B3" w14:textId="5D22B9AA" w:rsidR="00555B5A" w:rsidRPr="0002056A" w:rsidRDefault="00555B5A" w:rsidP="00555B5A">
            <w:pPr>
              <w:spacing w:after="0" w:line="240" w:lineRule="auto"/>
              <w:jc w:val="both"/>
              <w:rPr>
                <w:rFonts w:ascii="Georgia" w:eastAsia="Times New Roman" w:hAnsi="Georgia" w:cs="Times New Roman"/>
                <w:color w:val="000000"/>
                <w:sz w:val="10"/>
                <w:szCs w:val="10"/>
                <w:lang w:val="en-GB" w:eastAsia="hu-HU"/>
              </w:rPr>
            </w:pPr>
            <w:r w:rsidRPr="0002056A">
              <w:rPr>
                <w:rFonts w:ascii="Georgia" w:eastAsia="Times New Roman" w:hAnsi="Georgia" w:cs="Times New Roman"/>
                <w:color w:val="000000"/>
                <w:sz w:val="10"/>
                <w:szCs w:val="10"/>
                <w:lang w:val="en-GB" w:eastAsia="hu-HU"/>
              </w:rPr>
              <w:t>The main topics in which the article summarizes literature results: possibilities of downscaling climate change to a local scale; couple regional and local climate to project urban microclimate; assessment of urban climate vulnerability; integrated risk assessments for cities.</w:t>
            </w:r>
          </w:p>
        </w:tc>
      </w:tr>
    </w:tbl>
    <w:p w14:paraId="2463E31D" w14:textId="77777777" w:rsidR="000D3EB7" w:rsidRPr="0002056A" w:rsidRDefault="000D3EB7" w:rsidP="00EA1712">
      <w:pPr>
        <w:rPr>
          <w:rFonts w:ascii="Georgia" w:hAnsi="Georgia"/>
          <w:sz w:val="10"/>
          <w:szCs w:val="10"/>
          <w:lang w:val="en-GB"/>
        </w:rPr>
        <w:sectPr w:rsidR="000D3EB7" w:rsidRPr="0002056A" w:rsidSect="00775D26">
          <w:pgSz w:w="16838" w:h="11906" w:orient="landscape"/>
          <w:pgMar w:top="1417" w:right="1417" w:bottom="1417" w:left="1417" w:header="708" w:footer="708" w:gutter="0"/>
          <w:cols w:space="708"/>
          <w:docGrid w:linePitch="360"/>
        </w:sectPr>
      </w:pPr>
    </w:p>
    <w:p w14:paraId="25473D43" w14:textId="77777777" w:rsidR="00EA1712" w:rsidRPr="0002056A" w:rsidRDefault="00EA1712" w:rsidP="00EA1712">
      <w:pPr>
        <w:rPr>
          <w:rFonts w:ascii="Georgia" w:hAnsi="Georgia"/>
          <w:sz w:val="10"/>
          <w:szCs w:val="10"/>
          <w:lang w:val="en-GB"/>
        </w:rPr>
      </w:pPr>
    </w:p>
    <w:p w14:paraId="6A35406F" w14:textId="28F6BCCD" w:rsidR="005B166A" w:rsidRPr="0002056A" w:rsidRDefault="005B166A" w:rsidP="00D162B2">
      <w:pPr>
        <w:pStyle w:val="Cmsor2"/>
        <w:rPr>
          <w:lang w:val="en-GB"/>
        </w:rPr>
      </w:pPr>
      <w:bookmarkStart w:id="74" w:name="_Toc225578886"/>
      <w:r w:rsidRPr="0002056A">
        <w:rPr>
          <w:lang w:val="en-GB"/>
        </w:rPr>
        <w:t xml:space="preserve">Annex 2 – </w:t>
      </w:r>
      <w:r w:rsidR="000D3EB7" w:rsidRPr="0002056A">
        <w:rPr>
          <w:lang w:val="en-GB"/>
        </w:rPr>
        <w:t>Concepts and interpretations of space in different disciplines and practical fields</w:t>
      </w:r>
      <w:bookmarkEnd w:id="74"/>
    </w:p>
    <w:p w14:paraId="29409EC8" w14:textId="27E0FDF2" w:rsidR="005B166A" w:rsidRPr="0002056A" w:rsidRDefault="000D3EB7" w:rsidP="000D3EB7">
      <w:pPr>
        <w:pStyle w:val="Cmsor3"/>
        <w:rPr>
          <w:rFonts w:ascii="Georgia" w:hAnsi="Georgia"/>
          <w:sz w:val="22"/>
          <w:szCs w:val="22"/>
          <w:lang w:val="en-GB"/>
        </w:rPr>
      </w:pPr>
      <w:bookmarkStart w:id="75" w:name="_Toc225578887"/>
      <w:r w:rsidRPr="0002056A">
        <w:rPr>
          <w:rFonts w:ascii="Georgia" w:hAnsi="Georgia"/>
          <w:sz w:val="22"/>
          <w:szCs w:val="22"/>
          <w:lang w:val="en-GB"/>
        </w:rPr>
        <w:t xml:space="preserve">Annex 2a) </w:t>
      </w:r>
      <w:r w:rsidR="005B166A" w:rsidRPr="0002056A">
        <w:rPr>
          <w:rFonts w:ascii="Georgia" w:hAnsi="Georgia"/>
          <w:sz w:val="22"/>
          <w:szCs w:val="22"/>
          <w:lang w:val="en-GB"/>
        </w:rPr>
        <w:t>Concepts of space, region, territory and place</w:t>
      </w:r>
      <w:bookmarkEnd w:id="75"/>
    </w:p>
    <w:p w14:paraId="2F182C22"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During the overview of works of different authors looking for a proper definition of space, as Dusek warns us, usually we meet either blurred concepts or too narrow definitions valid only for given situations (</w:t>
      </w:r>
      <w:r w:rsidRPr="0002056A">
        <w:rPr>
          <w:rFonts w:ascii="Georgia" w:hAnsi="Georgia" w:cs="Times New Roman"/>
          <w:smallCaps/>
          <w:lang w:val="en-GB"/>
        </w:rPr>
        <w:t>Dusek</w:t>
      </w:r>
      <w:r w:rsidRPr="0002056A">
        <w:rPr>
          <w:rFonts w:ascii="Georgia" w:hAnsi="Georgia" w:cs="Times New Roman"/>
          <w:lang w:val="en-GB"/>
        </w:rPr>
        <w:t>, 2004). Several studies that deal with spatial analyses’ methodological background generally start with philosophical space definitions. These differentiate usually 3 main approaches: absolutist and relativist interpretations and the interpretation of Kant</w:t>
      </w:r>
      <w:r w:rsidRPr="0002056A">
        <w:rPr>
          <w:rStyle w:val="Lbjegyzet-hivatkozs"/>
          <w:rFonts w:ascii="Georgia" w:hAnsi="Georgia" w:cs="Times New Roman"/>
          <w:lang w:val="en-GB"/>
        </w:rPr>
        <w:footnoteReference w:id="105"/>
      </w:r>
      <w:r w:rsidRPr="0002056A">
        <w:rPr>
          <w:rFonts w:ascii="Georgia" w:hAnsi="Georgia" w:cs="Times New Roman"/>
          <w:lang w:val="en-GB"/>
        </w:rPr>
        <w:t>. However, regarding the complexity of the notion of space, none of the above can be regarded as exclusively applicable (</w:t>
      </w:r>
      <w:r w:rsidRPr="0002056A">
        <w:rPr>
          <w:rFonts w:ascii="Georgia" w:hAnsi="Georgia" w:cs="Times New Roman"/>
          <w:smallCaps/>
          <w:lang w:val="en-GB"/>
        </w:rPr>
        <w:t>Nemes-Nagy</w:t>
      </w:r>
      <w:r w:rsidRPr="0002056A">
        <w:rPr>
          <w:rFonts w:ascii="Georgia" w:hAnsi="Georgia" w:cs="Times New Roman"/>
          <w:lang w:val="en-GB"/>
        </w:rPr>
        <w:t xml:space="preserve">, 1998 and 2009; </w:t>
      </w:r>
      <w:r w:rsidRPr="0002056A">
        <w:rPr>
          <w:rFonts w:ascii="Georgia" w:hAnsi="Georgia" w:cs="Times New Roman"/>
          <w:smallCaps/>
          <w:lang w:val="en-GB"/>
        </w:rPr>
        <w:t>Dusek</w:t>
      </w:r>
      <w:r w:rsidRPr="0002056A">
        <w:rPr>
          <w:rFonts w:ascii="Georgia" w:hAnsi="Georgia" w:cs="Times New Roman"/>
          <w:lang w:val="en-GB"/>
        </w:rPr>
        <w:t xml:space="preserve">, 2004, </w:t>
      </w:r>
      <w:r w:rsidRPr="0002056A">
        <w:rPr>
          <w:rFonts w:ascii="Georgia" w:hAnsi="Georgia" w:cs="Times New Roman"/>
          <w:smallCaps/>
          <w:lang w:val="en-GB"/>
        </w:rPr>
        <w:t>Karanika&amp;Kallioras, 2018; Nawratek, 2018; Taylor, 2023</w:t>
      </w:r>
      <w:r w:rsidRPr="0002056A">
        <w:rPr>
          <w:rFonts w:ascii="Georgia" w:hAnsi="Georgia" w:cs="Times New Roman"/>
          <w:lang w:val="en-GB"/>
        </w:rPr>
        <w:t xml:space="preserve">). </w:t>
      </w:r>
    </w:p>
    <w:p w14:paraId="4D61E726"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Regarding the related concepts (space, territory, place, region), the definitions of Haggett reflect the absolutist approach. In his synthetizing work he refers to space as a large area without boundaries, “</w:t>
      </w:r>
      <w:r w:rsidRPr="0002056A">
        <w:rPr>
          <w:rFonts w:ascii="Georgia" w:hAnsi="Georgia" w:cs="Times New Roman"/>
          <w:i/>
          <w:lang w:val="en-GB"/>
        </w:rPr>
        <w:t>ranging in size from local areas to the global</w:t>
      </w:r>
      <w:r w:rsidRPr="0002056A">
        <w:rPr>
          <w:rFonts w:ascii="Georgia" w:hAnsi="Georgia" w:cs="Times New Roman"/>
          <w:lang w:val="en-GB"/>
        </w:rPr>
        <w:t>” meanwhile territory is usually „</w:t>
      </w:r>
      <w:r w:rsidRPr="0002056A">
        <w:rPr>
          <w:rFonts w:ascii="Georgia" w:hAnsi="Georgia" w:cs="Times New Roman"/>
          <w:i/>
          <w:lang w:val="en-GB"/>
        </w:rPr>
        <w:t>the terrestrial space that is used to denote its geometric part</w:t>
      </w:r>
      <w:r w:rsidRPr="0002056A">
        <w:rPr>
          <w:rFonts w:ascii="Georgia" w:hAnsi="Georgia" w:cs="Times New Roman"/>
          <w:lang w:val="en-GB"/>
        </w:rPr>
        <w:t xml:space="preserve">”. The author also defines the concepts of </w:t>
      </w:r>
      <w:r w:rsidRPr="0002056A">
        <w:rPr>
          <w:rFonts w:ascii="Georgia" w:hAnsi="Georgia" w:cs="Times New Roman"/>
          <w:b/>
          <w:bCs/>
          <w:lang w:val="en-GB"/>
        </w:rPr>
        <w:t>region and place</w:t>
      </w:r>
      <w:r w:rsidRPr="0002056A">
        <w:rPr>
          <w:rStyle w:val="Lbjegyzet-hivatkozs"/>
          <w:rFonts w:ascii="Georgia" w:hAnsi="Georgia" w:cs="Times New Roman"/>
          <w:lang w:val="en-GB"/>
        </w:rPr>
        <w:footnoteReference w:id="106"/>
      </w:r>
      <w:r w:rsidRPr="0002056A">
        <w:rPr>
          <w:rFonts w:ascii="Georgia" w:hAnsi="Georgia" w:cs="Times New Roman"/>
          <w:lang w:val="en-GB"/>
        </w:rPr>
        <w:t xml:space="preserve"> as delimited, lower-level units of space (</w:t>
      </w:r>
      <w:r w:rsidRPr="0002056A">
        <w:rPr>
          <w:rFonts w:ascii="Georgia" w:hAnsi="Georgia" w:cs="Times New Roman"/>
          <w:smallCaps/>
          <w:lang w:val="en-GB"/>
        </w:rPr>
        <w:t>Haggett 2006, p. 787, 803</w:t>
      </w:r>
      <w:r w:rsidRPr="0002056A">
        <w:rPr>
          <w:rFonts w:ascii="Georgia" w:hAnsi="Georgia" w:cs="Times New Roman"/>
          <w:lang w:val="en-GB"/>
        </w:rPr>
        <w:t xml:space="preserve">). </w:t>
      </w:r>
    </w:p>
    <w:p w14:paraId="3FED6BA1"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 xml:space="preserve">Classical geography regards space, region, territory, area and place as strongly connected concepts, referring mostly to given parts of the globus’ surface. </w:t>
      </w:r>
      <w:r w:rsidRPr="0002056A">
        <w:rPr>
          <w:rFonts w:ascii="Georgia" w:hAnsi="Georgia" w:cs="Times New Roman"/>
          <w:smallCaps/>
          <w:lang w:val="en-GB"/>
        </w:rPr>
        <w:t>Cresswell</w:t>
      </w:r>
      <w:r w:rsidRPr="0002056A">
        <w:rPr>
          <w:rFonts w:ascii="Georgia" w:hAnsi="Georgia" w:cs="Times New Roman"/>
          <w:lang w:val="en-GB"/>
        </w:rPr>
        <w:t xml:space="preserve"> calls </w:t>
      </w:r>
      <w:r w:rsidRPr="0002056A">
        <w:rPr>
          <w:rFonts w:ascii="Georgia" w:hAnsi="Georgia" w:cs="Times New Roman"/>
          <w:b/>
          <w:bCs/>
          <w:lang w:val="en-GB"/>
        </w:rPr>
        <w:t>space</w:t>
      </w:r>
      <w:r w:rsidRPr="0002056A">
        <w:rPr>
          <w:rFonts w:ascii="Georgia" w:hAnsi="Georgia" w:cs="Times New Roman"/>
          <w:lang w:val="en-GB"/>
        </w:rPr>
        <w:t xml:space="preserve"> as a location or a geographical point on the Earth’s surface with exact identities (defined by longitude and latitude). As opposed to the meaningful places, </w:t>
      </w:r>
      <w:r w:rsidRPr="0002056A">
        <w:rPr>
          <w:rFonts w:ascii="Georgia" w:hAnsi="Georgia" w:cs="Times New Roman"/>
          <w:smallCaps/>
          <w:lang w:val="en-GB"/>
        </w:rPr>
        <w:t>Cresswell</w:t>
      </w:r>
      <w:r w:rsidRPr="0002056A">
        <w:rPr>
          <w:rFonts w:ascii="Georgia" w:hAnsi="Georgia" w:cs="Times New Roman"/>
          <w:lang w:val="en-GB"/>
        </w:rPr>
        <w:t xml:space="preserve"> thinks, it does not have a concrete meaning (</w:t>
      </w:r>
      <w:r w:rsidRPr="0002056A">
        <w:rPr>
          <w:rFonts w:ascii="Georgia" w:hAnsi="Georgia" w:cs="Times New Roman"/>
          <w:smallCaps/>
          <w:lang w:val="en-GB"/>
        </w:rPr>
        <w:t>Cresswell 2008</w:t>
      </w:r>
      <w:r w:rsidRPr="0002056A">
        <w:rPr>
          <w:rFonts w:ascii="Georgia" w:hAnsi="Georgia" w:cs="Times New Roman"/>
          <w:lang w:val="en-GB"/>
        </w:rPr>
        <w:t xml:space="preserve">). </w:t>
      </w:r>
      <w:r w:rsidRPr="0002056A">
        <w:rPr>
          <w:rFonts w:ascii="Georgia" w:hAnsi="Georgia" w:cs="Times New Roman"/>
          <w:smallCaps/>
          <w:lang w:val="en-GB"/>
        </w:rPr>
        <w:t>Massey</w:t>
      </w:r>
      <w:r w:rsidRPr="0002056A">
        <w:rPr>
          <w:rFonts w:ascii="Georgia" w:hAnsi="Georgia" w:cs="Times New Roman"/>
          <w:lang w:val="en-GB"/>
        </w:rPr>
        <w:t xml:space="preserve"> disagreed with the idea that space is meaningless and sees both the concrete places and space as „</w:t>
      </w:r>
      <w:r w:rsidRPr="0002056A">
        <w:rPr>
          <w:rFonts w:ascii="Georgia" w:hAnsi="Georgia" w:cs="Times New Roman"/>
          <w:i/>
          <w:lang w:val="en-GB"/>
        </w:rPr>
        <w:t>inextricably intertwined</w:t>
      </w:r>
      <w:r w:rsidRPr="0002056A">
        <w:rPr>
          <w:rFonts w:ascii="Georgia" w:hAnsi="Georgia" w:cs="Times New Roman"/>
          <w:lang w:val="en-GB"/>
        </w:rPr>
        <w:t>” entities. The one informs the other, so they cannot be handled separately (as s</w:t>
      </w:r>
      <w:r w:rsidRPr="0002056A">
        <w:rPr>
          <w:rFonts w:ascii="Georgia" w:hAnsi="Georgia"/>
          <w:lang w:val="en-GB"/>
        </w:rPr>
        <w:t>pace and time are also inseparable from each other, supporting the existence of the world)</w:t>
      </w:r>
      <w:r w:rsidRPr="0002056A">
        <w:rPr>
          <w:rFonts w:ascii="Georgia" w:hAnsi="Georgia" w:cs="Times New Roman"/>
          <w:lang w:val="en-GB"/>
        </w:rPr>
        <w:t xml:space="preserve"> (</w:t>
      </w:r>
      <w:r w:rsidRPr="0002056A">
        <w:rPr>
          <w:rFonts w:ascii="Georgia" w:hAnsi="Georgia" w:cs="Times New Roman"/>
          <w:smallCaps/>
          <w:lang w:val="en-GB"/>
        </w:rPr>
        <w:t>Massey, 1994, 2005</w:t>
      </w:r>
      <w:r w:rsidRPr="0002056A">
        <w:rPr>
          <w:rFonts w:ascii="Georgia" w:hAnsi="Georgia" w:cs="Times New Roman"/>
          <w:lang w:val="en-GB"/>
        </w:rPr>
        <w:t>). Agnew also underlines that space is a more abstract concept, and he continues that it is something that is more conceptual than real as opposed to places. (</w:t>
      </w:r>
      <w:r w:rsidRPr="0002056A">
        <w:rPr>
          <w:rFonts w:ascii="Georgia" w:hAnsi="Georgia" w:cs="Times New Roman"/>
          <w:smallCaps/>
          <w:lang w:val="en-GB"/>
        </w:rPr>
        <w:t>Agnew, 1989</w:t>
      </w:r>
      <w:r w:rsidRPr="0002056A">
        <w:rPr>
          <w:rFonts w:ascii="Georgia" w:hAnsi="Georgia" w:cs="Times New Roman"/>
          <w:lang w:val="en-GB"/>
        </w:rPr>
        <w:t xml:space="preserve">). </w:t>
      </w:r>
      <w:r w:rsidRPr="0002056A">
        <w:rPr>
          <w:rFonts w:ascii="Georgia" w:hAnsi="Georgia" w:cs="Times New Roman"/>
          <w:smallCaps/>
          <w:lang w:val="en-GB"/>
        </w:rPr>
        <w:t>Tuan</w:t>
      </w:r>
      <w:r w:rsidRPr="0002056A">
        <w:rPr>
          <w:rFonts w:ascii="Georgia" w:hAnsi="Georgia" w:cs="Times New Roman"/>
          <w:lang w:val="en-GB"/>
        </w:rPr>
        <w:t xml:space="preserve"> argued that space and place together are the essence of geography that uses spatial analysis and explain spatial organisations. He also </w:t>
      </w:r>
      <w:r w:rsidRPr="0002056A">
        <w:rPr>
          <w:rFonts w:ascii="Georgia" w:hAnsi="Georgia"/>
          <w:lang w:val="en-GB"/>
        </w:rPr>
        <w:t>emphasises space’s several meanings: location with linkages to other units; a unique entity, depiction of experiences and aspirations of people (</w:t>
      </w:r>
      <w:r w:rsidRPr="0002056A">
        <w:rPr>
          <w:rFonts w:ascii="Georgia" w:hAnsi="Georgia"/>
          <w:smallCaps/>
          <w:lang w:val="en-GB"/>
        </w:rPr>
        <w:t>Tuan, 1979</w:t>
      </w:r>
      <w:r w:rsidRPr="0002056A">
        <w:rPr>
          <w:rFonts w:ascii="Georgia" w:hAnsi="Georgia"/>
          <w:lang w:val="en-GB"/>
        </w:rPr>
        <w:t>).</w:t>
      </w:r>
      <w:r w:rsidRPr="0002056A">
        <w:rPr>
          <w:rFonts w:ascii="Georgia" w:hAnsi="Georgia" w:cs="Times New Roman"/>
          <w:lang w:val="en-GB"/>
        </w:rPr>
        <w:t xml:space="preserve"> Karanika and Kallioras emphasise a social factor in their definition: within space,</w:t>
      </w:r>
      <w:r w:rsidRPr="0002056A">
        <w:rPr>
          <w:rFonts w:ascii="Georgia" w:hAnsi="Georgia" w:cs="Times New Roman"/>
          <w:b/>
          <w:bCs/>
          <w:lang w:val="en-GB"/>
        </w:rPr>
        <w:t xml:space="preserve"> </w:t>
      </w:r>
      <w:r w:rsidRPr="0002056A">
        <w:rPr>
          <w:rFonts w:ascii="Georgia" w:hAnsi="Georgia" w:cs="Times New Roman"/>
          <w:i/>
          <w:iCs/>
          <w:lang w:val="en-GB"/>
        </w:rPr>
        <w:t>s</w:t>
      </w:r>
      <w:r w:rsidRPr="0002056A">
        <w:rPr>
          <w:rFonts w:ascii="Georgia" w:hAnsi="Georgia"/>
          <w:i/>
          <w:iCs/>
          <w:lang w:val="en-GB"/>
        </w:rPr>
        <w:t>patial formations</w:t>
      </w:r>
      <w:r w:rsidRPr="0002056A">
        <w:rPr>
          <w:rFonts w:ascii="Georgia" w:hAnsi="Georgia"/>
          <w:lang w:val="en-GB"/>
        </w:rPr>
        <w:t xml:space="preserve"> provide the shelter that normalizes people within a society, assists them in the creation of individual identity and delimits the insiders and the outsiders</w:t>
      </w:r>
      <w:r w:rsidRPr="0002056A">
        <w:rPr>
          <w:rStyle w:val="Lbjegyzet-hivatkozs"/>
          <w:rFonts w:ascii="Georgia" w:hAnsi="Georgia"/>
          <w:lang w:val="en-GB"/>
        </w:rPr>
        <w:footnoteReference w:id="107"/>
      </w:r>
      <w:r w:rsidRPr="0002056A">
        <w:rPr>
          <w:rFonts w:ascii="Georgia" w:hAnsi="Georgia"/>
          <w:lang w:val="en-GB"/>
        </w:rPr>
        <w:t xml:space="preserve"> (</w:t>
      </w:r>
      <w:r w:rsidRPr="0002056A">
        <w:rPr>
          <w:rFonts w:ascii="Georgia" w:hAnsi="Georgia" w:cs="Times New Roman"/>
          <w:smallCaps/>
          <w:lang w:val="en-GB"/>
        </w:rPr>
        <w:t>Karanika &amp;Kallioras</w:t>
      </w:r>
      <w:r w:rsidRPr="0002056A">
        <w:rPr>
          <w:rFonts w:ascii="Georgia" w:hAnsi="Georgia"/>
          <w:lang w:val="en-GB"/>
        </w:rPr>
        <w:t xml:space="preserve">, 2018). </w:t>
      </w:r>
      <w:r w:rsidRPr="0002056A">
        <w:rPr>
          <w:rFonts w:ascii="Georgia" w:hAnsi="Georgia" w:cs="Times New Roman"/>
          <w:lang w:val="en-GB"/>
        </w:rPr>
        <w:t xml:space="preserve">According to Faragó, </w:t>
      </w:r>
      <w:r w:rsidRPr="0002056A">
        <w:rPr>
          <w:rFonts w:ascii="Georgia" w:hAnsi="Georgia" w:cs="Times New Roman"/>
          <w:i/>
          <w:iCs/>
          <w:lang w:val="en-GB"/>
        </w:rPr>
        <w:t>in the postmodern approach, interpretations space and place</w:t>
      </w:r>
      <w:r w:rsidRPr="0002056A">
        <w:rPr>
          <w:rFonts w:ascii="Georgia" w:hAnsi="Georgia" w:cs="Times New Roman"/>
          <w:lang w:val="en-GB"/>
        </w:rPr>
        <w:t xml:space="preserve"> are especially distinguished. The first one, as Agnew already had pointed out, is a general, abstract concept, to a lesser extent a „</w:t>
      </w:r>
      <w:r w:rsidRPr="0002056A">
        <w:rPr>
          <w:rFonts w:ascii="Georgia" w:hAnsi="Georgia" w:cs="Times New Roman"/>
          <w:i/>
          <w:lang w:val="en-GB"/>
        </w:rPr>
        <w:t>larger physical unit</w:t>
      </w:r>
      <w:r w:rsidRPr="0002056A">
        <w:rPr>
          <w:rFonts w:ascii="Georgia" w:hAnsi="Georgia" w:cs="Times New Roman"/>
          <w:lang w:val="en-GB"/>
        </w:rPr>
        <w:t>”, but much more a system of places (</w:t>
      </w:r>
      <w:r w:rsidRPr="0002056A">
        <w:rPr>
          <w:rFonts w:ascii="Georgia" w:hAnsi="Georgia" w:cs="Times New Roman"/>
          <w:smallCaps/>
          <w:lang w:val="en-GB"/>
        </w:rPr>
        <w:t>Faragó L., 2012</w:t>
      </w:r>
      <w:r w:rsidRPr="0002056A">
        <w:rPr>
          <w:rFonts w:ascii="Georgia" w:hAnsi="Georgia" w:cs="Times New Roman"/>
          <w:lang w:val="en-GB"/>
        </w:rPr>
        <w:t>). Space is a conceptual base for „</w:t>
      </w:r>
      <w:r w:rsidRPr="0002056A">
        <w:rPr>
          <w:rFonts w:ascii="Georgia" w:hAnsi="Georgia" w:cs="Times New Roman"/>
          <w:i/>
          <w:lang w:val="en-GB"/>
        </w:rPr>
        <w:t>spatial structures</w:t>
      </w:r>
      <w:r w:rsidRPr="0002056A">
        <w:rPr>
          <w:rFonts w:ascii="Georgia" w:hAnsi="Georgia" w:cs="Times New Roman"/>
          <w:lang w:val="en-GB"/>
        </w:rPr>
        <w:t>” where space is the „</w:t>
      </w:r>
      <w:r w:rsidRPr="0002056A">
        <w:rPr>
          <w:rFonts w:ascii="Georgia" w:hAnsi="Georgia" w:cs="Times New Roman"/>
          <w:i/>
          <w:lang w:val="en-GB"/>
        </w:rPr>
        <w:t>relational system of the multitude of occupied positions</w:t>
      </w:r>
      <w:r w:rsidRPr="0002056A">
        <w:rPr>
          <w:rFonts w:ascii="Georgia" w:hAnsi="Georgia" w:cs="Times New Roman"/>
          <w:lang w:val="en-GB"/>
        </w:rPr>
        <w:t>”, meanwhile place is a „</w:t>
      </w:r>
      <w:r w:rsidRPr="0002056A">
        <w:rPr>
          <w:rFonts w:ascii="Georgia" w:hAnsi="Georgia" w:cs="Times New Roman"/>
          <w:i/>
          <w:lang w:val="en-GB"/>
        </w:rPr>
        <w:t>specific experience</w:t>
      </w:r>
      <w:r w:rsidRPr="0002056A">
        <w:rPr>
          <w:rFonts w:ascii="Georgia" w:hAnsi="Georgia" w:cs="Times New Roman"/>
          <w:lang w:val="en-GB"/>
        </w:rPr>
        <w:t>” which depicts the relational system locally (</w:t>
      </w:r>
      <w:r w:rsidRPr="0002056A">
        <w:rPr>
          <w:rFonts w:ascii="Georgia" w:hAnsi="Georgia" w:cs="Times New Roman"/>
          <w:smallCaps/>
          <w:lang w:val="en-GB"/>
        </w:rPr>
        <w:t>Faragó L., 2012</w:t>
      </w:r>
      <w:r w:rsidRPr="0002056A">
        <w:rPr>
          <w:rFonts w:ascii="Georgia" w:hAnsi="Georgia" w:cs="Times New Roman"/>
          <w:lang w:val="en-GB"/>
        </w:rPr>
        <w:t xml:space="preserve">). This approach leads us further from absolutist interpretations to the relativist approaches. </w:t>
      </w:r>
    </w:p>
    <w:p w14:paraId="1246DCA1" w14:textId="77777777" w:rsidR="005B166A" w:rsidRPr="0002056A" w:rsidRDefault="005B166A" w:rsidP="005B166A">
      <w:pPr>
        <w:pStyle w:val="Default"/>
        <w:spacing w:before="120" w:after="120"/>
        <w:jc w:val="both"/>
        <w:rPr>
          <w:rFonts w:ascii="Georgia" w:hAnsi="Georgia" w:cs="Times New Roman"/>
          <w:color w:val="auto"/>
          <w:sz w:val="22"/>
          <w:szCs w:val="22"/>
          <w:lang w:val="en-GB"/>
        </w:rPr>
      </w:pPr>
      <w:r w:rsidRPr="0002056A">
        <w:rPr>
          <w:rFonts w:ascii="Georgia" w:hAnsi="Georgia" w:cs="Times New Roman"/>
          <w:color w:val="auto"/>
          <w:sz w:val="22"/>
          <w:szCs w:val="22"/>
          <w:lang w:val="en-GB"/>
        </w:rPr>
        <w:t xml:space="preserve">The above mentioned two Greek authors say that </w:t>
      </w:r>
      <w:r w:rsidRPr="0002056A">
        <w:rPr>
          <w:rFonts w:ascii="Georgia" w:hAnsi="Georgia" w:cs="Times New Roman"/>
          <w:b/>
          <w:bCs/>
          <w:color w:val="auto"/>
          <w:sz w:val="22"/>
          <w:szCs w:val="22"/>
          <w:lang w:val="en-GB"/>
        </w:rPr>
        <w:t>place</w:t>
      </w:r>
      <w:r w:rsidRPr="0002056A">
        <w:rPr>
          <w:rFonts w:ascii="Georgia" w:hAnsi="Georgia" w:cs="Times New Roman"/>
          <w:color w:val="auto"/>
          <w:sz w:val="22"/>
          <w:szCs w:val="22"/>
          <w:lang w:val="en-GB"/>
        </w:rPr>
        <w:t xml:space="preserve"> is a cultural concept, a source of understanding and belonging, manifested in everyday experience and human consciousness. </w:t>
      </w:r>
      <w:r w:rsidRPr="0002056A">
        <w:rPr>
          <w:rFonts w:ascii="Georgia" w:hAnsi="Georgia" w:cs="Times New Roman"/>
          <w:color w:val="auto"/>
          <w:sz w:val="22"/>
          <w:szCs w:val="22"/>
          <w:lang w:val="en-GB"/>
        </w:rPr>
        <w:lastRenderedPageBreak/>
        <w:t>Places are diverse as the meaning attributed to them, containing several (cultural, symbolic, etc.) layers. As opposed to Haggett, they consider place without size constraints. The attribution of a meaning to places is indicated by place naming. Existence is always a being in place. Consequently, the notion of place is always holistic that rather includes than excludes, it emphasizes relations and attributed a privileged role to difference and uniqueness (</w:t>
      </w:r>
      <w:r w:rsidRPr="0002056A">
        <w:rPr>
          <w:rFonts w:ascii="Georgia" w:hAnsi="Georgia" w:cs="Times New Roman"/>
          <w:smallCaps/>
          <w:color w:val="auto"/>
          <w:sz w:val="22"/>
          <w:szCs w:val="22"/>
          <w:lang w:val="en-GB"/>
        </w:rPr>
        <w:t>Karanika &amp;Kallioras</w:t>
      </w:r>
      <w:r w:rsidRPr="0002056A">
        <w:rPr>
          <w:rFonts w:ascii="Georgia" w:hAnsi="Georgia" w:cs="Times New Roman"/>
          <w:color w:val="auto"/>
          <w:sz w:val="22"/>
          <w:szCs w:val="22"/>
          <w:lang w:val="en-GB"/>
        </w:rPr>
        <w:t xml:space="preserve">, 2018). </w:t>
      </w:r>
    </w:p>
    <w:p w14:paraId="438AB77F" w14:textId="6A5E3D91" w:rsidR="005B166A" w:rsidRPr="0002056A" w:rsidRDefault="005B166A" w:rsidP="005B166A">
      <w:pPr>
        <w:pStyle w:val="Default"/>
        <w:spacing w:before="120" w:after="120"/>
        <w:jc w:val="both"/>
        <w:rPr>
          <w:rFonts w:ascii="Georgia" w:hAnsi="Georgia"/>
          <w:color w:val="auto"/>
          <w:sz w:val="22"/>
          <w:szCs w:val="22"/>
          <w:lang w:val="en-GB"/>
        </w:rPr>
      </w:pPr>
      <w:r w:rsidRPr="0002056A">
        <w:rPr>
          <w:rFonts w:ascii="Georgia" w:hAnsi="Georgia" w:cs="Times New Roman"/>
          <w:color w:val="auto"/>
          <w:sz w:val="22"/>
          <w:szCs w:val="22"/>
          <w:lang w:val="en-GB"/>
        </w:rPr>
        <w:t xml:space="preserve">Karanika&amp;Kallioras also underline that </w:t>
      </w:r>
      <w:r w:rsidRPr="0002056A">
        <w:rPr>
          <w:rFonts w:ascii="Georgia" w:hAnsi="Georgia"/>
          <w:color w:val="auto"/>
          <w:sz w:val="22"/>
          <w:szCs w:val="22"/>
          <w:lang w:val="en-GB"/>
        </w:rPr>
        <w:t xml:space="preserve">perception and conception of </w:t>
      </w:r>
      <w:r w:rsidRPr="0002056A">
        <w:rPr>
          <w:rFonts w:ascii="Georgia" w:hAnsi="Georgia"/>
          <w:b/>
          <w:bCs/>
          <w:color w:val="auto"/>
          <w:sz w:val="22"/>
          <w:szCs w:val="22"/>
          <w:lang w:val="en-GB"/>
        </w:rPr>
        <w:t>territoriality</w:t>
      </w:r>
      <w:r w:rsidRPr="0002056A">
        <w:rPr>
          <w:rFonts w:ascii="Georgia" w:hAnsi="Georgia"/>
          <w:color w:val="auto"/>
          <w:sz w:val="22"/>
          <w:szCs w:val="22"/>
          <w:lang w:val="en-GB"/>
        </w:rPr>
        <w:t xml:space="preserve">, which is an inherent characteristic of the </w:t>
      </w:r>
      <w:r w:rsidRPr="0002056A">
        <w:rPr>
          <w:rFonts w:ascii="Georgia" w:hAnsi="Georgia"/>
          <w:b/>
          <w:bCs/>
          <w:color w:val="auto"/>
          <w:sz w:val="22"/>
          <w:szCs w:val="22"/>
          <w:lang w:val="en-GB"/>
        </w:rPr>
        <w:t>territory</w:t>
      </w:r>
      <w:r w:rsidRPr="0002056A">
        <w:rPr>
          <w:rFonts w:ascii="Georgia" w:hAnsi="Georgia"/>
          <w:color w:val="auto"/>
          <w:sz w:val="22"/>
          <w:szCs w:val="22"/>
          <w:lang w:val="en-GB"/>
        </w:rPr>
        <w:t xml:space="preserve">, contributes to the emergence of issues related to the exercise and limitation of power in a given space. The concept of territory is adjacent to the concept of land and terrain, rooted back to the period of the Middle Ages up to the 17th century when territorium and </w:t>
      </w:r>
      <w:r w:rsidR="007133D4" w:rsidRPr="0002056A">
        <w:rPr>
          <w:rFonts w:ascii="Georgia" w:hAnsi="Georgia"/>
          <w:color w:val="auto"/>
          <w:sz w:val="22"/>
          <w:szCs w:val="22"/>
          <w:lang w:val="en-GB"/>
        </w:rPr>
        <w:t>jurisdiction</w:t>
      </w:r>
      <w:r w:rsidRPr="0002056A">
        <w:rPr>
          <w:rFonts w:ascii="Georgia" w:hAnsi="Georgia"/>
          <w:color w:val="auto"/>
          <w:sz w:val="22"/>
          <w:szCs w:val="22"/>
          <w:lang w:val="en-GB"/>
        </w:rPr>
        <w:t xml:space="preserve"> went hand in hand</w:t>
      </w:r>
      <w:r w:rsidRPr="0002056A">
        <w:rPr>
          <w:rStyle w:val="Lbjegyzet-hivatkozs"/>
          <w:rFonts w:ascii="Georgia" w:hAnsi="Georgia"/>
          <w:color w:val="auto"/>
          <w:sz w:val="22"/>
          <w:szCs w:val="22"/>
          <w:lang w:val="en-GB"/>
        </w:rPr>
        <w:footnoteReference w:id="108"/>
      </w:r>
      <w:r w:rsidRPr="0002056A">
        <w:rPr>
          <w:rFonts w:ascii="Georgia" w:hAnsi="Georgia"/>
          <w:color w:val="auto"/>
          <w:sz w:val="22"/>
          <w:szCs w:val="22"/>
          <w:lang w:val="en-GB"/>
        </w:rPr>
        <w:t xml:space="preserve"> (</w:t>
      </w:r>
      <w:r w:rsidRPr="0002056A">
        <w:rPr>
          <w:rFonts w:ascii="Georgia" w:hAnsi="Georgia" w:cs="Times New Roman"/>
          <w:smallCaps/>
          <w:color w:val="auto"/>
          <w:sz w:val="22"/>
          <w:szCs w:val="22"/>
          <w:lang w:val="en-GB"/>
        </w:rPr>
        <w:t>Karanika &amp;Kallioras</w:t>
      </w:r>
      <w:r w:rsidRPr="0002056A">
        <w:rPr>
          <w:rFonts w:ascii="Georgia" w:hAnsi="Georgia"/>
          <w:color w:val="auto"/>
          <w:sz w:val="22"/>
          <w:szCs w:val="22"/>
          <w:lang w:val="en-GB"/>
        </w:rPr>
        <w:t>, 2018). Foucault’s territory concept has similar geographical, legal, political and jurisdictional implications; an area that is controlled through the exercise of power (</w:t>
      </w:r>
      <w:r w:rsidRPr="0002056A">
        <w:rPr>
          <w:rFonts w:ascii="Georgia" w:hAnsi="Georgia"/>
          <w:smallCaps/>
          <w:color w:val="auto"/>
          <w:sz w:val="22"/>
          <w:szCs w:val="22"/>
          <w:lang w:val="en-GB"/>
        </w:rPr>
        <w:t>Foucault, 2007</w:t>
      </w:r>
      <w:r w:rsidRPr="0002056A">
        <w:rPr>
          <w:rFonts w:ascii="Georgia" w:hAnsi="Georgia"/>
          <w:color w:val="auto"/>
          <w:sz w:val="22"/>
          <w:szCs w:val="22"/>
          <w:lang w:val="en-GB"/>
        </w:rPr>
        <w:t>). Elden considers the combination of economy, strategy, law and technique to be decisive for the definition of the territory, which is, also, a political development. Territoriality, consequently, is a phenomenal behaviour, linking space organization with spheres of influence and delimited areas and transformed them into units of influence (</w:t>
      </w:r>
      <w:r w:rsidRPr="0002056A">
        <w:rPr>
          <w:rFonts w:ascii="Georgia" w:hAnsi="Georgia"/>
          <w:smallCaps/>
          <w:color w:val="auto"/>
          <w:sz w:val="22"/>
          <w:szCs w:val="22"/>
          <w:lang w:val="en-GB"/>
        </w:rPr>
        <w:t>Elden, 2013</w:t>
      </w:r>
      <w:r w:rsidRPr="0002056A">
        <w:rPr>
          <w:rFonts w:ascii="Georgia" w:hAnsi="Georgia"/>
          <w:color w:val="auto"/>
          <w:sz w:val="22"/>
          <w:szCs w:val="22"/>
          <w:lang w:val="en-GB"/>
        </w:rPr>
        <w:t>). Soja also emphasised that territory is the political organization of the area, with the main objective of creating and maintaining solidarity within society (</w:t>
      </w:r>
      <w:r w:rsidRPr="0002056A">
        <w:rPr>
          <w:rFonts w:ascii="Georgia" w:hAnsi="Georgia"/>
          <w:smallCaps/>
          <w:color w:val="auto"/>
          <w:sz w:val="22"/>
          <w:szCs w:val="22"/>
          <w:lang w:val="en-GB"/>
        </w:rPr>
        <w:t>Soja, 1971</w:t>
      </w:r>
      <w:r w:rsidRPr="0002056A">
        <w:rPr>
          <w:rFonts w:ascii="Georgia" w:hAnsi="Georgia"/>
          <w:color w:val="auto"/>
          <w:sz w:val="22"/>
          <w:szCs w:val="22"/>
          <w:lang w:val="en-GB"/>
        </w:rPr>
        <w:t>); and similarly, Painter considers territory as the quintessential, but under-theorised state space, that can be interpreted as an outcome of social-technical practices, a product of relational networks (</w:t>
      </w:r>
      <w:r w:rsidRPr="0002056A">
        <w:rPr>
          <w:rFonts w:ascii="Georgia" w:hAnsi="Georgia"/>
          <w:smallCaps/>
          <w:color w:val="auto"/>
          <w:sz w:val="22"/>
          <w:szCs w:val="22"/>
          <w:lang w:val="en-GB"/>
        </w:rPr>
        <w:t>Painter, 2010</w:t>
      </w:r>
      <w:r w:rsidRPr="0002056A">
        <w:rPr>
          <w:rFonts w:ascii="Georgia" w:hAnsi="Georgia"/>
          <w:color w:val="auto"/>
          <w:sz w:val="22"/>
          <w:szCs w:val="22"/>
          <w:lang w:val="en-GB"/>
        </w:rPr>
        <w:t xml:space="preserve">). </w:t>
      </w:r>
      <w:r w:rsidRPr="0002056A">
        <w:rPr>
          <w:rFonts w:ascii="Georgia" w:hAnsi="Georgia"/>
          <w:sz w:val="22"/>
          <w:szCs w:val="22"/>
          <w:lang w:val="en-GB"/>
        </w:rPr>
        <w:t>Faludi added that territorialism is a fundamental principle of spatial organization, and territoriality is the control over territories (</w:t>
      </w:r>
      <w:r w:rsidRPr="0002056A">
        <w:rPr>
          <w:rFonts w:ascii="Georgia" w:hAnsi="Georgia"/>
          <w:smallCaps/>
          <w:sz w:val="22"/>
          <w:szCs w:val="22"/>
          <w:lang w:val="en-GB"/>
        </w:rPr>
        <w:t>Faludi, 2012</w:t>
      </w:r>
      <w:r w:rsidRPr="0002056A">
        <w:rPr>
          <w:rFonts w:ascii="Georgia" w:hAnsi="Georgia"/>
          <w:sz w:val="22"/>
          <w:szCs w:val="22"/>
          <w:lang w:val="en-GB"/>
        </w:rPr>
        <w:t>, 2016).</w:t>
      </w:r>
    </w:p>
    <w:p w14:paraId="3BAE6704" w14:textId="77777777" w:rsidR="005B166A" w:rsidRPr="0002056A" w:rsidRDefault="005B166A" w:rsidP="005B166A">
      <w:pPr>
        <w:pStyle w:val="Default"/>
        <w:spacing w:before="120" w:after="120"/>
        <w:jc w:val="both"/>
        <w:rPr>
          <w:rFonts w:ascii="Georgia" w:hAnsi="Georgia" w:cs="Times New Roman"/>
          <w:sz w:val="22"/>
          <w:szCs w:val="22"/>
          <w:lang w:val="en-GB"/>
        </w:rPr>
      </w:pPr>
      <w:r w:rsidRPr="0002056A">
        <w:rPr>
          <w:rFonts w:ascii="Georgia" w:hAnsi="Georgia"/>
          <w:color w:val="auto"/>
          <w:sz w:val="22"/>
          <w:szCs w:val="22"/>
          <w:lang w:val="en-GB"/>
        </w:rPr>
        <w:t xml:space="preserve">In the above introduced framework space is a limitless surface yet, while </w:t>
      </w:r>
      <w:r w:rsidRPr="0002056A">
        <w:rPr>
          <w:rFonts w:ascii="Georgia" w:hAnsi="Georgia"/>
          <w:b/>
          <w:bCs/>
          <w:color w:val="auto"/>
          <w:sz w:val="22"/>
          <w:szCs w:val="22"/>
          <w:lang w:val="en-GB"/>
        </w:rPr>
        <w:t>regions</w:t>
      </w:r>
      <w:r w:rsidRPr="0002056A">
        <w:rPr>
          <w:rFonts w:ascii="Georgia" w:hAnsi="Georgia"/>
          <w:color w:val="auto"/>
          <w:sz w:val="22"/>
          <w:szCs w:val="22"/>
          <w:lang w:val="en-GB"/>
        </w:rPr>
        <w:t xml:space="preserve"> have boundaries. The surface can be regarded as the sum of the regions and to analyse the spatiality of society is therefore focuses on the examination of the surface and its regions (</w:t>
      </w:r>
      <w:r w:rsidRPr="0002056A">
        <w:rPr>
          <w:rFonts w:ascii="Georgia" w:hAnsi="Georgia"/>
          <w:smallCaps/>
          <w:color w:val="auto"/>
          <w:sz w:val="22"/>
          <w:szCs w:val="22"/>
          <w:lang w:val="en-GB"/>
        </w:rPr>
        <w:t>Dusek, 2004</w:t>
      </w:r>
      <w:r w:rsidRPr="0002056A">
        <w:rPr>
          <w:rFonts w:ascii="Georgia" w:hAnsi="Georgia"/>
          <w:color w:val="auto"/>
          <w:sz w:val="22"/>
          <w:szCs w:val="22"/>
          <w:lang w:val="en-GB"/>
        </w:rPr>
        <w:t xml:space="preserve">). </w:t>
      </w:r>
      <w:r w:rsidRPr="0002056A">
        <w:rPr>
          <w:rFonts w:ascii="Georgia" w:hAnsi="Georgia" w:cs="Times New Roman"/>
          <w:sz w:val="22"/>
          <w:szCs w:val="22"/>
          <w:lang w:val="en-GB"/>
        </w:rPr>
        <w:t xml:space="preserve">Taylor pays attention for two basic types of regions: </w:t>
      </w:r>
      <w:r w:rsidRPr="0002056A">
        <w:rPr>
          <w:rFonts w:ascii="Georgia" w:hAnsi="Georgia" w:cs="Times New Roman"/>
          <w:i/>
          <w:iCs/>
          <w:sz w:val="22"/>
          <w:szCs w:val="22"/>
          <w:lang w:val="en-GB"/>
        </w:rPr>
        <w:t>formal and functional</w:t>
      </w:r>
      <w:r w:rsidRPr="0002056A">
        <w:rPr>
          <w:rFonts w:ascii="Georgia" w:hAnsi="Georgia" w:cs="Times New Roman"/>
          <w:sz w:val="22"/>
          <w:szCs w:val="22"/>
          <w:lang w:val="en-GB"/>
        </w:rPr>
        <w:t xml:space="preserve"> ones. One formal region differs from other formal regions because it contains unique content across its areal extent; meanwhile functional regions are defined by connections, typically linking together different contents in areal terms. Initially the formal regions dominated thinking and policy making but regional geography designated </w:t>
      </w:r>
      <w:r w:rsidRPr="0002056A">
        <w:rPr>
          <w:rFonts w:ascii="Georgia" w:hAnsi="Georgia" w:cs="Times New Roman"/>
          <w:i/>
          <w:iCs/>
          <w:sz w:val="22"/>
          <w:szCs w:val="22"/>
          <w:lang w:val="en-GB"/>
        </w:rPr>
        <w:t>geographical regions</w:t>
      </w:r>
      <w:r w:rsidRPr="0002056A">
        <w:rPr>
          <w:rFonts w:ascii="Georgia" w:hAnsi="Georgia" w:cs="Times New Roman"/>
          <w:sz w:val="22"/>
          <w:szCs w:val="22"/>
          <w:lang w:val="en-GB"/>
        </w:rPr>
        <w:t>. This elevation of synthesis over analysis made geography an unusual academic discipline, able to concentrate on both types of regional units (</w:t>
      </w:r>
      <w:r w:rsidRPr="0002056A">
        <w:rPr>
          <w:rFonts w:ascii="Georgia" w:hAnsi="Georgia" w:cs="Times New Roman"/>
          <w:smallCaps/>
          <w:sz w:val="22"/>
          <w:szCs w:val="22"/>
          <w:lang w:val="en-GB"/>
        </w:rPr>
        <w:t>Taylor, 2023</w:t>
      </w:r>
      <w:r w:rsidRPr="0002056A">
        <w:rPr>
          <w:rFonts w:ascii="Georgia" w:hAnsi="Georgia" w:cs="Times New Roman"/>
          <w:sz w:val="22"/>
          <w:szCs w:val="22"/>
          <w:lang w:val="en-GB"/>
        </w:rPr>
        <w:t>). As a consequence, regional analysis gained momentum as tools focusing on regional systems and human functional relations in place, for example, providing basis for understanding how certain regions are affected by climate change processes. The role of regions and regional approach is unavoidable if one examines climate policy’s spatiality as we saw in the previous chapters.</w:t>
      </w:r>
    </w:p>
    <w:p w14:paraId="2CB2E32A" w14:textId="1C0939AF" w:rsidR="005B166A" w:rsidRPr="0002056A" w:rsidRDefault="000D3EB7" w:rsidP="000D3EB7">
      <w:pPr>
        <w:pStyle w:val="Cmsor3"/>
        <w:rPr>
          <w:lang w:val="en-GB"/>
        </w:rPr>
      </w:pPr>
      <w:bookmarkStart w:id="76" w:name="_Toc225578888"/>
      <w:r w:rsidRPr="0002056A">
        <w:rPr>
          <w:lang w:val="en-GB"/>
        </w:rPr>
        <w:t xml:space="preserve">Annex 2b) </w:t>
      </w:r>
      <w:r w:rsidR="005B166A" w:rsidRPr="0002056A">
        <w:rPr>
          <w:lang w:val="en-GB"/>
        </w:rPr>
        <w:t>Space interpretations</w:t>
      </w:r>
      <w:bookmarkEnd w:id="76"/>
    </w:p>
    <w:p w14:paraId="65C18C83" w14:textId="77777777"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The following paragraphs go through the main space concepts and interpretations of those disciplines / fields of profession that I build my research on exploring spatiality’s presence in adaptation planning and MRE activities.</w:t>
      </w:r>
    </w:p>
    <w:p w14:paraId="4D3857A7" w14:textId="77777777" w:rsidR="005B166A" w:rsidRPr="0002056A" w:rsidRDefault="005B166A" w:rsidP="005B166A">
      <w:pPr>
        <w:pStyle w:val="Default"/>
        <w:spacing w:before="120" w:after="120"/>
        <w:jc w:val="both"/>
        <w:rPr>
          <w:rFonts w:ascii="Georgia" w:eastAsia="Times New Roman" w:hAnsi="Georgia" w:cs="Open Sans"/>
          <w:color w:val="1C1D1E"/>
          <w:sz w:val="22"/>
          <w:szCs w:val="22"/>
          <w:lang w:val="en-GB" w:eastAsia="hu-HU"/>
        </w:rPr>
      </w:pPr>
      <w:r w:rsidRPr="0002056A">
        <w:rPr>
          <w:rFonts w:ascii="Georgia" w:hAnsi="Georgia"/>
          <w:b/>
          <w:bCs/>
          <w:color w:val="auto"/>
          <w:sz w:val="22"/>
          <w:szCs w:val="22"/>
          <w:lang w:val="en-GB"/>
        </w:rPr>
        <w:t>Geography</w:t>
      </w:r>
      <w:r w:rsidRPr="0002056A">
        <w:rPr>
          <w:rFonts w:ascii="Georgia" w:hAnsi="Georgia"/>
          <w:color w:val="auto"/>
          <w:sz w:val="22"/>
          <w:szCs w:val="22"/>
          <w:lang w:val="en-GB"/>
        </w:rPr>
        <w:t xml:space="preserve"> is one of the most significant space-oriented disciplines; its space interpretation creates the foundations of many others, as a discipline that studies the characteristics and patterns of the natural and anthropogenic environment’s interactions (</w:t>
      </w:r>
      <w:r w:rsidRPr="0002056A">
        <w:rPr>
          <w:rFonts w:ascii="Georgia" w:hAnsi="Georgia"/>
          <w:smallCaps/>
          <w:color w:val="auto"/>
          <w:sz w:val="22"/>
          <w:szCs w:val="22"/>
          <w:lang w:val="en-GB"/>
        </w:rPr>
        <w:t>Cohen, 2015</w:t>
      </w:r>
      <w:r w:rsidRPr="0002056A">
        <w:rPr>
          <w:rFonts w:ascii="Georgia" w:hAnsi="Georgia"/>
          <w:color w:val="auto"/>
          <w:sz w:val="22"/>
          <w:szCs w:val="22"/>
          <w:lang w:val="en-GB"/>
        </w:rPr>
        <w:t xml:space="preserve">) The mainstream practice of contemporary geography became bi-disciplinary – half in environmental science, half in social science – says Taylor – and the two branches of geography [natural and human (social/economic)] exist quasi independently from each other, departing from the long-term tradition of focusing on relations between people and environment. With anthropogenic climate change gaining momentum globally, according to the author, the time </w:t>
      </w:r>
      <w:r w:rsidRPr="0002056A">
        <w:rPr>
          <w:rFonts w:ascii="Georgia" w:hAnsi="Georgia"/>
          <w:color w:val="auto"/>
          <w:sz w:val="22"/>
          <w:szCs w:val="22"/>
          <w:lang w:val="en-GB"/>
        </w:rPr>
        <w:lastRenderedPageBreak/>
        <w:t>has come for revitalization of the dual</w:t>
      </w:r>
      <w:r w:rsidRPr="0002056A">
        <w:rPr>
          <w:rFonts w:ascii="Georgia" w:eastAsia="Times New Roman" w:hAnsi="Georgia" w:cs="Open Sans"/>
          <w:color w:val="1C1D1E"/>
          <w:sz w:val="22"/>
          <w:szCs w:val="22"/>
          <w:lang w:val="en-GB" w:eastAsia="hu-HU"/>
        </w:rPr>
        <w:t xml:space="preserve"> focus on human and environmental factors in geography, says the author (</w:t>
      </w:r>
      <w:r w:rsidRPr="0002056A">
        <w:rPr>
          <w:rFonts w:ascii="Georgia" w:hAnsi="Georgia"/>
          <w:smallCaps/>
          <w:sz w:val="22"/>
          <w:szCs w:val="22"/>
          <w:lang w:val="en-GB"/>
        </w:rPr>
        <w:t>Taylor, 2023</w:t>
      </w:r>
      <w:r w:rsidRPr="0002056A">
        <w:rPr>
          <w:rFonts w:ascii="Georgia" w:eastAsia="Times New Roman" w:hAnsi="Georgia" w:cs="Open Sans"/>
          <w:color w:val="1C1D1E"/>
          <w:sz w:val="22"/>
          <w:szCs w:val="22"/>
          <w:lang w:val="en-GB" w:eastAsia="hu-HU"/>
        </w:rPr>
        <w:t>).</w:t>
      </w:r>
    </w:p>
    <w:p w14:paraId="05878840" w14:textId="77777777" w:rsidR="005B166A" w:rsidRPr="0002056A" w:rsidRDefault="005B166A" w:rsidP="005B166A">
      <w:pPr>
        <w:pStyle w:val="Default"/>
        <w:spacing w:before="120" w:after="120"/>
        <w:jc w:val="both"/>
        <w:rPr>
          <w:rFonts w:ascii="Georgia" w:hAnsi="Georgia"/>
          <w:color w:val="auto"/>
          <w:sz w:val="22"/>
          <w:szCs w:val="22"/>
          <w:lang w:val="en-GB"/>
        </w:rPr>
      </w:pPr>
      <w:r w:rsidRPr="0002056A">
        <w:rPr>
          <w:rFonts w:ascii="Georgia" w:hAnsi="Georgia"/>
          <w:color w:val="auto"/>
          <w:sz w:val="22"/>
          <w:szCs w:val="22"/>
          <w:lang w:val="en-GB"/>
        </w:rPr>
        <w:t xml:space="preserve">The basis of the discipline’s approach derives basically </w:t>
      </w:r>
      <w:r w:rsidRPr="0002056A">
        <w:rPr>
          <w:rFonts w:ascii="Georgia" w:hAnsi="Georgia"/>
          <w:b/>
          <w:bCs/>
          <w:color w:val="auto"/>
          <w:sz w:val="22"/>
          <w:szCs w:val="22"/>
          <w:lang w:val="en-GB"/>
        </w:rPr>
        <w:t xml:space="preserve">from environmental (natural) geography </w:t>
      </w:r>
      <w:r w:rsidRPr="0002056A">
        <w:rPr>
          <w:rFonts w:ascii="Georgia" w:hAnsi="Georgia"/>
          <w:color w:val="auto"/>
          <w:sz w:val="22"/>
          <w:szCs w:val="22"/>
          <w:lang w:val="en-GB"/>
        </w:rPr>
        <w:t xml:space="preserve">that </w:t>
      </w:r>
      <w:r w:rsidRPr="0002056A">
        <w:rPr>
          <w:rFonts w:ascii="Georgia" w:hAnsi="Georgia"/>
          <w:i/>
          <w:iCs/>
          <w:color w:val="auto"/>
          <w:sz w:val="22"/>
          <w:szCs w:val="22"/>
          <w:lang w:val="en-GB"/>
        </w:rPr>
        <w:t>interprets space with empirical tools based on natural sciences’ positivism/realism</w:t>
      </w:r>
      <w:r w:rsidRPr="0002056A">
        <w:rPr>
          <w:rFonts w:ascii="Georgia" w:hAnsi="Georgia"/>
          <w:color w:val="auto"/>
          <w:sz w:val="22"/>
          <w:szCs w:val="22"/>
          <w:lang w:val="en-GB"/>
        </w:rPr>
        <w:t xml:space="preserve">, regarding </w:t>
      </w:r>
      <w:r w:rsidRPr="0002056A">
        <w:rPr>
          <w:rFonts w:ascii="Georgia" w:hAnsi="Georgia"/>
          <w:i/>
          <w:iCs/>
          <w:color w:val="auto"/>
          <w:sz w:val="22"/>
          <w:szCs w:val="22"/>
          <w:lang w:val="en-GB"/>
        </w:rPr>
        <w:t>space as an external endowment, providing the roots of the generally known absolutist space concept</w:t>
      </w:r>
      <w:r w:rsidRPr="0002056A">
        <w:rPr>
          <w:rFonts w:ascii="Georgia" w:hAnsi="Georgia"/>
          <w:color w:val="auto"/>
          <w:sz w:val="22"/>
          <w:szCs w:val="22"/>
          <w:lang w:val="en-GB"/>
        </w:rPr>
        <w:t xml:space="preserve"> (the well-known three-dimensional space without preferred points, an „</w:t>
      </w:r>
      <w:r w:rsidRPr="0002056A">
        <w:rPr>
          <w:rFonts w:ascii="Georgia" w:hAnsi="Georgia"/>
          <w:i/>
          <w:color w:val="auto"/>
          <w:sz w:val="22"/>
          <w:szCs w:val="22"/>
          <w:lang w:val="en-GB"/>
        </w:rPr>
        <w:t>empty form that can be freely filled in</w:t>
      </w:r>
      <w:r w:rsidRPr="0002056A">
        <w:rPr>
          <w:rFonts w:ascii="Georgia" w:hAnsi="Georgia"/>
          <w:color w:val="auto"/>
          <w:sz w:val="22"/>
          <w:szCs w:val="22"/>
          <w:lang w:val="en-GB"/>
        </w:rPr>
        <w:t>”) (</w:t>
      </w:r>
      <w:r w:rsidRPr="0002056A">
        <w:rPr>
          <w:rFonts w:ascii="Georgia" w:hAnsi="Georgia"/>
          <w:smallCaps/>
          <w:color w:val="auto"/>
          <w:sz w:val="22"/>
          <w:szCs w:val="22"/>
          <w:lang w:val="en-GB"/>
        </w:rPr>
        <w:t>Faragó L., 2012, p. 8-9</w:t>
      </w:r>
      <w:r w:rsidRPr="0002056A">
        <w:rPr>
          <w:rFonts w:ascii="Georgia" w:hAnsi="Georgia"/>
          <w:color w:val="auto"/>
          <w:sz w:val="22"/>
          <w:szCs w:val="22"/>
          <w:lang w:val="en-GB"/>
        </w:rPr>
        <w:t xml:space="preserve">; </w:t>
      </w:r>
      <w:r w:rsidRPr="0002056A">
        <w:rPr>
          <w:rFonts w:ascii="Georgia" w:hAnsi="Georgia"/>
          <w:smallCaps/>
          <w:color w:val="auto"/>
          <w:sz w:val="22"/>
          <w:szCs w:val="22"/>
          <w:lang w:val="en-GB"/>
        </w:rPr>
        <w:t>Nemes-Nagy</w:t>
      </w:r>
      <w:r w:rsidRPr="0002056A">
        <w:rPr>
          <w:rFonts w:ascii="Georgia" w:hAnsi="Georgia"/>
          <w:color w:val="auto"/>
          <w:sz w:val="22"/>
          <w:szCs w:val="22"/>
          <w:lang w:val="en-GB"/>
        </w:rPr>
        <w:t>, 1998; D</w:t>
      </w:r>
      <w:r w:rsidRPr="0002056A">
        <w:rPr>
          <w:rFonts w:ascii="Georgia" w:hAnsi="Georgia"/>
          <w:smallCaps/>
          <w:color w:val="auto"/>
          <w:sz w:val="22"/>
          <w:szCs w:val="22"/>
          <w:lang w:val="en-GB"/>
        </w:rPr>
        <w:t>usek, 2004</w:t>
      </w:r>
      <w:r w:rsidRPr="0002056A">
        <w:rPr>
          <w:rFonts w:ascii="Georgia" w:hAnsi="Georgia"/>
          <w:color w:val="auto"/>
          <w:sz w:val="22"/>
          <w:szCs w:val="22"/>
          <w:lang w:val="en-GB"/>
        </w:rPr>
        <w:t>). Additionally, there is an ordering force in space deriving from its substance as an independent variable that affects its elements. Korompai calls our attention to the character of space as an objective entity with its own structure, based on the special dualism of continuity of space and division of the things in the “container” (</w:t>
      </w:r>
      <w:r w:rsidRPr="0002056A">
        <w:rPr>
          <w:rFonts w:ascii="Georgia" w:hAnsi="Georgia"/>
          <w:smallCaps/>
          <w:color w:val="auto"/>
          <w:sz w:val="22"/>
          <w:szCs w:val="22"/>
          <w:lang w:val="en-GB"/>
        </w:rPr>
        <w:t xml:space="preserve">Korompai, 1995). </w:t>
      </w:r>
      <w:r w:rsidRPr="0002056A">
        <w:rPr>
          <w:rFonts w:ascii="Georgia" w:hAnsi="Georgia"/>
          <w:color w:val="auto"/>
          <w:sz w:val="22"/>
          <w:szCs w:val="22"/>
          <w:lang w:val="en-GB"/>
        </w:rPr>
        <w:t>The described features, e.g. the container-like space, are the essence of the absolutist space interpretation.</w:t>
      </w:r>
      <w:r w:rsidRPr="0002056A">
        <w:rPr>
          <w:rStyle w:val="Lbjegyzet-hivatkozs"/>
          <w:rFonts w:ascii="Georgia" w:hAnsi="Georgia"/>
          <w:color w:val="auto"/>
          <w:sz w:val="22"/>
          <w:szCs w:val="22"/>
          <w:lang w:val="en-GB"/>
        </w:rPr>
        <w:footnoteReference w:id="109"/>
      </w:r>
      <w:r w:rsidRPr="0002056A">
        <w:rPr>
          <w:rFonts w:ascii="Georgia" w:hAnsi="Georgia"/>
          <w:color w:val="auto"/>
          <w:sz w:val="22"/>
          <w:szCs w:val="22"/>
          <w:lang w:val="en-GB"/>
        </w:rPr>
        <w:t>In this approach it is not difficult to recognize similarities with the geographical space of climate change as frameworks of climatic processes (“the container” in which these processes are taking place) and at the same time the space is also affected by those processes.</w:t>
      </w:r>
    </w:p>
    <w:p w14:paraId="3B82A5EA" w14:textId="77777777" w:rsidR="005B166A" w:rsidRPr="0002056A" w:rsidRDefault="005B166A" w:rsidP="005B166A">
      <w:pPr>
        <w:pStyle w:val="Default"/>
        <w:spacing w:before="120" w:after="120"/>
        <w:jc w:val="both"/>
        <w:rPr>
          <w:rFonts w:ascii="Georgia" w:hAnsi="Georgia"/>
          <w:sz w:val="22"/>
          <w:szCs w:val="22"/>
          <w:lang w:val="en-GB"/>
        </w:rPr>
      </w:pPr>
      <w:r w:rsidRPr="0002056A">
        <w:rPr>
          <w:rFonts w:ascii="Georgia" w:hAnsi="Georgia"/>
          <w:sz w:val="22"/>
          <w:szCs w:val="22"/>
          <w:lang w:val="en-GB"/>
        </w:rPr>
        <w:t xml:space="preserve">Environmental geography’s mostly absolute space interpretation and geography’s earlier mentioned space, place and territory concepts (delimited/limitless geographical areas with abstract or concrete meaning) have basically still the biggest impact on human space interpretation </w:t>
      </w:r>
      <w:r w:rsidRPr="0002056A">
        <w:rPr>
          <w:rFonts w:ascii="Georgia" w:hAnsi="Georgia"/>
          <w:color w:val="auto"/>
          <w:sz w:val="22"/>
          <w:szCs w:val="22"/>
          <w:lang w:val="en-GB"/>
        </w:rPr>
        <w:t>(</w:t>
      </w:r>
      <w:r w:rsidRPr="0002056A">
        <w:rPr>
          <w:rFonts w:ascii="Georgia" w:hAnsi="Georgia"/>
          <w:smallCaps/>
          <w:color w:val="auto"/>
          <w:sz w:val="22"/>
          <w:szCs w:val="22"/>
          <w:lang w:val="en-GB"/>
        </w:rPr>
        <w:t>Faragó L., 2012</w:t>
      </w:r>
      <w:r w:rsidRPr="0002056A">
        <w:rPr>
          <w:rFonts w:ascii="Georgia" w:hAnsi="Georgia"/>
          <w:color w:val="auto"/>
          <w:sz w:val="22"/>
          <w:szCs w:val="22"/>
          <w:lang w:val="en-GB"/>
        </w:rPr>
        <w:t>)</w:t>
      </w:r>
      <w:r w:rsidRPr="0002056A">
        <w:rPr>
          <w:rFonts w:ascii="Georgia" w:hAnsi="Georgia"/>
          <w:sz w:val="22"/>
          <w:szCs w:val="22"/>
          <w:lang w:val="en-GB"/>
        </w:rPr>
        <w:t xml:space="preserve"> and as such, will form one basis of the spatial approach of the current research. However, the earlier mentioned remarks of </w:t>
      </w:r>
      <w:r w:rsidRPr="0002056A">
        <w:rPr>
          <w:rFonts w:ascii="Georgia" w:hAnsi="Georgia"/>
          <w:smallCaps/>
          <w:sz w:val="22"/>
          <w:szCs w:val="22"/>
          <w:lang w:val="en-GB"/>
        </w:rPr>
        <w:t>Faragó</w:t>
      </w:r>
      <w:r w:rsidRPr="0002056A">
        <w:rPr>
          <w:rFonts w:ascii="Georgia" w:hAnsi="Georgia"/>
          <w:sz w:val="22"/>
          <w:szCs w:val="22"/>
          <w:lang w:val="en-GB"/>
        </w:rPr>
        <w:t>, namely the postmodern interpretations of space as a conceptual base for „</w:t>
      </w:r>
      <w:r w:rsidRPr="0002056A">
        <w:rPr>
          <w:rFonts w:ascii="Georgia" w:hAnsi="Georgia"/>
          <w:i/>
          <w:sz w:val="22"/>
          <w:szCs w:val="22"/>
          <w:lang w:val="en-GB"/>
        </w:rPr>
        <w:t>spatial structures</w:t>
      </w:r>
      <w:r w:rsidRPr="0002056A">
        <w:rPr>
          <w:rFonts w:ascii="Georgia" w:hAnsi="Georgia"/>
          <w:sz w:val="22"/>
          <w:szCs w:val="22"/>
          <w:lang w:val="en-GB"/>
        </w:rPr>
        <w:t>” where space is the „</w:t>
      </w:r>
      <w:r w:rsidRPr="0002056A">
        <w:rPr>
          <w:rFonts w:ascii="Georgia" w:hAnsi="Georgia"/>
          <w:i/>
          <w:sz w:val="22"/>
          <w:szCs w:val="22"/>
          <w:lang w:val="en-GB"/>
        </w:rPr>
        <w:t>relational system</w:t>
      </w:r>
      <w:r w:rsidRPr="0002056A">
        <w:rPr>
          <w:rFonts w:ascii="Georgia" w:hAnsi="Georgia"/>
          <w:sz w:val="22"/>
          <w:szCs w:val="22"/>
          <w:lang w:val="en-GB"/>
        </w:rPr>
        <w:t>, lead us further from absolutist interpretations to the relativist approaches.</w:t>
      </w:r>
      <w:r w:rsidRPr="0002056A">
        <w:rPr>
          <w:rFonts w:ascii="Georgia" w:eastAsia="Times New Roman" w:hAnsi="Georgia" w:cs="Open Sans"/>
          <w:color w:val="1C1D1E"/>
          <w:sz w:val="22"/>
          <w:szCs w:val="22"/>
          <w:lang w:val="en-GB" w:eastAsia="hu-HU"/>
        </w:rPr>
        <w:t xml:space="preserve"> </w:t>
      </w:r>
    </w:p>
    <w:p w14:paraId="1E23D15C" w14:textId="608EE6A3"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 xml:space="preserve">Going further into the sub-branches of geography, the also geographical space-oriented </w:t>
      </w:r>
      <w:r w:rsidRPr="0002056A">
        <w:rPr>
          <w:rFonts w:ascii="Georgia" w:hAnsi="Georgia"/>
          <w:b/>
          <w:bCs/>
          <w:lang w:val="en-GB"/>
        </w:rPr>
        <w:t>economic and social geography</w:t>
      </w:r>
      <w:r w:rsidRPr="0002056A">
        <w:rPr>
          <w:rFonts w:ascii="Georgia" w:hAnsi="Georgia"/>
          <w:lang w:val="en-GB"/>
        </w:rPr>
        <w:t xml:space="preserve"> use a similar interpretation than environmental geography but with a special focus: it </w:t>
      </w:r>
      <w:r w:rsidRPr="0002056A">
        <w:rPr>
          <w:rFonts w:ascii="Georgia" w:hAnsi="Georgia"/>
          <w:i/>
          <w:iCs/>
          <w:lang w:val="en-GB"/>
        </w:rPr>
        <w:t xml:space="preserve">examines the </w:t>
      </w:r>
      <w:r w:rsidR="00D57247" w:rsidRPr="0002056A">
        <w:rPr>
          <w:rFonts w:ascii="Georgia" w:hAnsi="Georgia"/>
          <w:i/>
          <w:iCs/>
          <w:lang w:val="en-GB"/>
        </w:rPr>
        <w:t xml:space="preserve">natural spatiality of </w:t>
      </w:r>
      <w:r w:rsidRPr="0002056A">
        <w:rPr>
          <w:rFonts w:ascii="Georgia" w:hAnsi="Georgia"/>
          <w:i/>
          <w:iCs/>
          <w:lang w:val="en-GB"/>
        </w:rPr>
        <w:t>society and economy.</w:t>
      </w:r>
      <w:r w:rsidRPr="0002056A">
        <w:rPr>
          <w:rFonts w:ascii="Georgia" w:hAnsi="Georgia"/>
          <w:lang w:val="en-GB"/>
        </w:rPr>
        <w:t xml:space="preserve"> Here the other main approach, the relativist space interpretation comes into our attention that interprets space as a system of relations between objects (objective beings), as the order of coexistence, the division of spatial elements and their relations create the continuity of space (</w:t>
      </w:r>
      <w:r w:rsidRPr="0002056A">
        <w:rPr>
          <w:rFonts w:ascii="Georgia" w:hAnsi="Georgia"/>
          <w:smallCaps/>
          <w:lang w:val="en-GB"/>
        </w:rPr>
        <w:t>Korompai, 1995; Nemes-Nagy, 1998 and 2009; Dusek, 2004</w:t>
      </w:r>
      <w:r w:rsidRPr="0002056A">
        <w:rPr>
          <w:rFonts w:ascii="Georgia" w:hAnsi="Georgia"/>
          <w:lang w:val="en-GB"/>
        </w:rPr>
        <w:t>). Consequently, the main focus of social and economic geography is on places, positions and regions (</w:t>
      </w:r>
      <w:r w:rsidRPr="0002056A">
        <w:rPr>
          <w:rFonts w:ascii="Georgia" w:hAnsi="Georgia"/>
          <w:smallCaps/>
          <w:lang w:val="en-GB"/>
        </w:rPr>
        <w:t>Nemes-Nagy, 1998</w:t>
      </w:r>
      <w:r w:rsidRPr="0002056A">
        <w:rPr>
          <w:rFonts w:ascii="Georgia" w:hAnsi="Georgia"/>
          <w:lang w:val="en-GB"/>
        </w:rPr>
        <w:t>). Others also define the relational concept that emphasises space’s nature as a social construction resulting inherent spatiality in all relations (</w:t>
      </w:r>
      <w:r w:rsidRPr="0002056A">
        <w:rPr>
          <w:rFonts w:ascii="Georgia" w:hAnsi="Georgia" w:cstheme="minorHAnsi"/>
          <w:smallCaps/>
          <w:lang w:val="en-GB"/>
        </w:rPr>
        <w:t>Amin, 2002</w:t>
      </w:r>
      <w:r w:rsidRPr="0002056A">
        <w:rPr>
          <w:rFonts w:ascii="Georgia" w:hAnsi="Georgia"/>
          <w:lang w:val="en-GB"/>
        </w:rPr>
        <w:t xml:space="preserve">; </w:t>
      </w:r>
      <w:r w:rsidRPr="0002056A">
        <w:rPr>
          <w:rFonts w:ascii="Georgia" w:hAnsi="Georgia" w:cstheme="minorHAnsi"/>
          <w:smallCaps/>
          <w:lang w:val="en-GB"/>
        </w:rPr>
        <w:t>Healy, 2004</w:t>
      </w:r>
      <w:r w:rsidRPr="0002056A">
        <w:rPr>
          <w:rFonts w:ascii="Georgia" w:hAnsi="Georgia"/>
          <w:lang w:val="en-GB"/>
        </w:rPr>
        <w:t>).</w:t>
      </w:r>
    </w:p>
    <w:p w14:paraId="5F23779C" w14:textId="77777777" w:rsidR="005B166A" w:rsidRPr="0002056A" w:rsidRDefault="005B166A" w:rsidP="005B166A">
      <w:pPr>
        <w:pStyle w:val="Default"/>
        <w:spacing w:before="120" w:after="120"/>
        <w:jc w:val="both"/>
        <w:rPr>
          <w:rFonts w:ascii="Georgia" w:hAnsi="Georgia"/>
          <w:color w:val="auto"/>
          <w:sz w:val="22"/>
          <w:szCs w:val="22"/>
          <w:lang w:val="en-GB"/>
        </w:rPr>
      </w:pPr>
      <w:r w:rsidRPr="0002056A">
        <w:rPr>
          <w:rFonts w:ascii="Georgia" w:hAnsi="Georgia"/>
          <w:color w:val="auto"/>
          <w:sz w:val="22"/>
          <w:szCs w:val="22"/>
          <w:lang w:val="en-GB"/>
        </w:rPr>
        <w:t xml:space="preserve">Social and economic geography regard space as a system of relations between objects, putting spatio-temporal existence in the centre where non-identity with both each other and themselves is the main ordering force. In this approach space does not derive from the nature but from the society (more exactly: from </w:t>
      </w:r>
      <w:r w:rsidRPr="0002056A">
        <w:rPr>
          <w:rFonts w:ascii="Georgia" w:hAnsi="Georgia"/>
          <w:i/>
          <w:color w:val="auto"/>
          <w:sz w:val="22"/>
          <w:szCs w:val="22"/>
          <w:lang w:val="en-GB"/>
        </w:rPr>
        <w:t xml:space="preserve">the mutual connections between the two spheres), </w:t>
      </w:r>
      <w:r w:rsidRPr="0002056A">
        <w:rPr>
          <w:rFonts w:ascii="Georgia" w:hAnsi="Georgia"/>
          <w:color w:val="auto"/>
          <w:sz w:val="22"/>
          <w:szCs w:val="22"/>
          <w:lang w:val="en-GB"/>
        </w:rPr>
        <w:t>(</w:t>
      </w:r>
      <w:r w:rsidRPr="0002056A">
        <w:rPr>
          <w:rFonts w:ascii="Georgia" w:hAnsi="Georgia"/>
          <w:smallCaps/>
          <w:color w:val="auto"/>
          <w:sz w:val="22"/>
          <w:szCs w:val="22"/>
          <w:lang w:val="en-GB"/>
        </w:rPr>
        <w:t>Faragó L., 2012</w:t>
      </w:r>
      <w:r w:rsidRPr="0002056A">
        <w:rPr>
          <w:rFonts w:ascii="Georgia" w:hAnsi="Georgia"/>
          <w:color w:val="auto"/>
          <w:sz w:val="22"/>
          <w:szCs w:val="22"/>
          <w:lang w:val="en-GB"/>
        </w:rPr>
        <w:t xml:space="preserve">). This approach is essential in the examination of spatiality in adaptation, which deals basically with differences of spatial impacts of climate change and different adaptive capacities / vulnerabilities of given regions, countries, micro or macro regions. </w:t>
      </w:r>
    </w:p>
    <w:p w14:paraId="6EB0768F" w14:textId="77777777" w:rsidR="005B166A" w:rsidRPr="0002056A" w:rsidRDefault="005B166A" w:rsidP="005B166A">
      <w:pPr>
        <w:pStyle w:val="Default"/>
        <w:spacing w:before="120" w:after="120"/>
        <w:jc w:val="both"/>
        <w:rPr>
          <w:rFonts w:ascii="Georgia" w:hAnsi="Georgia"/>
          <w:color w:val="auto"/>
          <w:sz w:val="22"/>
          <w:szCs w:val="22"/>
          <w:lang w:val="en-GB"/>
        </w:rPr>
      </w:pPr>
      <w:r w:rsidRPr="0002056A">
        <w:rPr>
          <w:rFonts w:ascii="Georgia" w:hAnsi="Georgia"/>
          <w:color w:val="auto"/>
          <w:sz w:val="22"/>
          <w:szCs w:val="22"/>
          <w:lang w:val="en-GB"/>
        </w:rPr>
        <w:t>Dusek also considers social space as the external spatial framework and subject of human activities that can be identified by geographical coordinates and described by humans’ and their communities’ features. Its materialized results exist in the natural space which fact explains the even nowadays significant weight of absolutist approach in spatial studies. Dusek also mentioned the temporality of social spaces</w:t>
      </w:r>
      <w:r w:rsidRPr="0002056A">
        <w:rPr>
          <w:rStyle w:val="Lbjegyzet-hivatkozs"/>
          <w:rFonts w:ascii="Georgia" w:hAnsi="Georgia"/>
          <w:color w:val="auto"/>
          <w:sz w:val="22"/>
          <w:szCs w:val="22"/>
          <w:lang w:val="en-GB"/>
        </w:rPr>
        <w:footnoteReference w:id="110"/>
      </w:r>
      <w:r w:rsidRPr="0002056A">
        <w:rPr>
          <w:rFonts w:ascii="Georgia" w:hAnsi="Georgia"/>
          <w:color w:val="auto"/>
          <w:sz w:val="22"/>
          <w:szCs w:val="22"/>
          <w:lang w:val="en-GB"/>
        </w:rPr>
        <w:t xml:space="preserve">. Social space’s materialized elements such as movements, points and formations of points, hierarchies, networks and surfaces have outstanding role in territorial/spatial analyses: these are based on the examination aspects of the geometric space (e.g., distribution of points, features of plane figures) and use related </w:t>
      </w:r>
      <w:r w:rsidRPr="0002056A">
        <w:rPr>
          <w:rFonts w:ascii="Georgia" w:hAnsi="Georgia"/>
          <w:color w:val="auto"/>
          <w:sz w:val="22"/>
          <w:szCs w:val="22"/>
          <w:lang w:val="en-GB"/>
        </w:rPr>
        <w:lastRenderedPageBreak/>
        <w:t>notions (distance, point, line, etc.). (</w:t>
      </w:r>
      <w:r w:rsidRPr="0002056A">
        <w:rPr>
          <w:rFonts w:ascii="Georgia" w:hAnsi="Georgia"/>
          <w:smallCaps/>
          <w:color w:val="auto"/>
          <w:sz w:val="22"/>
          <w:szCs w:val="22"/>
          <w:lang w:val="en-GB"/>
        </w:rPr>
        <w:t>Dusek, 2004</w:t>
      </w:r>
      <w:r w:rsidRPr="0002056A">
        <w:rPr>
          <w:rFonts w:ascii="Georgia" w:hAnsi="Georgia"/>
          <w:color w:val="auto"/>
          <w:sz w:val="22"/>
          <w:szCs w:val="22"/>
          <w:lang w:val="en-GB"/>
        </w:rPr>
        <w:t xml:space="preserve">). We can see clearly here the evolution from and further development of natural geography’s space concepts. </w:t>
      </w:r>
    </w:p>
    <w:p w14:paraId="02C13275" w14:textId="77777777" w:rsidR="005B166A" w:rsidRPr="0002056A" w:rsidRDefault="005B166A" w:rsidP="005B166A">
      <w:pPr>
        <w:pStyle w:val="Default"/>
        <w:spacing w:before="120" w:after="120"/>
        <w:jc w:val="both"/>
        <w:rPr>
          <w:rFonts w:ascii="Georgia" w:hAnsi="Georgia"/>
          <w:color w:val="auto"/>
          <w:sz w:val="22"/>
          <w:szCs w:val="22"/>
          <w:lang w:val="en-GB"/>
        </w:rPr>
      </w:pPr>
      <w:r w:rsidRPr="0002056A">
        <w:rPr>
          <w:rFonts w:ascii="Georgia" w:hAnsi="Georgia"/>
          <w:color w:val="auto"/>
          <w:sz w:val="22"/>
          <w:szCs w:val="22"/>
          <w:lang w:val="en-GB"/>
        </w:rPr>
        <w:t>The main focus of social geography on places, positions and regions as socially constructed entities (</w:t>
      </w:r>
      <w:r w:rsidRPr="0002056A">
        <w:rPr>
          <w:rFonts w:ascii="Georgia" w:hAnsi="Georgia"/>
          <w:smallCaps/>
          <w:color w:val="auto"/>
          <w:sz w:val="22"/>
          <w:szCs w:val="22"/>
          <w:lang w:val="en-GB"/>
        </w:rPr>
        <w:t xml:space="preserve">Baroutsis et al., 2017) </w:t>
      </w:r>
      <w:r w:rsidRPr="0002056A">
        <w:rPr>
          <w:rFonts w:ascii="Georgia" w:hAnsi="Georgia"/>
          <w:color w:val="auto"/>
          <w:sz w:val="22"/>
          <w:szCs w:val="22"/>
          <w:lang w:val="en-GB"/>
        </w:rPr>
        <w:t>are central aspects in the analysis of national adaptation activities, too. Furthermore, considerations of space’s materialized elements such as climate impact-induced movements of people, particularly vulnerable points (settlements), point formations (settlement groups), hierarchies (urban networks), networks (vulnerable infrastructure elements) and surfaces (vulnerable regions) are also essential in adaptation-oriented planning as subjects of targeted interventions. In addition to the spatially uneven impacts of climate change, significant spatial differences also exist in terms of people’s climate change views, and thus, their support for pro-environmental and climate change policies (</w:t>
      </w:r>
      <w:r w:rsidRPr="0002056A">
        <w:rPr>
          <w:rFonts w:ascii="Georgia" w:hAnsi="Georgia"/>
          <w:smallCaps/>
          <w:color w:val="auto"/>
          <w:sz w:val="22"/>
          <w:szCs w:val="22"/>
          <w:lang w:val="en-GB"/>
        </w:rPr>
        <w:t>Weckroth&amp;Ala-Mantila, 2022</w:t>
      </w:r>
      <w:r w:rsidRPr="0002056A">
        <w:rPr>
          <w:rFonts w:ascii="Georgia" w:hAnsi="Georgia"/>
          <w:color w:val="auto"/>
          <w:sz w:val="22"/>
          <w:szCs w:val="22"/>
          <w:lang w:val="en-GB"/>
        </w:rPr>
        <w:t>). The analysis of these factors requires the relativist spatial approach.</w:t>
      </w:r>
    </w:p>
    <w:p w14:paraId="48B95233" w14:textId="77777777" w:rsidR="005B166A" w:rsidRPr="0002056A" w:rsidRDefault="005B166A" w:rsidP="005B166A">
      <w:pPr>
        <w:pStyle w:val="Default"/>
        <w:spacing w:before="120" w:after="120"/>
        <w:jc w:val="both"/>
        <w:rPr>
          <w:rFonts w:ascii="Georgia" w:hAnsi="Georgia"/>
          <w:sz w:val="22"/>
          <w:szCs w:val="22"/>
          <w:lang w:val="en-GB"/>
        </w:rPr>
      </w:pPr>
      <w:r w:rsidRPr="0002056A">
        <w:rPr>
          <w:rFonts w:ascii="Georgia" w:hAnsi="Georgia"/>
          <w:color w:val="auto"/>
          <w:sz w:val="22"/>
          <w:szCs w:val="22"/>
          <w:lang w:val="en-GB"/>
        </w:rPr>
        <w:t xml:space="preserve">But the evolution of space interpretations does not stop here. The special space manifestations of different disciplines using this relativist approach and mathematical methods get us to the space interpretations of the even more economic and social space-oriented studies. </w:t>
      </w:r>
      <w:r w:rsidRPr="0002056A">
        <w:rPr>
          <w:rFonts w:ascii="Georgia" w:hAnsi="Georgia" w:cs="Times New Roman"/>
          <w:i/>
          <w:iCs/>
          <w:sz w:val="22"/>
          <w:szCs w:val="22"/>
          <w:lang w:val="en-GB"/>
        </w:rPr>
        <w:t>Space has several layers.</w:t>
      </w:r>
      <w:r w:rsidRPr="0002056A">
        <w:rPr>
          <w:rFonts w:ascii="Georgia" w:hAnsi="Georgia" w:cs="Times New Roman"/>
          <w:sz w:val="22"/>
          <w:szCs w:val="22"/>
          <w:lang w:val="en-GB"/>
        </w:rPr>
        <w:t xml:space="preserve"> This multi-layered nature is reflected well in the </w:t>
      </w:r>
      <w:r w:rsidRPr="0002056A">
        <w:rPr>
          <w:rFonts w:ascii="Georgia" w:hAnsi="Georgia" w:cs="Times New Roman"/>
          <w:i/>
          <w:iCs/>
          <w:sz w:val="22"/>
          <w:szCs w:val="22"/>
          <w:lang w:val="en-GB"/>
        </w:rPr>
        <w:t>interpretative approach</w:t>
      </w:r>
      <w:r w:rsidRPr="0002056A">
        <w:rPr>
          <w:rFonts w:ascii="Georgia" w:hAnsi="Georgia" w:cs="Times New Roman"/>
          <w:sz w:val="22"/>
          <w:szCs w:val="22"/>
          <w:lang w:val="en-GB"/>
        </w:rPr>
        <w:t xml:space="preserve"> mentioned by</w:t>
      </w:r>
      <w:r w:rsidRPr="0002056A">
        <w:rPr>
          <w:rFonts w:ascii="Georgia" w:hAnsi="Georgia" w:cs="Times New Roman"/>
          <w:smallCaps/>
          <w:sz w:val="22"/>
          <w:szCs w:val="22"/>
          <w:lang w:val="en-GB"/>
        </w:rPr>
        <w:t xml:space="preserve"> Faragó</w:t>
      </w:r>
      <w:r w:rsidRPr="0002056A">
        <w:rPr>
          <w:rFonts w:ascii="Georgia" w:hAnsi="Georgia" w:cs="Times New Roman"/>
          <w:sz w:val="22"/>
          <w:szCs w:val="22"/>
          <w:lang w:val="en-GB"/>
        </w:rPr>
        <w:t>: different manifestations of space require different interpretations, due to the nature of space (as very complex systems’ spatiality)</w:t>
      </w:r>
      <w:r w:rsidRPr="0002056A">
        <w:rPr>
          <w:rStyle w:val="Lbjegyzet-hivatkozs"/>
          <w:rFonts w:ascii="Georgia" w:hAnsi="Georgia" w:cs="Times New Roman"/>
          <w:sz w:val="22"/>
          <w:szCs w:val="22"/>
          <w:lang w:val="en-GB"/>
        </w:rPr>
        <w:footnoteReference w:id="111"/>
      </w:r>
      <w:r w:rsidRPr="0002056A">
        <w:rPr>
          <w:rFonts w:ascii="Georgia" w:hAnsi="Georgia" w:cs="Times New Roman"/>
          <w:sz w:val="22"/>
          <w:szCs w:val="22"/>
          <w:lang w:val="en-GB"/>
        </w:rPr>
        <w:t xml:space="preserve">. </w:t>
      </w:r>
      <w:r w:rsidRPr="0002056A">
        <w:rPr>
          <w:rFonts w:ascii="Georgia" w:hAnsi="Georgia" w:cs="Times New Roman"/>
          <w:i/>
          <w:iCs/>
          <w:sz w:val="22"/>
          <w:szCs w:val="22"/>
          <w:lang w:val="en-GB"/>
        </w:rPr>
        <w:t xml:space="preserve">As a distinguished advocate of the interpretative approach, </w:t>
      </w:r>
      <w:r w:rsidRPr="0002056A">
        <w:rPr>
          <w:rFonts w:ascii="Georgia" w:hAnsi="Georgia" w:cs="Times New Roman"/>
          <w:b/>
          <w:bCs/>
          <w:sz w:val="22"/>
          <w:szCs w:val="22"/>
          <w:lang w:val="en-GB"/>
        </w:rPr>
        <w:t>regional studies</w:t>
      </w:r>
      <w:r w:rsidRPr="0002056A">
        <w:rPr>
          <w:rFonts w:ascii="Georgia" w:hAnsi="Georgia" w:cs="Times New Roman"/>
          <w:sz w:val="22"/>
          <w:szCs w:val="22"/>
          <w:lang w:val="en-GB"/>
        </w:rPr>
        <w:t xml:space="preserve"> (together with </w:t>
      </w:r>
      <w:r w:rsidRPr="0002056A">
        <w:rPr>
          <w:rFonts w:ascii="Georgia" w:hAnsi="Georgia" w:cs="Times New Roman"/>
          <w:b/>
          <w:bCs/>
          <w:sz w:val="22"/>
          <w:szCs w:val="22"/>
          <w:lang w:val="en-GB"/>
        </w:rPr>
        <w:t>regional geography, regional economics and location theories</w:t>
      </w:r>
      <w:r w:rsidRPr="0002056A">
        <w:rPr>
          <w:rFonts w:ascii="Georgia" w:hAnsi="Georgia" w:cs="Times New Roman"/>
          <w:sz w:val="22"/>
          <w:szCs w:val="22"/>
          <w:lang w:val="en-GB"/>
        </w:rPr>
        <w:t>) developed further the earlier</w:t>
      </w:r>
      <w:r w:rsidRPr="0002056A">
        <w:rPr>
          <w:rFonts w:ascii="Georgia" w:hAnsi="Georgia"/>
          <w:sz w:val="22"/>
          <w:szCs w:val="22"/>
          <w:lang w:val="en-GB"/>
        </w:rPr>
        <w:t xml:space="preserve"> mentioned approaches in their space interpretations. Meanwhile social and economic geography, as we saw earlier, concentrate on the relation system of society’s external spatial elements, regional studies bring “internal spaces” into the analysis, as new elements (</w:t>
      </w:r>
      <w:r w:rsidRPr="0002056A">
        <w:rPr>
          <w:rFonts w:ascii="Georgia" w:hAnsi="Georgia" w:cstheme="minorHAnsi"/>
          <w:smallCaps/>
          <w:sz w:val="22"/>
          <w:szCs w:val="22"/>
          <w:lang w:val="en-GB"/>
        </w:rPr>
        <w:t>Nemes-Nagy, 1998 and 2009; Faragó, 2012</w:t>
      </w:r>
      <w:r w:rsidRPr="0002056A">
        <w:rPr>
          <w:rFonts w:ascii="Georgia" w:hAnsi="Georgia"/>
          <w:sz w:val="22"/>
          <w:szCs w:val="22"/>
          <w:lang w:val="en-GB"/>
        </w:rPr>
        <w:t xml:space="preserve">). </w:t>
      </w:r>
    </w:p>
    <w:p w14:paraId="08934201" w14:textId="77777777"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 xml:space="preserve">Under existence in space and time </w:t>
      </w:r>
      <w:r w:rsidRPr="0002056A">
        <w:rPr>
          <w:rFonts w:ascii="Georgia" w:hAnsi="Georgia" w:cstheme="minorHAnsi"/>
          <w:smallCaps/>
          <w:lang w:val="en-GB"/>
        </w:rPr>
        <w:t>Nemes-Nagy</w:t>
      </w:r>
      <w:r w:rsidRPr="0002056A">
        <w:rPr>
          <w:rFonts w:ascii="Georgia" w:hAnsi="Georgia"/>
          <w:lang w:val="en-GB"/>
        </w:rPr>
        <w:t xml:space="preserve"> understands inequalities and some forms of order and nominates the two main components of the spatial dimension: spatial/territorial inequalities (internal differences within the functioning system, examined by quantitative analyses) and spatial/territorial order/configuration (the functioning systems’ spatial structure depicted by thematic maps)</w:t>
      </w:r>
      <w:r w:rsidRPr="0002056A">
        <w:rPr>
          <w:rStyle w:val="Lbjegyzet-hivatkozs"/>
          <w:rFonts w:ascii="Georgia" w:hAnsi="Georgia"/>
          <w:lang w:val="en-GB"/>
        </w:rPr>
        <w:footnoteReference w:id="112"/>
      </w:r>
      <w:r w:rsidRPr="0002056A">
        <w:rPr>
          <w:rFonts w:ascii="Georgia" w:hAnsi="Georgia"/>
          <w:lang w:val="en-GB"/>
        </w:rPr>
        <w:t>. The author introduces in his important summarizing book the general elements of space as spatial categories of regional study with which one can describe spatial inequalities, configurations and processes. These are different classes of space, the concept of place, movements and social activities. If in the analysis a social sphere’s localization / connection to geographical space plays a crucial role, we talk about external space (the existence of a given sphere in the geographical space)</w:t>
      </w:r>
      <w:r w:rsidRPr="0002056A">
        <w:rPr>
          <w:rStyle w:val="Lbjegyzet-hivatkozs"/>
          <w:rFonts w:ascii="Georgia" w:hAnsi="Georgia"/>
          <w:lang w:val="en-GB"/>
        </w:rPr>
        <w:footnoteReference w:id="113"/>
      </w:r>
      <w:r w:rsidRPr="0002056A">
        <w:rPr>
          <w:rFonts w:ascii="Georgia" w:hAnsi="Georgia"/>
          <w:lang w:val="en-GB"/>
        </w:rPr>
        <w:t>. The pair of external space is the internal space. Those “spatial” aspects, inequalities and order that exist in the social sphere themselves, separated from (or not attributed to) the geographical space constitute the internal spaces. These are abstract spaces of a given sphere, which can be examined through basic relations of dual values (</w:t>
      </w:r>
      <w:r w:rsidRPr="0002056A">
        <w:rPr>
          <w:rFonts w:ascii="Georgia" w:hAnsi="Georgia"/>
          <w:smallCaps/>
          <w:lang w:val="en-GB"/>
        </w:rPr>
        <w:t xml:space="preserve">Nemes-Nagy, 1998 </w:t>
      </w:r>
      <w:r w:rsidRPr="0002056A">
        <w:rPr>
          <w:rFonts w:ascii="Georgia" w:hAnsi="Georgia" w:cstheme="minorHAnsi"/>
          <w:lang w:val="en-GB"/>
        </w:rPr>
        <w:t>and</w:t>
      </w:r>
      <w:r w:rsidRPr="0002056A">
        <w:rPr>
          <w:rFonts w:ascii="Georgia" w:hAnsi="Georgia"/>
          <w:smallCaps/>
          <w:lang w:val="en-GB"/>
        </w:rPr>
        <w:t xml:space="preserve"> 2009</w:t>
      </w:r>
      <w:r w:rsidRPr="0002056A">
        <w:rPr>
          <w:rFonts w:ascii="Georgia" w:hAnsi="Georgia"/>
          <w:lang w:val="en-GB"/>
        </w:rPr>
        <w:t xml:space="preserve">). Due to the string of interconnectedness, separation of different spaces is not an easy task. According to </w:t>
      </w:r>
      <w:r w:rsidRPr="0002056A">
        <w:rPr>
          <w:rFonts w:ascii="Georgia" w:hAnsi="Georgia" w:cstheme="minorHAnsi"/>
          <w:smallCaps/>
          <w:lang w:val="en-GB"/>
        </w:rPr>
        <w:t>Nemes-Nagy</w:t>
      </w:r>
      <w:r w:rsidRPr="0002056A">
        <w:rPr>
          <w:rFonts w:ascii="Georgia" w:hAnsi="Georgia"/>
          <w:lang w:val="en-GB"/>
        </w:rPr>
        <w:t>, the basis of regional study’ approach is the distinction between the localized outer space of society attributed to the geographical (“terrestrial”) space and the inner space of given social spheres. The outer space is in this view the depiction and mapping of social processes (</w:t>
      </w:r>
      <w:r w:rsidRPr="0002056A">
        <w:rPr>
          <w:rFonts w:ascii="Georgia" w:hAnsi="Georgia"/>
          <w:smallCaps/>
          <w:lang w:val="en-GB"/>
        </w:rPr>
        <w:t>Nemes-Nagy, 2007; Lengyel I., 2010; Faragó, 2012</w:t>
      </w:r>
      <w:r w:rsidRPr="0002056A">
        <w:rPr>
          <w:rFonts w:ascii="Georgia" w:hAnsi="Georgia"/>
          <w:lang w:val="en-GB"/>
        </w:rPr>
        <w:t>)</w:t>
      </w:r>
      <w:r w:rsidRPr="0002056A">
        <w:rPr>
          <w:rStyle w:val="Lbjegyzet-hivatkozs"/>
          <w:rFonts w:ascii="Georgia" w:hAnsi="Georgia"/>
          <w:lang w:val="en-GB"/>
        </w:rPr>
        <w:footnoteReference w:id="114"/>
      </w:r>
      <w:r w:rsidRPr="0002056A">
        <w:rPr>
          <w:rFonts w:ascii="Georgia" w:hAnsi="Georgia"/>
          <w:lang w:val="en-GB"/>
        </w:rPr>
        <w:t xml:space="preserve">. </w:t>
      </w:r>
    </w:p>
    <w:p w14:paraId="1457D1D2" w14:textId="5622A8EF"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lastRenderedPageBreak/>
        <w:t xml:space="preserve">Some social spheres show spatial characteristics or inequalities even independently from the geographical </w:t>
      </w:r>
      <w:r w:rsidR="00744431" w:rsidRPr="0002056A">
        <w:rPr>
          <w:rFonts w:ascii="Georgia" w:hAnsi="Georgia"/>
          <w:lang w:val="en-GB"/>
        </w:rPr>
        <w:t>space;</w:t>
      </w:r>
      <w:r w:rsidRPr="0002056A">
        <w:rPr>
          <w:rFonts w:ascii="Georgia" w:hAnsi="Georgia"/>
          <w:lang w:val="en-GB"/>
        </w:rPr>
        <w:t xml:space="preserve"> however, it is not the territorial analyses’ task to analyse the social and economic spheres’ structural features independently from the geographical location (</w:t>
      </w:r>
      <w:r w:rsidRPr="0002056A">
        <w:rPr>
          <w:rFonts w:ascii="Georgia" w:hAnsi="Georgia" w:cstheme="minorHAnsi"/>
          <w:smallCaps/>
          <w:lang w:val="en-GB"/>
        </w:rPr>
        <w:t>Dusek, 2004</w:t>
      </w:r>
      <w:r w:rsidRPr="0002056A">
        <w:rPr>
          <w:rFonts w:ascii="Georgia" w:hAnsi="Georgia"/>
          <w:lang w:val="en-GB"/>
        </w:rPr>
        <w:t>). We do not follow this road in this research, either: mostly external spaces constitute the basis of our applied interpretations.</w:t>
      </w:r>
    </w:p>
    <w:p w14:paraId="08191446" w14:textId="77777777" w:rsidR="005B166A" w:rsidRPr="0002056A" w:rsidRDefault="005B166A" w:rsidP="005B166A">
      <w:pPr>
        <w:tabs>
          <w:tab w:val="left" w:pos="6237"/>
        </w:tabs>
        <w:spacing w:before="120" w:after="120" w:line="240" w:lineRule="auto"/>
        <w:jc w:val="both"/>
        <w:rPr>
          <w:rFonts w:ascii="Georgia" w:hAnsi="Georgia"/>
          <w:lang w:val="en-GB"/>
        </w:rPr>
      </w:pPr>
      <w:r w:rsidRPr="0002056A">
        <w:rPr>
          <w:rFonts w:ascii="Georgia" w:hAnsi="Georgia"/>
          <w:lang w:val="en-GB"/>
        </w:rPr>
        <w:t xml:space="preserve">Regarding spatial aspects, all branches of economics deal mainly with internal spaces; the analysis of whom are usually not part of traditional empirical spatial analyses. The main scope of </w:t>
      </w:r>
      <w:r w:rsidRPr="0002056A">
        <w:rPr>
          <w:rFonts w:ascii="Georgia" w:hAnsi="Georgia"/>
          <w:b/>
          <w:bCs/>
          <w:lang w:val="en-GB"/>
        </w:rPr>
        <w:t>regional economics</w:t>
      </w:r>
      <w:r w:rsidRPr="0002056A">
        <w:rPr>
          <w:rFonts w:ascii="Georgia" w:hAnsi="Georgia"/>
          <w:lang w:val="en-GB"/>
        </w:rPr>
        <w:t xml:space="preserve"> is the external space of economic activities, especially the position, the distance and the perception (</w:t>
      </w:r>
      <w:r w:rsidRPr="0002056A">
        <w:rPr>
          <w:rFonts w:ascii="Georgia" w:hAnsi="Georgia" w:cstheme="minorHAnsi"/>
          <w:smallCaps/>
          <w:lang w:val="en-GB"/>
        </w:rPr>
        <w:t>Nemes-Nagy, 1998</w:t>
      </w:r>
      <w:r w:rsidRPr="0002056A">
        <w:rPr>
          <w:rFonts w:ascii="Georgia" w:hAnsi="Georgia"/>
          <w:lang w:val="en-GB"/>
        </w:rPr>
        <w:t xml:space="preserve">). </w:t>
      </w:r>
      <w:r w:rsidRPr="0002056A">
        <w:rPr>
          <w:rFonts w:ascii="Georgia" w:hAnsi="Georgia" w:cstheme="minorHAnsi"/>
          <w:smallCaps/>
          <w:lang w:val="en-GB"/>
        </w:rPr>
        <w:t>Dusek</w:t>
      </w:r>
      <w:r w:rsidRPr="0002056A">
        <w:rPr>
          <w:rFonts w:ascii="Georgia" w:hAnsi="Georgia"/>
          <w:lang w:val="en-GB"/>
        </w:rPr>
        <w:t xml:space="preserve"> draws similar consequences but from the opposite direction: as opposed to social or economic geography, regional economics concentrate on society/economy and its territorial features instead of space; and examine the relation between society/economy and external conditions (among them the natural and social space) in general (</w:t>
      </w:r>
      <w:r w:rsidRPr="0002056A">
        <w:rPr>
          <w:rFonts w:ascii="Georgia" w:hAnsi="Georgia" w:cstheme="minorHAnsi"/>
          <w:smallCaps/>
          <w:lang w:val="en-GB"/>
        </w:rPr>
        <w:t>Dusek, 2004</w:t>
      </w:r>
      <w:r w:rsidRPr="0002056A">
        <w:rPr>
          <w:rFonts w:ascii="Georgia" w:hAnsi="Georgia"/>
          <w:lang w:val="en-GB"/>
        </w:rPr>
        <w:t>). Out of the introduced space concepts of the related disciplines, mostly external spaces and spatial analyses of social/economic spheres are relevant aspects here.</w:t>
      </w:r>
    </w:p>
    <w:p w14:paraId="452B70A2" w14:textId="77777777" w:rsidR="005B166A" w:rsidRPr="0002056A" w:rsidRDefault="005B166A" w:rsidP="005B166A">
      <w:pPr>
        <w:pStyle w:val="Default"/>
        <w:tabs>
          <w:tab w:val="left" w:pos="6237"/>
        </w:tabs>
        <w:spacing w:before="120" w:after="120"/>
        <w:jc w:val="both"/>
        <w:rPr>
          <w:rFonts w:ascii="Georgia" w:hAnsi="Georgia"/>
          <w:color w:val="FF0000"/>
          <w:sz w:val="22"/>
          <w:szCs w:val="22"/>
          <w:lang w:val="en-GB"/>
        </w:rPr>
      </w:pPr>
      <w:r w:rsidRPr="0002056A">
        <w:rPr>
          <w:rFonts w:ascii="Georgia" w:hAnsi="Georgia"/>
          <w:color w:val="auto"/>
          <w:sz w:val="22"/>
          <w:szCs w:val="22"/>
          <w:lang w:val="en-GB"/>
        </w:rPr>
        <w:t xml:space="preserve">Successful and effective policy decisions always require high-quality and preferably quantified information base, and in case of space-oriented fields (like climate adaptation), even more spatial information. These, together with the recently growing importance of environmental sustainability considerations and growth-critical approaches in public and professional discourses also call the attention for regional economic and environmental data utilization. </w:t>
      </w:r>
      <w:r w:rsidRPr="0002056A">
        <w:rPr>
          <w:rFonts w:ascii="Georgia" w:hAnsi="Georgia"/>
          <w:sz w:val="22"/>
          <w:szCs w:val="22"/>
          <w:lang w:val="en-GB"/>
        </w:rPr>
        <w:t xml:space="preserve">Climate policy, especially adaptation, is inseparable from the natural environment/geographical space, so the domain is particularly can be supported by spatial/environmental analyses and assessments of sustainability. Environmental and adaptation processes are especially complex; the effects are frequently far from decisions in space and time (EEA, 2016; </w:t>
      </w:r>
      <w:r w:rsidRPr="0002056A">
        <w:rPr>
          <w:rFonts w:ascii="Georgia" w:hAnsi="Georgia"/>
          <w:smallCaps/>
          <w:sz w:val="22"/>
          <w:szCs w:val="22"/>
          <w:lang w:val="en-GB"/>
        </w:rPr>
        <w:t>Csutora et al., 2021</w:t>
      </w:r>
      <w:r w:rsidRPr="0002056A">
        <w:rPr>
          <w:rFonts w:ascii="Georgia" w:hAnsi="Georgia"/>
          <w:sz w:val="22"/>
          <w:szCs w:val="22"/>
          <w:lang w:val="en-GB"/>
        </w:rPr>
        <w:t xml:space="preserve">). Due to its complex and multi-sectoral nature and difficult quantification, adaptation policy’s monitoring is still problematic. Even the empirical part of the research puts the main emphasis on qualitative analysis of European national level adaptation planning and MRE activities. </w:t>
      </w:r>
    </w:p>
    <w:p w14:paraId="2E8CE153" w14:textId="77777777"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 xml:space="preserve">Regional study’s approach brings new aspects into the concept of spatiality: it incorporates “internal spaces” into the analysis; focusing on localized outer spaces of social/economic spheres with geographic space-attributions and internal structures and concepts of given spheres simultaneously. Its central method is the regional analysis instead of sectoral approach; it applies different space categories parallel with each other (objective and real spaces, external and internal spaces, etc.), implementing given social spheres’ localization and connection to geographical space. It concentrates on elements (spatial categories) of the space concept to describe spatial inequalities and configurations. Economic, social, cultural and geographical spaces often can be considered as different layers upon each other. Differences within a given thematic space can be transformed into spatial/territorial inequalities. When one turns to such a complex and multi-sectoral topic as climate adaptation, or climate vulnerability with its impact chain-based elements; the application of this multi-layered approach considering external and partly internal spaces and different spatial elements/aspects can be an asset to be utilized in the research. The interpretative approach is also remarkable, because the adaptation policy harmonizes different sectors with different manifestations of space that requires different interpretations to identify how the given planning scene interprets the “subject-spaces” of their policy activities. </w:t>
      </w:r>
    </w:p>
    <w:p w14:paraId="6DAD0B43" w14:textId="31A488D2"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 xml:space="preserve">The administrational/political structures of countries influence among other things the (spatial) organisation of public administration, functioning of policies, practical implementation of planning and evaluation activities, and monitoring tasks in different sectors. The connection with space, regions and territories is clear: administration, planning and MRE are realized in spatial units (in states, regions, microregions, functional urban areas, municipalities). </w:t>
      </w:r>
      <w:r w:rsidRPr="0002056A">
        <w:rPr>
          <w:rFonts w:ascii="Georgia" w:hAnsi="Georgia"/>
          <w:b/>
          <w:bCs/>
          <w:lang w:val="en-GB"/>
        </w:rPr>
        <w:t xml:space="preserve">Political/administrational studies, </w:t>
      </w:r>
      <w:r w:rsidR="007133D4" w:rsidRPr="0002056A">
        <w:rPr>
          <w:rFonts w:ascii="Georgia" w:hAnsi="Georgia"/>
          <w:b/>
          <w:bCs/>
          <w:lang w:val="en-GB"/>
        </w:rPr>
        <w:t>international</w:t>
      </w:r>
      <w:r w:rsidRPr="0002056A">
        <w:rPr>
          <w:rFonts w:ascii="Georgia" w:hAnsi="Georgia"/>
          <w:b/>
          <w:bCs/>
          <w:lang w:val="en-GB"/>
        </w:rPr>
        <w:t xml:space="preserve"> relations, </w:t>
      </w:r>
      <w:r w:rsidRPr="0002056A">
        <w:rPr>
          <w:rFonts w:ascii="Georgia" w:hAnsi="Georgia"/>
          <w:lang w:val="en-GB"/>
        </w:rPr>
        <w:lastRenderedPageBreak/>
        <w:t>concentrate among other things on different governance and regime types, the related global processes and their spatial consequences. These factors might also seriously influence the establishment, structure and functioning of national planning and MRE activities and system-building practices in climate (adaptation) policy (</w:t>
      </w:r>
      <w:r w:rsidRPr="0002056A">
        <w:rPr>
          <w:rFonts w:ascii="Georgia" w:hAnsi="Georgia" w:cstheme="minorHAnsi"/>
          <w:smallCaps/>
          <w:lang w:val="en-GB"/>
        </w:rPr>
        <w:t>Greiving&amp;Fleischhauer, 2010</w:t>
      </w:r>
      <w:r w:rsidRPr="0002056A">
        <w:rPr>
          <w:rFonts w:ascii="Georgia" w:hAnsi="Georgia"/>
          <w:lang w:val="en-GB"/>
        </w:rPr>
        <w:t>)</w:t>
      </w:r>
      <w:r w:rsidRPr="0002056A">
        <w:rPr>
          <w:rStyle w:val="Lbjegyzet-hivatkozs"/>
          <w:rFonts w:ascii="Georgia" w:hAnsi="Georgia"/>
          <w:lang w:val="en-GB"/>
        </w:rPr>
        <w:footnoteReference w:id="115"/>
      </w:r>
      <w:r w:rsidRPr="0002056A">
        <w:rPr>
          <w:rFonts w:ascii="Georgia" w:hAnsi="Georgia"/>
          <w:lang w:val="en-GB"/>
        </w:rPr>
        <w:t>.</w:t>
      </w:r>
    </w:p>
    <w:p w14:paraId="2295E893" w14:textId="77777777" w:rsidR="005B166A" w:rsidRPr="0002056A" w:rsidRDefault="005B166A" w:rsidP="005B166A">
      <w:pPr>
        <w:spacing w:before="120" w:after="120" w:line="240" w:lineRule="auto"/>
        <w:jc w:val="both"/>
        <w:rPr>
          <w:rFonts w:ascii="Georgia" w:hAnsi="Georgia" w:cstheme="minorHAnsi"/>
          <w:lang w:val="en-GB"/>
        </w:rPr>
      </w:pPr>
      <w:r w:rsidRPr="0002056A">
        <w:rPr>
          <w:rFonts w:ascii="Georgia" w:hAnsi="Georgia" w:cstheme="minorHAnsi"/>
          <w:lang w:val="en-GB"/>
        </w:rPr>
        <w:t>The already introduced relativist approach partly examines the way how humans conceptualize/constitute space in their everyday life (</w:t>
      </w:r>
      <w:r w:rsidRPr="0002056A">
        <w:rPr>
          <w:rFonts w:ascii="Georgia" w:hAnsi="Georgia" w:cstheme="minorHAnsi"/>
          <w:smallCaps/>
          <w:lang w:val="en-GB"/>
        </w:rPr>
        <w:t>Faragó</w:t>
      </w:r>
      <w:r w:rsidRPr="0002056A">
        <w:rPr>
          <w:rFonts w:ascii="Georgia" w:hAnsi="Georgia" w:cstheme="minorHAnsi"/>
          <w:lang w:val="en-GB"/>
        </w:rPr>
        <w:t>, 2012). For instance, in constructivist theory space is a relational dimension, a direct product of society made up from societal relations (</w:t>
      </w:r>
      <w:r w:rsidRPr="0002056A">
        <w:rPr>
          <w:rFonts w:ascii="Georgia" w:hAnsi="Georgia" w:cstheme="minorHAnsi"/>
          <w:smallCaps/>
          <w:lang w:val="en-GB"/>
        </w:rPr>
        <w:t>Somlyódiné</w:t>
      </w:r>
      <w:r w:rsidRPr="0002056A">
        <w:rPr>
          <w:rFonts w:ascii="Georgia" w:hAnsi="Georgia" w:cstheme="minorHAnsi"/>
          <w:lang w:val="en-GB"/>
        </w:rPr>
        <w:t>, 2019). This interpretation is close to that of Kant and is based on sensual perceptions as the foundation of experimental learning (</w:t>
      </w:r>
      <w:r w:rsidRPr="0002056A">
        <w:rPr>
          <w:rFonts w:ascii="Georgia" w:hAnsi="Georgia" w:cstheme="minorHAnsi"/>
          <w:smallCaps/>
          <w:lang w:val="en-GB"/>
        </w:rPr>
        <w:t>Dusek, 2004</w:t>
      </w:r>
      <w:r w:rsidRPr="0002056A">
        <w:rPr>
          <w:rFonts w:ascii="Georgia" w:hAnsi="Georgia" w:cstheme="minorHAnsi"/>
          <w:lang w:val="en-GB"/>
        </w:rPr>
        <w:t>). Since the 1980s regions have been considered more and more as relational/social constructions and results of governance-, economy-, culture- related and political struggles as well as of environmental relations (</w:t>
      </w:r>
      <w:r w:rsidRPr="0002056A">
        <w:rPr>
          <w:rFonts w:ascii="Georgia" w:hAnsi="Georgia" w:cstheme="minorHAnsi"/>
          <w:smallCaps/>
          <w:lang w:val="en-GB"/>
        </w:rPr>
        <w:t>Paasi, 2023</w:t>
      </w:r>
      <w:r w:rsidRPr="0002056A">
        <w:rPr>
          <w:rFonts w:ascii="Georgia" w:hAnsi="Georgia" w:cstheme="minorHAnsi"/>
          <w:lang w:val="en-GB"/>
        </w:rPr>
        <w:t>).</w:t>
      </w:r>
    </w:p>
    <w:p w14:paraId="6C082425" w14:textId="461CC09C"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Looking through the different political science- and IR-theories, it seems that some social theory-based schools, like constructivism or post-structuralism are adequate also for depicting national administrational and MRE system construction-related “behavioural” differences</w:t>
      </w:r>
      <w:r w:rsidRPr="0002056A">
        <w:rPr>
          <w:rStyle w:val="Lbjegyzet-hivatkozs"/>
          <w:rFonts w:ascii="Georgia" w:hAnsi="Georgia"/>
          <w:lang w:val="en-GB"/>
        </w:rPr>
        <w:footnoteReference w:id="116"/>
      </w:r>
      <w:r w:rsidRPr="0002056A">
        <w:rPr>
          <w:rFonts w:ascii="Georgia" w:hAnsi="Georgia"/>
          <w:lang w:val="en-GB"/>
        </w:rPr>
        <w:t xml:space="preserve"> and particular space interpretations. </w:t>
      </w:r>
      <w:r w:rsidRPr="0002056A">
        <w:rPr>
          <w:rFonts w:ascii="Georgia" w:eastAsia="Times New Roman" w:hAnsi="Georgia" w:cs="Arial"/>
          <w:lang w:val="en-GB" w:eastAsia="hu-HU"/>
        </w:rPr>
        <w:t xml:space="preserve">Constructivism thinks that rather a nation’s (historical, cultural and social) values and belief system explains their policy efforts and behaviour than the general material interests. </w:t>
      </w:r>
      <w:r w:rsidRPr="0002056A">
        <w:rPr>
          <w:rFonts w:ascii="Georgia" w:hAnsi="Georgia"/>
          <w:lang w:val="en-GB"/>
        </w:rPr>
        <w:t>Social construction of reality is the core concept, saying that actors and the constructed categories help to understand the world</w:t>
      </w:r>
      <w:r w:rsidRPr="0002056A">
        <w:rPr>
          <w:rFonts w:ascii="Georgia" w:hAnsi="Georgia"/>
          <w:b/>
          <w:lang w:val="en-GB"/>
        </w:rPr>
        <w:t xml:space="preserve"> </w:t>
      </w:r>
      <w:r w:rsidRPr="0002056A">
        <w:rPr>
          <w:rFonts w:ascii="Georgia" w:hAnsi="Georgia"/>
          <w:lang w:val="en-GB"/>
        </w:rPr>
        <w:t>(</w:t>
      </w:r>
      <w:r w:rsidRPr="0002056A">
        <w:rPr>
          <w:rFonts w:ascii="Georgia" w:hAnsi="Georgia"/>
          <w:smallCaps/>
          <w:lang w:val="en-GB"/>
        </w:rPr>
        <w:t>Barnett, 2017; Karanika&amp;Kallioras</w:t>
      </w:r>
      <w:r w:rsidRPr="0002056A">
        <w:rPr>
          <w:rFonts w:ascii="Georgia" w:hAnsi="Georgia"/>
          <w:lang w:val="en-GB"/>
        </w:rPr>
        <w:t>, 2018;</w:t>
      </w:r>
      <w:r w:rsidRPr="0002056A">
        <w:rPr>
          <w:rFonts w:ascii="Georgia" w:hAnsi="Georgia"/>
          <w:smallCaps/>
          <w:lang w:val="en-GB"/>
        </w:rPr>
        <w:t xml:space="preserve"> Jackson Ed., 2019</w:t>
      </w:r>
      <w:r w:rsidRPr="0002056A">
        <w:rPr>
          <w:rFonts w:ascii="Georgia" w:hAnsi="Georgia"/>
          <w:lang w:val="en-GB"/>
        </w:rPr>
        <w:t xml:space="preserve">). The other theoretical school whose approach can be considered as useful is post-structuralism. Its main questions </w:t>
      </w:r>
      <w:r w:rsidR="00744431" w:rsidRPr="0002056A">
        <w:rPr>
          <w:rFonts w:ascii="Georgia" w:hAnsi="Georgia"/>
          <w:lang w:val="en-GB"/>
        </w:rPr>
        <w:t>are</w:t>
      </w:r>
      <w:r w:rsidRPr="0002056A">
        <w:rPr>
          <w:rFonts w:ascii="Georgia" w:hAnsi="Georgia"/>
          <w:lang w:val="en-GB"/>
        </w:rPr>
        <w:t xml:space="preserve"> how we construct the world and how construction of the world, people and places makes given policies seem natural/legitimate (</w:t>
      </w:r>
      <w:r w:rsidRPr="0002056A">
        <w:rPr>
          <w:rFonts w:ascii="Georgia" w:hAnsi="Georgia"/>
          <w:smallCaps/>
          <w:lang w:val="en-GB"/>
        </w:rPr>
        <w:t>Hansen, 2017; Jackson Ed., 2019</w:t>
      </w:r>
      <w:r w:rsidRPr="0002056A">
        <w:rPr>
          <w:rFonts w:ascii="Georgia" w:hAnsi="Georgia"/>
          <w:lang w:val="en-GB"/>
        </w:rPr>
        <w:t xml:space="preserve">). These approaches bring up once again the issue of socially constructed “internal” and “social” space interpretations and have also an impact on given society’s spatial structures. </w:t>
      </w:r>
      <w:r w:rsidRPr="0002056A">
        <w:rPr>
          <w:rFonts w:ascii="Georgia" w:hAnsi="Georgia"/>
          <w:smallCaps/>
          <w:lang w:val="en-GB"/>
        </w:rPr>
        <w:t>Faragó</w:t>
      </w:r>
      <w:r w:rsidRPr="0002056A">
        <w:rPr>
          <w:rFonts w:ascii="Georgia" w:hAnsi="Georgia"/>
          <w:lang w:val="en-GB"/>
        </w:rPr>
        <w:t xml:space="preserve"> calls our attention that our affairs are arranged in the world in accordance with our perception of our spatial existence. For example, a given government operationalizes its internal space interpretations through regionalization processes or polycentric development of spatial structures. In this respect territorial governance is a practical space-organizing intervention deriving from particular internal space interpretations (</w:t>
      </w:r>
      <w:r w:rsidRPr="0002056A">
        <w:rPr>
          <w:rFonts w:ascii="Georgia" w:hAnsi="Georgia"/>
          <w:smallCaps/>
          <w:lang w:val="en-GB"/>
        </w:rPr>
        <w:t>Faragó, 2012</w:t>
      </w:r>
      <w:r w:rsidRPr="0002056A">
        <w:rPr>
          <w:rFonts w:ascii="Georgia" w:hAnsi="Georgia"/>
          <w:lang w:val="en-GB"/>
        </w:rPr>
        <w:t xml:space="preserve">). </w:t>
      </w:r>
    </w:p>
    <w:p w14:paraId="0F5F89FE" w14:textId="5C74F990" w:rsidR="005B166A" w:rsidRPr="0002056A" w:rsidRDefault="005B166A" w:rsidP="005B166A">
      <w:pPr>
        <w:spacing w:before="120" w:after="120" w:line="240" w:lineRule="auto"/>
        <w:jc w:val="both"/>
        <w:rPr>
          <w:rFonts w:ascii="Georgia" w:hAnsi="Georgia" w:cstheme="minorHAnsi"/>
          <w:lang w:val="en-GB"/>
        </w:rPr>
      </w:pPr>
      <w:r w:rsidRPr="0002056A">
        <w:rPr>
          <w:rFonts w:ascii="Georgia" w:hAnsi="Georgia" w:cstheme="minorHAnsi"/>
          <w:lang w:val="en-GB"/>
        </w:rPr>
        <w:t xml:space="preserve">Summarily, these </w:t>
      </w:r>
      <w:r w:rsidRPr="0002056A">
        <w:rPr>
          <w:rFonts w:ascii="Georgia" w:hAnsi="Georgia"/>
          <w:lang w:val="en-GB"/>
        </w:rPr>
        <w:t>socially constructed “internal”, “social” space interpretations can influence the spatial structure of society, too. H</w:t>
      </w:r>
      <w:r w:rsidRPr="0002056A">
        <w:rPr>
          <w:rFonts w:ascii="Georgia" w:eastAsia="Times New Roman" w:hAnsi="Georgia" w:cs="Arial"/>
          <w:lang w:val="en-GB" w:eastAsia="hu-HU"/>
        </w:rPr>
        <w:t xml:space="preserve">istorical, cultural and social characteristics of different societies result in </w:t>
      </w:r>
      <w:r w:rsidRPr="0002056A">
        <w:rPr>
          <w:rFonts w:ascii="Georgia" w:hAnsi="Georgia"/>
          <w:lang w:val="en-GB"/>
        </w:rPr>
        <w:t>different national administrational and governmental features</w:t>
      </w:r>
      <w:r w:rsidRPr="0002056A">
        <w:rPr>
          <w:rFonts w:ascii="Georgia" w:eastAsia="Times New Roman" w:hAnsi="Georgia" w:cs="Arial"/>
          <w:lang w:val="en-GB" w:eastAsia="hu-HU"/>
        </w:rPr>
        <w:t>’ d</w:t>
      </w:r>
      <w:r w:rsidRPr="0002056A">
        <w:rPr>
          <w:rFonts w:ascii="Georgia" w:hAnsi="Georgia"/>
          <w:lang w:val="en-GB"/>
        </w:rPr>
        <w:t>ifferences, converting</w:t>
      </w:r>
      <w:r w:rsidRPr="0002056A">
        <w:rPr>
          <w:rFonts w:ascii="Georgia" w:hAnsi="Georgia" w:cstheme="minorHAnsi"/>
          <w:lang w:val="en-GB"/>
        </w:rPr>
        <w:t xml:space="preserve"> societal space interpretation into political/administrational space structures</w:t>
      </w:r>
      <w:r w:rsidRPr="0002056A">
        <w:rPr>
          <w:rFonts w:ascii="Georgia" w:hAnsi="Georgia"/>
          <w:lang w:val="en-GB"/>
        </w:rPr>
        <w:t xml:space="preserve">. Climate adaptation planning and MRE system-building practices in different countries may root back to these </w:t>
      </w:r>
      <w:r w:rsidR="00744431" w:rsidRPr="0002056A">
        <w:rPr>
          <w:rFonts w:ascii="Georgia" w:hAnsi="Georgia"/>
          <w:lang w:val="en-GB"/>
        </w:rPr>
        <w:t>above-mentioned</w:t>
      </w:r>
      <w:r w:rsidRPr="0002056A">
        <w:rPr>
          <w:rFonts w:ascii="Georgia" w:hAnsi="Georgia"/>
          <w:lang w:val="en-GB"/>
        </w:rPr>
        <w:t xml:space="preserve"> differences.</w:t>
      </w:r>
    </w:p>
    <w:p w14:paraId="5F3D9423" w14:textId="77777777" w:rsidR="005B166A" w:rsidRPr="0002056A" w:rsidRDefault="005B166A" w:rsidP="005B166A">
      <w:pPr>
        <w:spacing w:before="120" w:after="120" w:line="240" w:lineRule="auto"/>
        <w:jc w:val="both"/>
        <w:rPr>
          <w:rFonts w:ascii="Georgia" w:eastAsia="Times New Roman" w:hAnsi="Georgia" w:cs="Open Sans"/>
          <w:color w:val="1C1D1E"/>
          <w:lang w:val="en-GB" w:eastAsia="hu-HU"/>
        </w:rPr>
      </w:pPr>
      <w:r w:rsidRPr="0002056A">
        <w:rPr>
          <w:rFonts w:ascii="Georgia" w:hAnsi="Georgia"/>
          <w:lang w:val="en-GB"/>
        </w:rPr>
        <w:t xml:space="preserve">Geography of political issues itself (more exactly: their external geographical space) is the essence of </w:t>
      </w:r>
      <w:r w:rsidRPr="0002056A">
        <w:rPr>
          <w:rFonts w:ascii="Georgia" w:hAnsi="Georgia"/>
          <w:b/>
          <w:bCs/>
          <w:lang w:val="en-GB"/>
        </w:rPr>
        <w:t>geopolitics-related studies</w:t>
      </w:r>
      <w:r w:rsidRPr="0002056A">
        <w:rPr>
          <w:rFonts w:ascii="Georgia" w:hAnsi="Georgia"/>
          <w:lang w:val="en-GB"/>
        </w:rPr>
        <w:t>, too. Numerous authors (</w:t>
      </w:r>
      <w:r w:rsidRPr="0002056A">
        <w:rPr>
          <w:rFonts w:ascii="Georgia" w:hAnsi="Georgia" w:cstheme="minorHAnsi"/>
          <w:smallCaps/>
          <w:lang w:val="en-GB"/>
        </w:rPr>
        <w:t>Cohen, 1973; Sack, 1986; Agnew, 1998; O’Tuathail, 1998; Kelly, 2016; Morgado, 2020; Paasi, 2023</w:t>
      </w:r>
      <w:r w:rsidRPr="0002056A">
        <w:rPr>
          <w:rFonts w:ascii="Georgia" w:hAnsi="Georgia"/>
          <w:lang w:val="en-GB"/>
        </w:rPr>
        <w:t>) concentrate on the pivotal role of the geographical settings in their geopolitics definitions, focusing on political power’s spatial framework</w:t>
      </w:r>
      <w:r w:rsidRPr="0002056A">
        <w:rPr>
          <w:rStyle w:val="Lbjegyzet-hivatkozs"/>
          <w:rFonts w:ascii="Georgia" w:hAnsi="Georgia"/>
          <w:lang w:val="en-GB"/>
        </w:rPr>
        <w:footnoteReference w:id="117"/>
      </w:r>
      <w:r w:rsidRPr="0002056A">
        <w:rPr>
          <w:rFonts w:ascii="Georgia" w:hAnsi="Georgia"/>
          <w:lang w:val="en-GB"/>
        </w:rPr>
        <w:t xml:space="preserve">, where geography is defined basically as places. Place here means </w:t>
      </w:r>
      <w:r w:rsidRPr="0002056A">
        <w:rPr>
          <w:rFonts w:ascii="Georgia" w:hAnsi="Georgia"/>
          <w:lang w:val="en-GB"/>
        </w:rPr>
        <w:lastRenderedPageBreak/>
        <w:t>both the exact locations/settings where the aforementioned interactions occur, and connections between these places (</w:t>
      </w:r>
      <w:r w:rsidRPr="0002056A">
        <w:rPr>
          <w:rFonts w:ascii="Georgia" w:hAnsi="Georgia" w:cstheme="minorHAnsi"/>
          <w:smallCaps/>
          <w:lang w:val="en-GB"/>
        </w:rPr>
        <w:t>Cohen, 2015; Morgado, 2020</w:t>
      </w:r>
      <w:r w:rsidRPr="0002056A">
        <w:rPr>
          <w:rFonts w:ascii="Georgia" w:hAnsi="Georgia"/>
          <w:lang w:val="en-GB"/>
        </w:rPr>
        <w:t xml:space="preserve">). The impact of geography on politics is one of geopolitics’ main focuses. Meanwhile climate change does not respect political borders, however, the geographical/ontological framework of climate policy development is the world’s political map. Geography’s long regional analytic and space-oriented tradition can somehow counterweight the role of states in these examinations </w:t>
      </w:r>
      <w:r w:rsidRPr="0002056A">
        <w:rPr>
          <w:rFonts w:ascii="Georgia" w:eastAsia="Times New Roman" w:hAnsi="Georgia" w:cs="Open Sans"/>
          <w:color w:val="1C1D1E"/>
          <w:lang w:val="en-GB" w:eastAsia="hu-HU"/>
        </w:rPr>
        <w:t>(</w:t>
      </w:r>
      <w:r w:rsidRPr="0002056A">
        <w:rPr>
          <w:rFonts w:ascii="Georgia" w:hAnsi="Georgia" w:cstheme="minorHAnsi"/>
          <w:smallCaps/>
          <w:lang w:val="en-GB"/>
        </w:rPr>
        <w:t>Taylor, 2023, Paasi, 2023</w:t>
      </w:r>
      <w:r w:rsidRPr="0002056A">
        <w:rPr>
          <w:rFonts w:ascii="Georgia" w:eastAsia="Times New Roman" w:hAnsi="Georgia" w:cs="Open Sans"/>
          <w:color w:val="1C1D1E"/>
          <w:lang w:val="en-GB" w:eastAsia="hu-HU"/>
        </w:rPr>
        <w:t xml:space="preserve">). </w:t>
      </w:r>
      <w:r w:rsidRPr="0002056A">
        <w:rPr>
          <w:rFonts w:ascii="Georgia" w:hAnsi="Georgia"/>
          <w:lang w:val="en-GB"/>
        </w:rPr>
        <w:t>Geographic proximity, differences in population density, or places’ locations all influence political decisions. The picture is not constant: changes in the geographical settings (e.g., discovery/depletion of natural resources, movement of people and capital, etc.) make geopolitical perspectives dynamic. Changes can also occur in the geopolitical situation. In the process of globalization, a much more complex geopolitical system stands out, restructuring existing geographical settings. Sub- and supranational levels’ importance is increasing; macro regions, city regions, metropolitan entities, megalopolises competing even with states (</w:t>
      </w:r>
      <w:r w:rsidRPr="0002056A">
        <w:rPr>
          <w:rFonts w:ascii="Georgia" w:hAnsi="Georgia" w:cstheme="minorHAnsi"/>
          <w:smallCaps/>
          <w:lang w:val="en-GB"/>
        </w:rPr>
        <w:t>Rosenau, 1992; Cohen, 2015; Vogler, 2017</w:t>
      </w:r>
      <w:r w:rsidRPr="0002056A">
        <w:rPr>
          <w:rFonts w:ascii="Georgia" w:hAnsi="Georgia"/>
          <w:lang w:val="en-GB"/>
        </w:rPr>
        <w:t>). The growing importance of these levels can also be detected in climate adaptation planning.</w:t>
      </w:r>
    </w:p>
    <w:p w14:paraId="5868EBC3" w14:textId="754AFF8F"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In the geo-political literature c</w:t>
      </w:r>
      <w:r w:rsidRPr="0002056A">
        <w:rPr>
          <w:rFonts w:ascii="Georgia" w:eastAsia="Times New Roman" w:hAnsi="Georgia" w:cs="Times New Roman"/>
          <w:color w:val="222222"/>
          <w:lang w:val="en-GB" w:eastAsia="hu-HU"/>
        </w:rPr>
        <w:t xml:space="preserve">limate change issues inherently raise questions related to space, scale, and nature, which concepts are central to modern geographic thought. </w:t>
      </w:r>
      <w:r w:rsidRPr="0002056A">
        <w:rPr>
          <w:rFonts w:ascii="Georgia" w:hAnsi="Georgia"/>
          <w:lang w:val="en-GB"/>
        </w:rPr>
        <w:t>Climate change impacts and consequences vary from region to region that can change the existing situations (</w:t>
      </w:r>
      <w:r w:rsidRPr="0002056A">
        <w:rPr>
          <w:rFonts w:ascii="Georgia" w:hAnsi="Georgia" w:cstheme="minorHAnsi"/>
          <w:smallCaps/>
          <w:lang w:val="en-GB"/>
        </w:rPr>
        <w:t>Cohen, 2015; Marshall, 2015</w:t>
      </w:r>
      <w:r w:rsidRPr="0002056A">
        <w:rPr>
          <w:rFonts w:ascii="Georgia" w:hAnsi="Georgia"/>
          <w:lang w:val="en-GB"/>
        </w:rPr>
        <w:t xml:space="preserve">). For instance, global warming and melting of ice caps make Arctic waters navigable and undersea energy sources buried in the continental shelves exploitable </w:t>
      </w:r>
      <w:r w:rsidRPr="0002056A">
        <w:rPr>
          <w:rFonts w:ascii="Georgia" w:hAnsi="Georgia" w:cstheme="minorHAnsi"/>
          <w:lang w:val="en-GB"/>
        </w:rPr>
        <w:t xml:space="preserve">making these regions more attractive for great powers. </w:t>
      </w:r>
      <w:r w:rsidRPr="0002056A">
        <w:rPr>
          <w:rFonts w:ascii="Georgia" w:hAnsi="Georgia" w:cstheme="minorHAnsi"/>
          <w:smallCaps/>
          <w:lang w:val="en-GB"/>
        </w:rPr>
        <w:t>A</w:t>
      </w:r>
      <w:r w:rsidRPr="0002056A">
        <w:rPr>
          <w:rFonts w:ascii="Georgia" w:hAnsi="Georgia"/>
          <w:lang w:val="en-GB"/>
        </w:rPr>
        <w:t>griculture can extend into more northern areas in some regions (e.g., in Europe northern shifting of wine regions is already expected). Increasing climate migration triggered by famine, desertification, floods, etc. is threatening among others Greece, Türkiye, and other Levantine countries. Not only t</w:t>
      </w:r>
      <w:r w:rsidRPr="0002056A">
        <w:rPr>
          <w:rFonts w:ascii="Georgia" w:eastAsia="Times New Roman" w:hAnsi="Georgia" w:cs="Times New Roman"/>
          <w:lang w:val="en-GB" w:eastAsia="hu-HU"/>
        </w:rPr>
        <w:t>he geography- and political ecology-related literature explore generally climate change -related topics through case studies (</w:t>
      </w:r>
      <w:r w:rsidRPr="0002056A">
        <w:rPr>
          <w:rFonts w:ascii="Georgia" w:hAnsi="Georgia" w:cstheme="minorHAnsi"/>
          <w:smallCaps/>
          <w:lang w:val="en-GB"/>
        </w:rPr>
        <w:t>Abrahams&amp;Carr, 2017</w:t>
      </w:r>
      <w:r w:rsidRPr="0002056A">
        <w:rPr>
          <w:rFonts w:ascii="Georgia" w:eastAsia="Times New Roman" w:hAnsi="Georgia" w:cs="Times New Roman"/>
          <w:lang w:val="en-GB" w:eastAsia="hu-HU"/>
        </w:rPr>
        <w:t>), but a</w:t>
      </w:r>
      <w:r w:rsidRPr="0002056A">
        <w:rPr>
          <w:rFonts w:ascii="Georgia" w:hAnsi="Georgia"/>
          <w:lang w:val="en-GB"/>
        </w:rPr>
        <w:t>mong the main systemic changes, the long-term alterations in climate and the natural environment (e.g., the changing climatic factors influencing national strategies) are particularly mentioned in the geopolitical studies/articles (</w:t>
      </w:r>
      <w:r w:rsidRPr="0002056A">
        <w:rPr>
          <w:rFonts w:ascii="Georgia" w:hAnsi="Georgia" w:cstheme="minorHAnsi"/>
          <w:smallCaps/>
          <w:lang w:val="en-GB"/>
        </w:rPr>
        <w:t>Cohen, 2015</w:t>
      </w:r>
      <w:r w:rsidRPr="0002056A">
        <w:rPr>
          <w:rFonts w:ascii="Georgia" w:hAnsi="Georgia"/>
          <w:lang w:val="en-GB"/>
        </w:rPr>
        <w:t>)</w:t>
      </w:r>
      <w:r w:rsidRPr="0002056A">
        <w:rPr>
          <w:rStyle w:val="Lbjegyzet-hivatkozs"/>
          <w:rFonts w:ascii="Georgia" w:hAnsi="Georgia"/>
          <w:lang w:val="en-GB"/>
        </w:rPr>
        <w:footnoteReference w:id="118"/>
      </w:r>
      <w:r w:rsidRPr="0002056A">
        <w:rPr>
          <w:rFonts w:ascii="Georgia" w:hAnsi="Georgia"/>
          <w:lang w:val="en-GB"/>
        </w:rPr>
        <w:t xml:space="preserve">. Climate planning ultimately represents in this respect a convergence of geopolitical </w:t>
      </w:r>
      <w:r w:rsidR="007133D4" w:rsidRPr="0002056A">
        <w:rPr>
          <w:rFonts w:ascii="Georgia" w:hAnsi="Georgia"/>
          <w:lang w:val="en-GB"/>
        </w:rPr>
        <w:t>manoeuvrings</w:t>
      </w:r>
      <w:r w:rsidRPr="0002056A">
        <w:rPr>
          <w:rFonts w:ascii="Georgia" w:hAnsi="Georgia"/>
          <w:lang w:val="en-GB"/>
        </w:rPr>
        <w:t>, technical-managerial framings, and uneven struggles over geography (</w:t>
      </w:r>
      <w:r w:rsidRPr="0002056A">
        <w:rPr>
          <w:rFonts w:ascii="Georgia" w:hAnsi="Georgia" w:cstheme="minorHAnsi"/>
          <w:smallCaps/>
          <w:lang w:val="en-GB"/>
        </w:rPr>
        <w:t>Weinger, 2021</w:t>
      </w:r>
      <w:r w:rsidRPr="0002056A">
        <w:rPr>
          <w:rFonts w:ascii="Georgia" w:hAnsi="Georgia"/>
          <w:lang w:val="en-GB"/>
        </w:rPr>
        <w:t>).</w:t>
      </w:r>
    </w:p>
    <w:p w14:paraId="4C298B01" w14:textId="77777777" w:rsidR="005B166A" w:rsidRPr="0002056A" w:rsidRDefault="005B166A" w:rsidP="005B166A">
      <w:pPr>
        <w:spacing w:before="120" w:after="120" w:line="240" w:lineRule="auto"/>
        <w:jc w:val="both"/>
        <w:rPr>
          <w:rFonts w:ascii="Georgia" w:hAnsi="Georgia"/>
          <w:lang w:val="en-GB"/>
        </w:rPr>
      </w:pPr>
      <w:r w:rsidRPr="0002056A">
        <w:rPr>
          <w:rFonts w:ascii="Georgia" w:hAnsi="Georgia"/>
          <w:lang w:val="en-GB"/>
        </w:rPr>
        <w:t>If we are looking for space interpretations in geopolitics basically the already known external spaces (geographical space with physical environmental elements), as localized outer space of politics and the relativist approach emerge again. Spatial presence of climate-related risks and their spatial structures are in the centrum of climate adaptation and the related research projects. Moreover, how given nations/states can use their climate adaptation policies in strengthening cooperation with or influence above other regions is also worth examining. Swart and his colleagues mentioned in their comparative national adaptation document analysis that employment and export opportunities of adaptation and related knowledge as well as development of cooperative strategies can even strengthen multilevel governance, international relations or positions of the “knowledge exporting” countries and their international policy making role, too (</w:t>
      </w:r>
      <w:r w:rsidRPr="0002056A">
        <w:rPr>
          <w:rFonts w:ascii="Georgia" w:hAnsi="Georgia" w:cstheme="minorHAnsi"/>
          <w:smallCaps/>
          <w:lang w:val="en-GB"/>
        </w:rPr>
        <w:t>Swart et al</w:t>
      </w:r>
      <w:r w:rsidRPr="0002056A">
        <w:rPr>
          <w:rFonts w:ascii="Georgia" w:hAnsi="Georgia"/>
          <w:lang w:val="en-GB"/>
        </w:rPr>
        <w:t>., 2009). The sign of these intentions and the emergence of enlisted geographical factors of geopolitics are utilized as analytical aspects in the research’s empirical analyses.</w:t>
      </w:r>
    </w:p>
    <w:p w14:paraId="70C6862B"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bCs/>
          <w:lang w:val="en-GB"/>
        </w:rPr>
        <w:t xml:space="preserve">Besides different scientific disciplines even </w:t>
      </w:r>
      <w:r w:rsidRPr="0002056A">
        <w:rPr>
          <w:rFonts w:ascii="Georgia" w:hAnsi="Georgia" w:cs="Times New Roman"/>
          <w:b/>
          <w:lang w:val="en-GB"/>
        </w:rPr>
        <w:t>those practical fields</w:t>
      </w:r>
      <w:r w:rsidRPr="0002056A">
        <w:rPr>
          <w:rFonts w:ascii="Georgia" w:hAnsi="Georgia" w:cs="Times New Roman"/>
          <w:bCs/>
          <w:lang w:val="en-GB"/>
        </w:rPr>
        <w:t xml:space="preserve"> are worth being dealt with that influence public and professional thinking about space. Among of the most important among these fields are</w:t>
      </w:r>
      <w:r w:rsidRPr="0002056A">
        <w:rPr>
          <w:rFonts w:ascii="Georgia" w:hAnsi="Georgia" w:cs="Times New Roman"/>
          <w:b/>
          <w:lang w:val="en-GB"/>
        </w:rPr>
        <w:t xml:space="preserve"> regional development policy and the related strategic and </w:t>
      </w:r>
      <w:r w:rsidRPr="0002056A">
        <w:rPr>
          <w:rFonts w:ascii="Georgia" w:hAnsi="Georgia" w:cs="Times New Roman"/>
          <w:b/>
          <w:lang w:val="en-GB"/>
        </w:rPr>
        <w:lastRenderedPageBreak/>
        <w:t xml:space="preserve">spatial planning activities, </w:t>
      </w:r>
      <w:r w:rsidRPr="0002056A">
        <w:rPr>
          <w:rFonts w:ascii="Georgia" w:hAnsi="Georgia" w:cs="Times New Roman"/>
          <w:bCs/>
          <w:lang w:val="en-GB"/>
        </w:rPr>
        <w:t>as applied practical manifestations of regional geography, regional studies and regional economics</w:t>
      </w:r>
      <w:r w:rsidRPr="0002056A">
        <w:rPr>
          <w:rFonts w:ascii="Georgia" w:hAnsi="Georgia" w:cs="Times New Roman"/>
          <w:lang w:val="en-GB"/>
        </w:rPr>
        <w:t xml:space="preserve">. </w:t>
      </w:r>
    </w:p>
    <w:p w14:paraId="0B16138A" w14:textId="2F000BF9"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 xml:space="preserve">Out of this practical space interpretation framework, a special mention must be made about </w:t>
      </w:r>
      <w:r w:rsidRPr="0002056A">
        <w:rPr>
          <w:rFonts w:ascii="Georgia" w:hAnsi="Georgia" w:cs="Times New Roman"/>
          <w:bCs/>
          <w:i/>
          <w:iCs/>
          <w:lang w:val="en-GB"/>
        </w:rPr>
        <w:t>the notion of territorial cohesion</w:t>
      </w:r>
      <w:r w:rsidRPr="0002056A">
        <w:rPr>
          <w:rFonts w:ascii="Georgia" w:hAnsi="Georgia" w:cs="Times New Roman"/>
          <w:lang w:val="en-GB"/>
        </w:rPr>
        <w:t xml:space="preserve">. The concept has been one of the essential pillars of the EU spatial development policies in the recent decades. Already the Treaty of Lisbon indicated that the need for capitalization, development, and exploitation of the European territory made territorial cohesion an integral part of cohesion policy, as an equal pillar with economic and social cohesion (EC, 2005). </w:t>
      </w:r>
      <w:r w:rsidR="00744431" w:rsidRPr="0002056A">
        <w:rPr>
          <w:rFonts w:ascii="Georgia" w:hAnsi="Georgia"/>
          <w:lang w:val="en-GB"/>
        </w:rPr>
        <w:t>Yet</w:t>
      </w:r>
      <w:r w:rsidRPr="0002056A">
        <w:rPr>
          <w:rFonts w:ascii="Georgia" w:hAnsi="Georgia"/>
          <w:lang w:val="en-GB"/>
        </w:rPr>
        <w:t xml:space="preserve"> the attempts to find a clear definition for the concept have failed so far, only a vague theoretical character of the cohesion concept can be detected. However, the main message of the European Union’s Territorial Agenda 2020 (TA 2020) emphasised that “</w:t>
      </w:r>
      <w:r w:rsidRPr="0002056A">
        <w:rPr>
          <w:rFonts w:ascii="Georgia" w:hAnsi="Georgia"/>
          <w:i/>
          <w:iCs/>
          <w:lang w:val="en-GB"/>
        </w:rPr>
        <w:t>territory matters</w:t>
      </w:r>
      <w:r w:rsidRPr="0002056A">
        <w:rPr>
          <w:rFonts w:ascii="Georgia" w:hAnsi="Georgia"/>
          <w:lang w:val="en-GB"/>
        </w:rPr>
        <w:t xml:space="preserve">”. The issue of territorial dimension has been since then considered ex-ante in EU support-related policy design. In connection with the improvement of the concept’s definition, Karanika and Kallioras cited Waterhout (who were not explicitly concerned about territory but, instead, relates territorial cohesion with the substantive goals of territorial development through the lenses of balance, competitiveness and environment) and the Barca Report (that considered territorial cohesion as a springboard for promoting territorial development, putting territorial cohesion close to spatial planning) to underline these strengthening spatiality of cohesion policy </w:t>
      </w:r>
      <w:r w:rsidRPr="0002056A">
        <w:rPr>
          <w:rFonts w:ascii="Georgia" w:hAnsi="Georgia" w:cs="Times New Roman"/>
          <w:lang w:val="en-GB"/>
        </w:rPr>
        <w:t>(</w:t>
      </w:r>
      <w:r w:rsidRPr="0002056A">
        <w:rPr>
          <w:rFonts w:ascii="Georgia" w:hAnsi="Georgia" w:cs="Times New Roman"/>
          <w:smallCaps/>
          <w:lang w:val="en-GB"/>
        </w:rPr>
        <w:t>Karanika&amp;Kallioras, 2018</w:t>
      </w:r>
      <w:r w:rsidRPr="0002056A">
        <w:rPr>
          <w:rFonts w:ascii="Georgia" w:hAnsi="Georgia" w:cs="Times New Roman"/>
          <w:lang w:val="en-GB"/>
        </w:rPr>
        <w:t xml:space="preserve">). </w:t>
      </w:r>
      <w:r w:rsidRPr="0002056A">
        <w:rPr>
          <w:rFonts w:ascii="Georgia" w:hAnsi="Georgia" w:cs="Times New Roman"/>
          <w:smallCaps/>
          <w:lang w:val="en-GB"/>
        </w:rPr>
        <w:t>Salamin</w:t>
      </w:r>
      <w:r w:rsidRPr="0002056A">
        <w:rPr>
          <w:rFonts w:ascii="Georgia" w:hAnsi="Georgia" w:cs="Times New Roman"/>
          <w:lang w:val="en-GB"/>
        </w:rPr>
        <w:t xml:space="preserve"> calls our attention to the evolution of the territorial cohesion concept, too, from being a pure balancing policy of regional </w:t>
      </w:r>
      <w:r w:rsidR="007133D4" w:rsidRPr="0002056A">
        <w:rPr>
          <w:rFonts w:ascii="Georgia" w:hAnsi="Georgia" w:cs="Times New Roman"/>
          <w:lang w:val="en-GB"/>
        </w:rPr>
        <w:t>differences to</w:t>
      </w:r>
      <w:r w:rsidRPr="0002056A">
        <w:rPr>
          <w:rFonts w:ascii="Georgia" w:hAnsi="Georgia" w:cs="Times New Roman"/>
          <w:lang w:val="en-GB"/>
        </w:rPr>
        <w:t xml:space="preserve"> a practice- and policy-oriented integrated space interpretation</w:t>
      </w:r>
      <w:r w:rsidRPr="0002056A">
        <w:rPr>
          <w:rStyle w:val="Lbjegyzet-hivatkozs"/>
          <w:rFonts w:ascii="Georgia" w:hAnsi="Georgia" w:cs="Times New Roman"/>
          <w:lang w:val="en-GB"/>
        </w:rPr>
        <w:footnoteReference w:id="119"/>
      </w:r>
      <w:r w:rsidRPr="0002056A">
        <w:rPr>
          <w:rFonts w:ascii="Georgia" w:hAnsi="Georgia" w:cs="Times New Roman"/>
          <w:lang w:val="en-GB"/>
        </w:rPr>
        <w:t xml:space="preserve">. The author draws the same conclusion as the two Greek scientists, saying that since the elaboration of the TA 2020 document, territorial cohesion had become the subject of scientific research to an ever-growing extent. And although it remained a policy category and has not </w:t>
      </w:r>
      <w:r w:rsidR="00744431" w:rsidRPr="0002056A">
        <w:rPr>
          <w:rFonts w:ascii="Georgia" w:hAnsi="Georgia" w:cs="Times New Roman"/>
          <w:lang w:val="en-GB"/>
        </w:rPr>
        <w:t>become</w:t>
      </w:r>
      <w:r w:rsidRPr="0002056A">
        <w:rPr>
          <w:rFonts w:ascii="Georgia" w:hAnsi="Georgia" w:cs="Times New Roman"/>
          <w:lang w:val="en-GB"/>
        </w:rPr>
        <w:t xml:space="preserve"> a scientific concept (</w:t>
      </w:r>
      <w:r w:rsidRPr="0002056A">
        <w:rPr>
          <w:rFonts w:ascii="Georgia" w:hAnsi="Georgia" w:cs="Times New Roman"/>
          <w:smallCaps/>
          <w:lang w:val="en-GB"/>
        </w:rPr>
        <w:t>Salamin, 2018</w:t>
      </w:r>
      <w:r w:rsidRPr="0002056A">
        <w:rPr>
          <w:rFonts w:ascii="Georgia" w:hAnsi="Georgia" w:cs="Times New Roman"/>
          <w:lang w:val="en-GB"/>
        </w:rPr>
        <w:t xml:space="preserve">), its factors prove useful in the dissertation’s space-oriented analytical aspect system. </w:t>
      </w:r>
    </w:p>
    <w:p w14:paraId="68F8489B"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 xml:space="preserve">Territorial cohesion’s most comprehensive interpretation is introduced by the 2011 </w:t>
      </w:r>
      <w:r w:rsidRPr="0002056A">
        <w:rPr>
          <w:rFonts w:ascii="Georgia" w:hAnsi="Georgia" w:cs="Times New Roman"/>
          <w:i/>
          <w:lang w:val="en-GB"/>
        </w:rPr>
        <w:t>Territorial State and Perspectives of the European Union</w:t>
      </w:r>
      <w:r w:rsidRPr="0002056A">
        <w:rPr>
          <w:rStyle w:val="Lbjegyzet-hivatkozs"/>
          <w:rFonts w:ascii="Georgia" w:hAnsi="Georgia" w:cs="Times New Roman"/>
          <w:lang w:val="en-GB"/>
        </w:rPr>
        <w:footnoteReference w:id="120"/>
      </w:r>
      <w:r w:rsidRPr="0002056A">
        <w:rPr>
          <w:rFonts w:ascii="Georgia" w:hAnsi="Georgia" w:cs="Times New Roman"/>
          <w:lang w:val="en-GB"/>
        </w:rPr>
        <w:t xml:space="preserve"> (</w:t>
      </w:r>
      <w:r w:rsidRPr="0002056A">
        <w:rPr>
          <w:rFonts w:ascii="Georgia" w:hAnsi="Georgia" w:cs="Times New Roman"/>
          <w:smallCaps/>
          <w:lang w:val="en-GB"/>
        </w:rPr>
        <w:t>TSP</w:t>
      </w:r>
      <w:r w:rsidRPr="0002056A">
        <w:rPr>
          <w:rFonts w:ascii="Georgia" w:hAnsi="Georgia" w:cs="Times New Roman"/>
          <w:lang w:val="en-GB"/>
        </w:rPr>
        <w:t>) document (</w:t>
      </w:r>
      <w:r w:rsidRPr="0002056A">
        <w:rPr>
          <w:rFonts w:ascii="Georgia" w:hAnsi="Georgia" w:cs="Times New Roman"/>
          <w:smallCaps/>
          <w:lang w:val="en-GB"/>
        </w:rPr>
        <w:t>Damsgaard et al, 2011</w:t>
      </w:r>
      <w:r w:rsidRPr="0002056A">
        <w:rPr>
          <w:rFonts w:ascii="Georgia" w:eastAsia="Times New Roman" w:hAnsi="Georgia" w:cs="Times New Roman"/>
          <w:color w:val="000000"/>
          <w:lang w:val="en-GB" w:eastAsia="hu-HU"/>
        </w:rPr>
        <w:t>)</w:t>
      </w:r>
      <w:r w:rsidRPr="0002056A">
        <w:rPr>
          <w:rFonts w:ascii="Georgia" w:hAnsi="Georgia" w:cs="Times New Roman"/>
          <w:lang w:val="en-GB"/>
        </w:rPr>
        <w:t xml:space="preserve"> and the </w:t>
      </w:r>
      <w:r w:rsidRPr="0002056A">
        <w:rPr>
          <w:rFonts w:ascii="Georgia" w:hAnsi="Georgia" w:cs="Times New Roman"/>
          <w:i/>
          <w:lang w:val="en-GB"/>
        </w:rPr>
        <w:t xml:space="preserve">TA 2020 </w:t>
      </w:r>
      <w:r w:rsidRPr="0002056A">
        <w:rPr>
          <w:rFonts w:ascii="Georgia" w:hAnsi="Georgia" w:cs="Times New Roman"/>
          <w:lang w:val="en-GB"/>
        </w:rPr>
        <w:t>(</w:t>
      </w:r>
      <w:r w:rsidRPr="0002056A">
        <w:rPr>
          <w:rFonts w:ascii="Georgia" w:eastAsia="Times New Roman" w:hAnsi="Georgia" w:cs="Times New Roman"/>
          <w:bCs/>
          <w:iCs/>
          <w:smallCaps/>
          <w:color w:val="000000"/>
          <w:lang w:val="en-GB" w:eastAsia="hu-HU"/>
        </w:rPr>
        <w:t xml:space="preserve">Member States’ Ministers responsible for Spatial Planning and Territorial Development, </w:t>
      </w:r>
      <w:r w:rsidRPr="0002056A">
        <w:rPr>
          <w:rFonts w:ascii="Georgia" w:eastAsia="Times New Roman" w:hAnsi="Georgia" w:cs="Times New Roman"/>
          <w:smallCaps/>
          <w:color w:val="000000"/>
          <w:lang w:val="en-GB" w:eastAsia="hu-HU"/>
        </w:rPr>
        <w:t>2011b</w:t>
      </w:r>
      <w:r w:rsidRPr="0002056A">
        <w:rPr>
          <w:rFonts w:ascii="Georgia" w:hAnsi="Georgia" w:cs="Times New Roman"/>
          <w:lang w:val="en-GB"/>
        </w:rPr>
        <w:t>), together with other related articles (</w:t>
      </w:r>
      <w:r w:rsidRPr="0002056A">
        <w:rPr>
          <w:rFonts w:ascii="Georgia" w:hAnsi="Georgia" w:cs="Times New Roman"/>
          <w:smallCaps/>
          <w:lang w:val="en-GB"/>
        </w:rPr>
        <w:t>Péti et al., 2009; Salamin&amp;Sütő, 2010</w:t>
      </w:r>
      <w:r w:rsidRPr="0002056A">
        <w:rPr>
          <w:rFonts w:ascii="Georgia" w:hAnsi="Georgia" w:cs="Times New Roman"/>
          <w:lang w:val="en-GB"/>
        </w:rPr>
        <w:t xml:space="preserve">). The TSP says that territorial cohesion means on the one hand the increasingly powerful </w:t>
      </w:r>
      <w:r w:rsidRPr="0002056A">
        <w:rPr>
          <w:rFonts w:ascii="Georgia" w:hAnsi="Georgia" w:cs="Times New Roman"/>
          <w:i/>
          <w:iCs/>
          <w:lang w:val="en-GB"/>
        </w:rPr>
        <w:t>mainstreaming of territorial aspects into sectoral development directions</w:t>
      </w:r>
      <w:r w:rsidRPr="0002056A">
        <w:rPr>
          <w:rFonts w:ascii="Georgia" w:hAnsi="Georgia" w:cs="Times New Roman"/>
          <w:lang w:val="en-GB"/>
        </w:rPr>
        <w:t xml:space="preserve">. At the same time, it underlines the importance of a </w:t>
      </w:r>
      <w:r w:rsidRPr="0002056A">
        <w:rPr>
          <w:rFonts w:ascii="Georgia" w:hAnsi="Georgia" w:cs="Times New Roman"/>
          <w:i/>
          <w:iCs/>
          <w:lang w:val="en-GB"/>
        </w:rPr>
        <w:t>comprehensive and integrated (spatial) planning approach</w:t>
      </w:r>
      <w:r w:rsidRPr="0002056A">
        <w:rPr>
          <w:rFonts w:ascii="Georgia" w:hAnsi="Georgia" w:cs="Times New Roman"/>
          <w:lang w:val="en-GB"/>
        </w:rPr>
        <w:t xml:space="preserve"> that takes into consideration special geographical features and support the effective exploitation of potentials (</w:t>
      </w:r>
      <w:r w:rsidRPr="0002056A">
        <w:rPr>
          <w:rFonts w:ascii="Georgia" w:hAnsi="Georgia" w:cs="Times New Roman"/>
          <w:i/>
          <w:iCs/>
          <w:lang w:val="en-GB"/>
        </w:rPr>
        <w:t>territorial capital</w:t>
      </w:r>
      <w:r w:rsidRPr="0002056A">
        <w:rPr>
          <w:rFonts w:ascii="Georgia" w:hAnsi="Georgia" w:cs="Times New Roman"/>
          <w:lang w:val="en-GB"/>
        </w:rPr>
        <w:t>) of each spatial units (regions, cities and other spaces) for achieving EU-policy targets. Through this it intends to maximize the contribution of different places to the implementation of EU-level priorities and to achieving a “</w:t>
      </w:r>
      <w:r w:rsidRPr="0002056A">
        <w:rPr>
          <w:rFonts w:ascii="Georgia" w:hAnsi="Georgia" w:cs="Times New Roman"/>
          <w:i/>
          <w:iCs/>
          <w:lang w:val="en-GB"/>
        </w:rPr>
        <w:t>territorial optimum</w:t>
      </w:r>
      <w:r w:rsidRPr="0002056A">
        <w:rPr>
          <w:rFonts w:ascii="Georgia" w:hAnsi="Georgia" w:cs="Times New Roman"/>
          <w:lang w:val="en-GB"/>
        </w:rPr>
        <w:t xml:space="preserve">”. In accordance with the Europe 2020 Strategy (as opposed to former balancing policies) territorial cohesion recognises and encourages the difference of regions. TA 2020, as the EU 2020’s territorial extension, also emphasised that territorial cohesion aims at transforming diversity into an asset with geographically specific actions in each territory. It also propagated </w:t>
      </w:r>
      <w:r w:rsidRPr="0002056A">
        <w:rPr>
          <w:rFonts w:ascii="Georgia" w:hAnsi="Georgia" w:cs="Times New Roman"/>
          <w:i/>
          <w:iCs/>
          <w:lang w:val="en-GB"/>
        </w:rPr>
        <w:t>harmonious, balanced, efficient and sustainable spatial structures</w:t>
      </w:r>
      <w:r w:rsidRPr="0002056A">
        <w:rPr>
          <w:rFonts w:ascii="Georgia" w:hAnsi="Georgia" w:cs="Times New Roman"/>
          <w:lang w:val="en-GB"/>
        </w:rPr>
        <w:t xml:space="preserve">, where different territorial units at different territorial levels can make the most of their potentials and achieve their optimal long-term development and </w:t>
      </w:r>
      <w:r w:rsidRPr="0002056A">
        <w:rPr>
          <w:rFonts w:ascii="Georgia" w:hAnsi="Georgia" w:cs="Times New Roman"/>
          <w:i/>
          <w:iCs/>
          <w:lang w:val="en-GB"/>
        </w:rPr>
        <w:t>territorial harmony</w:t>
      </w:r>
      <w:r w:rsidRPr="0002056A">
        <w:rPr>
          <w:rFonts w:ascii="Georgia" w:hAnsi="Georgia" w:cs="Times New Roman"/>
          <w:lang w:val="en-GB"/>
        </w:rPr>
        <w:t xml:space="preserve"> between economic, social and environmental sustainability. </w:t>
      </w:r>
    </w:p>
    <w:p w14:paraId="18065A59"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 xml:space="preserve">The notion of </w:t>
      </w:r>
      <w:r w:rsidRPr="0002056A">
        <w:rPr>
          <w:rFonts w:ascii="Georgia" w:hAnsi="Georgia" w:cs="Times New Roman"/>
          <w:i/>
          <w:iCs/>
          <w:lang w:val="en-GB"/>
        </w:rPr>
        <w:t>territorial governance</w:t>
      </w:r>
      <w:r w:rsidRPr="0002056A">
        <w:rPr>
          <w:rFonts w:ascii="Georgia" w:hAnsi="Georgia" w:cs="Times New Roman"/>
          <w:lang w:val="en-GB"/>
        </w:rPr>
        <w:t xml:space="preserve"> also came into the fore within the umbrella of territorial cohesion, as a forum where stakeholders (economic organisations, scientific institutes, public bodies, civil sector) from different territorial levels can cooperate with each other (multi-level governance). The concepts of </w:t>
      </w:r>
      <w:r w:rsidRPr="0002056A">
        <w:rPr>
          <w:rFonts w:ascii="Georgia" w:hAnsi="Georgia" w:cs="Times New Roman"/>
          <w:i/>
          <w:iCs/>
          <w:lang w:val="en-GB"/>
        </w:rPr>
        <w:t>place-based and endogenous development</w:t>
      </w:r>
      <w:r w:rsidRPr="0002056A">
        <w:rPr>
          <w:rFonts w:ascii="Georgia" w:hAnsi="Georgia" w:cs="Times New Roman"/>
          <w:lang w:val="en-GB"/>
        </w:rPr>
        <w:t xml:space="preserve"> (based on the given territorial unit’s own endowments) have also been highlighted within cohesion policy in the last decades (</w:t>
      </w:r>
      <w:r w:rsidRPr="0002056A">
        <w:rPr>
          <w:rFonts w:ascii="Georgia" w:hAnsi="Georgia" w:cs="Times New Roman"/>
          <w:smallCaps/>
          <w:lang w:val="en-GB"/>
        </w:rPr>
        <w:t>Damsgaard et al, 2011</w:t>
      </w:r>
      <w:r w:rsidRPr="0002056A">
        <w:rPr>
          <w:rFonts w:ascii="Georgia" w:eastAsia="Times New Roman" w:hAnsi="Georgia" w:cs="Times New Roman"/>
          <w:smallCaps/>
          <w:color w:val="000000"/>
          <w:lang w:val="en-GB" w:eastAsia="hu-HU"/>
        </w:rPr>
        <w:t xml:space="preserve">; </w:t>
      </w:r>
      <w:r w:rsidRPr="0002056A">
        <w:rPr>
          <w:rFonts w:ascii="Georgia" w:eastAsia="Times New Roman" w:hAnsi="Georgia" w:cs="Times New Roman"/>
          <w:bCs/>
          <w:iCs/>
          <w:smallCaps/>
          <w:color w:val="000000"/>
          <w:lang w:val="en-GB" w:eastAsia="hu-HU"/>
        </w:rPr>
        <w:t xml:space="preserve">Member States’ Ministers responsible for Spatial Planning and Territorial Development, </w:t>
      </w:r>
      <w:r w:rsidRPr="0002056A">
        <w:rPr>
          <w:rFonts w:ascii="Georgia" w:eastAsia="Times New Roman" w:hAnsi="Georgia" w:cs="Times New Roman"/>
          <w:smallCaps/>
          <w:color w:val="000000"/>
          <w:lang w:val="en-GB" w:eastAsia="hu-HU"/>
        </w:rPr>
        <w:t>2011</w:t>
      </w:r>
      <w:r w:rsidRPr="0002056A">
        <w:rPr>
          <w:rFonts w:ascii="Georgia" w:hAnsi="Georgia" w:cs="Times New Roman"/>
          <w:smallCaps/>
          <w:lang w:val="en-GB"/>
        </w:rPr>
        <w:t>; Salamin, 2018</w:t>
      </w:r>
      <w:r w:rsidRPr="0002056A">
        <w:rPr>
          <w:rFonts w:ascii="Georgia" w:hAnsi="Georgia" w:cs="Times New Roman"/>
          <w:lang w:val="en-GB"/>
        </w:rPr>
        <w:t xml:space="preserve">). These main directions </w:t>
      </w:r>
      <w:r w:rsidRPr="0002056A">
        <w:rPr>
          <w:rFonts w:ascii="Georgia" w:hAnsi="Georgia" w:cs="Times New Roman"/>
          <w:lang w:val="en-GB"/>
        </w:rPr>
        <w:lastRenderedPageBreak/>
        <w:t xml:space="preserve">emerge indirectly in the recent Territorial Agenda of the European Union (TA 2030), too, but the accurateness of their description does not reach the level experienced in the TA 2020. </w:t>
      </w:r>
    </w:p>
    <w:p w14:paraId="46C4BB5C" w14:textId="77777777" w:rsidR="005B166A" w:rsidRPr="0002056A" w:rsidRDefault="005B166A" w:rsidP="005B166A">
      <w:pPr>
        <w:spacing w:before="120" w:after="120" w:line="240" w:lineRule="auto"/>
        <w:jc w:val="center"/>
        <w:rPr>
          <w:rFonts w:ascii="Georgia" w:hAnsi="Georgia" w:cs="Times New Roman"/>
          <w:lang w:val="en-GB"/>
        </w:rPr>
      </w:pPr>
      <w:r w:rsidRPr="0002056A">
        <w:rPr>
          <w:rFonts w:ascii="Georgia" w:hAnsi="Georgia" w:cs="Times New Roman"/>
          <w:noProof/>
          <w:lang w:val="en-GB" w:eastAsia="hu-HU"/>
        </w:rPr>
        <w:drawing>
          <wp:inline distT="0" distB="0" distL="0" distR="0" wp14:anchorId="11B00E89" wp14:editId="2A2A68D9">
            <wp:extent cx="2743200" cy="2998837"/>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eyabra3.jpg"/>
                    <pic:cNvPicPr/>
                  </pic:nvPicPr>
                  <pic:blipFill rotWithShape="1">
                    <a:blip r:embed="rId204" cstate="print">
                      <a:extLst>
                        <a:ext uri="{28A0092B-C50C-407E-A947-70E740481C1C}">
                          <a14:useLocalDpi xmlns:a14="http://schemas.microsoft.com/office/drawing/2010/main" val="0"/>
                        </a:ext>
                      </a:extLst>
                    </a:blip>
                    <a:srcRect r="16289"/>
                    <a:stretch/>
                  </pic:blipFill>
                  <pic:spPr bwMode="auto">
                    <a:xfrm>
                      <a:off x="0" y="0"/>
                      <a:ext cx="2748346" cy="3004463"/>
                    </a:xfrm>
                    <a:prstGeom prst="rect">
                      <a:avLst/>
                    </a:prstGeom>
                    <a:ln>
                      <a:noFill/>
                    </a:ln>
                    <a:extLst>
                      <a:ext uri="{53640926-AAD7-44D8-BBD7-CCE9431645EC}">
                        <a14:shadowObscured xmlns:a14="http://schemas.microsoft.com/office/drawing/2010/main"/>
                      </a:ext>
                    </a:extLst>
                  </pic:spPr>
                </pic:pic>
              </a:graphicData>
            </a:graphic>
          </wp:inline>
        </w:drawing>
      </w:r>
    </w:p>
    <w:p w14:paraId="045486A7" w14:textId="77777777" w:rsidR="005B166A" w:rsidRPr="0002056A" w:rsidRDefault="005B166A" w:rsidP="005B166A">
      <w:pPr>
        <w:spacing w:before="120" w:after="120" w:line="240" w:lineRule="auto"/>
        <w:jc w:val="center"/>
        <w:rPr>
          <w:rFonts w:ascii="Georgia" w:hAnsi="Georgia"/>
          <w:i/>
          <w:sz w:val="16"/>
          <w:szCs w:val="16"/>
          <w:lang w:val="en-GB"/>
        </w:rPr>
      </w:pPr>
      <w:r w:rsidRPr="0002056A">
        <w:rPr>
          <w:rFonts w:ascii="Georgia" w:hAnsi="Georgia"/>
          <w:b/>
          <w:sz w:val="16"/>
          <w:szCs w:val="16"/>
          <w:lang w:val="en-GB"/>
        </w:rPr>
        <w:t xml:space="preserve">Figure 11: Territorial cohesion’s different space-oriented interpretations in the 2010s in EU development policy. </w:t>
      </w:r>
      <w:r w:rsidRPr="0002056A">
        <w:rPr>
          <w:rFonts w:ascii="Georgia" w:hAnsi="Georgia"/>
          <w:i/>
          <w:sz w:val="16"/>
          <w:szCs w:val="16"/>
          <w:lang w:val="en-GB"/>
        </w:rPr>
        <w:t>Source: own editing.</w:t>
      </w:r>
    </w:p>
    <w:p w14:paraId="39BE5A0F" w14:textId="756E9D65"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Regional development and cohesion policy, as we saw, identify several spatial objectives for different spatial levels of Europe. To systemize these objectives, spatial planning activity has a key role. In the first decades of the 21</w:t>
      </w:r>
      <w:r w:rsidRPr="0002056A">
        <w:rPr>
          <w:rFonts w:ascii="Georgia" w:hAnsi="Georgia" w:cs="Times New Roman"/>
          <w:vertAlign w:val="superscript"/>
          <w:lang w:val="en-GB"/>
        </w:rPr>
        <w:t>st</w:t>
      </w:r>
      <w:r w:rsidRPr="0002056A">
        <w:rPr>
          <w:rFonts w:ascii="Georgia" w:hAnsi="Georgia" w:cs="Times New Roman"/>
          <w:lang w:val="en-GB"/>
        </w:rPr>
        <w:t xml:space="preserve"> century changing emphases of strategic and spatial planning can be observed: most authors underline that networked governance forms, and blurred boundaries of functional territories got increasing importance in the planning systems. Strategic interventions have appeared even at scales other than those of the statutory (local/regional) levels. Traditionally states organized their territories into territorial governance structures harmonizing with the administrative borders of elected bodies, covering the whole national state territory without </w:t>
      </w:r>
      <w:r w:rsidR="007133D4" w:rsidRPr="0002056A">
        <w:rPr>
          <w:rFonts w:ascii="Georgia" w:hAnsi="Georgia" w:cs="Times New Roman"/>
          <w:lang w:val="en-GB"/>
        </w:rPr>
        <w:t>overlapping</w:t>
      </w:r>
      <w:r w:rsidRPr="0002056A">
        <w:rPr>
          <w:rFonts w:ascii="Georgia" w:hAnsi="Georgia" w:cs="Times New Roman"/>
          <w:lang w:val="en-GB"/>
        </w:rPr>
        <w:t>. However, these boundaries were not flexible enough to handle current socio-economic problems. As a response, non-governmental and business organisations started to create new functional spatial units at different spatial levels. These new functional territories result in a non-state-centred spatial view (</w:t>
      </w:r>
      <w:r w:rsidRPr="0002056A">
        <w:rPr>
          <w:rFonts w:ascii="Georgia" w:hAnsi="Georgia" w:cs="Times New Roman"/>
          <w:smallCaps/>
          <w:lang w:val="en-GB"/>
        </w:rPr>
        <w:t>Rosenau, 1992; Somlyódiné, 2019, Taylor, 2023</w:t>
      </w:r>
      <w:r w:rsidRPr="0002056A">
        <w:rPr>
          <w:rFonts w:ascii="Georgia" w:hAnsi="Georgia" w:cs="Times New Roman"/>
          <w:lang w:val="en-GB"/>
        </w:rPr>
        <w:t xml:space="preserve">). Taylor explicitly says that </w:t>
      </w:r>
      <w:r w:rsidRPr="0002056A">
        <w:rPr>
          <w:rFonts w:ascii="Georgia" w:eastAsia="Times New Roman" w:hAnsi="Georgia" w:cs="Times New Roman"/>
          <w:color w:val="000000"/>
          <w:lang w:val="en-GB" w:eastAsia="hu-HU"/>
        </w:rPr>
        <w:t>sovereign territorial state is not sufficient to contain or define the boundaries of ecopolitics (</w:t>
      </w:r>
      <w:r w:rsidRPr="0002056A">
        <w:rPr>
          <w:rFonts w:ascii="Georgia" w:hAnsi="Georgia" w:cs="Times New Roman"/>
          <w:smallCaps/>
          <w:lang w:val="en-GB"/>
        </w:rPr>
        <w:t>Taylor, 2023</w:t>
      </w:r>
      <w:r w:rsidRPr="0002056A">
        <w:rPr>
          <w:rFonts w:ascii="Georgia" w:eastAsia="Times New Roman" w:hAnsi="Georgia" w:cs="Times New Roman"/>
          <w:color w:val="000000"/>
          <w:lang w:val="en-GB" w:eastAsia="hu-HU"/>
        </w:rPr>
        <w:t>)</w:t>
      </w:r>
      <w:r w:rsidRPr="0002056A">
        <w:rPr>
          <w:rStyle w:val="Lbjegyzet-hivatkozs"/>
          <w:rFonts w:ascii="Georgia" w:eastAsia="Times New Roman" w:hAnsi="Georgia" w:cs="Times New Roman"/>
          <w:color w:val="000000"/>
          <w:lang w:val="en-GB" w:eastAsia="hu-HU"/>
        </w:rPr>
        <w:footnoteReference w:id="121"/>
      </w:r>
      <w:r w:rsidRPr="0002056A">
        <w:rPr>
          <w:rFonts w:ascii="Georgia" w:eastAsia="Times New Roman" w:hAnsi="Georgia" w:cs="Times New Roman"/>
          <w:color w:val="000000"/>
          <w:lang w:val="en-GB" w:eastAsia="hu-HU"/>
        </w:rPr>
        <w:t xml:space="preserve">. </w:t>
      </w:r>
      <w:r w:rsidRPr="0002056A">
        <w:rPr>
          <w:rFonts w:ascii="Georgia" w:hAnsi="Georgia" w:cs="Times New Roman"/>
          <w:lang w:val="en-GB"/>
        </w:rPr>
        <w:t>As a result, new forms of partnership and networks appear. Policy making tends to focus on complex, multi-layered, flexible scales instead of rigid, formal, clear geographical boundaries of administrational units – functional territories seem to depict better the real processes. The management of these functional spatial units led to the definition of soft spaces, other than administrational ones (</w:t>
      </w:r>
      <w:r w:rsidRPr="0002056A">
        <w:rPr>
          <w:rFonts w:ascii="Georgia" w:hAnsi="Georgia" w:cs="Times New Roman"/>
          <w:smallCaps/>
          <w:lang w:val="en-GB"/>
        </w:rPr>
        <w:t>Allmendinger &amp; Haughton</w:t>
      </w:r>
      <w:r w:rsidRPr="0002056A">
        <w:rPr>
          <w:rFonts w:ascii="Georgia" w:hAnsi="Georgia" w:cs="Times New Roman"/>
          <w:lang w:val="en-GB"/>
        </w:rPr>
        <w:t xml:space="preserve">, 2008; </w:t>
      </w:r>
      <w:r w:rsidRPr="0002056A">
        <w:rPr>
          <w:rFonts w:ascii="Georgia" w:hAnsi="Georgia" w:cs="Times New Roman"/>
          <w:smallCaps/>
          <w:lang w:val="en-GB"/>
        </w:rPr>
        <w:t>Faludi, 2012</w:t>
      </w:r>
      <w:r w:rsidRPr="0002056A">
        <w:rPr>
          <w:rFonts w:ascii="Georgia" w:hAnsi="Georgia" w:cs="Times New Roman"/>
          <w:lang w:val="en-GB"/>
        </w:rPr>
        <w:t xml:space="preserve">; </w:t>
      </w:r>
      <w:r w:rsidRPr="0002056A">
        <w:rPr>
          <w:rFonts w:ascii="Georgia" w:hAnsi="Georgia" w:cs="Times New Roman"/>
          <w:smallCaps/>
          <w:lang w:val="en-GB"/>
        </w:rPr>
        <w:t>Somlyódiné</w:t>
      </w:r>
      <w:r w:rsidRPr="0002056A">
        <w:rPr>
          <w:rFonts w:ascii="Georgia" w:hAnsi="Georgia" w:cs="Times New Roman"/>
          <w:lang w:val="en-GB"/>
        </w:rPr>
        <w:t>, 2019). Multi-level and geographically flexible territorial governance are propagated also by EU regional policy since the TA2020</w:t>
      </w:r>
      <w:r w:rsidRPr="0002056A">
        <w:rPr>
          <w:rStyle w:val="Lbjegyzet-hivatkozs"/>
          <w:rFonts w:ascii="Georgia" w:hAnsi="Georgia" w:cs="Times New Roman"/>
          <w:lang w:val="en-GB"/>
        </w:rPr>
        <w:footnoteReference w:id="122"/>
      </w:r>
      <w:r w:rsidRPr="0002056A">
        <w:rPr>
          <w:rFonts w:ascii="Georgia" w:hAnsi="Georgia" w:cs="Times New Roman"/>
          <w:lang w:val="en-GB"/>
        </w:rPr>
        <w:t xml:space="preserve"> (</w:t>
      </w:r>
      <w:r w:rsidRPr="0002056A">
        <w:rPr>
          <w:rFonts w:ascii="Georgia" w:hAnsi="Georgia" w:cs="Times New Roman"/>
          <w:smallCaps/>
          <w:lang w:val="en-GB"/>
        </w:rPr>
        <w:t>Damsgaard et al, 2011</w:t>
      </w:r>
      <w:r w:rsidRPr="0002056A">
        <w:rPr>
          <w:rFonts w:ascii="Georgia" w:hAnsi="Georgia" w:cs="Times New Roman"/>
          <w:lang w:val="en-GB"/>
        </w:rPr>
        <w:t xml:space="preserve">). </w:t>
      </w:r>
    </w:p>
    <w:p w14:paraId="5691BD6D" w14:textId="77777777" w:rsidR="005B166A" w:rsidRPr="0002056A" w:rsidRDefault="005B166A" w:rsidP="005B166A">
      <w:pPr>
        <w:spacing w:before="120" w:after="120" w:line="240" w:lineRule="auto"/>
        <w:jc w:val="both"/>
        <w:rPr>
          <w:rFonts w:ascii="Georgia" w:eastAsia="Times New Roman" w:hAnsi="Georgia" w:cs="Times New Roman"/>
          <w:bCs/>
          <w:iCs/>
          <w:smallCaps/>
          <w:color w:val="000000"/>
          <w:lang w:val="en-GB" w:eastAsia="hu-HU"/>
        </w:rPr>
      </w:pPr>
      <w:r w:rsidRPr="0002056A">
        <w:rPr>
          <w:rFonts w:ascii="Georgia" w:hAnsi="Georgia" w:cs="Times New Roman"/>
          <w:lang w:val="en-GB"/>
        </w:rPr>
        <w:t xml:space="preserve">The EU’s regional policy also deals with the problem of functional versus administrative regions. The TSP 2011 document emphasised that territorial cohesion is relevant not only at different territorial levels but even in different functional territories. Moreover, it advocated for a place-based approach that provides better tailored territorial messages for functional </w:t>
      </w:r>
      <w:r w:rsidRPr="0002056A">
        <w:rPr>
          <w:rFonts w:ascii="Georgia" w:hAnsi="Georgia" w:cs="Times New Roman"/>
          <w:lang w:val="en-GB"/>
        </w:rPr>
        <w:lastRenderedPageBreak/>
        <w:t>territorial units within the interventions of Cohesion Policy</w:t>
      </w:r>
      <w:r w:rsidRPr="0002056A">
        <w:rPr>
          <w:rStyle w:val="Lbjegyzet-hivatkozs"/>
          <w:rFonts w:ascii="Georgia" w:hAnsi="Georgia" w:cs="Times New Roman"/>
          <w:lang w:val="en-GB"/>
        </w:rPr>
        <w:footnoteReference w:id="123"/>
      </w:r>
      <w:r w:rsidRPr="0002056A">
        <w:rPr>
          <w:rFonts w:ascii="Georgia" w:hAnsi="Georgia" w:cs="Times New Roman"/>
          <w:lang w:val="en-GB"/>
        </w:rPr>
        <w:t>. Both the TSP and the TA 2020 (ad its newest version, the TA 2030 as well) urge that planning, and management activities of urban settlements must look over their administrative borders and focus on their peri-urban functional regions. Furthermore, cross-border and transnational functional regions emerge in the two mentioned documents as special functional entities and increasingly important places in the utilisation of territorial capital. Particularly in connection with the climate issue, the documents emphasise benefits of adaptation strategies targeting functional areas by acting and cooperating at levels of river- or lake-basin, seacoast or urban regions etc. (</w:t>
      </w:r>
      <w:r w:rsidRPr="0002056A">
        <w:rPr>
          <w:rFonts w:ascii="Georgia" w:hAnsi="Georgia" w:cs="Times New Roman"/>
          <w:smallCaps/>
          <w:lang w:val="en-GB"/>
        </w:rPr>
        <w:t>Damsgaard et al, 2011</w:t>
      </w:r>
      <w:r w:rsidRPr="0002056A">
        <w:rPr>
          <w:rFonts w:ascii="Georgia" w:eastAsia="Times New Roman" w:hAnsi="Georgia" w:cs="Times New Roman"/>
          <w:smallCaps/>
          <w:color w:val="000000"/>
          <w:lang w:val="en-GB" w:eastAsia="hu-HU"/>
        </w:rPr>
        <w:t xml:space="preserve">; </w:t>
      </w:r>
      <w:r w:rsidRPr="0002056A">
        <w:rPr>
          <w:rFonts w:ascii="Georgia" w:eastAsia="Times New Roman" w:hAnsi="Georgia" w:cs="Times New Roman"/>
          <w:bCs/>
          <w:iCs/>
          <w:smallCaps/>
          <w:color w:val="000000"/>
          <w:lang w:val="en-GB" w:eastAsia="hu-HU"/>
        </w:rPr>
        <w:t xml:space="preserve">Member States’ Ministers responsible for Spatial Planning and Territorial Development, </w:t>
      </w:r>
      <w:r w:rsidRPr="0002056A">
        <w:rPr>
          <w:rFonts w:ascii="Georgia" w:eastAsia="Times New Roman" w:hAnsi="Georgia" w:cs="Times New Roman"/>
          <w:smallCaps/>
          <w:color w:val="000000"/>
          <w:lang w:val="en-GB" w:eastAsia="hu-HU"/>
        </w:rPr>
        <w:t>2011;</w:t>
      </w:r>
      <w:r w:rsidRPr="0002056A">
        <w:rPr>
          <w:rFonts w:ascii="Georgia" w:eastAsia="Times New Roman" w:hAnsi="Georgia" w:cs="Times New Roman"/>
          <w:bCs/>
          <w:iCs/>
          <w:smallCaps/>
          <w:color w:val="000000"/>
          <w:lang w:val="en-GB" w:eastAsia="hu-HU"/>
        </w:rPr>
        <w:t xml:space="preserve"> Member States’ Ministers responsible for Spatial Planning and Territorial Development and/or Territorial Cohesion, 2020).</w:t>
      </w:r>
    </w:p>
    <w:p w14:paraId="301CDF7B" w14:textId="77777777" w:rsidR="005B166A" w:rsidRPr="0002056A" w:rsidRDefault="005B166A" w:rsidP="005B166A">
      <w:pPr>
        <w:spacing w:before="120" w:after="120" w:line="240" w:lineRule="auto"/>
        <w:jc w:val="both"/>
        <w:rPr>
          <w:rFonts w:ascii="Georgia" w:hAnsi="Georgia" w:cs="Times New Roman"/>
          <w:lang w:val="en-GB"/>
        </w:rPr>
      </w:pPr>
      <w:r w:rsidRPr="0002056A">
        <w:rPr>
          <w:rFonts w:ascii="Georgia" w:hAnsi="Georgia" w:cs="Times New Roman"/>
          <w:lang w:val="en-GB"/>
        </w:rPr>
        <w:t>Spatial planning plays an important role in western and northern European countries in regionalisation processes and in the acknowledgement of functional territories during the territorial rearrangements/rethinking of spaces and planning activities (</w:t>
      </w:r>
      <w:r w:rsidRPr="0002056A">
        <w:rPr>
          <w:rFonts w:ascii="Georgia" w:hAnsi="Georgia" w:cs="Times New Roman"/>
          <w:smallCaps/>
          <w:lang w:val="en-GB"/>
        </w:rPr>
        <w:t>Somlyódiné, 2019</w:t>
      </w:r>
      <w:r w:rsidRPr="0002056A">
        <w:rPr>
          <w:rFonts w:ascii="Georgia" w:hAnsi="Georgia" w:cs="Times New Roman"/>
          <w:lang w:val="en-GB"/>
        </w:rPr>
        <w:t>). At the same time, post-growth-oriented approaches emerge even in spatial planning, assuming that spatial differentiation is necessary. Governance and planning raise the question of reference areas, spaces and spatiality of post-growth processes. At the same time, green economic development, circular economy, climate adaptation and mitigation issues have got increasing emphasis in spatial plans both at EU and at national level (</w:t>
      </w:r>
      <w:r w:rsidRPr="0002056A">
        <w:rPr>
          <w:rFonts w:ascii="Georgia" w:hAnsi="Georgia" w:cs="Times New Roman"/>
          <w:smallCaps/>
          <w:lang w:val="en-GB"/>
        </w:rPr>
        <w:t>Lange et al. (ed), 2021; Sütő&amp;Salamin, 2024</w:t>
      </w:r>
      <w:r w:rsidRPr="0002056A">
        <w:rPr>
          <w:rFonts w:ascii="Georgia" w:hAnsi="Georgia" w:cs="Times New Roman"/>
          <w:lang w:val="en-GB"/>
        </w:rPr>
        <w:t xml:space="preserve">). </w:t>
      </w:r>
    </w:p>
    <w:p w14:paraId="0A56BD16" w14:textId="77777777" w:rsidR="005B166A" w:rsidRPr="0002056A" w:rsidRDefault="005B166A" w:rsidP="005B166A">
      <w:pPr>
        <w:spacing w:before="120" w:after="120" w:line="240" w:lineRule="auto"/>
        <w:jc w:val="both"/>
        <w:rPr>
          <w:rFonts w:ascii="Georgia" w:hAnsi="Georgia" w:cs="Times New Roman"/>
          <w:lang w:val="en-GB"/>
        </w:rPr>
        <w:sectPr w:rsidR="005B166A" w:rsidRPr="0002056A" w:rsidSect="000D3EB7">
          <w:pgSz w:w="11906" w:h="16838"/>
          <w:pgMar w:top="1417" w:right="1417" w:bottom="1417" w:left="1417" w:header="708" w:footer="708" w:gutter="0"/>
          <w:cols w:space="708"/>
          <w:docGrid w:linePitch="360"/>
        </w:sectPr>
      </w:pPr>
      <w:r w:rsidRPr="0002056A">
        <w:rPr>
          <w:rFonts w:ascii="Georgia" w:hAnsi="Georgia"/>
          <w:bCs/>
          <w:lang w:val="en-GB"/>
        </w:rPr>
        <w:t xml:space="preserve">Overall, regional development policy and the related strategic and spatial planning activities </w:t>
      </w:r>
      <w:r w:rsidRPr="0002056A">
        <w:rPr>
          <w:rFonts w:ascii="Georgia" w:hAnsi="Georgia"/>
          <w:lang w:val="en-GB"/>
        </w:rPr>
        <w:t xml:space="preserve">play crucial part in the research’s practice- and applied policy-oriented approach. All the mentioned territorial cohesion-related notions indicate a special space sub-concept, rooted back partly to the approaches of regional study and social/economic geography but transform them into a more practice-oriented point of view. The enlisted sub-concepts emerge among the research’s analytical aspects, as well as </w:t>
      </w:r>
      <w:r w:rsidRPr="0002056A">
        <w:rPr>
          <w:rFonts w:ascii="Georgia" w:hAnsi="Georgia" w:cs="Times New Roman"/>
          <w:lang w:val="en-GB"/>
        </w:rPr>
        <w:t>the problems of functional territories: climate impacts can be attributed more to ecological/functional frameworks than to administrational units. Climate change does not “recognize” political borders: ecological, natural processes are not operating in the framework of territorial statistical units. Emergence of functional territories as subjects/targets of adaptation planning and MRE activities is also worth examining within the analytical aspect system of the research.</w:t>
      </w:r>
    </w:p>
    <w:p w14:paraId="5EB64633" w14:textId="77777777" w:rsidR="005B166A" w:rsidRPr="0002056A" w:rsidRDefault="005B166A" w:rsidP="005B166A">
      <w:pPr>
        <w:spacing w:before="120" w:after="120" w:line="240" w:lineRule="auto"/>
        <w:jc w:val="both"/>
        <w:rPr>
          <w:rFonts w:ascii="Georgia" w:hAnsi="Georgia" w:cs="Times New Roman"/>
          <w:lang w:val="en-GB"/>
        </w:rPr>
      </w:pPr>
    </w:p>
    <w:p w14:paraId="34C17D41" w14:textId="77777777" w:rsidR="005B166A" w:rsidRPr="0002056A" w:rsidRDefault="005B166A" w:rsidP="005B166A">
      <w:pPr>
        <w:rPr>
          <w:lang w:val="en-GB"/>
        </w:rPr>
      </w:pPr>
    </w:p>
    <w:p w14:paraId="43713FD4" w14:textId="4D9863B0" w:rsidR="00D162B2" w:rsidRPr="0002056A" w:rsidRDefault="00D162B2" w:rsidP="00D162B2">
      <w:pPr>
        <w:pStyle w:val="Cmsor2"/>
        <w:rPr>
          <w:lang w:val="en-GB"/>
        </w:rPr>
      </w:pPr>
      <w:bookmarkStart w:id="77" w:name="_Toc225578889"/>
      <w:r w:rsidRPr="0002056A">
        <w:rPr>
          <w:lang w:val="en-GB"/>
        </w:rPr>
        <w:t xml:space="preserve">Annex </w:t>
      </w:r>
      <w:r w:rsidR="00EA2724" w:rsidRPr="0002056A">
        <w:rPr>
          <w:lang w:val="en-GB"/>
        </w:rPr>
        <w:t>3</w:t>
      </w:r>
      <w:r w:rsidRPr="0002056A">
        <w:rPr>
          <w:lang w:val="en-GB"/>
        </w:rPr>
        <w:t xml:space="preserve"> – Processed and analysed documents</w:t>
      </w:r>
      <w:bookmarkEnd w:id="77"/>
    </w:p>
    <w:p w14:paraId="5AC5C985" w14:textId="73CDCFF7" w:rsidR="00DC2C1E" w:rsidRPr="0002056A" w:rsidRDefault="001470D9" w:rsidP="00DC2C1E">
      <w:pPr>
        <w:pStyle w:val="Cmsor3"/>
        <w:rPr>
          <w:lang w:val="en-GB"/>
        </w:rPr>
      </w:pPr>
      <w:bookmarkStart w:id="78" w:name="_Toc225578890"/>
      <w:r w:rsidRPr="0002056A">
        <w:rPr>
          <w:lang w:val="en-GB"/>
        </w:rPr>
        <w:t xml:space="preserve">Annex </w:t>
      </w:r>
      <w:r w:rsidR="00EA2724" w:rsidRPr="0002056A">
        <w:rPr>
          <w:lang w:val="en-GB"/>
        </w:rPr>
        <w:t>3</w:t>
      </w:r>
      <w:r w:rsidRPr="0002056A">
        <w:rPr>
          <w:lang w:val="en-GB"/>
        </w:rPr>
        <w:t xml:space="preserve">a) </w:t>
      </w:r>
      <w:r w:rsidR="00DC2C1E" w:rsidRPr="0002056A">
        <w:rPr>
          <w:lang w:val="en-GB"/>
        </w:rPr>
        <w:t>List of the analysed national planning and situation analysis documents</w:t>
      </w:r>
      <w:bookmarkEnd w:id="78"/>
    </w:p>
    <w:tbl>
      <w:tblPr>
        <w:tblW w:w="13984" w:type="dxa"/>
        <w:tblCellMar>
          <w:left w:w="70" w:type="dxa"/>
          <w:right w:w="70" w:type="dxa"/>
        </w:tblCellMar>
        <w:tblLook w:val="04A0" w:firstRow="1" w:lastRow="0" w:firstColumn="1" w:lastColumn="0" w:noHBand="0" w:noVBand="1"/>
      </w:tblPr>
      <w:tblGrid>
        <w:gridCol w:w="626"/>
        <w:gridCol w:w="1534"/>
        <w:gridCol w:w="487"/>
        <w:gridCol w:w="693"/>
        <w:gridCol w:w="954"/>
        <w:gridCol w:w="1072"/>
        <w:gridCol w:w="1535"/>
        <w:gridCol w:w="464"/>
        <w:gridCol w:w="694"/>
        <w:gridCol w:w="954"/>
        <w:gridCol w:w="876"/>
        <w:gridCol w:w="1120"/>
        <w:gridCol w:w="464"/>
        <w:gridCol w:w="627"/>
        <w:gridCol w:w="744"/>
        <w:gridCol w:w="1140"/>
      </w:tblGrid>
      <w:tr w:rsidR="00DC2C1E" w:rsidRPr="0002056A" w14:paraId="7A627BA6" w14:textId="77777777" w:rsidTr="007B0C07">
        <w:trPr>
          <w:trHeight w:val="230"/>
          <w:tblHeader/>
        </w:trPr>
        <w:tc>
          <w:tcPr>
            <w:tcW w:w="630" w:type="dxa"/>
            <w:vMerge w:val="restart"/>
            <w:tcBorders>
              <w:top w:val="single" w:sz="8" w:space="0" w:color="auto"/>
              <w:left w:val="single" w:sz="8" w:space="0" w:color="auto"/>
              <w:bottom w:val="single" w:sz="4" w:space="0" w:color="auto"/>
              <w:right w:val="single" w:sz="4" w:space="0" w:color="auto"/>
            </w:tcBorders>
            <w:shd w:val="clear" w:color="000000" w:fill="548235"/>
            <w:vAlign w:val="center"/>
            <w:hideMark/>
          </w:tcPr>
          <w:p w14:paraId="70D0DF49" w14:textId="77777777" w:rsidR="00DC2C1E" w:rsidRPr="0002056A" w:rsidRDefault="00DC2C1E" w:rsidP="007B0C07">
            <w:pPr>
              <w:spacing w:after="0" w:line="240" w:lineRule="auto"/>
              <w:jc w:val="center"/>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Coun-try</w:t>
            </w:r>
          </w:p>
        </w:tc>
        <w:tc>
          <w:tcPr>
            <w:tcW w:w="4718" w:type="dxa"/>
            <w:gridSpan w:val="5"/>
            <w:tcBorders>
              <w:top w:val="single" w:sz="8" w:space="0" w:color="auto"/>
              <w:left w:val="nil"/>
              <w:bottom w:val="single" w:sz="4" w:space="0" w:color="auto"/>
              <w:right w:val="single" w:sz="4" w:space="0" w:color="auto"/>
            </w:tcBorders>
            <w:shd w:val="clear" w:color="000000" w:fill="548235"/>
            <w:vAlign w:val="center"/>
            <w:hideMark/>
          </w:tcPr>
          <w:p w14:paraId="1812E9E9"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NAS</w:t>
            </w:r>
          </w:p>
        </w:tc>
        <w:tc>
          <w:tcPr>
            <w:tcW w:w="4518" w:type="dxa"/>
            <w:gridSpan w:val="5"/>
            <w:tcBorders>
              <w:top w:val="single" w:sz="8" w:space="0" w:color="auto"/>
              <w:left w:val="nil"/>
              <w:bottom w:val="single" w:sz="4" w:space="0" w:color="auto"/>
              <w:right w:val="single" w:sz="4" w:space="0" w:color="auto"/>
            </w:tcBorders>
            <w:shd w:val="clear" w:color="000000" w:fill="548235"/>
            <w:vAlign w:val="center"/>
            <w:hideMark/>
          </w:tcPr>
          <w:p w14:paraId="28A442D3"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NAP</w:t>
            </w:r>
          </w:p>
        </w:tc>
        <w:tc>
          <w:tcPr>
            <w:tcW w:w="4118" w:type="dxa"/>
            <w:gridSpan w:val="5"/>
            <w:tcBorders>
              <w:top w:val="single" w:sz="8" w:space="0" w:color="auto"/>
              <w:left w:val="nil"/>
              <w:bottom w:val="single" w:sz="4" w:space="0" w:color="auto"/>
              <w:right w:val="single" w:sz="8" w:space="0" w:color="000000"/>
            </w:tcBorders>
            <w:shd w:val="clear" w:color="000000" w:fill="548235"/>
            <w:vAlign w:val="center"/>
            <w:hideMark/>
          </w:tcPr>
          <w:p w14:paraId="40A44E73"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Background documents</w:t>
            </w:r>
          </w:p>
        </w:tc>
      </w:tr>
      <w:tr w:rsidR="00DC2C1E" w:rsidRPr="0002056A" w14:paraId="744FA2F3" w14:textId="77777777" w:rsidTr="007B0C07">
        <w:trPr>
          <w:trHeight w:val="360"/>
          <w:tblHeader/>
        </w:trPr>
        <w:tc>
          <w:tcPr>
            <w:tcW w:w="630" w:type="dxa"/>
            <w:vMerge/>
            <w:tcBorders>
              <w:top w:val="single" w:sz="8" w:space="0" w:color="auto"/>
              <w:left w:val="single" w:sz="8" w:space="0" w:color="auto"/>
              <w:bottom w:val="single" w:sz="4" w:space="0" w:color="auto"/>
              <w:right w:val="single" w:sz="4" w:space="0" w:color="auto"/>
            </w:tcBorders>
            <w:vAlign w:val="center"/>
            <w:hideMark/>
          </w:tcPr>
          <w:p w14:paraId="2F2E8265"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C6E0B4"/>
            <w:vAlign w:val="center"/>
            <w:hideMark/>
          </w:tcPr>
          <w:p w14:paraId="264D3688"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489" w:type="dxa"/>
            <w:tcBorders>
              <w:top w:val="nil"/>
              <w:left w:val="nil"/>
              <w:bottom w:val="single" w:sz="4" w:space="0" w:color="auto"/>
              <w:right w:val="single" w:sz="4" w:space="0" w:color="auto"/>
            </w:tcBorders>
            <w:shd w:val="clear" w:color="000000" w:fill="C6E0B4"/>
            <w:vAlign w:val="center"/>
            <w:hideMark/>
          </w:tcPr>
          <w:p w14:paraId="7B31D113"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689" w:type="dxa"/>
            <w:tcBorders>
              <w:top w:val="nil"/>
              <w:left w:val="nil"/>
              <w:bottom w:val="single" w:sz="4" w:space="0" w:color="auto"/>
              <w:right w:val="single" w:sz="4" w:space="0" w:color="auto"/>
            </w:tcBorders>
            <w:shd w:val="clear" w:color="000000" w:fill="C6E0B4"/>
            <w:vAlign w:val="center"/>
            <w:hideMark/>
          </w:tcPr>
          <w:p w14:paraId="412EC5A8"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948" w:type="dxa"/>
            <w:tcBorders>
              <w:top w:val="nil"/>
              <w:left w:val="nil"/>
              <w:bottom w:val="single" w:sz="4" w:space="0" w:color="auto"/>
              <w:right w:val="single" w:sz="4" w:space="0" w:color="auto"/>
            </w:tcBorders>
            <w:shd w:val="clear" w:color="000000" w:fill="C6E0B4"/>
            <w:vAlign w:val="center"/>
            <w:hideMark/>
          </w:tcPr>
          <w:p w14:paraId="3A618C55"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Approved by</w:t>
            </w:r>
          </w:p>
        </w:tc>
        <w:tc>
          <w:tcPr>
            <w:tcW w:w="1066" w:type="dxa"/>
            <w:tcBorders>
              <w:top w:val="nil"/>
              <w:left w:val="nil"/>
              <w:bottom w:val="single" w:sz="4" w:space="0" w:color="auto"/>
              <w:right w:val="single" w:sz="4" w:space="0" w:color="auto"/>
            </w:tcBorders>
            <w:shd w:val="clear" w:color="000000" w:fill="C6E0B4"/>
            <w:vAlign w:val="center"/>
            <w:hideMark/>
          </w:tcPr>
          <w:p w14:paraId="4B516B99"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c>
          <w:tcPr>
            <w:tcW w:w="1525" w:type="dxa"/>
            <w:tcBorders>
              <w:top w:val="nil"/>
              <w:left w:val="nil"/>
              <w:bottom w:val="single" w:sz="4" w:space="0" w:color="auto"/>
              <w:right w:val="single" w:sz="4" w:space="0" w:color="auto"/>
            </w:tcBorders>
            <w:shd w:val="clear" w:color="000000" w:fill="C6E0B4"/>
            <w:vAlign w:val="center"/>
            <w:hideMark/>
          </w:tcPr>
          <w:p w14:paraId="0D99BACE"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466" w:type="dxa"/>
            <w:tcBorders>
              <w:top w:val="nil"/>
              <w:left w:val="nil"/>
              <w:bottom w:val="single" w:sz="4" w:space="0" w:color="auto"/>
              <w:right w:val="single" w:sz="4" w:space="0" w:color="auto"/>
            </w:tcBorders>
            <w:shd w:val="clear" w:color="000000" w:fill="C6E0B4"/>
            <w:vAlign w:val="center"/>
            <w:hideMark/>
          </w:tcPr>
          <w:p w14:paraId="5DA02BBA"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698" w:type="dxa"/>
            <w:tcBorders>
              <w:top w:val="nil"/>
              <w:left w:val="nil"/>
              <w:bottom w:val="single" w:sz="4" w:space="0" w:color="auto"/>
              <w:right w:val="single" w:sz="4" w:space="0" w:color="auto"/>
            </w:tcBorders>
            <w:shd w:val="clear" w:color="000000" w:fill="C6E0B4"/>
            <w:vAlign w:val="center"/>
            <w:hideMark/>
          </w:tcPr>
          <w:p w14:paraId="64BA75EE"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948" w:type="dxa"/>
            <w:tcBorders>
              <w:top w:val="nil"/>
              <w:left w:val="nil"/>
              <w:bottom w:val="single" w:sz="4" w:space="0" w:color="auto"/>
              <w:right w:val="single" w:sz="4" w:space="0" w:color="auto"/>
            </w:tcBorders>
            <w:shd w:val="clear" w:color="000000" w:fill="C6E0B4"/>
            <w:vAlign w:val="center"/>
            <w:hideMark/>
          </w:tcPr>
          <w:p w14:paraId="604B12DC"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Approved by</w:t>
            </w:r>
          </w:p>
        </w:tc>
        <w:tc>
          <w:tcPr>
            <w:tcW w:w="881" w:type="dxa"/>
            <w:tcBorders>
              <w:top w:val="nil"/>
              <w:left w:val="nil"/>
              <w:bottom w:val="single" w:sz="4" w:space="0" w:color="auto"/>
              <w:right w:val="single" w:sz="4" w:space="0" w:color="auto"/>
            </w:tcBorders>
            <w:shd w:val="clear" w:color="000000" w:fill="C6E0B4"/>
            <w:vAlign w:val="center"/>
            <w:hideMark/>
          </w:tcPr>
          <w:p w14:paraId="3B1F753D"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c>
          <w:tcPr>
            <w:tcW w:w="1127" w:type="dxa"/>
            <w:tcBorders>
              <w:top w:val="nil"/>
              <w:left w:val="nil"/>
              <w:bottom w:val="single" w:sz="4" w:space="0" w:color="auto"/>
              <w:right w:val="single" w:sz="4" w:space="0" w:color="auto"/>
            </w:tcBorders>
            <w:shd w:val="clear" w:color="000000" w:fill="C6E0B4"/>
            <w:vAlign w:val="center"/>
            <w:hideMark/>
          </w:tcPr>
          <w:p w14:paraId="40E16D8B"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466" w:type="dxa"/>
            <w:tcBorders>
              <w:top w:val="nil"/>
              <w:left w:val="nil"/>
              <w:bottom w:val="single" w:sz="4" w:space="0" w:color="auto"/>
              <w:right w:val="single" w:sz="4" w:space="0" w:color="auto"/>
            </w:tcBorders>
            <w:shd w:val="clear" w:color="000000" w:fill="C6E0B4"/>
            <w:vAlign w:val="center"/>
            <w:hideMark/>
          </w:tcPr>
          <w:p w14:paraId="233432CF"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630" w:type="dxa"/>
            <w:tcBorders>
              <w:top w:val="nil"/>
              <w:left w:val="nil"/>
              <w:bottom w:val="single" w:sz="4" w:space="0" w:color="auto"/>
              <w:right w:val="single" w:sz="4" w:space="0" w:color="auto"/>
            </w:tcBorders>
            <w:shd w:val="clear" w:color="000000" w:fill="C6E0B4"/>
            <w:vAlign w:val="center"/>
            <w:hideMark/>
          </w:tcPr>
          <w:p w14:paraId="248DE35A"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748" w:type="dxa"/>
            <w:tcBorders>
              <w:top w:val="nil"/>
              <w:left w:val="nil"/>
              <w:bottom w:val="single" w:sz="4" w:space="0" w:color="auto"/>
              <w:right w:val="single" w:sz="4" w:space="0" w:color="auto"/>
            </w:tcBorders>
            <w:shd w:val="clear" w:color="000000" w:fill="C6E0B4"/>
            <w:vAlign w:val="center"/>
            <w:hideMark/>
          </w:tcPr>
          <w:p w14:paraId="7257B75A"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Approved by</w:t>
            </w:r>
          </w:p>
        </w:tc>
        <w:tc>
          <w:tcPr>
            <w:tcW w:w="1147" w:type="dxa"/>
            <w:tcBorders>
              <w:top w:val="nil"/>
              <w:left w:val="nil"/>
              <w:bottom w:val="single" w:sz="4" w:space="0" w:color="auto"/>
              <w:right w:val="single" w:sz="8" w:space="0" w:color="auto"/>
            </w:tcBorders>
            <w:shd w:val="clear" w:color="000000" w:fill="C6E0B4"/>
            <w:vAlign w:val="center"/>
            <w:hideMark/>
          </w:tcPr>
          <w:p w14:paraId="2A21F8B9"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r>
      <w:tr w:rsidR="00DC2C1E" w:rsidRPr="0002056A" w14:paraId="68BBE75F" w14:textId="77777777" w:rsidTr="007B0C07">
        <w:trPr>
          <w:trHeight w:val="98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2E2B4B00"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ALB</w:t>
            </w:r>
          </w:p>
        </w:tc>
        <w:tc>
          <w:tcPr>
            <w:tcW w:w="1526" w:type="dxa"/>
            <w:tcBorders>
              <w:top w:val="nil"/>
              <w:left w:val="nil"/>
              <w:bottom w:val="single" w:sz="4" w:space="0" w:color="auto"/>
              <w:right w:val="single" w:sz="4" w:space="0" w:color="auto"/>
            </w:tcBorders>
            <w:vAlign w:val="center"/>
            <w:hideMark/>
          </w:tcPr>
          <w:p w14:paraId="4DE9094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Strategy and Action Plans (Strategjia e Ndryshimeve Klimatike dhe Planet e Veprimit)</w:t>
            </w:r>
          </w:p>
        </w:tc>
        <w:tc>
          <w:tcPr>
            <w:tcW w:w="489" w:type="dxa"/>
            <w:tcBorders>
              <w:top w:val="nil"/>
              <w:left w:val="nil"/>
              <w:bottom w:val="single" w:sz="4" w:space="0" w:color="auto"/>
              <w:right w:val="single" w:sz="4" w:space="0" w:color="auto"/>
            </w:tcBorders>
            <w:vAlign w:val="center"/>
            <w:hideMark/>
          </w:tcPr>
          <w:p w14:paraId="0014DCA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89" w:type="dxa"/>
            <w:tcBorders>
              <w:top w:val="nil"/>
              <w:left w:val="nil"/>
              <w:bottom w:val="single" w:sz="4" w:space="0" w:color="auto"/>
              <w:right w:val="single" w:sz="4" w:space="0" w:color="auto"/>
            </w:tcBorders>
            <w:vAlign w:val="center"/>
            <w:hideMark/>
          </w:tcPr>
          <w:p w14:paraId="3B62BF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2019-2030</w:t>
            </w:r>
          </w:p>
        </w:tc>
        <w:tc>
          <w:tcPr>
            <w:tcW w:w="948" w:type="dxa"/>
            <w:tcBorders>
              <w:top w:val="nil"/>
              <w:left w:val="nil"/>
              <w:bottom w:val="single" w:sz="4" w:space="0" w:color="auto"/>
              <w:right w:val="single" w:sz="4" w:space="0" w:color="auto"/>
            </w:tcBorders>
            <w:vAlign w:val="center"/>
            <w:hideMark/>
          </w:tcPr>
          <w:p w14:paraId="565685A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Albanian Government </w:t>
            </w:r>
          </w:p>
        </w:tc>
        <w:tc>
          <w:tcPr>
            <w:tcW w:w="1066" w:type="dxa"/>
            <w:tcBorders>
              <w:top w:val="nil"/>
              <w:left w:val="nil"/>
              <w:bottom w:val="single" w:sz="4" w:space="0" w:color="auto"/>
              <w:right w:val="single" w:sz="4" w:space="0" w:color="auto"/>
            </w:tcBorders>
            <w:vAlign w:val="center"/>
            <w:hideMark/>
          </w:tcPr>
          <w:p w14:paraId="5051281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Albanian Government </w:t>
            </w:r>
          </w:p>
        </w:tc>
        <w:tc>
          <w:tcPr>
            <w:tcW w:w="1525" w:type="dxa"/>
            <w:tcBorders>
              <w:top w:val="nil"/>
              <w:left w:val="nil"/>
              <w:bottom w:val="single" w:sz="4" w:space="0" w:color="auto"/>
              <w:right w:val="single" w:sz="4" w:space="0" w:color="auto"/>
            </w:tcBorders>
            <w:vAlign w:val="center"/>
            <w:hideMark/>
          </w:tcPr>
          <w:p w14:paraId="547CA3F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Strategy and Action Plans (Strategjia e Ndryshimeve Klimatike dhe Planet e Veprimit)</w:t>
            </w:r>
          </w:p>
        </w:tc>
        <w:tc>
          <w:tcPr>
            <w:tcW w:w="466" w:type="dxa"/>
            <w:tcBorders>
              <w:top w:val="nil"/>
              <w:left w:val="nil"/>
              <w:bottom w:val="single" w:sz="4" w:space="0" w:color="auto"/>
              <w:right w:val="single" w:sz="4" w:space="0" w:color="auto"/>
            </w:tcBorders>
            <w:vAlign w:val="center"/>
            <w:hideMark/>
          </w:tcPr>
          <w:p w14:paraId="4CAB4D3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98" w:type="dxa"/>
            <w:tcBorders>
              <w:top w:val="nil"/>
              <w:left w:val="nil"/>
              <w:bottom w:val="single" w:sz="4" w:space="0" w:color="auto"/>
              <w:right w:val="single" w:sz="4" w:space="0" w:color="auto"/>
            </w:tcBorders>
            <w:vAlign w:val="center"/>
            <w:hideMark/>
          </w:tcPr>
          <w:p w14:paraId="62BE14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2019-2030</w:t>
            </w:r>
          </w:p>
        </w:tc>
        <w:tc>
          <w:tcPr>
            <w:tcW w:w="948" w:type="dxa"/>
            <w:tcBorders>
              <w:top w:val="nil"/>
              <w:left w:val="nil"/>
              <w:bottom w:val="single" w:sz="4" w:space="0" w:color="auto"/>
              <w:right w:val="single" w:sz="4" w:space="0" w:color="auto"/>
            </w:tcBorders>
            <w:vAlign w:val="center"/>
            <w:hideMark/>
          </w:tcPr>
          <w:p w14:paraId="313632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Albanian Government </w:t>
            </w:r>
          </w:p>
        </w:tc>
        <w:tc>
          <w:tcPr>
            <w:tcW w:w="881" w:type="dxa"/>
            <w:tcBorders>
              <w:top w:val="nil"/>
              <w:left w:val="nil"/>
              <w:bottom w:val="single" w:sz="4" w:space="0" w:color="auto"/>
              <w:right w:val="single" w:sz="4" w:space="0" w:color="auto"/>
            </w:tcBorders>
            <w:vAlign w:val="center"/>
            <w:hideMark/>
          </w:tcPr>
          <w:p w14:paraId="07498B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Albanian Government </w:t>
            </w:r>
          </w:p>
        </w:tc>
        <w:tc>
          <w:tcPr>
            <w:tcW w:w="1127" w:type="dxa"/>
            <w:tcBorders>
              <w:top w:val="nil"/>
              <w:left w:val="nil"/>
              <w:bottom w:val="single" w:sz="4" w:space="0" w:color="auto"/>
              <w:right w:val="single" w:sz="4" w:space="0" w:color="auto"/>
            </w:tcBorders>
            <w:vAlign w:val="center"/>
            <w:hideMark/>
          </w:tcPr>
          <w:p w14:paraId="2B82DAD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Adaptation Planning (NAP)</w:t>
            </w:r>
            <w:r w:rsidRPr="0002056A">
              <w:rPr>
                <w:rFonts w:ascii="Georgia" w:eastAsia="Times New Roman" w:hAnsi="Georgia" w:cs="Calibri"/>
                <w:b/>
                <w:bCs/>
                <w:color w:val="000000"/>
                <w:sz w:val="10"/>
                <w:szCs w:val="10"/>
                <w:lang w:val="en-GB" w:eastAsia="hu-HU"/>
              </w:rPr>
              <w:br/>
              <w:t>to Climate Change in Albania</w:t>
            </w:r>
            <w:r w:rsidRPr="0002056A">
              <w:rPr>
                <w:rFonts w:ascii="Georgia" w:eastAsia="Times New Roman" w:hAnsi="Georgia" w:cs="Calibri"/>
                <w:b/>
                <w:bCs/>
                <w:color w:val="000000"/>
                <w:sz w:val="10"/>
                <w:szCs w:val="10"/>
                <w:lang w:val="en-GB" w:eastAsia="hu-HU"/>
              </w:rPr>
              <w:br/>
              <w:t>Framework for the Country Process</w:t>
            </w:r>
          </w:p>
        </w:tc>
        <w:tc>
          <w:tcPr>
            <w:tcW w:w="466" w:type="dxa"/>
            <w:tcBorders>
              <w:top w:val="nil"/>
              <w:left w:val="nil"/>
              <w:bottom w:val="single" w:sz="4" w:space="0" w:color="auto"/>
              <w:right w:val="single" w:sz="4" w:space="0" w:color="auto"/>
            </w:tcBorders>
            <w:vAlign w:val="center"/>
            <w:hideMark/>
          </w:tcPr>
          <w:p w14:paraId="5612CD7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630" w:type="dxa"/>
            <w:tcBorders>
              <w:top w:val="nil"/>
              <w:left w:val="nil"/>
              <w:bottom w:val="single" w:sz="4" w:space="0" w:color="auto"/>
              <w:right w:val="single" w:sz="4" w:space="0" w:color="auto"/>
            </w:tcBorders>
            <w:vAlign w:val="center"/>
            <w:hideMark/>
          </w:tcPr>
          <w:p w14:paraId="2A601F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49C954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Inter-Ministerial Working Group on Climate Change</w:t>
            </w:r>
          </w:p>
        </w:tc>
        <w:tc>
          <w:tcPr>
            <w:tcW w:w="1147" w:type="dxa"/>
            <w:tcBorders>
              <w:top w:val="nil"/>
              <w:left w:val="nil"/>
              <w:bottom w:val="single" w:sz="4" w:space="0" w:color="auto"/>
              <w:right w:val="single" w:sz="8" w:space="0" w:color="auto"/>
            </w:tcBorders>
            <w:vAlign w:val="center"/>
            <w:hideMark/>
          </w:tcPr>
          <w:p w14:paraId="4616836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Tourism and Environment</w:t>
            </w:r>
          </w:p>
        </w:tc>
      </w:tr>
      <w:tr w:rsidR="00DC2C1E" w:rsidRPr="0002056A" w14:paraId="161052A7" w14:textId="77777777" w:rsidTr="007B0C07">
        <w:trPr>
          <w:trHeight w:val="1392"/>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0BA8295E"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AUT</w:t>
            </w:r>
          </w:p>
        </w:tc>
        <w:tc>
          <w:tcPr>
            <w:tcW w:w="1526" w:type="dxa"/>
            <w:tcBorders>
              <w:top w:val="nil"/>
              <w:left w:val="nil"/>
              <w:bottom w:val="single" w:sz="4" w:space="0" w:color="auto"/>
              <w:right w:val="single" w:sz="4" w:space="0" w:color="auto"/>
            </w:tcBorders>
            <w:vAlign w:val="center"/>
            <w:hideMark/>
          </w:tcPr>
          <w:p w14:paraId="4D47A64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Austrian strategy for adaptation to climate change Part 1 - Context (Die Österreichische Strategie zur Anpassung an den Klimawandel; Teil 1 – Kontext)</w:t>
            </w:r>
          </w:p>
        </w:tc>
        <w:tc>
          <w:tcPr>
            <w:tcW w:w="489" w:type="dxa"/>
            <w:tcBorders>
              <w:top w:val="nil"/>
              <w:left w:val="nil"/>
              <w:bottom w:val="single" w:sz="4" w:space="0" w:color="auto"/>
              <w:right w:val="single" w:sz="4" w:space="0" w:color="auto"/>
            </w:tcBorders>
            <w:vAlign w:val="center"/>
            <w:hideMark/>
          </w:tcPr>
          <w:p w14:paraId="50C3F02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07E0DE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 with an outlook to 2050</w:t>
            </w:r>
          </w:p>
        </w:tc>
        <w:tc>
          <w:tcPr>
            <w:tcW w:w="948" w:type="dxa"/>
            <w:tcBorders>
              <w:top w:val="nil"/>
              <w:left w:val="nil"/>
              <w:bottom w:val="single" w:sz="4" w:space="0" w:color="auto"/>
              <w:right w:val="single" w:sz="4" w:space="0" w:color="auto"/>
            </w:tcBorders>
            <w:vAlign w:val="center"/>
            <w:hideMark/>
          </w:tcPr>
          <w:p w14:paraId="58C9DE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1066" w:type="dxa"/>
            <w:tcBorders>
              <w:top w:val="nil"/>
              <w:left w:val="nil"/>
              <w:bottom w:val="single" w:sz="4" w:space="0" w:color="auto"/>
              <w:right w:val="single" w:sz="4" w:space="0" w:color="auto"/>
            </w:tcBorders>
            <w:vAlign w:val="center"/>
            <w:hideMark/>
          </w:tcPr>
          <w:p w14:paraId="535EDD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Ministry of Climate Action, Environment, Energy, Mobility, Innovation and Technology</w:t>
            </w:r>
          </w:p>
        </w:tc>
        <w:tc>
          <w:tcPr>
            <w:tcW w:w="1525" w:type="dxa"/>
            <w:tcBorders>
              <w:top w:val="nil"/>
              <w:left w:val="nil"/>
              <w:bottom w:val="single" w:sz="4" w:space="0" w:color="auto"/>
              <w:right w:val="single" w:sz="4" w:space="0" w:color="auto"/>
            </w:tcBorders>
            <w:vAlign w:val="center"/>
            <w:hideMark/>
          </w:tcPr>
          <w:p w14:paraId="795F1C8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Austrian strategy for adaptation to climate change Part 2  - Action plan</w:t>
            </w:r>
            <w:r w:rsidRPr="0002056A">
              <w:rPr>
                <w:rFonts w:ascii="Georgia" w:eastAsia="Times New Roman" w:hAnsi="Georgia" w:cs="Calibri"/>
                <w:b/>
                <w:bCs/>
                <w:color w:val="000000"/>
                <w:sz w:val="10"/>
                <w:szCs w:val="10"/>
                <w:lang w:val="en-GB" w:eastAsia="hu-HU"/>
              </w:rPr>
              <w:br/>
              <w:t>Die Österreichische Strategie zur Anpassung an den Klimawandel - Teil 2 – Aktionsplan Handlungsempfehlungen für die Umsetzung</w:t>
            </w:r>
          </w:p>
        </w:tc>
        <w:tc>
          <w:tcPr>
            <w:tcW w:w="466" w:type="dxa"/>
            <w:tcBorders>
              <w:top w:val="nil"/>
              <w:left w:val="nil"/>
              <w:bottom w:val="single" w:sz="4" w:space="0" w:color="auto"/>
              <w:right w:val="single" w:sz="4" w:space="0" w:color="auto"/>
            </w:tcBorders>
            <w:vAlign w:val="center"/>
            <w:hideMark/>
          </w:tcPr>
          <w:p w14:paraId="50D5C4B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98" w:type="dxa"/>
            <w:tcBorders>
              <w:top w:val="nil"/>
              <w:left w:val="nil"/>
              <w:bottom w:val="single" w:sz="4" w:space="0" w:color="auto"/>
              <w:right w:val="single" w:sz="4" w:space="0" w:color="auto"/>
            </w:tcBorders>
            <w:vAlign w:val="center"/>
            <w:hideMark/>
          </w:tcPr>
          <w:p w14:paraId="33E8E6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 with an outlook to 2050</w:t>
            </w:r>
          </w:p>
        </w:tc>
        <w:tc>
          <w:tcPr>
            <w:tcW w:w="948" w:type="dxa"/>
            <w:tcBorders>
              <w:top w:val="nil"/>
              <w:left w:val="nil"/>
              <w:bottom w:val="single" w:sz="4" w:space="0" w:color="auto"/>
              <w:right w:val="single" w:sz="4" w:space="0" w:color="auto"/>
            </w:tcBorders>
            <w:vAlign w:val="center"/>
            <w:hideMark/>
          </w:tcPr>
          <w:p w14:paraId="08D4B3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881" w:type="dxa"/>
            <w:tcBorders>
              <w:top w:val="nil"/>
              <w:left w:val="nil"/>
              <w:bottom w:val="single" w:sz="4" w:space="0" w:color="auto"/>
              <w:right w:val="single" w:sz="4" w:space="0" w:color="auto"/>
            </w:tcBorders>
            <w:vAlign w:val="center"/>
            <w:hideMark/>
          </w:tcPr>
          <w:p w14:paraId="62ECC3C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Ministry of Climate Action, Environment, Energy, Mobility, Innovation and Technology</w:t>
            </w:r>
          </w:p>
        </w:tc>
        <w:tc>
          <w:tcPr>
            <w:tcW w:w="1127" w:type="dxa"/>
            <w:tcBorders>
              <w:top w:val="nil"/>
              <w:left w:val="nil"/>
              <w:bottom w:val="single" w:sz="4" w:space="0" w:color="auto"/>
              <w:right w:val="single" w:sz="4" w:space="0" w:color="auto"/>
            </w:tcBorders>
            <w:shd w:val="clear" w:color="000000" w:fill="BFBFBF"/>
            <w:vAlign w:val="center"/>
            <w:hideMark/>
          </w:tcPr>
          <w:p w14:paraId="3020D33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6529CF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5A5DC43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5A3C78D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5CF3F5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78B934D" w14:textId="77777777" w:rsidTr="007B0C07">
        <w:trPr>
          <w:trHeight w:val="42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0B3F8BB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BEL</w:t>
            </w:r>
          </w:p>
        </w:tc>
        <w:tc>
          <w:tcPr>
            <w:tcW w:w="1526" w:type="dxa"/>
            <w:tcBorders>
              <w:top w:val="nil"/>
              <w:left w:val="nil"/>
              <w:bottom w:val="single" w:sz="4" w:space="0" w:color="auto"/>
              <w:right w:val="single" w:sz="4" w:space="0" w:color="auto"/>
            </w:tcBorders>
            <w:vAlign w:val="center"/>
            <w:hideMark/>
          </w:tcPr>
          <w:p w14:paraId="1FDFA40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Adaptation Strategy</w:t>
            </w:r>
          </w:p>
        </w:tc>
        <w:tc>
          <w:tcPr>
            <w:tcW w:w="489" w:type="dxa"/>
            <w:tcBorders>
              <w:top w:val="nil"/>
              <w:left w:val="nil"/>
              <w:bottom w:val="single" w:sz="4" w:space="0" w:color="auto"/>
              <w:right w:val="single" w:sz="4" w:space="0" w:color="auto"/>
            </w:tcBorders>
            <w:vAlign w:val="center"/>
            <w:hideMark/>
          </w:tcPr>
          <w:p w14:paraId="61A565E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2010</w:t>
            </w:r>
          </w:p>
        </w:tc>
        <w:tc>
          <w:tcPr>
            <w:tcW w:w="689" w:type="dxa"/>
            <w:tcBorders>
              <w:top w:val="nil"/>
              <w:left w:val="nil"/>
              <w:bottom w:val="single" w:sz="4" w:space="0" w:color="auto"/>
              <w:right w:val="single" w:sz="4" w:space="0" w:color="auto"/>
            </w:tcBorders>
            <w:vAlign w:val="center"/>
            <w:hideMark/>
          </w:tcPr>
          <w:p w14:paraId="21425C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w:t>
            </w:r>
          </w:p>
        </w:tc>
        <w:tc>
          <w:tcPr>
            <w:tcW w:w="948" w:type="dxa"/>
            <w:tcBorders>
              <w:top w:val="nil"/>
              <w:left w:val="nil"/>
              <w:bottom w:val="single" w:sz="4" w:space="0" w:color="auto"/>
              <w:right w:val="single" w:sz="4" w:space="0" w:color="auto"/>
            </w:tcBorders>
            <w:vAlign w:val="center"/>
            <w:hideMark/>
          </w:tcPr>
          <w:p w14:paraId="09EF0C2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1066" w:type="dxa"/>
            <w:tcBorders>
              <w:top w:val="nil"/>
              <w:left w:val="nil"/>
              <w:bottom w:val="single" w:sz="4" w:space="0" w:color="auto"/>
              <w:right w:val="single" w:sz="4" w:space="0" w:color="auto"/>
            </w:tcBorders>
            <w:vAlign w:val="center"/>
            <w:hideMark/>
          </w:tcPr>
          <w:p w14:paraId="32B2DCC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Climate Commission</w:t>
            </w:r>
          </w:p>
        </w:tc>
        <w:tc>
          <w:tcPr>
            <w:tcW w:w="1525" w:type="dxa"/>
            <w:tcBorders>
              <w:top w:val="nil"/>
              <w:left w:val="nil"/>
              <w:bottom w:val="single" w:sz="4" w:space="0" w:color="auto"/>
              <w:right w:val="single" w:sz="4" w:space="0" w:color="auto"/>
            </w:tcBorders>
            <w:vAlign w:val="center"/>
            <w:hideMark/>
          </w:tcPr>
          <w:p w14:paraId="12CDCF7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Belgian National Adaptation Plan</w:t>
            </w:r>
          </w:p>
        </w:tc>
        <w:tc>
          <w:tcPr>
            <w:tcW w:w="466" w:type="dxa"/>
            <w:tcBorders>
              <w:top w:val="nil"/>
              <w:left w:val="nil"/>
              <w:bottom w:val="single" w:sz="4" w:space="0" w:color="auto"/>
              <w:right w:val="single" w:sz="4" w:space="0" w:color="auto"/>
            </w:tcBorders>
            <w:vAlign w:val="center"/>
            <w:hideMark/>
          </w:tcPr>
          <w:p w14:paraId="7C9CA8A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98" w:type="dxa"/>
            <w:tcBorders>
              <w:top w:val="nil"/>
              <w:left w:val="nil"/>
              <w:bottom w:val="single" w:sz="4" w:space="0" w:color="auto"/>
              <w:right w:val="single" w:sz="4" w:space="0" w:color="auto"/>
            </w:tcBorders>
            <w:vAlign w:val="center"/>
            <w:hideMark/>
          </w:tcPr>
          <w:p w14:paraId="20FFC1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2017-2020</w:t>
            </w:r>
          </w:p>
        </w:tc>
        <w:tc>
          <w:tcPr>
            <w:tcW w:w="948" w:type="dxa"/>
            <w:tcBorders>
              <w:top w:val="nil"/>
              <w:left w:val="nil"/>
              <w:bottom w:val="single" w:sz="4" w:space="0" w:color="auto"/>
              <w:right w:val="single" w:sz="4" w:space="0" w:color="auto"/>
            </w:tcBorders>
            <w:vAlign w:val="center"/>
            <w:hideMark/>
          </w:tcPr>
          <w:p w14:paraId="0EA67EC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881" w:type="dxa"/>
            <w:tcBorders>
              <w:top w:val="nil"/>
              <w:left w:val="nil"/>
              <w:bottom w:val="single" w:sz="4" w:space="0" w:color="auto"/>
              <w:right w:val="single" w:sz="4" w:space="0" w:color="auto"/>
            </w:tcBorders>
            <w:vAlign w:val="center"/>
            <w:hideMark/>
          </w:tcPr>
          <w:p w14:paraId="2459BA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Climate Commission</w:t>
            </w:r>
          </w:p>
        </w:tc>
        <w:tc>
          <w:tcPr>
            <w:tcW w:w="1127" w:type="dxa"/>
            <w:tcBorders>
              <w:top w:val="nil"/>
              <w:left w:val="nil"/>
              <w:bottom w:val="single" w:sz="4" w:space="0" w:color="auto"/>
              <w:right w:val="single" w:sz="4" w:space="0" w:color="auto"/>
            </w:tcBorders>
            <w:shd w:val="clear" w:color="000000" w:fill="BFBFBF"/>
            <w:vAlign w:val="center"/>
            <w:hideMark/>
          </w:tcPr>
          <w:p w14:paraId="2159B0B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8DE455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5216C5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4EAADB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0BBE889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79854BB" w14:textId="77777777" w:rsidTr="007B0C07">
        <w:trPr>
          <w:trHeight w:val="700"/>
        </w:trPr>
        <w:tc>
          <w:tcPr>
            <w:tcW w:w="630" w:type="dxa"/>
            <w:vMerge/>
            <w:tcBorders>
              <w:top w:val="nil"/>
              <w:left w:val="single" w:sz="8" w:space="0" w:color="auto"/>
              <w:bottom w:val="single" w:sz="4" w:space="0" w:color="auto"/>
              <w:right w:val="single" w:sz="4" w:space="0" w:color="auto"/>
            </w:tcBorders>
            <w:vAlign w:val="center"/>
            <w:hideMark/>
          </w:tcPr>
          <w:p w14:paraId="309EC784"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vAlign w:val="center"/>
            <w:hideMark/>
          </w:tcPr>
          <w:p w14:paraId="5658E4E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Flemish Climate Adaptation Plan 2030</w:t>
            </w:r>
          </w:p>
        </w:tc>
        <w:tc>
          <w:tcPr>
            <w:tcW w:w="489" w:type="dxa"/>
            <w:tcBorders>
              <w:top w:val="nil"/>
              <w:left w:val="nil"/>
              <w:bottom w:val="single" w:sz="4" w:space="0" w:color="auto"/>
              <w:right w:val="single" w:sz="4" w:space="0" w:color="auto"/>
            </w:tcBorders>
            <w:vAlign w:val="center"/>
            <w:hideMark/>
          </w:tcPr>
          <w:p w14:paraId="2B53270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89" w:type="dxa"/>
            <w:tcBorders>
              <w:top w:val="nil"/>
              <w:left w:val="nil"/>
              <w:bottom w:val="single" w:sz="4" w:space="0" w:color="auto"/>
              <w:right w:val="single" w:sz="4" w:space="0" w:color="auto"/>
            </w:tcBorders>
            <w:vAlign w:val="center"/>
            <w:hideMark/>
          </w:tcPr>
          <w:p w14:paraId="300BE8BE"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53EC8E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Government of Flanders </w:t>
            </w:r>
          </w:p>
        </w:tc>
        <w:tc>
          <w:tcPr>
            <w:tcW w:w="1066" w:type="dxa"/>
            <w:tcBorders>
              <w:top w:val="nil"/>
              <w:left w:val="nil"/>
              <w:bottom w:val="single" w:sz="4" w:space="0" w:color="auto"/>
              <w:right w:val="single" w:sz="4" w:space="0" w:color="auto"/>
            </w:tcBorders>
            <w:vAlign w:val="center"/>
            <w:hideMark/>
          </w:tcPr>
          <w:p w14:paraId="351AF7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Flemish Environment, Nature and Energy department</w:t>
            </w:r>
          </w:p>
        </w:tc>
        <w:tc>
          <w:tcPr>
            <w:tcW w:w="1525" w:type="dxa"/>
            <w:tcBorders>
              <w:top w:val="nil"/>
              <w:left w:val="nil"/>
              <w:bottom w:val="single" w:sz="4" w:space="0" w:color="auto"/>
              <w:right w:val="single" w:sz="4" w:space="0" w:color="auto"/>
            </w:tcBorders>
            <w:shd w:val="clear" w:color="000000" w:fill="BFBFBF"/>
            <w:vAlign w:val="center"/>
            <w:hideMark/>
          </w:tcPr>
          <w:p w14:paraId="669CCFC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8DB47D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7F6052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D3BB75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66F49E0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515F593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1EDA72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25329B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2175DC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418CF4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A688F16" w14:textId="77777777" w:rsidTr="007B0C07">
        <w:trPr>
          <w:trHeight w:val="290"/>
        </w:trPr>
        <w:tc>
          <w:tcPr>
            <w:tcW w:w="630" w:type="dxa"/>
            <w:vMerge/>
            <w:tcBorders>
              <w:top w:val="nil"/>
              <w:left w:val="single" w:sz="8" w:space="0" w:color="auto"/>
              <w:bottom w:val="single" w:sz="4" w:space="0" w:color="auto"/>
              <w:right w:val="single" w:sz="4" w:space="0" w:color="auto"/>
            </w:tcBorders>
            <w:vAlign w:val="center"/>
            <w:hideMark/>
          </w:tcPr>
          <w:p w14:paraId="09F7783B"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vAlign w:val="center"/>
            <w:hideMark/>
          </w:tcPr>
          <w:p w14:paraId="75CC314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Región Wallonne Plan d'Adaptation</w:t>
            </w:r>
          </w:p>
        </w:tc>
        <w:tc>
          <w:tcPr>
            <w:tcW w:w="489" w:type="dxa"/>
            <w:tcBorders>
              <w:top w:val="nil"/>
              <w:left w:val="nil"/>
              <w:bottom w:val="single" w:sz="4" w:space="0" w:color="auto"/>
              <w:right w:val="single" w:sz="4" w:space="0" w:color="auto"/>
            </w:tcBorders>
            <w:vAlign w:val="center"/>
            <w:hideMark/>
          </w:tcPr>
          <w:p w14:paraId="358BFD7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568865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2024-34</w:t>
            </w:r>
          </w:p>
        </w:tc>
        <w:tc>
          <w:tcPr>
            <w:tcW w:w="948" w:type="dxa"/>
            <w:tcBorders>
              <w:top w:val="nil"/>
              <w:left w:val="nil"/>
              <w:bottom w:val="single" w:sz="4" w:space="0" w:color="auto"/>
              <w:right w:val="single" w:sz="4" w:space="0" w:color="auto"/>
            </w:tcBorders>
            <w:vAlign w:val="center"/>
            <w:hideMark/>
          </w:tcPr>
          <w:p w14:paraId="49BCD8D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od Wallon</w:t>
            </w:r>
          </w:p>
        </w:tc>
        <w:tc>
          <w:tcPr>
            <w:tcW w:w="1066" w:type="dxa"/>
            <w:tcBorders>
              <w:top w:val="nil"/>
              <w:left w:val="nil"/>
              <w:bottom w:val="single" w:sz="4" w:space="0" w:color="auto"/>
              <w:right w:val="single" w:sz="4" w:space="0" w:color="auto"/>
            </w:tcBorders>
            <w:vAlign w:val="center"/>
            <w:hideMark/>
          </w:tcPr>
          <w:p w14:paraId="6CD6E8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Elia Group</w:t>
            </w:r>
          </w:p>
        </w:tc>
        <w:tc>
          <w:tcPr>
            <w:tcW w:w="1525" w:type="dxa"/>
            <w:tcBorders>
              <w:top w:val="nil"/>
              <w:left w:val="nil"/>
              <w:bottom w:val="single" w:sz="4" w:space="0" w:color="auto"/>
              <w:right w:val="single" w:sz="4" w:space="0" w:color="auto"/>
            </w:tcBorders>
            <w:shd w:val="clear" w:color="000000" w:fill="BFBFBF"/>
            <w:vAlign w:val="center"/>
            <w:hideMark/>
          </w:tcPr>
          <w:p w14:paraId="0BA4312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34FE8D6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48328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56B82A7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72416D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5315542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44B2FF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037C0C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490A51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2BF2BD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AD053A9" w14:textId="77777777" w:rsidTr="007B0C07">
        <w:trPr>
          <w:trHeight w:val="173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3845ED26"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BIH</w:t>
            </w:r>
          </w:p>
        </w:tc>
        <w:tc>
          <w:tcPr>
            <w:tcW w:w="1526" w:type="dxa"/>
            <w:tcBorders>
              <w:top w:val="nil"/>
              <w:left w:val="nil"/>
              <w:bottom w:val="single" w:sz="4" w:space="0" w:color="auto"/>
              <w:right w:val="single" w:sz="4" w:space="0" w:color="auto"/>
            </w:tcBorders>
            <w:vAlign w:val="center"/>
            <w:hideMark/>
          </w:tcPr>
          <w:p w14:paraId="6DA7A07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2020-2030 Climate Change Adaptation and Low Emission Development Strategy for Bosnia and Herzegovina</w:t>
            </w:r>
          </w:p>
        </w:tc>
        <w:tc>
          <w:tcPr>
            <w:tcW w:w="489" w:type="dxa"/>
            <w:tcBorders>
              <w:top w:val="nil"/>
              <w:left w:val="nil"/>
              <w:bottom w:val="single" w:sz="4" w:space="0" w:color="auto"/>
              <w:right w:val="single" w:sz="4" w:space="0" w:color="auto"/>
            </w:tcBorders>
            <w:vAlign w:val="center"/>
            <w:hideMark/>
          </w:tcPr>
          <w:p w14:paraId="52C326D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89" w:type="dxa"/>
            <w:tcBorders>
              <w:top w:val="nil"/>
              <w:left w:val="nil"/>
              <w:bottom w:val="single" w:sz="4" w:space="0" w:color="auto"/>
              <w:right w:val="single" w:sz="4" w:space="0" w:color="auto"/>
            </w:tcBorders>
            <w:vAlign w:val="center"/>
            <w:hideMark/>
          </w:tcPr>
          <w:p w14:paraId="23B679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2020-2030</w:t>
            </w:r>
          </w:p>
        </w:tc>
        <w:tc>
          <w:tcPr>
            <w:tcW w:w="948" w:type="dxa"/>
            <w:tcBorders>
              <w:top w:val="nil"/>
              <w:left w:val="nil"/>
              <w:bottom w:val="single" w:sz="4" w:space="0" w:color="auto"/>
              <w:right w:val="single" w:sz="4" w:space="0" w:color="auto"/>
            </w:tcBorders>
            <w:vAlign w:val="center"/>
            <w:hideMark/>
          </w:tcPr>
          <w:p w14:paraId="2A678F3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Council of Ministers of Bosnia and Herzegovina</w:t>
            </w:r>
          </w:p>
        </w:tc>
        <w:tc>
          <w:tcPr>
            <w:tcW w:w="1066" w:type="dxa"/>
            <w:tcBorders>
              <w:top w:val="nil"/>
              <w:left w:val="nil"/>
              <w:bottom w:val="single" w:sz="4" w:space="0" w:color="auto"/>
              <w:right w:val="single" w:sz="4" w:space="0" w:color="auto"/>
            </w:tcBorders>
            <w:vAlign w:val="center"/>
            <w:hideMark/>
          </w:tcPr>
          <w:p w14:paraId="61EDD385"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Ministry of Spatial Planning, Construction and Ecology of the Republika Srpska, Ministry of Foreign Trade and Economic Relations, BiH, Ministry of Environment and Tourism, Federation of BiH, Brčko District Government, United Nations Development Programme of BiH</w:t>
            </w:r>
          </w:p>
        </w:tc>
        <w:tc>
          <w:tcPr>
            <w:tcW w:w="1525" w:type="dxa"/>
            <w:tcBorders>
              <w:top w:val="nil"/>
              <w:left w:val="nil"/>
              <w:bottom w:val="single" w:sz="4" w:space="0" w:color="auto"/>
              <w:right w:val="single" w:sz="4" w:space="0" w:color="auto"/>
            </w:tcBorders>
            <w:vAlign w:val="center"/>
            <w:hideMark/>
          </w:tcPr>
          <w:p w14:paraId="7BD88B6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Bosnia and Herzegovina National Adaptation Plan – NAP with proposed measures</w:t>
            </w:r>
          </w:p>
        </w:tc>
        <w:tc>
          <w:tcPr>
            <w:tcW w:w="466" w:type="dxa"/>
            <w:tcBorders>
              <w:top w:val="nil"/>
              <w:left w:val="nil"/>
              <w:bottom w:val="single" w:sz="4" w:space="0" w:color="auto"/>
              <w:right w:val="single" w:sz="4" w:space="0" w:color="auto"/>
            </w:tcBorders>
            <w:vAlign w:val="center"/>
            <w:hideMark/>
          </w:tcPr>
          <w:p w14:paraId="3D68D27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795E4C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2020-2030</w:t>
            </w:r>
          </w:p>
        </w:tc>
        <w:tc>
          <w:tcPr>
            <w:tcW w:w="948" w:type="dxa"/>
            <w:tcBorders>
              <w:top w:val="nil"/>
              <w:left w:val="nil"/>
              <w:bottom w:val="single" w:sz="4" w:space="0" w:color="auto"/>
              <w:right w:val="single" w:sz="4" w:space="0" w:color="auto"/>
            </w:tcBorders>
            <w:vAlign w:val="center"/>
            <w:hideMark/>
          </w:tcPr>
          <w:p w14:paraId="319BA3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Council of Ministers of Bosnia and Herzegovina</w:t>
            </w:r>
          </w:p>
        </w:tc>
        <w:tc>
          <w:tcPr>
            <w:tcW w:w="881" w:type="dxa"/>
            <w:tcBorders>
              <w:top w:val="nil"/>
              <w:left w:val="nil"/>
              <w:bottom w:val="single" w:sz="4" w:space="0" w:color="auto"/>
              <w:right w:val="single" w:sz="4" w:space="0" w:color="auto"/>
            </w:tcBorders>
            <w:vAlign w:val="center"/>
            <w:hideMark/>
          </w:tcPr>
          <w:p w14:paraId="3AE3BA82"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Ministry of Spatial Planning, Construction and Ecology of the Republika Srpska, Ministry of Foreign Trade and Economic Relations, BiH, Ministry of Environment and Tourism, Federation of BiH, Brčko District Government, United Nations Development Programme of BiH</w:t>
            </w:r>
          </w:p>
        </w:tc>
        <w:tc>
          <w:tcPr>
            <w:tcW w:w="1127" w:type="dxa"/>
            <w:tcBorders>
              <w:top w:val="nil"/>
              <w:left w:val="nil"/>
              <w:bottom w:val="single" w:sz="4" w:space="0" w:color="auto"/>
              <w:right w:val="single" w:sz="4" w:space="0" w:color="auto"/>
            </w:tcBorders>
            <w:vAlign w:val="center"/>
            <w:hideMark/>
          </w:tcPr>
          <w:p w14:paraId="4D76D4B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Country Climate and Development Report (CCDR)</w:t>
            </w:r>
          </w:p>
        </w:tc>
        <w:tc>
          <w:tcPr>
            <w:tcW w:w="466" w:type="dxa"/>
            <w:tcBorders>
              <w:top w:val="nil"/>
              <w:left w:val="nil"/>
              <w:bottom w:val="single" w:sz="4" w:space="0" w:color="auto"/>
              <w:right w:val="single" w:sz="4" w:space="0" w:color="auto"/>
            </w:tcBorders>
            <w:vAlign w:val="center"/>
            <w:hideMark/>
          </w:tcPr>
          <w:p w14:paraId="62CB088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30" w:type="dxa"/>
            <w:tcBorders>
              <w:top w:val="nil"/>
              <w:left w:val="nil"/>
              <w:bottom w:val="single" w:sz="4" w:space="0" w:color="auto"/>
              <w:right w:val="single" w:sz="4" w:space="0" w:color="auto"/>
            </w:tcBorders>
            <w:vAlign w:val="center"/>
            <w:hideMark/>
          </w:tcPr>
          <w:p w14:paraId="22132F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4FF45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147" w:type="dxa"/>
            <w:tcBorders>
              <w:top w:val="nil"/>
              <w:left w:val="nil"/>
              <w:bottom w:val="single" w:sz="4" w:space="0" w:color="auto"/>
              <w:right w:val="single" w:sz="8" w:space="0" w:color="auto"/>
            </w:tcBorders>
            <w:vAlign w:val="center"/>
            <w:hideMark/>
          </w:tcPr>
          <w:p w14:paraId="6010AD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World Bank Group</w:t>
            </w:r>
          </w:p>
        </w:tc>
      </w:tr>
      <w:tr w:rsidR="00DC2C1E" w:rsidRPr="0002056A" w14:paraId="21CD025E" w14:textId="77777777" w:rsidTr="007B0C07">
        <w:trPr>
          <w:trHeight w:val="620"/>
        </w:trPr>
        <w:tc>
          <w:tcPr>
            <w:tcW w:w="630" w:type="dxa"/>
            <w:vMerge/>
            <w:tcBorders>
              <w:top w:val="nil"/>
              <w:left w:val="single" w:sz="8" w:space="0" w:color="auto"/>
              <w:bottom w:val="single" w:sz="4" w:space="0" w:color="auto"/>
              <w:right w:val="single" w:sz="4" w:space="0" w:color="auto"/>
            </w:tcBorders>
            <w:vAlign w:val="center"/>
            <w:hideMark/>
          </w:tcPr>
          <w:p w14:paraId="25268311"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517EE2A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0BC981A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4C7F8F8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54B1054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2625591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1D722A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3558C74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9E165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70B62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1ABF909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421A77C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risk country profile</w:t>
            </w:r>
          </w:p>
        </w:tc>
        <w:tc>
          <w:tcPr>
            <w:tcW w:w="466" w:type="dxa"/>
            <w:tcBorders>
              <w:top w:val="nil"/>
              <w:left w:val="nil"/>
              <w:bottom w:val="single" w:sz="4" w:space="0" w:color="auto"/>
              <w:right w:val="single" w:sz="4" w:space="0" w:color="auto"/>
            </w:tcBorders>
            <w:vAlign w:val="center"/>
            <w:hideMark/>
          </w:tcPr>
          <w:p w14:paraId="0C70CF8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30" w:type="dxa"/>
            <w:tcBorders>
              <w:top w:val="nil"/>
              <w:left w:val="nil"/>
              <w:bottom w:val="single" w:sz="4" w:space="0" w:color="auto"/>
              <w:right w:val="single" w:sz="4" w:space="0" w:color="auto"/>
            </w:tcBorders>
            <w:vAlign w:val="center"/>
            <w:hideMark/>
          </w:tcPr>
          <w:p w14:paraId="5ED537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34C570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147" w:type="dxa"/>
            <w:tcBorders>
              <w:top w:val="nil"/>
              <w:left w:val="nil"/>
              <w:bottom w:val="single" w:sz="4" w:space="0" w:color="auto"/>
              <w:right w:val="single" w:sz="8" w:space="0" w:color="auto"/>
            </w:tcBorders>
            <w:vAlign w:val="center"/>
            <w:hideMark/>
          </w:tcPr>
          <w:p w14:paraId="157E1A8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World Bank Group</w:t>
            </w:r>
          </w:p>
        </w:tc>
      </w:tr>
      <w:tr w:rsidR="00DC2C1E" w:rsidRPr="0002056A" w14:paraId="24002242" w14:textId="77777777" w:rsidTr="007B0C07">
        <w:trPr>
          <w:trHeight w:val="742"/>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50E088A5"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BUL</w:t>
            </w:r>
          </w:p>
        </w:tc>
        <w:tc>
          <w:tcPr>
            <w:tcW w:w="1526" w:type="dxa"/>
            <w:tcBorders>
              <w:top w:val="nil"/>
              <w:left w:val="nil"/>
              <w:bottom w:val="single" w:sz="4" w:space="0" w:color="auto"/>
              <w:right w:val="single" w:sz="4" w:space="0" w:color="auto"/>
            </w:tcBorders>
            <w:vAlign w:val="center"/>
            <w:hideMark/>
          </w:tcPr>
          <w:p w14:paraId="50E6FA2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Change Adaptation Strategy and Action Plan</w:t>
            </w:r>
          </w:p>
        </w:tc>
        <w:tc>
          <w:tcPr>
            <w:tcW w:w="489" w:type="dxa"/>
            <w:tcBorders>
              <w:top w:val="nil"/>
              <w:left w:val="nil"/>
              <w:bottom w:val="single" w:sz="4" w:space="0" w:color="auto"/>
              <w:right w:val="single" w:sz="4" w:space="0" w:color="auto"/>
            </w:tcBorders>
            <w:vAlign w:val="center"/>
            <w:hideMark/>
          </w:tcPr>
          <w:p w14:paraId="4816BC2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2B3DCB50"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2050</w:t>
            </w:r>
          </w:p>
        </w:tc>
        <w:tc>
          <w:tcPr>
            <w:tcW w:w="948" w:type="dxa"/>
            <w:tcBorders>
              <w:top w:val="nil"/>
              <w:left w:val="nil"/>
              <w:bottom w:val="single" w:sz="4" w:space="0" w:color="auto"/>
              <w:right w:val="single" w:sz="4" w:space="0" w:color="auto"/>
            </w:tcBorders>
            <w:vAlign w:val="center"/>
            <w:hideMark/>
          </w:tcPr>
          <w:p w14:paraId="7CAD82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Republic of Bulgaria</w:t>
            </w:r>
          </w:p>
        </w:tc>
        <w:tc>
          <w:tcPr>
            <w:tcW w:w="1066" w:type="dxa"/>
            <w:tcBorders>
              <w:top w:val="nil"/>
              <w:left w:val="nil"/>
              <w:bottom w:val="single" w:sz="4" w:space="0" w:color="auto"/>
              <w:right w:val="single" w:sz="4" w:space="0" w:color="auto"/>
            </w:tcBorders>
            <w:vAlign w:val="center"/>
            <w:hideMark/>
          </w:tcPr>
          <w:p w14:paraId="2762D2D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international experts in the framework of the World Bank Advisory Programme</w:t>
            </w:r>
          </w:p>
        </w:tc>
        <w:tc>
          <w:tcPr>
            <w:tcW w:w="1525" w:type="dxa"/>
            <w:tcBorders>
              <w:top w:val="nil"/>
              <w:left w:val="nil"/>
              <w:bottom w:val="single" w:sz="4" w:space="0" w:color="auto"/>
              <w:right w:val="single" w:sz="4" w:space="0" w:color="auto"/>
            </w:tcBorders>
            <w:vAlign w:val="center"/>
            <w:hideMark/>
          </w:tcPr>
          <w:p w14:paraId="15402D4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Third national action plan on climate change</w:t>
            </w:r>
          </w:p>
        </w:tc>
        <w:tc>
          <w:tcPr>
            <w:tcW w:w="466" w:type="dxa"/>
            <w:tcBorders>
              <w:top w:val="nil"/>
              <w:left w:val="nil"/>
              <w:bottom w:val="single" w:sz="4" w:space="0" w:color="auto"/>
              <w:right w:val="single" w:sz="4" w:space="0" w:color="auto"/>
            </w:tcBorders>
            <w:vAlign w:val="center"/>
            <w:hideMark/>
          </w:tcPr>
          <w:p w14:paraId="5A167B4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w:t>
            </w:r>
          </w:p>
        </w:tc>
        <w:tc>
          <w:tcPr>
            <w:tcW w:w="698" w:type="dxa"/>
            <w:tcBorders>
              <w:top w:val="nil"/>
              <w:left w:val="nil"/>
              <w:bottom w:val="single" w:sz="4" w:space="0" w:color="auto"/>
              <w:right w:val="single" w:sz="4" w:space="0" w:color="auto"/>
            </w:tcBorders>
            <w:vAlign w:val="center"/>
            <w:hideMark/>
          </w:tcPr>
          <w:p w14:paraId="2B831A6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2013-2020</w:t>
            </w:r>
          </w:p>
        </w:tc>
        <w:tc>
          <w:tcPr>
            <w:tcW w:w="948" w:type="dxa"/>
            <w:tcBorders>
              <w:top w:val="nil"/>
              <w:left w:val="nil"/>
              <w:bottom w:val="single" w:sz="4" w:space="0" w:color="auto"/>
              <w:right w:val="single" w:sz="4" w:space="0" w:color="auto"/>
            </w:tcBorders>
            <w:vAlign w:val="center"/>
            <w:hideMark/>
          </w:tcPr>
          <w:p w14:paraId="5F986D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75BB4A3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Water</w:t>
            </w:r>
          </w:p>
        </w:tc>
        <w:tc>
          <w:tcPr>
            <w:tcW w:w="1127" w:type="dxa"/>
            <w:tcBorders>
              <w:top w:val="nil"/>
              <w:left w:val="nil"/>
              <w:bottom w:val="single" w:sz="4" w:space="0" w:color="auto"/>
              <w:right w:val="single" w:sz="4" w:space="0" w:color="auto"/>
            </w:tcBorders>
            <w:vAlign w:val="center"/>
            <w:hideMark/>
          </w:tcPr>
          <w:p w14:paraId="2D1C04A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risk country profile</w:t>
            </w:r>
          </w:p>
        </w:tc>
        <w:tc>
          <w:tcPr>
            <w:tcW w:w="466" w:type="dxa"/>
            <w:tcBorders>
              <w:top w:val="nil"/>
              <w:left w:val="nil"/>
              <w:bottom w:val="single" w:sz="4" w:space="0" w:color="auto"/>
              <w:right w:val="single" w:sz="4" w:space="0" w:color="auto"/>
            </w:tcBorders>
            <w:vAlign w:val="center"/>
            <w:hideMark/>
          </w:tcPr>
          <w:p w14:paraId="26EAD26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30" w:type="dxa"/>
            <w:tcBorders>
              <w:top w:val="nil"/>
              <w:left w:val="nil"/>
              <w:bottom w:val="single" w:sz="4" w:space="0" w:color="auto"/>
              <w:right w:val="single" w:sz="4" w:space="0" w:color="auto"/>
            </w:tcBorders>
            <w:vAlign w:val="center"/>
            <w:hideMark/>
          </w:tcPr>
          <w:p w14:paraId="1997B1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6B7DCEC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147" w:type="dxa"/>
            <w:tcBorders>
              <w:top w:val="nil"/>
              <w:left w:val="nil"/>
              <w:bottom w:val="single" w:sz="4" w:space="0" w:color="auto"/>
              <w:right w:val="single" w:sz="8" w:space="0" w:color="auto"/>
            </w:tcBorders>
            <w:vAlign w:val="center"/>
            <w:hideMark/>
          </w:tcPr>
          <w:p w14:paraId="547192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World Bank Group</w:t>
            </w:r>
          </w:p>
        </w:tc>
      </w:tr>
      <w:tr w:rsidR="00DC2C1E" w:rsidRPr="0002056A" w14:paraId="4C7CE70B" w14:textId="77777777" w:rsidTr="007B0C07">
        <w:trPr>
          <w:trHeight w:val="560"/>
        </w:trPr>
        <w:tc>
          <w:tcPr>
            <w:tcW w:w="630" w:type="dxa"/>
            <w:vMerge/>
            <w:tcBorders>
              <w:top w:val="nil"/>
              <w:left w:val="single" w:sz="8" w:space="0" w:color="auto"/>
              <w:bottom w:val="single" w:sz="4" w:space="0" w:color="auto"/>
              <w:right w:val="single" w:sz="4" w:space="0" w:color="auto"/>
            </w:tcBorders>
            <w:vAlign w:val="center"/>
            <w:hideMark/>
          </w:tcPr>
          <w:p w14:paraId="342EF3C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084ADCC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3B05979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6094492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3C72ED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7B5CC7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315E215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332B88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4BDE521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B00DD0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5B2D4D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7407263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Eighth national communication on climate change</w:t>
            </w:r>
          </w:p>
        </w:tc>
        <w:tc>
          <w:tcPr>
            <w:tcW w:w="466" w:type="dxa"/>
            <w:tcBorders>
              <w:top w:val="nil"/>
              <w:left w:val="nil"/>
              <w:bottom w:val="single" w:sz="4" w:space="0" w:color="auto"/>
              <w:right w:val="single" w:sz="4" w:space="0" w:color="auto"/>
            </w:tcBorders>
            <w:vAlign w:val="center"/>
            <w:hideMark/>
          </w:tcPr>
          <w:p w14:paraId="5153312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7F917F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0BC8012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2E093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Water</w:t>
            </w:r>
          </w:p>
        </w:tc>
      </w:tr>
      <w:tr w:rsidR="00DC2C1E" w:rsidRPr="0002056A" w14:paraId="5BBDE040" w14:textId="77777777" w:rsidTr="007B0C07">
        <w:trPr>
          <w:trHeight w:val="1711"/>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6EB87C11"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CRO</w:t>
            </w:r>
          </w:p>
        </w:tc>
        <w:tc>
          <w:tcPr>
            <w:tcW w:w="1526" w:type="dxa"/>
            <w:tcBorders>
              <w:top w:val="nil"/>
              <w:left w:val="nil"/>
              <w:bottom w:val="single" w:sz="4" w:space="0" w:color="auto"/>
              <w:right w:val="single" w:sz="4" w:space="0" w:color="auto"/>
            </w:tcBorders>
            <w:vAlign w:val="center"/>
            <w:hideMark/>
          </w:tcPr>
          <w:p w14:paraId="367C87A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Strategija prilagodbe klimatskim promjenama </w:t>
            </w:r>
            <w:r w:rsidRPr="0002056A">
              <w:rPr>
                <w:rFonts w:ascii="Georgia" w:eastAsia="Times New Roman" w:hAnsi="Georgia" w:cs="Calibri"/>
                <w:b/>
                <w:bCs/>
                <w:color w:val="000000"/>
                <w:sz w:val="10"/>
                <w:szCs w:val="10"/>
                <w:lang w:val="en-GB" w:eastAsia="hu-HU"/>
              </w:rPr>
              <w:br w:type="page"/>
              <w:t xml:space="preserve">u republici hrvatskoj za razdoblje do 2040. godine </w:t>
            </w:r>
            <w:r w:rsidRPr="0002056A">
              <w:rPr>
                <w:rFonts w:ascii="Georgia" w:eastAsia="Times New Roman" w:hAnsi="Georgia" w:cs="Calibri"/>
                <w:b/>
                <w:bCs/>
                <w:color w:val="000000"/>
                <w:sz w:val="10"/>
                <w:szCs w:val="10"/>
                <w:lang w:val="en-GB" w:eastAsia="hu-HU"/>
              </w:rPr>
              <w:br w:type="page"/>
              <w:t>s pogledom na 2070. godinu (climate change adaptation strategy in the republic of croatia for the period until 2040 with a view to 2070)</w:t>
            </w:r>
          </w:p>
        </w:tc>
        <w:tc>
          <w:tcPr>
            <w:tcW w:w="489" w:type="dxa"/>
            <w:tcBorders>
              <w:top w:val="nil"/>
              <w:left w:val="nil"/>
              <w:bottom w:val="single" w:sz="4" w:space="0" w:color="auto"/>
              <w:right w:val="single" w:sz="4" w:space="0" w:color="auto"/>
            </w:tcBorders>
            <w:vAlign w:val="center"/>
            <w:hideMark/>
          </w:tcPr>
          <w:p w14:paraId="626D8FB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89" w:type="dxa"/>
            <w:tcBorders>
              <w:top w:val="nil"/>
              <w:left w:val="nil"/>
              <w:bottom w:val="single" w:sz="4" w:space="0" w:color="auto"/>
              <w:right w:val="single" w:sz="4" w:space="0" w:color="auto"/>
            </w:tcBorders>
            <w:vAlign w:val="center"/>
            <w:hideMark/>
          </w:tcPr>
          <w:p w14:paraId="2030906B"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2040</w:t>
            </w:r>
          </w:p>
        </w:tc>
        <w:tc>
          <w:tcPr>
            <w:tcW w:w="948" w:type="dxa"/>
            <w:tcBorders>
              <w:top w:val="nil"/>
              <w:left w:val="nil"/>
              <w:bottom w:val="single" w:sz="4" w:space="0" w:color="auto"/>
              <w:right w:val="single" w:sz="4" w:space="0" w:color="auto"/>
            </w:tcBorders>
            <w:vAlign w:val="center"/>
            <w:hideMark/>
          </w:tcPr>
          <w:p w14:paraId="022120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4BE021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economy and sustainable development</w:t>
            </w:r>
          </w:p>
        </w:tc>
        <w:tc>
          <w:tcPr>
            <w:tcW w:w="1525" w:type="dxa"/>
            <w:tcBorders>
              <w:top w:val="nil"/>
              <w:left w:val="nil"/>
              <w:bottom w:val="single" w:sz="4" w:space="0" w:color="auto"/>
              <w:right w:val="single" w:sz="4" w:space="0" w:color="auto"/>
            </w:tcBorders>
            <w:shd w:val="clear" w:color="000000" w:fill="BFBFBF"/>
            <w:vAlign w:val="center"/>
            <w:hideMark/>
          </w:tcPr>
          <w:p w14:paraId="7075FAA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91E6E4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1F7972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13920E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noWrap/>
            <w:vAlign w:val="center"/>
            <w:hideMark/>
          </w:tcPr>
          <w:p w14:paraId="57AFAE08"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09B455A1" w14:textId="072EB0A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Seventh national communication and third biennial report of the republic of </w:t>
            </w:r>
            <w:r w:rsidR="00962E9B" w:rsidRPr="0002056A">
              <w:rPr>
                <w:rFonts w:ascii="Georgia" w:eastAsia="Times New Roman" w:hAnsi="Georgia" w:cs="Calibri"/>
                <w:b/>
                <w:bCs/>
                <w:color w:val="000000"/>
                <w:sz w:val="10"/>
                <w:szCs w:val="10"/>
                <w:lang w:val="en-GB" w:eastAsia="hu-HU"/>
              </w:rPr>
              <w:t>Croatia</w:t>
            </w:r>
            <w:r w:rsidRPr="0002056A">
              <w:rPr>
                <w:rFonts w:ascii="Georgia" w:eastAsia="Times New Roman" w:hAnsi="Georgia" w:cs="Calibri"/>
                <w:b/>
                <w:bCs/>
                <w:color w:val="000000"/>
                <w:sz w:val="10"/>
                <w:szCs w:val="10"/>
                <w:lang w:val="en-GB" w:eastAsia="hu-HU"/>
              </w:rPr>
              <w:t xml:space="preserve"> under the </w:t>
            </w:r>
            <w:r w:rsidR="00744431" w:rsidRPr="0002056A">
              <w:rPr>
                <w:rFonts w:ascii="Georgia" w:eastAsia="Times New Roman" w:hAnsi="Georgia" w:cs="Calibri"/>
                <w:b/>
                <w:bCs/>
                <w:color w:val="000000"/>
                <w:sz w:val="10"/>
                <w:szCs w:val="10"/>
                <w:lang w:val="en-GB" w:eastAsia="hu-HU"/>
              </w:rPr>
              <w:t>United Nations</w:t>
            </w:r>
            <w:r w:rsidRPr="0002056A">
              <w:rPr>
                <w:rFonts w:ascii="Georgia" w:eastAsia="Times New Roman" w:hAnsi="Georgia" w:cs="Calibri"/>
                <w:b/>
                <w:bCs/>
                <w:color w:val="000000"/>
                <w:sz w:val="10"/>
                <w:szCs w:val="10"/>
                <w:lang w:val="en-GB" w:eastAsia="hu-HU"/>
              </w:rPr>
              <w:t xml:space="preserve"> framework convention on climate change (unfccc)</w:t>
            </w:r>
          </w:p>
        </w:tc>
        <w:tc>
          <w:tcPr>
            <w:tcW w:w="466" w:type="dxa"/>
            <w:tcBorders>
              <w:top w:val="nil"/>
              <w:left w:val="nil"/>
              <w:bottom w:val="single" w:sz="4" w:space="0" w:color="auto"/>
              <w:right w:val="single" w:sz="4" w:space="0" w:color="auto"/>
            </w:tcBorders>
            <w:vAlign w:val="center"/>
            <w:hideMark/>
          </w:tcPr>
          <w:p w14:paraId="6645CA7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30" w:type="dxa"/>
            <w:tcBorders>
              <w:top w:val="nil"/>
              <w:left w:val="nil"/>
              <w:bottom w:val="single" w:sz="4" w:space="0" w:color="auto"/>
              <w:right w:val="single" w:sz="4" w:space="0" w:color="auto"/>
            </w:tcBorders>
            <w:vAlign w:val="center"/>
            <w:hideMark/>
          </w:tcPr>
          <w:p w14:paraId="1E75344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1163B46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390DA6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ENERGY</w:t>
            </w:r>
          </w:p>
        </w:tc>
      </w:tr>
      <w:tr w:rsidR="00DC2C1E" w:rsidRPr="0002056A" w14:paraId="227D7BBA" w14:textId="77777777" w:rsidTr="007B0C07">
        <w:trPr>
          <w:trHeight w:val="843"/>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1E50E3D3"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CYP</w:t>
            </w:r>
          </w:p>
        </w:tc>
        <w:tc>
          <w:tcPr>
            <w:tcW w:w="1526" w:type="dxa"/>
            <w:tcBorders>
              <w:top w:val="nil"/>
              <w:left w:val="nil"/>
              <w:bottom w:val="single" w:sz="4" w:space="0" w:color="auto"/>
              <w:right w:val="single" w:sz="4" w:space="0" w:color="auto"/>
            </w:tcBorders>
            <w:vAlign w:val="center"/>
            <w:hideMark/>
          </w:tcPr>
          <w:p w14:paraId="2040D0B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Εθνικη σρασηγικη για σην προαρμογη σην κλιμασικη αλλαγη (national strategy for adapting to climate change)</w:t>
            </w:r>
          </w:p>
        </w:tc>
        <w:tc>
          <w:tcPr>
            <w:tcW w:w="489" w:type="dxa"/>
            <w:tcBorders>
              <w:top w:val="nil"/>
              <w:left w:val="nil"/>
              <w:bottom w:val="single" w:sz="4" w:space="0" w:color="auto"/>
              <w:right w:val="single" w:sz="4" w:space="0" w:color="auto"/>
            </w:tcBorders>
            <w:vAlign w:val="center"/>
            <w:hideMark/>
          </w:tcPr>
          <w:p w14:paraId="71931B9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89" w:type="dxa"/>
            <w:tcBorders>
              <w:top w:val="nil"/>
              <w:left w:val="nil"/>
              <w:bottom w:val="single" w:sz="4" w:space="0" w:color="auto"/>
              <w:right w:val="single" w:sz="4" w:space="0" w:color="auto"/>
            </w:tcBorders>
            <w:vAlign w:val="center"/>
            <w:hideMark/>
          </w:tcPr>
          <w:p w14:paraId="33969BB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33E195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703F81A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rural development and environment, department of environment</w:t>
            </w:r>
          </w:p>
        </w:tc>
        <w:tc>
          <w:tcPr>
            <w:tcW w:w="1525" w:type="dxa"/>
            <w:tcBorders>
              <w:top w:val="nil"/>
              <w:left w:val="nil"/>
              <w:bottom w:val="single" w:sz="4" w:space="0" w:color="auto"/>
              <w:right w:val="single" w:sz="4" w:space="0" w:color="auto"/>
            </w:tcBorders>
            <w:shd w:val="clear" w:color="000000" w:fill="BFBFBF"/>
            <w:vAlign w:val="center"/>
            <w:hideMark/>
          </w:tcPr>
          <w:p w14:paraId="4F5D9DE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57EEC8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0145A3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7AFB3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5A849E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2CBA76A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Adaptation preparedness scoreboard: Country fiche for Cyprus</w:t>
            </w:r>
          </w:p>
        </w:tc>
        <w:tc>
          <w:tcPr>
            <w:tcW w:w="466" w:type="dxa"/>
            <w:tcBorders>
              <w:top w:val="nil"/>
              <w:left w:val="nil"/>
              <w:bottom w:val="single" w:sz="4" w:space="0" w:color="auto"/>
              <w:right w:val="single" w:sz="4" w:space="0" w:color="auto"/>
            </w:tcBorders>
            <w:vAlign w:val="center"/>
            <w:hideMark/>
          </w:tcPr>
          <w:p w14:paraId="086777E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30" w:type="dxa"/>
            <w:tcBorders>
              <w:top w:val="nil"/>
              <w:left w:val="nil"/>
              <w:bottom w:val="single" w:sz="4" w:space="0" w:color="auto"/>
              <w:right w:val="single" w:sz="4" w:space="0" w:color="auto"/>
            </w:tcBorders>
            <w:vAlign w:val="center"/>
            <w:hideMark/>
          </w:tcPr>
          <w:p w14:paraId="046ED2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2A9F707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147" w:type="dxa"/>
            <w:tcBorders>
              <w:top w:val="nil"/>
              <w:left w:val="nil"/>
              <w:bottom w:val="single" w:sz="4" w:space="0" w:color="auto"/>
              <w:right w:val="single" w:sz="8" w:space="0" w:color="auto"/>
            </w:tcBorders>
            <w:vAlign w:val="center"/>
            <w:hideMark/>
          </w:tcPr>
          <w:p w14:paraId="41A999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European Commission</w:t>
            </w:r>
          </w:p>
        </w:tc>
      </w:tr>
      <w:tr w:rsidR="00DC2C1E" w:rsidRPr="0002056A" w14:paraId="24D03954" w14:textId="77777777" w:rsidTr="007B0C07">
        <w:trPr>
          <w:trHeight w:val="661"/>
        </w:trPr>
        <w:tc>
          <w:tcPr>
            <w:tcW w:w="630" w:type="dxa"/>
            <w:vMerge/>
            <w:tcBorders>
              <w:top w:val="nil"/>
              <w:left w:val="single" w:sz="8" w:space="0" w:color="auto"/>
              <w:bottom w:val="single" w:sz="4" w:space="0" w:color="auto"/>
              <w:right w:val="single" w:sz="4" w:space="0" w:color="auto"/>
            </w:tcBorders>
            <w:vAlign w:val="center"/>
            <w:hideMark/>
          </w:tcPr>
          <w:p w14:paraId="430061E4"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00B8411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noWrap/>
            <w:vAlign w:val="center"/>
            <w:hideMark/>
          </w:tcPr>
          <w:p w14:paraId="37A50FD4"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noWrap/>
            <w:vAlign w:val="center"/>
            <w:hideMark/>
          </w:tcPr>
          <w:p w14:paraId="525D0C03"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noWrap/>
            <w:vAlign w:val="center"/>
            <w:hideMark/>
          </w:tcPr>
          <w:p w14:paraId="56A2A5C8"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noWrap/>
            <w:vAlign w:val="center"/>
            <w:hideMark/>
          </w:tcPr>
          <w:p w14:paraId="38BEC991"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noWrap/>
            <w:vAlign w:val="center"/>
            <w:hideMark/>
          </w:tcPr>
          <w:p w14:paraId="0A478656"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noWrap/>
            <w:vAlign w:val="center"/>
            <w:hideMark/>
          </w:tcPr>
          <w:p w14:paraId="74F94FBB"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noWrap/>
            <w:vAlign w:val="center"/>
            <w:hideMark/>
          </w:tcPr>
          <w:p w14:paraId="1B74A582"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noWrap/>
            <w:vAlign w:val="center"/>
            <w:hideMark/>
          </w:tcPr>
          <w:p w14:paraId="64FE2758"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noWrap/>
            <w:vAlign w:val="center"/>
            <w:hideMark/>
          </w:tcPr>
          <w:p w14:paraId="053840E0"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5A1D860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Eighth National Communication &amp; Fifth Biennial Report</w:t>
            </w:r>
          </w:p>
        </w:tc>
        <w:tc>
          <w:tcPr>
            <w:tcW w:w="466" w:type="dxa"/>
            <w:tcBorders>
              <w:top w:val="nil"/>
              <w:left w:val="nil"/>
              <w:bottom w:val="single" w:sz="4" w:space="0" w:color="auto"/>
              <w:right w:val="single" w:sz="4" w:space="0" w:color="auto"/>
            </w:tcBorders>
            <w:vAlign w:val="center"/>
            <w:hideMark/>
          </w:tcPr>
          <w:p w14:paraId="39AC6EC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27236C4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14FE27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752EF09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of Environment Ministry of Agriculture, Rural Development and Environment</w:t>
            </w:r>
          </w:p>
        </w:tc>
      </w:tr>
      <w:tr w:rsidR="00DC2C1E" w:rsidRPr="0002056A" w14:paraId="45C92E50" w14:textId="77777777" w:rsidTr="007B0C07">
        <w:trPr>
          <w:trHeight w:val="280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6334242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CZH</w:t>
            </w:r>
          </w:p>
        </w:tc>
        <w:tc>
          <w:tcPr>
            <w:tcW w:w="1526" w:type="dxa"/>
            <w:tcBorders>
              <w:top w:val="nil"/>
              <w:left w:val="nil"/>
              <w:bottom w:val="single" w:sz="4" w:space="0" w:color="auto"/>
              <w:right w:val="single" w:sz="4" w:space="0" w:color="auto"/>
            </w:tcBorders>
            <w:vAlign w:val="center"/>
            <w:hideMark/>
          </w:tcPr>
          <w:p w14:paraId="625BE7C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Strategie přizpůsobení se změně klimatu v podmínkách ČR (Strategy for Adapting to Climate Change in the Conditions of the Czech Republic)</w:t>
            </w:r>
          </w:p>
        </w:tc>
        <w:tc>
          <w:tcPr>
            <w:tcW w:w="489" w:type="dxa"/>
            <w:tcBorders>
              <w:top w:val="nil"/>
              <w:left w:val="nil"/>
              <w:bottom w:val="single" w:sz="4" w:space="0" w:color="auto"/>
              <w:right w:val="single" w:sz="4" w:space="0" w:color="auto"/>
            </w:tcBorders>
            <w:vAlign w:val="center"/>
            <w:hideMark/>
          </w:tcPr>
          <w:p w14:paraId="7AD8721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 (update 2021)</w:t>
            </w:r>
          </w:p>
        </w:tc>
        <w:tc>
          <w:tcPr>
            <w:tcW w:w="689" w:type="dxa"/>
            <w:tcBorders>
              <w:top w:val="nil"/>
              <w:left w:val="nil"/>
              <w:bottom w:val="single" w:sz="4" w:space="0" w:color="auto"/>
              <w:right w:val="single" w:sz="4" w:space="0" w:color="auto"/>
            </w:tcBorders>
            <w:vAlign w:val="center"/>
            <w:hideMark/>
          </w:tcPr>
          <w:p w14:paraId="5C9D0B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2021-30</w:t>
            </w:r>
          </w:p>
        </w:tc>
        <w:tc>
          <w:tcPr>
            <w:tcW w:w="948" w:type="dxa"/>
            <w:tcBorders>
              <w:top w:val="nil"/>
              <w:left w:val="nil"/>
              <w:bottom w:val="single" w:sz="4" w:space="0" w:color="auto"/>
              <w:right w:val="single" w:sz="4" w:space="0" w:color="auto"/>
            </w:tcBorders>
            <w:vAlign w:val="center"/>
            <w:hideMark/>
          </w:tcPr>
          <w:p w14:paraId="0FC0F51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THE CZECH REPUBLIC</w:t>
            </w:r>
          </w:p>
        </w:tc>
        <w:tc>
          <w:tcPr>
            <w:tcW w:w="1066" w:type="dxa"/>
            <w:tcBorders>
              <w:top w:val="nil"/>
              <w:left w:val="nil"/>
              <w:bottom w:val="single" w:sz="4" w:space="0" w:color="auto"/>
              <w:right w:val="single" w:sz="4" w:space="0" w:color="auto"/>
            </w:tcBorders>
            <w:vAlign w:val="center"/>
            <w:hideMark/>
          </w:tcPr>
          <w:p w14:paraId="78872F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in interdepartmental cooperation using climatological data from the Czech Hydrometeorological Institute</w:t>
            </w:r>
          </w:p>
        </w:tc>
        <w:tc>
          <w:tcPr>
            <w:tcW w:w="1525" w:type="dxa"/>
            <w:tcBorders>
              <w:top w:val="nil"/>
              <w:left w:val="nil"/>
              <w:bottom w:val="single" w:sz="4" w:space="0" w:color="auto"/>
              <w:right w:val="single" w:sz="4" w:space="0" w:color="auto"/>
            </w:tcBorders>
            <w:vAlign w:val="center"/>
            <w:hideMark/>
          </w:tcPr>
          <w:p w14:paraId="753F9BA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Národní akční plán adaptace na změnu klimatu Implementační dokument Strategie přizpůsobení se změně klimatu v podmínkách ČR (National Climate Change Adaptation Action Plan Implementation Document of the Strategy for Adapting to Climate Change in the Czech Republic)</w:t>
            </w:r>
          </w:p>
        </w:tc>
        <w:tc>
          <w:tcPr>
            <w:tcW w:w="466" w:type="dxa"/>
            <w:tcBorders>
              <w:top w:val="nil"/>
              <w:left w:val="nil"/>
              <w:bottom w:val="single" w:sz="4" w:space="0" w:color="auto"/>
              <w:right w:val="single" w:sz="4" w:space="0" w:color="auto"/>
            </w:tcBorders>
            <w:vAlign w:val="center"/>
            <w:hideMark/>
          </w:tcPr>
          <w:p w14:paraId="2443842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4D328D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2021-2025</w:t>
            </w:r>
          </w:p>
        </w:tc>
        <w:tc>
          <w:tcPr>
            <w:tcW w:w="948" w:type="dxa"/>
            <w:tcBorders>
              <w:top w:val="nil"/>
              <w:left w:val="nil"/>
              <w:bottom w:val="single" w:sz="4" w:space="0" w:color="auto"/>
              <w:right w:val="single" w:sz="4" w:space="0" w:color="auto"/>
            </w:tcBorders>
            <w:vAlign w:val="center"/>
            <w:hideMark/>
          </w:tcPr>
          <w:p w14:paraId="27781C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THE CZECH REPUBLIC</w:t>
            </w:r>
          </w:p>
        </w:tc>
        <w:tc>
          <w:tcPr>
            <w:tcW w:w="881" w:type="dxa"/>
            <w:tcBorders>
              <w:top w:val="nil"/>
              <w:left w:val="nil"/>
              <w:bottom w:val="single" w:sz="4" w:space="0" w:color="auto"/>
              <w:right w:val="single" w:sz="4" w:space="0" w:color="auto"/>
            </w:tcBorders>
            <w:vAlign w:val="center"/>
            <w:hideMark/>
          </w:tcPr>
          <w:p w14:paraId="45E128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w:t>
            </w:r>
          </w:p>
        </w:tc>
        <w:tc>
          <w:tcPr>
            <w:tcW w:w="1127" w:type="dxa"/>
            <w:tcBorders>
              <w:top w:val="nil"/>
              <w:left w:val="nil"/>
              <w:bottom w:val="single" w:sz="4" w:space="0" w:color="auto"/>
              <w:right w:val="single" w:sz="4" w:space="0" w:color="auto"/>
            </w:tcBorders>
            <w:vAlign w:val="center"/>
            <w:hideMark/>
          </w:tcPr>
          <w:p w14:paraId="69CE5CFF" w14:textId="76FD3820"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Eighth national communication of the </w:t>
            </w:r>
            <w:r w:rsidR="00962E9B" w:rsidRPr="0002056A">
              <w:rPr>
                <w:rFonts w:ascii="Georgia" w:eastAsia="Times New Roman" w:hAnsi="Georgia" w:cs="Calibri"/>
                <w:b/>
                <w:bCs/>
                <w:color w:val="000000"/>
                <w:sz w:val="10"/>
                <w:szCs w:val="10"/>
                <w:lang w:val="en-GB" w:eastAsia="hu-HU"/>
              </w:rPr>
              <w:t>Czech</w:t>
            </w:r>
            <w:r w:rsidRPr="0002056A">
              <w:rPr>
                <w:rFonts w:ascii="Georgia" w:eastAsia="Times New Roman" w:hAnsi="Georgia" w:cs="Calibri"/>
                <w:b/>
                <w:bCs/>
                <w:color w:val="000000"/>
                <w:sz w:val="10"/>
                <w:szCs w:val="10"/>
                <w:lang w:val="en-GB" w:eastAsia="hu-HU"/>
              </w:rPr>
              <w:t xml:space="preserve"> </w:t>
            </w:r>
            <w:r w:rsidR="00962E9B" w:rsidRPr="0002056A">
              <w:rPr>
                <w:rFonts w:ascii="Georgia" w:eastAsia="Times New Roman" w:hAnsi="Georgia" w:cs="Calibri"/>
                <w:b/>
                <w:bCs/>
                <w:color w:val="000000"/>
                <w:sz w:val="10"/>
                <w:szCs w:val="10"/>
                <w:lang w:val="en-GB" w:eastAsia="hu-HU"/>
              </w:rPr>
              <w:t>Republic under</w:t>
            </w:r>
            <w:r w:rsidRPr="0002056A">
              <w:rPr>
                <w:rFonts w:ascii="Georgia" w:eastAsia="Times New Roman" w:hAnsi="Georgia" w:cs="Calibri"/>
                <w:b/>
                <w:bCs/>
                <w:color w:val="000000"/>
                <w:sz w:val="10"/>
                <w:szCs w:val="10"/>
                <w:lang w:val="en-GB" w:eastAsia="hu-HU"/>
              </w:rPr>
              <w:t xml:space="preserve"> the </w:t>
            </w:r>
            <w:r w:rsidR="00744431" w:rsidRPr="0002056A">
              <w:rPr>
                <w:rFonts w:ascii="Georgia" w:eastAsia="Times New Roman" w:hAnsi="Georgia" w:cs="Calibri"/>
                <w:b/>
                <w:bCs/>
                <w:color w:val="000000"/>
                <w:sz w:val="10"/>
                <w:szCs w:val="10"/>
                <w:lang w:val="en-GB" w:eastAsia="hu-HU"/>
              </w:rPr>
              <w:t>United Nations</w:t>
            </w:r>
            <w:r w:rsidRPr="0002056A">
              <w:rPr>
                <w:rFonts w:ascii="Georgia" w:eastAsia="Times New Roman" w:hAnsi="Georgia" w:cs="Calibri"/>
                <w:b/>
                <w:bCs/>
                <w:color w:val="000000"/>
                <w:sz w:val="10"/>
                <w:szCs w:val="10"/>
                <w:lang w:val="en-GB" w:eastAsia="hu-HU"/>
              </w:rPr>
              <w:t xml:space="preserve"> framework </w:t>
            </w:r>
            <w:r w:rsidRPr="0002056A">
              <w:rPr>
                <w:rFonts w:ascii="Georgia" w:eastAsia="Times New Roman" w:hAnsi="Georgia" w:cs="Calibri"/>
                <w:b/>
                <w:bCs/>
                <w:color w:val="000000"/>
                <w:sz w:val="10"/>
                <w:szCs w:val="10"/>
                <w:lang w:val="en-GB" w:eastAsia="hu-HU"/>
              </w:rPr>
              <w:br/>
              <w:t>convention on climate change</w:t>
            </w:r>
            <w:r w:rsidRPr="0002056A">
              <w:rPr>
                <w:rFonts w:ascii="Georgia" w:eastAsia="Times New Roman" w:hAnsi="Georgia" w:cs="Calibri"/>
                <w:b/>
                <w:bCs/>
                <w:color w:val="000000"/>
                <w:sz w:val="10"/>
                <w:szCs w:val="10"/>
                <w:lang w:val="en-GB" w:eastAsia="hu-HU"/>
              </w:rPr>
              <w:br/>
              <w:t>including</w:t>
            </w:r>
            <w:r w:rsidRPr="0002056A">
              <w:rPr>
                <w:rFonts w:ascii="Georgia" w:eastAsia="Times New Roman" w:hAnsi="Georgia" w:cs="Calibri"/>
                <w:b/>
                <w:bCs/>
                <w:color w:val="000000"/>
                <w:sz w:val="10"/>
                <w:szCs w:val="10"/>
                <w:lang w:val="en-GB" w:eastAsia="hu-HU"/>
              </w:rPr>
              <w:br/>
              <w:t xml:space="preserve">supplementary information pursuant </w:t>
            </w:r>
            <w:r w:rsidRPr="0002056A">
              <w:rPr>
                <w:rFonts w:ascii="Georgia" w:eastAsia="Times New Roman" w:hAnsi="Georgia" w:cs="Calibri"/>
                <w:b/>
                <w:bCs/>
                <w:color w:val="000000"/>
                <w:sz w:val="10"/>
                <w:szCs w:val="10"/>
                <w:lang w:val="en-GB" w:eastAsia="hu-HU"/>
              </w:rPr>
              <w:br/>
              <w:t>to article 7.2 of the kyoto protocol</w:t>
            </w:r>
          </w:p>
        </w:tc>
        <w:tc>
          <w:tcPr>
            <w:tcW w:w="466" w:type="dxa"/>
            <w:tcBorders>
              <w:top w:val="nil"/>
              <w:left w:val="nil"/>
              <w:bottom w:val="single" w:sz="4" w:space="0" w:color="auto"/>
              <w:right w:val="single" w:sz="4" w:space="0" w:color="auto"/>
            </w:tcBorders>
            <w:vAlign w:val="center"/>
            <w:hideMark/>
          </w:tcPr>
          <w:p w14:paraId="2CD2940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2584BD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70623C5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03B159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of the Czech Republic</w:t>
            </w:r>
          </w:p>
        </w:tc>
      </w:tr>
      <w:tr w:rsidR="00DC2C1E" w:rsidRPr="0002056A" w14:paraId="3BE49FE3" w14:textId="77777777" w:rsidTr="007B0C07">
        <w:trPr>
          <w:trHeight w:val="84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52029A50"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DEN</w:t>
            </w:r>
          </w:p>
        </w:tc>
        <w:tc>
          <w:tcPr>
            <w:tcW w:w="1526" w:type="dxa"/>
            <w:tcBorders>
              <w:top w:val="nil"/>
              <w:left w:val="nil"/>
              <w:bottom w:val="single" w:sz="4" w:space="0" w:color="auto"/>
              <w:right w:val="single" w:sz="4" w:space="0" w:color="auto"/>
            </w:tcBorders>
            <w:vAlign w:val="center"/>
            <w:hideMark/>
          </w:tcPr>
          <w:p w14:paraId="48E6D47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Danish strategy for adaptation to a changing climate</w:t>
            </w:r>
          </w:p>
        </w:tc>
        <w:tc>
          <w:tcPr>
            <w:tcW w:w="489" w:type="dxa"/>
            <w:tcBorders>
              <w:top w:val="nil"/>
              <w:left w:val="nil"/>
              <w:bottom w:val="single" w:sz="4" w:space="0" w:color="auto"/>
              <w:right w:val="single" w:sz="4" w:space="0" w:color="auto"/>
            </w:tcBorders>
            <w:vAlign w:val="center"/>
            <w:hideMark/>
          </w:tcPr>
          <w:p w14:paraId="5A70C3A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2008</w:t>
            </w:r>
          </w:p>
        </w:tc>
        <w:tc>
          <w:tcPr>
            <w:tcW w:w="689" w:type="dxa"/>
            <w:tcBorders>
              <w:top w:val="nil"/>
              <w:left w:val="nil"/>
              <w:bottom w:val="single" w:sz="4" w:space="0" w:color="auto"/>
              <w:right w:val="single" w:sz="4" w:space="0" w:color="auto"/>
            </w:tcBorders>
            <w:vAlign w:val="center"/>
            <w:hideMark/>
          </w:tcPr>
          <w:p w14:paraId="330F88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2025)</w:t>
            </w:r>
          </w:p>
        </w:tc>
        <w:tc>
          <w:tcPr>
            <w:tcW w:w="948" w:type="dxa"/>
            <w:tcBorders>
              <w:top w:val="nil"/>
              <w:left w:val="nil"/>
              <w:bottom w:val="single" w:sz="4" w:space="0" w:color="auto"/>
              <w:right w:val="single" w:sz="4" w:space="0" w:color="auto"/>
            </w:tcBorders>
            <w:vAlign w:val="center"/>
            <w:hideMark/>
          </w:tcPr>
          <w:p w14:paraId="75F0DF5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Danish Government</w:t>
            </w:r>
          </w:p>
        </w:tc>
        <w:tc>
          <w:tcPr>
            <w:tcW w:w="1066" w:type="dxa"/>
            <w:tcBorders>
              <w:top w:val="nil"/>
              <w:left w:val="nil"/>
              <w:bottom w:val="single" w:sz="4" w:space="0" w:color="auto"/>
              <w:right w:val="single" w:sz="4" w:space="0" w:color="auto"/>
            </w:tcBorders>
            <w:vAlign w:val="center"/>
            <w:hideMark/>
          </w:tcPr>
          <w:p w14:paraId="34B4D3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Danish Energy Agency</w:t>
            </w:r>
          </w:p>
        </w:tc>
        <w:tc>
          <w:tcPr>
            <w:tcW w:w="1525" w:type="dxa"/>
            <w:tcBorders>
              <w:top w:val="nil"/>
              <w:left w:val="nil"/>
              <w:bottom w:val="single" w:sz="4" w:space="0" w:color="auto"/>
              <w:right w:val="single" w:sz="4" w:space="0" w:color="auto"/>
            </w:tcBorders>
            <w:vAlign w:val="center"/>
            <w:hideMark/>
          </w:tcPr>
          <w:p w14:paraId="1813D688" w14:textId="69CB7279"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How to manage </w:t>
            </w:r>
            <w:r w:rsidRPr="0002056A">
              <w:rPr>
                <w:rFonts w:ascii="Georgia" w:eastAsia="Times New Roman" w:hAnsi="Georgia" w:cs="Calibri"/>
                <w:b/>
                <w:bCs/>
                <w:color w:val="000000"/>
                <w:sz w:val="10"/>
                <w:szCs w:val="10"/>
                <w:lang w:val="en-GB" w:eastAsia="hu-HU"/>
              </w:rPr>
              <w:br/>
              <w:t xml:space="preserve">cloudburst and </w:t>
            </w:r>
            <w:r w:rsidRPr="0002056A">
              <w:rPr>
                <w:rFonts w:ascii="Georgia" w:eastAsia="Times New Roman" w:hAnsi="Georgia" w:cs="Calibri"/>
                <w:b/>
                <w:bCs/>
                <w:color w:val="000000"/>
                <w:sz w:val="10"/>
                <w:szCs w:val="10"/>
                <w:lang w:val="en-GB" w:eastAsia="hu-HU"/>
              </w:rPr>
              <w:br/>
            </w:r>
            <w:r w:rsidR="00744431" w:rsidRPr="0002056A">
              <w:rPr>
                <w:rFonts w:ascii="Georgia" w:eastAsia="Times New Roman" w:hAnsi="Georgia" w:cs="Calibri"/>
                <w:b/>
                <w:bCs/>
                <w:color w:val="000000"/>
                <w:sz w:val="10"/>
                <w:szCs w:val="10"/>
                <w:lang w:val="en-GB" w:eastAsia="hu-HU"/>
              </w:rPr>
              <w:t>rainwater</w:t>
            </w:r>
            <w:r w:rsidRPr="0002056A">
              <w:rPr>
                <w:rFonts w:ascii="Georgia" w:eastAsia="Times New Roman" w:hAnsi="Georgia" w:cs="Calibri"/>
                <w:b/>
                <w:bCs/>
                <w:color w:val="000000"/>
                <w:sz w:val="10"/>
                <w:szCs w:val="10"/>
                <w:lang w:val="en-GB" w:eastAsia="hu-HU"/>
              </w:rPr>
              <w:t xml:space="preserve"> Action plan for </w:t>
            </w:r>
            <w:r w:rsidRPr="0002056A">
              <w:rPr>
                <w:rFonts w:ascii="Georgia" w:eastAsia="Times New Roman" w:hAnsi="Georgia" w:cs="Calibri"/>
                <w:b/>
                <w:bCs/>
                <w:color w:val="000000"/>
                <w:sz w:val="10"/>
                <w:szCs w:val="10"/>
                <w:lang w:val="en-GB" w:eastAsia="hu-HU"/>
              </w:rPr>
              <w:br/>
              <w:t xml:space="preserve">a climate-proof </w:t>
            </w:r>
            <w:r w:rsidRPr="0002056A">
              <w:rPr>
                <w:rFonts w:ascii="Georgia" w:eastAsia="Times New Roman" w:hAnsi="Georgia" w:cs="Calibri"/>
                <w:b/>
                <w:bCs/>
                <w:color w:val="000000"/>
                <w:sz w:val="10"/>
                <w:szCs w:val="10"/>
                <w:lang w:val="en-GB" w:eastAsia="hu-HU"/>
              </w:rPr>
              <w:br/>
              <w:t>Denmark</w:t>
            </w:r>
          </w:p>
        </w:tc>
        <w:tc>
          <w:tcPr>
            <w:tcW w:w="466" w:type="dxa"/>
            <w:tcBorders>
              <w:top w:val="nil"/>
              <w:left w:val="nil"/>
              <w:bottom w:val="single" w:sz="4" w:space="0" w:color="auto"/>
              <w:right w:val="single" w:sz="4" w:space="0" w:color="auto"/>
            </w:tcBorders>
            <w:vAlign w:val="center"/>
            <w:hideMark/>
          </w:tcPr>
          <w:p w14:paraId="4C19CE7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w:t>
            </w:r>
          </w:p>
        </w:tc>
        <w:tc>
          <w:tcPr>
            <w:tcW w:w="698" w:type="dxa"/>
            <w:tcBorders>
              <w:top w:val="nil"/>
              <w:left w:val="nil"/>
              <w:bottom w:val="single" w:sz="4" w:space="0" w:color="auto"/>
              <w:right w:val="single" w:sz="4" w:space="0" w:color="auto"/>
            </w:tcBorders>
            <w:vAlign w:val="center"/>
            <w:hideMark/>
          </w:tcPr>
          <w:p w14:paraId="151261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vAlign w:val="center"/>
            <w:hideMark/>
          </w:tcPr>
          <w:p w14:paraId="7D2F92C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Denmark</w:t>
            </w:r>
          </w:p>
        </w:tc>
        <w:tc>
          <w:tcPr>
            <w:tcW w:w="881" w:type="dxa"/>
            <w:tcBorders>
              <w:top w:val="nil"/>
              <w:left w:val="nil"/>
              <w:bottom w:val="single" w:sz="4" w:space="0" w:color="auto"/>
              <w:right w:val="single" w:sz="4" w:space="0" w:color="auto"/>
            </w:tcBorders>
            <w:vAlign w:val="center"/>
            <w:hideMark/>
          </w:tcPr>
          <w:p w14:paraId="251E6E0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Task Force for Climate Change Adaptation</w:t>
            </w:r>
            <w:r w:rsidRPr="0002056A">
              <w:rPr>
                <w:rFonts w:ascii="Georgia" w:eastAsia="Times New Roman" w:hAnsi="Georgia" w:cs="Calibri"/>
                <w:color w:val="000000"/>
                <w:sz w:val="10"/>
                <w:szCs w:val="10"/>
                <w:lang w:val="en-GB" w:eastAsia="hu-HU"/>
              </w:rPr>
              <w:br/>
              <w:t>Danish Nature Agency</w:t>
            </w:r>
          </w:p>
        </w:tc>
        <w:tc>
          <w:tcPr>
            <w:tcW w:w="1127" w:type="dxa"/>
            <w:tcBorders>
              <w:top w:val="nil"/>
              <w:left w:val="nil"/>
              <w:bottom w:val="single" w:sz="4" w:space="0" w:color="auto"/>
              <w:right w:val="single" w:sz="4" w:space="0" w:color="auto"/>
            </w:tcBorders>
            <w:shd w:val="clear" w:color="000000" w:fill="BFBFBF"/>
            <w:vAlign w:val="center"/>
            <w:hideMark/>
          </w:tcPr>
          <w:p w14:paraId="1B70C48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02F9C9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4D98611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69D1AD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2C00F5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37D3BBB" w14:textId="77777777" w:rsidTr="007B0C07">
        <w:trPr>
          <w:trHeight w:val="156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4CD68C53"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ENG</w:t>
            </w:r>
          </w:p>
        </w:tc>
        <w:tc>
          <w:tcPr>
            <w:tcW w:w="1526" w:type="dxa"/>
            <w:tcBorders>
              <w:top w:val="nil"/>
              <w:left w:val="nil"/>
              <w:bottom w:val="single" w:sz="4" w:space="0" w:color="auto"/>
              <w:right w:val="single" w:sz="4" w:space="0" w:color="auto"/>
            </w:tcBorders>
            <w:vAlign w:val="center"/>
            <w:hideMark/>
          </w:tcPr>
          <w:p w14:paraId="5DD2233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Third National Adaptation Programme (NAP3) and the Fourth Strategy for Climate Adaptation Reporting</w:t>
            </w:r>
          </w:p>
        </w:tc>
        <w:tc>
          <w:tcPr>
            <w:tcW w:w="489" w:type="dxa"/>
            <w:tcBorders>
              <w:top w:val="nil"/>
              <w:left w:val="nil"/>
              <w:bottom w:val="single" w:sz="4" w:space="0" w:color="auto"/>
              <w:right w:val="single" w:sz="4" w:space="0" w:color="auto"/>
            </w:tcBorders>
            <w:vAlign w:val="center"/>
            <w:hideMark/>
          </w:tcPr>
          <w:p w14:paraId="619DF7B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043599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2023-2028</w:t>
            </w:r>
          </w:p>
        </w:tc>
        <w:tc>
          <w:tcPr>
            <w:tcW w:w="948" w:type="dxa"/>
            <w:tcBorders>
              <w:top w:val="nil"/>
              <w:left w:val="nil"/>
              <w:bottom w:val="single" w:sz="4" w:space="0" w:color="auto"/>
              <w:right w:val="single" w:sz="4" w:space="0" w:color="auto"/>
            </w:tcBorders>
            <w:vAlign w:val="center"/>
            <w:hideMark/>
          </w:tcPr>
          <w:p w14:paraId="1748D21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House of Commons</w:t>
            </w:r>
          </w:p>
        </w:tc>
        <w:tc>
          <w:tcPr>
            <w:tcW w:w="1066" w:type="dxa"/>
            <w:tcBorders>
              <w:top w:val="nil"/>
              <w:left w:val="nil"/>
              <w:bottom w:val="single" w:sz="4" w:space="0" w:color="auto"/>
              <w:right w:val="single" w:sz="4" w:space="0" w:color="auto"/>
            </w:tcBorders>
            <w:vAlign w:val="center"/>
            <w:hideMark/>
          </w:tcPr>
          <w:p w14:paraId="5FAF64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for Environment, Food and Rural Affairs</w:t>
            </w:r>
          </w:p>
        </w:tc>
        <w:tc>
          <w:tcPr>
            <w:tcW w:w="1525" w:type="dxa"/>
            <w:tcBorders>
              <w:top w:val="nil"/>
              <w:left w:val="nil"/>
              <w:bottom w:val="single" w:sz="4" w:space="0" w:color="auto"/>
              <w:right w:val="single" w:sz="4" w:space="0" w:color="auto"/>
            </w:tcBorders>
            <w:shd w:val="clear" w:color="000000" w:fill="BFBFBF"/>
            <w:vAlign w:val="center"/>
            <w:hideMark/>
          </w:tcPr>
          <w:p w14:paraId="66ABFD9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F2D585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39A2AF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123C2B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3F203F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368F86A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Third National Adaptation Programme (NAP3) Annex 1: Climate risks and opportunities. The 61 climate risks and opportunities, and planned actions to address them by government departments</w:t>
            </w:r>
          </w:p>
        </w:tc>
        <w:tc>
          <w:tcPr>
            <w:tcW w:w="466" w:type="dxa"/>
            <w:tcBorders>
              <w:top w:val="nil"/>
              <w:left w:val="nil"/>
              <w:bottom w:val="single" w:sz="4" w:space="0" w:color="auto"/>
              <w:right w:val="single" w:sz="4" w:space="0" w:color="auto"/>
            </w:tcBorders>
            <w:vAlign w:val="center"/>
            <w:hideMark/>
          </w:tcPr>
          <w:p w14:paraId="3B2E9A8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05EAF44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2023-2028</w:t>
            </w:r>
          </w:p>
        </w:tc>
        <w:tc>
          <w:tcPr>
            <w:tcW w:w="748" w:type="dxa"/>
            <w:tcBorders>
              <w:top w:val="nil"/>
              <w:left w:val="nil"/>
              <w:bottom w:val="single" w:sz="4" w:space="0" w:color="auto"/>
              <w:right w:val="single" w:sz="4" w:space="0" w:color="auto"/>
            </w:tcBorders>
            <w:vAlign w:val="center"/>
            <w:hideMark/>
          </w:tcPr>
          <w:p w14:paraId="21AAFD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House of Commons</w:t>
            </w:r>
          </w:p>
        </w:tc>
        <w:tc>
          <w:tcPr>
            <w:tcW w:w="1147" w:type="dxa"/>
            <w:tcBorders>
              <w:top w:val="nil"/>
              <w:left w:val="nil"/>
              <w:bottom w:val="single" w:sz="4" w:space="0" w:color="auto"/>
              <w:right w:val="single" w:sz="8" w:space="0" w:color="auto"/>
            </w:tcBorders>
            <w:vAlign w:val="center"/>
            <w:hideMark/>
          </w:tcPr>
          <w:p w14:paraId="37D9396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for Environment, Food and Rural Affairs</w:t>
            </w:r>
          </w:p>
        </w:tc>
      </w:tr>
      <w:tr w:rsidR="00DC2C1E" w:rsidRPr="0002056A" w14:paraId="55089C2D" w14:textId="77777777" w:rsidTr="007B0C07">
        <w:trPr>
          <w:trHeight w:val="1335"/>
        </w:trPr>
        <w:tc>
          <w:tcPr>
            <w:tcW w:w="630" w:type="dxa"/>
            <w:vMerge/>
            <w:tcBorders>
              <w:top w:val="nil"/>
              <w:left w:val="single" w:sz="8" w:space="0" w:color="auto"/>
              <w:bottom w:val="single" w:sz="4" w:space="0" w:color="auto"/>
              <w:right w:val="single" w:sz="4" w:space="0" w:color="auto"/>
            </w:tcBorders>
            <w:vAlign w:val="center"/>
            <w:hideMark/>
          </w:tcPr>
          <w:p w14:paraId="166937B3"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5D8A7B6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24AE2E0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4927F70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D3C2A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283ECB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C036A0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A06B15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6DCDE5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0EDF59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2966561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5601FC02" w14:textId="614A2CA2"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The Third National Adaptation Programme (NAP3</w:t>
            </w:r>
            <w:r w:rsidR="00744431" w:rsidRPr="0002056A">
              <w:rPr>
                <w:rFonts w:ascii="Georgia" w:eastAsia="Times New Roman" w:hAnsi="Georgia" w:cs="Calibri"/>
                <w:b/>
                <w:bCs/>
                <w:color w:val="000000"/>
                <w:sz w:val="8"/>
                <w:szCs w:val="8"/>
                <w:lang w:val="en-GB" w:eastAsia="hu-HU"/>
              </w:rPr>
              <w:t>) Annex</w:t>
            </w:r>
            <w:r w:rsidRPr="0002056A">
              <w:rPr>
                <w:rFonts w:ascii="Georgia" w:eastAsia="Times New Roman" w:hAnsi="Georgia" w:cs="Calibri"/>
                <w:b/>
                <w:bCs/>
                <w:color w:val="000000"/>
                <w:sz w:val="8"/>
                <w:szCs w:val="8"/>
                <w:lang w:val="en-GB" w:eastAsia="hu-HU"/>
              </w:rPr>
              <w:t xml:space="preserve"> 2: The Climate Change Committee’s progress report Annex 3: Monitoring, evaluation and learning Annex 4: Adaptation Reporting power fourth round scope Annex 5: Acronyms and glossary</w:t>
            </w:r>
          </w:p>
        </w:tc>
        <w:tc>
          <w:tcPr>
            <w:tcW w:w="466" w:type="dxa"/>
            <w:tcBorders>
              <w:top w:val="nil"/>
              <w:left w:val="nil"/>
              <w:bottom w:val="single" w:sz="4" w:space="0" w:color="auto"/>
              <w:right w:val="single" w:sz="4" w:space="0" w:color="auto"/>
            </w:tcBorders>
            <w:vAlign w:val="center"/>
            <w:hideMark/>
          </w:tcPr>
          <w:p w14:paraId="252DCD6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692D48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2023-2028</w:t>
            </w:r>
          </w:p>
        </w:tc>
        <w:tc>
          <w:tcPr>
            <w:tcW w:w="748" w:type="dxa"/>
            <w:tcBorders>
              <w:top w:val="nil"/>
              <w:left w:val="nil"/>
              <w:bottom w:val="single" w:sz="4" w:space="0" w:color="auto"/>
              <w:right w:val="single" w:sz="4" w:space="0" w:color="auto"/>
            </w:tcBorders>
            <w:vAlign w:val="center"/>
            <w:hideMark/>
          </w:tcPr>
          <w:p w14:paraId="0931E29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House of Commons</w:t>
            </w:r>
          </w:p>
        </w:tc>
        <w:tc>
          <w:tcPr>
            <w:tcW w:w="1147" w:type="dxa"/>
            <w:tcBorders>
              <w:top w:val="nil"/>
              <w:left w:val="nil"/>
              <w:bottom w:val="single" w:sz="4" w:space="0" w:color="auto"/>
              <w:right w:val="single" w:sz="8" w:space="0" w:color="auto"/>
            </w:tcBorders>
            <w:vAlign w:val="center"/>
            <w:hideMark/>
          </w:tcPr>
          <w:p w14:paraId="59CE290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for Environment, Food and Rural Affairs</w:t>
            </w:r>
          </w:p>
        </w:tc>
      </w:tr>
      <w:tr w:rsidR="00DC2C1E" w:rsidRPr="0002056A" w14:paraId="70C0B317" w14:textId="77777777" w:rsidTr="007B0C07">
        <w:trPr>
          <w:trHeight w:val="700"/>
        </w:trPr>
        <w:tc>
          <w:tcPr>
            <w:tcW w:w="630" w:type="dxa"/>
            <w:vMerge/>
            <w:tcBorders>
              <w:top w:val="nil"/>
              <w:left w:val="single" w:sz="8" w:space="0" w:color="auto"/>
              <w:bottom w:val="single" w:sz="4" w:space="0" w:color="auto"/>
              <w:right w:val="single" w:sz="4" w:space="0" w:color="auto"/>
            </w:tcBorders>
            <w:vAlign w:val="center"/>
            <w:hideMark/>
          </w:tcPr>
          <w:p w14:paraId="465C51C0"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noWrap/>
            <w:vAlign w:val="center"/>
            <w:hideMark/>
          </w:tcPr>
          <w:p w14:paraId="5EB8FFB3"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noWrap/>
            <w:vAlign w:val="center"/>
            <w:hideMark/>
          </w:tcPr>
          <w:p w14:paraId="7A3664C5"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noWrap/>
            <w:vAlign w:val="center"/>
            <w:hideMark/>
          </w:tcPr>
          <w:p w14:paraId="13C4C53E"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noWrap/>
            <w:vAlign w:val="center"/>
            <w:hideMark/>
          </w:tcPr>
          <w:p w14:paraId="7ECF8FBF"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noWrap/>
            <w:vAlign w:val="center"/>
            <w:hideMark/>
          </w:tcPr>
          <w:p w14:paraId="7BCA8360"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231EF6C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5EE28B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4C9C57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4CC5F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F6990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FE254C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7th National Communication</w:t>
            </w:r>
          </w:p>
        </w:tc>
        <w:tc>
          <w:tcPr>
            <w:tcW w:w="466" w:type="dxa"/>
            <w:tcBorders>
              <w:top w:val="nil"/>
              <w:left w:val="nil"/>
              <w:bottom w:val="single" w:sz="4" w:space="0" w:color="auto"/>
              <w:right w:val="single" w:sz="4" w:space="0" w:color="auto"/>
            </w:tcBorders>
            <w:vAlign w:val="center"/>
            <w:hideMark/>
          </w:tcPr>
          <w:p w14:paraId="48DB90B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2A4B93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305F9E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5F5591A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for Business, Energy and Industrial Strategy</w:t>
            </w:r>
          </w:p>
        </w:tc>
      </w:tr>
      <w:tr w:rsidR="00DC2C1E" w:rsidRPr="0002056A" w14:paraId="7535D0EF" w14:textId="77777777" w:rsidTr="007B0C07">
        <w:trPr>
          <w:trHeight w:val="56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2BA35EE3"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EST</w:t>
            </w:r>
          </w:p>
        </w:tc>
        <w:tc>
          <w:tcPr>
            <w:tcW w:w="1526" w:type="dxa"/>
            <w:tcBorders>
              <w:top w:val="nil"/>
              <w:left w:val="nil"/>
              <w:bottom w:val="single" w:sz="4" w:space="0" w:color="auto"/>
              <w:right w:val="single" w:sz="4" w:space="0" w:color="auto"/>
            </w:tcBorders>
            <w:vAlign w:val="center"/>
            <w:hideMark/>
          </w:tcPr>
          <w:p w14:paraId="357BE2B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Adaptation Development Plan until 2030</w:t>
            </w:r>
          </w:p>
        </w:tc>
        <w:tc>
          <w:tcPr>
            <w:tcW w:w="489" w:type="dxa"/>
            <w:tcBorders>
              <w:top w:val="nil"/>
              <w:left w:val="nil"/>
              <w:bottom w:val="single" w:sz="4" w:space="0" w:color="auto"/>
              <w:right w:val="single" w:sz="4" w:space="0" w:color="auto"/>
            </w:tcBorders>
            <w:vAlign w:val="center"/>
            <w:hideMark/>
          </w:tcPr>
          <w:p w14:paraId="6CB62FF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89" w:type="dxa"/>
            <w:tcBorders>
              <w:top w:val="nil"/>
              <w:left w:val="nil"/>
              <w:bottom w:val="single" w:sz="4" w:space="0" w:color="auto"/>
              <w:right w:val="single" w:sz="4" w:space="0" w:color="auto"/>
            </w:tcBorders>
            <w:vAlign w:val="center"/>
            <w:hideMark/>
          </w:tcPr>
          <w:p w14:paraId="245A351A"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33B3E65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17992EF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Republic of Estonia, Ministry of the Environment</w:t>
            </w:r>
          </w:p>
        </w:tc>
        <w:tc>
          <w:tcPr>
            <w:tcW w:w="1525" w:type="dxa"/>
            <w:tcBorders>
              <w:top w:val="nil"/>
              <w:left w:val="nil"/>
              <w:bottom w:val="single" w:sz="4" w:space="0" w:color="auto"/>
              <w:right w:val="single" w:sz="4" w:space="0" w:color="auto"/>
            </w:tcBorders>
            <w:shd w:val="clear" w:color="000000" w:fill="BFBFBF"/>
            <w:vAlign w:val="center"/>
            <w:hideMark/>
          </w:tcPr>
          <w:p w14:paraId="6AAA8D0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BF0DED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52A2D39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B9D66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7083A9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061B030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Estonia’s Eighth National Communication</w:t>
            </w:r>
          </w:p>
        </w:tc>
        <w:tc>
          <w:tcPr>
            <w:tcW w:w="466" w:type="dxa"/>
            <w:tcBorders>
              <w:top w:val="nil"/>
              <w:left w:val="nil"/>
              <w:bottom w:val="single" w:sz="4" w:space="0" w:color="auto"/>
              <w:right w:val="single" w:sz="4" w:space="0" w:color="auto"/>
            </w:tcBorders>
            <w:vAlign w:val="center"/>
            <w:hideMark/>
          </w:tcPr>
          <w:p w14:paraId="554EF46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510433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293B3B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6063F1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w:t>
            </w:r>
          </w:p>
        </w:tc>
      </w:tr>
      <w:tr w:rsidR="00DC2C1E" w:rsidRPr="0002056A" w14:paraId="5F2725C4" w14:textId="77777777" w:rsidTr="007B0C07">
        <w:trPr>
          <w:trHeight w:val="201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2C9D5B8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FIN</w:t>
            </w:r>
          </w:p>
        </w:tc>
        <w:tc>
          <w:tcPr>
            <w:tcW w:w="1526" w:type="dxa"/>
            <w:tcBorders>
              <w:top w:val="nil"/>
              <w:left w:val="nil"/>
              <w:bottom w:val="single" w:sz="4" w:space="0" w:color="auto"/>
              <w:right w:val="single" w:sz="4" w:space="0" w:color="auto"/>
            </w:tcBorders>
            <w:vAlign w:val="center"/>
            <w:hideMark/>
          </w:tcPr>
          <w:p w14:paraId="2BCE44CF" w14:textId="4C27E12F"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Valtioneuvoston selonteko kansallisesta ilmastonmuutokseen sopeutumissuunnitelmasta vuoteen 2030</w:t>
            </w:r>
            <w:r w:rsidRPr="0002056A">
              <w:rPr>
                <w:rFonts w:ascii="Georgia" w:eastAsia="Times New Roman" w:hAnsi="Georgia" w:cs="Calibri"/>
                <w:b/>
                <w:bCs/>
                <w:color w:val="000000"/>
                <w:sz w:val="10"/>
                <w:szCs w:val="10"/>
                <w:lang w:val="en-GB" w:eastAsia="hu-HU"/>
              </w:rPr>
              <w:br/>
              <w:t>Hyvinvointia ja turvallisuutta muuttuvassa ilmastossa</w:t>
            </w:r>
            <w:r w:rsidRPr="0002056A">
              <w:rPr>
                <w:rFonts w:ascii="Georgia" w:eastAsia="Times New Roman" w:hAnsi="Georgia" w:cs="Calibri"/>
                <w:b/>
                <w:bCs/>
                <w:color w:val="000000"/>
                <w:sz w:val="10"/>
                <w:szCs w:val="10"/>
                <w:lang w:val="en-GB" w:eastAsia="hu-HU"/>
              </w:rPr>
              <w:br/>
              <w:t xml:space="preserve">VNS 15/2022 </w:t>
            </w:r>
            <w:r w:rsidR="00962E9B" w:rsidRPr="0002056A">
              <w:rPr>
                <w:rFonts w:ascii="Georgia" w:eastAsia="Times New Roman" w:hAnsi="Georgia" w:cs="Calibri"/>
                <w:b/>
                <w:bCs/>
                <w:color w:val="000000"/>
                <w:sz w:val="10"/>
                <w:szCs w:val="10"/>
                <w:lang w:val="en-GB" w:eastAsia="hu-HU"/>
              </w:rPr>
              <w:t>vp (</w:t>
            </w:r>
            <w:r w:rsidR="00744431" w:rsidRPr="0002056A">
              <w:rPr>
                <w:rFonts w:ascii="Georgia" w:eastAsia="Times New Roman" w:hAnsi="Georgia" w:cs="Calibri"/>
                <w:b/>
                <w:bCs/>
                <w:color w:val="000000"/>
                <w:sz w:val="10"/>
                <w:szCs w:val="10"/>
                <w:lang w:val="en-GB" w:eastAsia="hu-HU"/>
              </w:rPr>
              <w:t>Finland’s</w:t>
            </w:r>
            <w:r w:rsidRPr="0002056A">
              <w:rPr>
                <w:rFonts w:ascii="Georgia" w:eastAsia="Times New Roman" w:hAnsi="Georgia" w:cs="Calibri"/>
                <w:b/>
                <w:bCs/>
                <w:color w:val="000000"/>
                <w:sz w:val="10"/>
                <w:szCs w:val="10"/>
                <w:lang w:val="en-GB" w:eastAsia="hu-HU"/>
              </w:rPr>
              <w:t xml:space="preserve"> National Climate Change Adaptation Plan 2030)</w:t>
            </w:r>
          </w:p>
        </w:tc>
        <w:tc>
          <w:tcPr>
            <w:tcW w:w="489" w:type="dxa"/>
            <w:tcBorders>
              <w:top w:val="nil"/>
              <w:left w:val="nil"/>
              <w:bottom w:val="single" w:sz="4" w:space="0" w:color="auto"/>
              <w:right w:val="single" w:sz="4" w:space="0" w:color="auto"/>
            </w:tcBorders>
            <w:vAlign w:val="center"/>
            <w:hideMark/>
          </w:tcPr>
          <w:p w14:paraId="2332741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89" w:type="dxa"/>
            <w:tcBorders>
              <w:top w:val="nil"/>
              <w:left w:val="nil"/>
              <w:bottom w:val="single" w:sz="4" w:space="0" w:color="auto"/>
              <w:right w:val="single" w:sz="4" w:space="0" w:color="auto"/>
            </w:tcBorders>
            <w:vAlign w:val="center"/>
            <w:hideMark/>
          </w:tcPr>
          <w:p w14:paraId="619C8D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2022-30</w:t>
            </w:r>
          </w:p>
        </w:tc>
        <w:tc>
          <w:tcPr>
            <w:tcW w:w="948" w:type="dxa"/>
            <w:tcBorders>
              <w:top w:val="nil"/>
              <w:left w:val="nil"/>
              <w:bottom w:val="single" w:sz="4" w:space="0" w:color="auto"/>
              <w:right w:val="single" w:sz="4" w:space="0" w:color="auto"/>
            </w:tcBorders>
            <w:vAlign w:val="center"/>
            <w:hideMark/>
          </w:tcPr>
          <w:p w14:paraId="4DF58C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602A87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Forestry</w:t>
            </w:r>
          </w:p>
        </w:tc>
        <w:tc>
          <w:tcPr>
            <w:tcW w:w="1525" w:type="dxa"/>
            <w:tcBorders>
              <w:top w:val="nil"/>
              <w:left w:val="nil"/>
              <w:bottom w:val="single" w:sz="4" w:space="0" w:color="auto"/>
              <w:right w:val="single" w:sz="4" w:space="0" w:color="auto"/>
            </w:tcBorders>
            <w:vAlign w:val="center"/>
            <w:hideMark/>
          </w:tcPr>
          <w:p w14:paraId="5A8BEC77" w14:textId="24AEB8E0"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Valtioneuvoston selonteko kansallisesta ilmastonmuutokseen sopeutumissuunnitelmasta vuoteen 2030</w:t>
            </w:r>
            <w:r w:rsidRPr="0002056A">
              <w:rPr>
                <w:rFonts w:ascii="Georgia" w:eastAsia="Times New Roman" w:hAnsi="Georgia" w:cs="Calibri"/>
                <w:b/>
                <w:bCs/>
                <w:color w:val="000000"/>
                <w:sz w:val="10"/>
                <w:szCs w:val="10"/>
                <w:lang w:val="en-GB" w:eastAsia="hu-HU"/>
              </w:rPr>
              <w:br/>
              <w:t>Hyvinvointia ja turvallisuutta muuttuvassa ilmastossa</w:t>
            </w:r>
            <w:r w:rsidRPr="0002056A">
              <w:rPr>
                <w:rFonts w:ascii="Georgia" w:eastAsia="Times New Roman" w:hAnsi="Georgia" w:cs="Calibri"/>
                <w:b/>
                <w:bCs/>
                <w:color w:val="000000"/>
                <w:sz w:val="10"/>
                <w:szCs w:val="10"/>
                <w:lang w:val="en-GB" w:eastAsia="hu-HU"/>
              </w:rPr>
              <w:br/>
              <w:t xml:space="preserve">VNS 15/2022 </w:t>
            </w:r>
            <w:r w:rsidR="00962E9B" w:rsidRPr="0002056A">
              <w:rPr>
                <w:rFonts w:ascii="Georgia" w:eastAsia="Times New Roman" w:hAnsi="Georgia" w:cs="Calibri"/>
                <w:b/>
                <w:bCs/>
                <w:color w:val="000000"/>
                <w:sz w:val="10"/>
                <w:szCs w:val="10"/>
                <w:lang w:val="en-GB" w:eastAsia="hu-HU"/>
              </w:rPr>
              <w:t>vp (</w:t>
            </w:r>
            <w:r w:rsidR="00744431" w:rsidRPr="0002056A">
              <w:rPr>
                <w:rFonts w:ascii="Georgia" w:eastAsia="Times New Roman" w:hAnsi="Georgia" w:cs="Calibri"/>
                <w:b/>
                <w:bCs/>
                <w:color w:val="000000"/>
                <w:sz w:val="10"/>
                <w:szCs w:val="10"/>
                <w:lang w:val="en-GB" w:eastAsia="hu-HU"/>
              </w:rPr>
              <w:t>Finland’s</w:t>
            </w:r>
            <w:r w:rsidRPr="0002056A">
              <w:rPr>
                <w:rFonts w:ascii="Georgia" w:eastAsia="Times New Roman" w:hAnsi="Georgia" w:cs="Calibri"/>
                <w:b/>
                <w:bCs/>
                <w:color w:val="000000"/>
                <w:sz w:val="10"/>
                <w:szCs w:val="10"/>
                <w:lang w:val="en-GB" w:eastAsia="hu-HU"/>
              </w:rPr>
              <w:t xml:space="preserve"> National Climate Change Adaptation Plan 2030)</w:t>
            </w:r>
          </w:p>
        </w:tc>
        <w:tc>
          <w:tcPr>
            <w:tcW w:w="466" w:type="dxa"/>
            <w:tcBorders>
              <w:top w:val="nil"/>
              <w:left w:val="nil"/>
              <w:bottom w:val="single" w:sz="4" w:space="0" w:color="auto"/>
              <w:right w:val="single" w:sz="4" w:space="0" w:color="auto"/>
            </w:tcBorders>
            <w:vAlign w:val="center"/>
            <w:hideMark/>
          </w:tcPr>
          <w:p w14:paraId="44FB7CE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98" w:type="dxa"/>
            <w:tcBorders>
              <w:top w:val="nil"/>
              <w:left w:val="nil"/>
              <w:bottom w:val="single" w:sz="4" w:space="0" w:color="auto"/>
              <w:right w:val="single" w:sz="4" w:space="0" w:color="auto"/>
            </w:tcBorders>
            <w:vAlign w:val="center"/>
            <w:hideMark/>
          </w:tcPr>
          <w:p w14:paraId="7EF3846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2022-30</w:t>
            </w:r>
          </w:p>
        </w:tc>
        <w:tc>
          <w:tcPr>
            <w:tcW w:w="948" w:type="dxa"/>
            <w:tcBorders>
              <w:top w:val="nil"/>
              <w:left w:val="nil"/>
              <w:bottom w:val="single" w:sz="4" w:space="0" w:color="auto"/>
              <w:right w:val="single" w:sz="4" w:space="0" w:color="auto"/>
            </w:tcBorders>
            <w:vAlign w:val="center"/>
            <w:hideMark/>
          </w:tcPr>
          <w:p w14:paraId="5F2C59F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4384F34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Forestry</w:t>
            </w:r>
          </w:p>
        </w:tc>
        <w:tc>
          <w:tcPr>
            <w:tcW w:w="1127" w:type="dxa"/>
            <w:tcBorders>
              <w:top w:val="nil"/>
              <w:left w:val="nil"/>
              <w:bottom w:val="single" w:sz="4" w:space="0" w:color="auto"/>
              <w:right w:val="single" w:sz="4" w:space="0" w:color="auto"/>
            </w:tcBorders>
            <w:vAlign w:val="center"/>
            <w:hideMark/>
          </w:tcPr>
          <w:p w14:paraId="5E76101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Finland’s Seventh </w:t>
            </w:r>
            <w:r w:rsidRPr="0002056A">
              <w:rPr>
                <w:rFonts w:ascii="Georgia" w:eastAsia="Times New Roman" w:hAnsi="Georgia" w:cs="Calibri"/>
                <w:b/>
                <w:bCs/>
                <w:color w:val="000000"/>
                <w:sz w:val="10"/>
                <w:szCs w:val="10"/>
                <w:lang w:val="en-GB" w:eastAsia="hu-HU"/>
              </w:rPr>
              <w:br/>
              <w:t>National Communication</w:t>
            </w:r>
            <w:r w:rsidRPr="0002056A">
              <w:rPr>
                <w:rFonts w:ascii="Georgia" w:eastAsia="Times New Roman" w:hAnsi="Georgia" w:cs="Calibri"/>
                <w:b/>
                <w:bCs/>
                <w:color w:val="000000"/>
                <w:sz w:val="10"/>
                <w:szCs w:val="10"/>
                <w:lang w:val="en-GB" w:eastAsia="hu-HU"/>
              </w:rPr>
              <w:br/>
              <w:t>under the United Nations</w:t>
            </w:r>
            <w:r w:rsidRPr="0002056A">
              <w:rPr>
                <w:rFonts w:ascii="Georgia" w:eastAsia="Times New Roman" w:hAnsi="Georgia" w:cs="Calibri"/>
                <w:b/>
                <w:bCs/>
                <w:color w:val="000000"/>
                <w:sz w:val="10"/>
                <w:szCs w:val="10"/>
                <w:lang w:val="en-GB" w:eastAsia="hu-HU"/>
              </w:rPr>
              <w:br/>
              <w:t>Framework Convention on</w:t>
            </w:r>
            <w:r w:rsidRPr="0002056A">
              <w:rPr>
                <w:rFonts w:ascii="Georgia" w:eastAsia="Times New Roman" w:hAnsi="Georgia" w:cs="Calibri"/>
                <w:b/>
                <w:bCs/>
                <w:color w:val="000000"/>
                <w:sz w:val="10"/>
                <w:szCs w:val="10"/>
                <w:lang w:val="en-GB" w:eastAsia="hu-HU"/>
              </w:rPr>
              <w:br/>
              <w:t>CLIMATE</w:t>
            </w:r>
            <w:r w:rsidRPr="0002056A">
              <w:rPr>
                <w:rFonts w:ascii="Georgia" w:eastAsia="Times New Roman" w:hAnsi="Georgia" w:cs="Calibri"/>
                <w:b/>
                <w:bCs/>
                <w:color w:val="000000"/>
                <w:sz w:val="10"/>
                <w:szCs w:val="10"/>
                <w:lang w:val="en-GB" w:eastAsia="hu-HU"/>
              </w:rPr>
              <w:br/>
              <w:t xml:space="preserve"> CHANGE</w:t>
            </w:r>
          </w:p>
        </w:tc>
        <w:tc>
          <w:tcPr>
            <w:tcW w:w="466" w:type="dxa"/>
            <w:tcBorders>
              <w:top w:val="nil"/>
              <w:left w:val="nil"/>
              <w:bottom w:val="single" w:sz="4" w:space="0" w:color="auto"/>
              <w:right w:val="single" w:sz="4" w:space="0" w:color="auto"/>
            </w:tcBorders>
            <w:vAlign w:val="center"/>
            <w:hideMark/>
          </w:tcPr>
          <w:p w14:paraId="7253EA4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185011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2CE1E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4886318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Statistics</w:t>
            </w:r>
          </w:p>
        </w:tc>
      </w:tr>
      <w:tr w:rsidR="00DC2C1E" w:rsidRPr="0002056A" w14:paraId="67CDD63B" w14:textId="77777777" w:rsidTr="007B0C07">
        <w:trPr>
          <w:trHeight w:val="980"/>
        </w:trPr>
        <w:tc>
          <w:tcPr>
            <w:tcW w:w="630" w:type="dxa"/>
            <w:vMerge/>
            <w:tcBorders>
              <w:top w:val="nil"/>
              <w:left w:val="single" w:sz="8" w:space="0" w:color="auto"/>
              <w:bottom w:val="single" w:sz="4" w:space="0" w:color="auto"/>
              <w:right w:val="single" w:sz="4" w:space="0" w:color="auto"/>
            </w:tcBorders>
            <w:vAlign w:val="center"/>
            <w:hideMark/>
          </w:tcPr>
          <w:p w14:paraId="7BE0B79A"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76F0824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03C20CC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4671BA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40B1E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09937D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7A3C96D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173E2A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55CB79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7A0FC3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9BA708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07C153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Finland’s Eighth National Communication under the United Nations Framework Convention on Climate Change</w:t>
            </w:r>
          </w:p>
        </w:tc>
        <w:tc>
          <w:tcPr>
            <w:tcW w:w="466" w:type="dxa"/>
            <w:tcBorders>
              <w:top w:val="nil"/>
              <w:left w:val="nil"/>
              <w:bottom w:val="single" w:sz="4" w:space="0" w:color="auto"/>
              <w:right w:val="single" w:sz="4" w:space="0" w:color="auto"/>
            </w:tcBorders>
            <w:vAlign w:val="center"/>
            <w:hideMark/>
          </w:tcPr>
          <w:p w14:paraId="0346592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3CD6671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083E7D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605CEBC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Statistics</w:t>
            </w:r>
          </w:p>
        </w:tc>
      </w:tr>
      <w:tr w:rsidR="00DC2C1E" w:rsidRPr="0002056A" w14:paraId="0006CB59" w14:textId="77777777" w:rsidTr="007B0C07">
        <w:trPr>
          <w:trHeight w:val="98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5EA08453"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FRA</w:t>
            </w:r>
          </w:p>
        </w:tc>
        <w:tc>
          <w:tcPr>
            <w:tcW w:w="1526" w:type="dxa"/>
            <w:tcBorders>
              <w:top w:val="nil"/>
              <w:left w:val="nil"/>
              <w:bottom w:val="single" w:sz="4" w:space="0" w:color="auto"/>
              <w:right w:val="single" w:sz="4" w:space="0" w:color="auto"/>
            </w:tcBorders>
            <w:vAlign w:val="center"/>
            <w:hideMark/>
          </w:tcPr>
          <w:p w14:paraId="4F015DC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Plan national d’adaptation au changement climatique (National Climate Adaptation Plan, PNACC-3)</w:t>
            </w:r>
          </w:p>
        </w:tc>
        <w:tc>
          <w:tcPr>
            <w:tcW w:w="489" w:type="dxa"/>
            <w:tcBorders>
              <w:top w:val="nil"/>
              <w:left w:val="nil"/>
              <w:bottom w:val="single" w:sz="4" w:space="0" w:color="auto"/>
              <w:right w:val="single" w:sz="4" w:space="0" w:color="auto"/>
            </w:tcBorders>
            <w:vAlign w:val="center"/>
            <w:hideMark/>
          </w:tcPr>
          <w:p w14:paraId="0276D41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w:t>
            </w:r>
          </w:p>
        </w:tc>
        <w:tc>
          <w:tcPr>
            <w:tcW w:w="689" w:type="dxa"/>
            <w:tcBorders>
              <w:top w:val="nil"/>
              <w:left w:val="nil"/>
              <w:bottom w:val="single" w:sz="4" w:space="0" w:color="auto"/>
              <w:right w:val="single" w:sz="4" w:space="0" w:color="auto"/>
            </w:tcBorders>
            <w:vAlign w:val="center"/>
            <w:hideMark/>
          </w:tcPr>
          <w:p w14:paraId="23B420F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2025-2027</w:t>
            </w:r>
          </w:p>
        </w:tc>
        <w:tc>
          <w:tcPr>
            <w:tcW w:w="948" w:type="dxa"/>
            <w:tcBorders>
              <w:top w:val="nil"/>
              <w:left w:val="nil"/>
              <w:bottom w:val="single" w:sz="4" w:space="0" w:color="auto"/>
              <w:right w:val="single" w:sz="4" w:space="0" w:color="auto"/>
            </w:tcBorders>
            <w:vAlign w:val="center"/>
            <w:hideMark/>
          </w:tcPr>
          <w:p w14:paraId="5060B78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France</w:t>
            </w:r>
          </w:p>
        </w:tc>
        <w:tc>
          <w:tcPr>
            <w:tcW w:w="1066" w:type="dxa"/>
            <w:tcBorders>
              <w:top w:val="nil"/>
              <w:left w:val="nil"/>
              <w:bottom w:val="single" w:sz="4" w:space="0" w:color="auto"/>
              <w:right w:val="single" w:sz="4" w:space="0" w:color="auto"/>
            </w:tcBorders>
            <w:vAlign w:val="center"/>
            <w:hideMark/>
          </w:tcPr>
          <w:p w14:paraId="296DE8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France</w:t>
            </w:r>
          </w:p>
        </w:tc>
        <w:tc>
          <w:tcPr>
            <w:tcW w:w="1525" w:type="dxa"/>
            <w:tcBorders>
              <w:top w:val="nil"/>
              <w:left w:val="nil"/>
              <w:bottom w:val="single" w:sz="4" w:space="0" w:color="auto"/>
              <w:right w:val="single" w:sz="4" w:space="0" w:color="auto"/>
            </w:tcBorders>
            <w:vAlign w:val="center"/>
            <w:hideMark/>
          </w:tcPr>
          <w:p w14:paraId="787E29C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Plan national d’adaptation au changement climatique (National Climate Adaptation Plan, PNACC-3)</w:t>
            </w:r>
          </w:p>
        </w:tc>
        <w:tc>
          <w:tcPr>
            <w:tcW w:w="466" w:type="dxa"/>
            <w:tcBorders>
              <w:top w:val="nil"/>
              <w:left w:val="nil"/>
              <w:bottom w:val="single" w:sz="4" w:space="0" w:color="auto"/>
              <w:right w:val="single" w:sz="4" w:space="0" w:color="auto"/>
            </w:tcBorders>
            <w:vAlign w:val="center"/>
            <w:hideMark/>
          </w:tcPr>
          <w:p w14:paraId="1B15B3F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w:t>
            </w:r>
          </w:p>
        </w:tc>
        <w:tc>
          <w:tcPr>
            <w:tcW w:w="698" w:type="dxa"/>
            <w:tcBorders>
              <w:top w:val="nil"/>
              <w:left w:val="nil"/>
              <w:bottom w:val="single" w:sz="4" w:space="0" w:color="auto"/>
              <w:right w:val="single" w:sz="4" w:space="0" w:color="auto"/>
            </w:tcBorders>
            <w:vAlign w:val="center"/>
            <w:hideMark/>
          </w:tcPr>
          <w:p w14:paraId="2AA63A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2025-2027</w:t>
            </w:r>
          </w:p>
        </w:tc>
        <w:tc>
          <w:tcPr>
            <w:tcW w:w="948" w:type="dxa"/>
            <w:tcBorders>
              <w:top w:val="nil"/>
              <w:left w:val="nil"/>
              <w:bottom w:val="single" w:sz="4" w:space="0" w:color="auto"/>
              <w:right w:val="single" w:sz="4" w:space="0" w:color="auto"/>
            </w:tcBorders>
            <w:vAlign w:val="center"/>
            <w:hideMark/>
          </w:tcPr>
          <w:p w14:paraId="462DF1B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France</w:t>
            </w:r>
          </w:p>
        </w:tc>
        <w:tc>
          <w:tcPr>
            <w:tcW w:w="881" w:type="dxa"/>
            <w:tcBorders>
              <w:top w:val="nil"/>
              <w:left w:val="nil"/>
              <w:bottom w:val="single" w:sz="4" w:space="0" w:color="auto"/>
              <w:right w:val="single" w:sz="4" w:space="0" w:color="auto"/>
            </w:tcBorders>
            <w:vAlign w:val="center"/>
            <w:hideMark/>
          </w:tcPr>
          <w:p w14:paraId="6B9F4F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France</w:t>
            </w:r>
          </w:p>
        </w:tc>
        <w:tc>
          <w:tcPr>
            <w:tcW w:w="1127" w:type="dxa"/>
            <w:tcBorders>
              <w:top w:val="nil"/>
              <w:left w:val="nil"/>
              <w:bottom w:val="single" w:sz="4" w:space="0" w:color="auto"/>
              <w:right w:val="single" w:sz="4" w:space="0" w:color="auto"/>
            </w:tcBorders>
            <w:shd w:val="clear" w:color="000000" w:fill="BFBFBF"/>
            <w:vAlign w:val="center"/>
            <w:hideMark/>
          </w:tcPr>
          <w:p w14:paraId="59BBAC0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FC3D0F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6634DC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14F7AC7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7C9F22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F1DDE0C" w14:textId="77777777" w:rsidTr="007B0C07">
        <w:trPr>
          <w:trHeight w:val="98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1FB3C3B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GER</w:t>
            </w:r>
          </w:p>
        </w:tc>
        <w:tc>
          <w:tcPr>
            <w:tcW w:w="1526" w:type="dxa"/>
            <w:tcBorders>
              <w:top w:val="nil"/>
              <w:left w:val="nil"/>
              <w:bottom w:val="single" w:sz="4" w:space="0" w:color="auto"/>
              <w:right w:val="single" w:sz="4" w:space="0" w:color="auto"/>
            </w:tcBorders>
            <w:vAlign w:val="center"/>
            <w:hideMark/>
          </w:tcPr>
          <w:p w14:paraId="4E6807A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Deutsche Anpassungsstrategie an den Klimawandel 2024 (2024 German Strategy for Adaptation to Climate Change)</w:t>
            </w:r>
          </w:p>
        </w:tc>
        <w:tc>
          <w:tcPr>
            <w:tcW w:w="489" w:type="dxa"/>
            <w:tcBorders>
              <w:top w:val="nil"/>
              <w:left w:val="nil"/>
              <w:bottom w:val="single" w:sz="4" w:space="0" w:color="auto"/>
              <w:right w:val="single" w:sz="4" w:space="0" w:color="auto"/>
            </w:tcBorders>
            <w:vAlign w:val="center"/>
            <w:hideMark/>
          </w:tcPr>
          <w:p w14:paraId="07FAF77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41F4BA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2030-2050</w:t>
            </w:r>
          </w:p>
        </w:tc>
        <w:tc>
          <w:tcPr>
            <w:tcW w:w="948" w:type="dxa"/>
            <w:tcBorders>
              <w:top w:val="nil"/>
              <w:left w:val="nil"/>
              <w:bottom w:val="single" w:sz="4" w:space="0" w:color="auto"/>
              <w:right w:val="single" w:sz="4" w:space="0" w:color="auto"/>
            </w:tcBorders>
            <w:vAlign w:val="center"/>
            <w:hideMark/>
          </w:tcPr>
          <w:p w14:paraId="649C9B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1066" w:type="dxa"/>
            <w:tcBorders>
              <w:top w:val="nil"/>
              <w:left w:val="nil"/>
              <w:bottom w:val="single" w:sz="4" w:space="0" w:color="auto"/>
              <w:right w:val="single" w:sz="4" w:space="0" w:color="auto"/>
            </w:tcBorders>
            <w:vAlign w:val="center"/>
            <w:hideMark/>
          </w:tcPr>
          <w:p w14:paraId="670E1F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UBA</w:t>
            </w:r>
          </w:p>
        </w:tc>
        <w:tc>
          <w:tcPr>
            <w:tcW w:w="1525" w:type="dxa"/>
            <w:tcBorders>
              <w:top w:val="nil"/>
              <w:left w:val="nil"/>
              <w:bottom w:val="single" w:sz="4" w:space="0" w:color="auto"/>
              <w:right w:val="single" w:sz="4" w:space="0" w:color="auto"/>
            </w:tcBorders>
            <w:shd w:val="clear" w:color="000000" w:fill="BFBFBF"/>
            <w:vAlign w:val="center"/>
            <w:hideMark/>
          </w:tcPr>
          <w:p w14:paraId="23EAE71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5B1299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7895487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209E96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214CDF8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1D280B3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44340A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43133FC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548350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4CBD8E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377BBE8" w14:textId="77777777" w:rsidTr="007B0C07">
        <w:trPr>
          <w:trHeight w:val="182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57DC2336"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GRE</w:t>
            </w:r>
          </w:p>
        </w:tc>
        <w:tc>
          <w:tcPr>
            <w:tcW w:w="1526" w:type="dxa"/>
            <w:tcBorders>
              <w:top w:val="nil"/>
              <w:left w:val="nil"/>
              <w:bottom w:val="single" w:sz="4" w:space="0" w:color="auto"/>
              <w:right w:val="single" w:sz="4" w:space="0" w:color="auto"/>
            </w:tcBorders>
            <w:vAlign w:val="center"/>
            <w:hideMark/>
          </w:tcPr>
          <w:p w14:paraId="333FB8F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Εθνικη στρατηγικη για την προσαρμογη στην κλιματικη αλλαγη (national climate change adaptation strategy)</w:t>
            </w:r>
          </w:p>
        </w:tc>
        <w:tc>
          <w:tcPr>
            <w:tcW w:w="489" w:type="dxa"/>
            <w:tcBorders>
              <w:top w:val="nil"/>
              <w:left w:val="nil"/>
              <w:bottom w:val="single" w:sz="4" w:space="0" w:color="auto"/>
              <w:right w:val="single" w:sz="4" w:space="0" w:color="auto"/>
            </w:tcBorders>
            <w:vAlign w:val="center"/>
            <w:hideMark/>
          </w:tcPr>
          <w:p w14:paraId="2EA6C5B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689" w:type="dxa"/>
            <w:tcBorders>
              <w:top w:val="nil"/>
              <w:left w:val="nil"/>
              <w:bottom w:val="single" w:sz="4" w:space="0" w:color="auto"/>
              <w:right w:val="single" w:sz="4" w:space="0" w:color="auto"/>
            </w:tcBorders>
            <w:vAlign w:val="center"/>
            <w:hideMark/>
          </w:tcPr>
          <w:p w14:paraId="4EFC31AF"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2050</w:t>
            </w:r>
          </w:p>
        </w:tc>
        <w:tc>
          <w:tcPr>
            <w:tcW w:w="948" w:type="dxa"/>
            <w:tcBorders>
              <w:top w:val="nil"/>
              <w:left w:val="nil"/>
              <w:bottom w:val="single" w:sz="4" w:space="0" w:color="auto"/>
              <w:right w:val="single" w:sz="4" w:space="0" w:color="auto"/>
            </w:tcBorders>
            <w:vAlign w:val="center"/>
            <w:hideMark/>
          </w:tcPr>
          <w:p w14:paraId="3C0ADA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076CFE6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&amp; energy general directorate of environmental policy directorate of climate change and atmospheric quality</w:t>
            </w:r>
          </w:p>
        </w:tc>
        <w:tc>
          <w:tcPr>
            <w:tcW w:w="1525" w:type="dxa"/>
            <w:tcBorders>
              <w:top w:val="nil"/>
              <w:left w:val="nil"/>
              <w:bottom w:val="single" w:sz="4" w:space="0" w:color="auto"/>
              <w:right w:val="single" w:sz="4" w:space="0" w:color="auto"/>
            </w:tcBorders>
            <w:shd w:val="clear" w:color="000000" w:fill="BFBFBF"/>
            <w:noWrap/>
            <w:vAlign w:val="center"/>
            <w:hideMark/>
          </w:tcPr>
          <w:p w14:paraId="7B6854BC"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C87ADA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C1DB5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0ABBC97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612D10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8D1A946" w14:textId="7706CC3D"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8th national communication and 5th biennial report under the </w:t>
            </w:r>
            <w:r w:rsidR="00066AA8" w:rsidRPr="0002056A">
              <w:rPr>
                <w:rFonts w:ascii="Georgia" w:eastAsia="Times New Roman" w:hAnsi="Georgia" w:cs="Calibri"/>
                <w:b/>
                <w:bCs/>
                <w:color w:val="000000"/>
                <w:sz w:val="10"/>
                <w:szCs w:val="10"/>
                <w:lang w:val="en-GB" w:eastAsia="hu-HU"/>
              </w:rPr>
              <w:t>United Nations</w:t>
            </w:r>
            <w:r w:rsidRPr="0002056A">
              <w:rPr>
                <w:rFonts w:ascii="Georgia" w:eastAsia="Times New Roman" w:hAnsi="Georgia" w:cs="Calibri"/>
                <w:b/>
                <w:bCs/>
                <w:color w:val="000000"/>
                <w:sz w:val="10"/>
                <w:szCs w:val="10"/>
                <w:lang w:val="en-GB" w:eastAsia="hu-HU"/>
              </w:rPr>
              <w:t xml:space="preserve"> framework convention on climate change</w:t>
            </w:r>
          </w:p>
        </w:tc>
        <w:tc>
          <w:tcPr>
            <w:tcW w:w="466" w:type="dxa"/>
            <w:tcBorders>
              <w:top w:val="nil"/>
              <w:left w:val="nil"/>
              <w:bottom w:val="single" w:sz="4" w:space="0" w:color="auto"/>
              <w:right w:val="single" w:sz="4" w:space="0" w:color="auto"/>
            </w:tcBorders>
            <w:vAlign w:val="center"/>
            <w:hideMark/>
          </w:tcPr>
          <w:p w14:paraId="3E5794A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40EDD9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7FB07F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312715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ENERGY</w:t>
            </w:r>
          </w:p>
        </w:tc>
      </w:tr>
      <w:tr w:rsidR="00DC2C1E" w:rsidRPr="0002056A" w14:paraId="6E0C8856" w14:textId="77777777" w:rsidTr="007B0C07">
        <w:trPr>
          <w:trHeight w:val="98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63708B3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HUN</w:t>
            </w:r>
          </w:p>
        </w:tc>
        <w:tc>
          <w:tcPr>
            <w:tcW w:w="1526" w:type="dxa"/>
            <w:tcBorders>
              <w:top w:val="nil"/>
              <w:left w:val="nil"/>
              <w:bottom w:val="single" w:sz="4" w:space="0" w:color="auto"/>
              <w:right w:val="single" w:sz="4" w:space="0" w:color="auto"/>
            </w:tcBorders>
            <w:vAlign w:val="center"/>
            <w:hideMark/>
          </w:tcPr>
          <w:p w14:paraId="6F9AD32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2nd National climate Change Strategy</w:t>
            </w:r>
          </w:p>
        </w:tc>
        <w:tc>
          <w:tcPr>
            <w:tcW w:w="489" w:type="dxa"/>
            <w:tcBorders>
              <w:top w:val="nil"/>
              <w:left w:val="nil"/>
              <w:bottom w:val="single" w:sz="4" w:space="0" w:color="auto"/>
              <w:right w:val="single" w:sz="4" w:space="0" w:color="auto"/>
            </w:tcBorders>
            <w:vAlign w:val="center"/>
            <w:hideMark/>
          </w:tcPr>
          <w:p w14:paraId="21A3E5F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27B960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 with an outlook to 2050</w:t>
            </w:r>
          </w:p>
        </w:tc>
        <w:tc>
          <w:tcPr>
            <w:tcW w:w="948" w:type="dxa"/>
            <w:tcBorders>
              <w:top w:val="nil"/>
              <w:left w:val="nil"/>
              <w:bottom w:val="single" w:sz="4" w:space="0" w:color="auto"/>
              <w:right w:val="single" w:sz="4" w:space="0" w:color="auto"/>
            </w:tcBorders>
            <w:vAlign w:val="center"/>
            <w:hideMark/>
          </w:tcPr>
          <w:p w14:paraId="0DA9F5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Parliament</w:t>
            </w:r>
          </w:p>
        </w:tc>
        <w:tc>
          <w:tcPr>
            <w:tcW w:w="1066" w:type="dxa"/>
            <w:tcBorders>
              <w:top w:val="nil"/>
              <w:left w:val="nil"/>
              <w:bottom w:val="single" w:sz="4" w:space="0" w:color="auto"/>
              <w:right w:val="single" w:sz="4" w:space="0" w:color="auto"/>
            </w:tcBorders>
            <w:vAlign w:val="center"/>
            <w:hideMark/>
          </w:tcPr>
          <w:p w14:paraId="4C46D6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c>
          <w:tcPr>
            <w:tcW w:w="1525" w:type="dxa"/>
            <w:tcBorders>
              <w:top w:val="nil"/>
              <w:left w:val="nil"/>
              <w:bottom w:val="single" w:sz="4" w:space="0" w:color="auto"/>
              <w:right w:val="single" w:sz="4" w:space="0" w:color="auto"/>
            </w:tcBorders>
            <w:vAlign w:val="center"/>
            <w:hideMark/>
          </w:tcPr>
          <w:p w14:paraId="548E3C6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1st National Climate Change Action Plan of the NCCS-2</w:t>
            </w:r>
          </w:p>
        </w:tc>
        <w:tc>
          <w:tcPr>
            <w:tcW w:w="466" w:type="dxa"/>
            <w:tcBorders>
              <w:top w:val="nil"/>
              <w:left w:val="nil"/>
              <w:bottom w:val="single" w:sz="4" w:space="0" w:color="auto"/>
              <w:right w:val="single" w:sz="4" w:space="0" w:color="auto"/>
            </w:tcBorders>
            <w:vAlign w:val="center"/>
            <w:hideMark/>
          </w:tcPr>
          <w:p w14:paraId="6FB06ED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98" w:type="dxa"/>
            <w:tcBorders>
              <w:top w:val="nil"/>
              <w:left w:val="nil"/>
              <w:bottom w:val="single" w:sz="4" w:space="0" w:color="auto"/>
              <w:right w:val="single" w:sz="4" w:space="0" w:color="auto"/>
            </w:tcBorders>
            <w:vAlign w:val="center"/>
            <w:hideMark/>
          </w:tcPr>
          <w:p w14:paraId="5E9A3B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w:t>
            </w:r>
          </w:p>
        </w:tc>
        <w:tc>
          <w:tcPr>
            <w:tcW w:w="948" w:type="dxa"/>
            <w:tcBorders>
              <w:top w:val="nil"/>
              <w:left w:val="nil"/>
              <w:bottom w:val="single" w:sz="4" w:space="0" w:color="auto"/>
              <w:right w:val="single" w:sz="4" w:space="0" w:color="auto"/>
            </w:tcBorders>
            <w:vAlign w:val="center"/>
            <w:hideMark/>
          </w:tcPr>
          <w:p w14:paraId="5DFBAD1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1B2BA8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c>
          <w:tcPr>
            <w:tcW w:w="1127" w:type="dxa"/>
            <w:tcBorders>
              <w:top w:val="nil"/>
              <w:left w:val="nil"/>
              <w:bottom w:val="single" w:sz="4" w:space="0" w:color="auto"/>
              <w:right w:val="single" w:sz="4" w:space="0" w:color="auto"/>
            </w:tcBorders>
            <w:vAlign w:val="center"/>
            <w:hideMark/>
          </w:tcPr>
          <w:p w14:paraId="74DE38A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Governmental Report about the Current and Expected Weather and Climate Change impacts on the Carpathian Basin </w:t>
            </w:r>
          </w:p>
        </w:tc>
        <w:tc>
          <w:tcPr>
            <w:tcW w:w="466" w:type="dxa"/>
            <w:tcBorders>
              <w:top w:val="nil"/>
              <w:left w:val="nil"/>
              <w:bottom w:val="single" w:sz="4" w:space="0" w:color="auto"/>
              <w:right w:val="single" w:sz="4" w:space="0" w:color="auto"/>
            </w:tcBorders>
            <w:vAlign w:val="center"/>
            <w:hideMark/>
          </w:tcPr>
          <w:p w14:paraId="0C314F9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30" w:type="dxa"/>
            <w:tcBorders>
              <w:top w:val="nil"/>
              <w:left w:val="nil"/>
              <w:bottom w:val="single" w:sz="4" w:space="0" w:color="auto"/>
              <w:right w:val="single" w:sz="4" w:space="0" w:color="auto"/>
            </w:tcBorders>
            <w:vAlign w:val="center"/>
            <w:hideMark/>
          </w:tcPr>
          <w:p w14:paraId="5AC8232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AF9AF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147" w:type="dxa"/>
            <w:tcBorders>
              <w:top w:val="nil"/>
              <w:left w:val="nil"/>
              <w:bottom w:val="single" w:sz="4" w:space="0" w:color="auto"/>
              <w:right w:val="single" w:sz="8" w:space="0" w:color="auto"/>
            </w:tcBorders>
            <w:vAlign w:val="center"/>
            <w:hideMark/>
          </w:tcPr>
          <w:p w14:paraId="67D4E97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r>
      <w:tr w:rsidR="00DC2C1E" w:rsidRPr="0002056A" w14:paraId="63C1BDAC" w14:textId="77777777" w:rsidTr="007B0C07">
        <w:trPr>
          <w:trHeight w:val="560"/>
        </w:trPr>
        <w:tc>
          <w:tcPr>
            <w:tcW w:w="630" w:type="dxa"/>
            <w:vMerge/>
            <w:tcBorders>
              <w:top w:val="nil"/>
              <w:left w:val="single" w:sz="8" w:space="0" w:color="auto"/>
              <w:bottom w:val="single" w:sz="4" w:space="0" w:color="auto"/>
              <w:right w:val="single" w:sz="4" w:space="0" w:color="auto"/>
            </w:tcBorders>
            <w:vAlign w:val="center"/>
            <w:hideMark/>
          </w:tcPr>
          <w:p w14:paraId="71D747D8"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6AEC2C5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016EF89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194304E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B20FD0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7B9796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vAlign w:val="center"/>
            <w:hideMark/>
          </w:tcPr>
          <w:p w14:paraId="0188A5A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2nd National Climate Change Action Plan of the NCCS-3</w:t>
            </w:r>
          </w:p>
        </w:tc>
        <w:tc>
          <w:tcPr>
            <w:tcW w:w="466" w:type="dxa"/>
            <w:tcBorders>
              <w:top w:val="nil"/>
              <w:left w:val="nil"/>
              <w:bottom w:val="single" w:sz="4" w:space="0" w:color="auto"/>
              <w:right w:val="single" w:sz="4" w:space="0" w:color="auto"/>
            </w:tcBorders>
            <w:vAlign w:val="center"/>
            <w:hideMark/>
          </w:tcPr>
          <w:p w14:paraId="7246E80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25404C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2021-23</w:t>
            </w:r>
          </w:p>
        </w:tc>
        <w:tc>
          <w:tcPr>
            <w:tcW w:w="948" w:type="dxa"/>
            <w:tcBorders>
              <w:top w:val="nil"/>
              <w:left w:val="nil"/>
              <w:bottom w:val="single" w:sz="4" w:space="0" w:color="auto"/>
              <w:right w:val="single" w:sz="4" w:space="0" w:color="auto"/>
            </w:tcBorders>
            <w:vAlign w:val="center"/>
            <w:hideMark/>
          </w:tcPr>
          <w:p w14:paraId="2ED22E2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(not adopted)</w:t>
            </w:r>
          </w:p>
        </w:tc>
        <w:tc>
          <w:tcPr>
            <w:tcW w:w="881" w:type="dxa"/>
            <w:tcBorders>
              <w:top w:val="nil"/>
              <w:left w:val="nil"/>
              <w:bottom w:val="single" w:sz="4" w:space="0" w:color="auto"/>
              <w:right w:val="single" w:sz="4" w:space="0" w:color="auto"/>
            </w:tcBorders>
            <w:vAlign w:val="center"/>
            <w:hideMark/>
          </w:tcPr>
          <w:p w14:paraId="5042576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c>
          <w:tcPr>
            <w:tcW w:w="1127" w:type="dxa"/>
            <w:tcBorders>
              <w:top w:val="nil"/>
              <w:left w:val="nil"/>
              <w:bottom w:val="single" w:sz="4" w:space="0" w:color="auto"/>
              <w:right w:val="single" w:sz="4" w:space="0" w:color="auto"/>
            </w:tcBorders>
            <w:shd w:val="clear" w:color="000000" w:fill="BFBFBF"/>
            <w:noWrap/>
            <w:vAlign w:val="center"/>
            <w:hideMark/>
          </w:tcPr>
          <w:p w14:paraId="1C1FE934"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noWrap/>
            <w:vAlign w:val="center"/>
            <w:hideMark/>
          </w:tcPr>
          <w:p w14:paraId="0F42411E"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noWrap/>
            <w:vAlign w:val="center"/>
            <w:hideMark/>
          </w:tcPr>
          <w:p w14:paraId="7BC8CB79"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noWrap/>
            <w:vAlign w:val="center"/>
            <w:hideMark/>
          </w:tcPr>
          <w:p w14:paraId="6132EE45"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noWrap/>
            <w:vAlign w:val="center"/>
            <w:hideMark/>
          </w:tcPr>
          <w:p w14:paraId="79EBBD15"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r>
      <w:tr w:rsidR="00DC2C1E" w:rsidRPr="0002056A" w14:paraId="256B5783" w14:textId="77777777" w:rsidTr="007B0C07">
        <w:trPr>
          <w:trHeight w:val="126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1A9650D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ICE</w:t>
            </w:r>
          </w:p>
        </w:tc>
        <w:tc>
          <w:tcPr>
            <w:tcW w:w="1526" w:type="dxa"/>
            <w:tcBorders>
              <w:top w:val="nil"/>
              <w:left w:val="nil"/>
              <w:bottom w:val="single" w:sz="4" w:space="0" w:color="auto"/>
              <w:right w:val="single" w:sz="4" w:space="0" w:color="auto"/>
            </w:tcBorders>
            <w:vAlign w:val="center"/>
            <w:hideMark/>
          </w:tcPr>
          <w:p w14:paraId="13A739E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Í ljósi loftslagsvár - Stefna um aðlögun að loftslagsbreytingum (In View of the Climate Crisis - Iceland's Strategy on Adaptation to Climate Change)</w:t>
            </w:r>
          </w:p>
        </w:tc>
        <w:tc>
          <w:tcPr>
            <w:tcW w:w="489" w:type="dxa"/>
            <w:tcBorders>
              <w:top w:val="nil"/>
              <w:left w:val="nil"/>
              <w:bottom w:val="single" w:sz="4" w:space="0" w:color="auto"/>
              <w:right w:val="single" w:sz="4" w:space="0" w:color="auto"/>
            </w:tcBorders>
            <w:vAlign w:val="center"/>
            <w:hideMark/>
          </w:tcPr>
          <w:p w14:paraId="1164C31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89" w:type="dxa"/>
            <w:tcBorders>
              <w:top w:val="nil"/>
              <w:left w:val="nil"/>
              <w:bottom w:val="single" w:sz="4" w:space="0" w:color="auto"/>
              <w:right w:val="single" w:sz="4" w:space="0" w:color="auto"/>
            </w:tcBorders>
            <w:vAlign w:val="center"/>
            <w:hideMark/>
          </w:tcPr>
          <w:p w14:paraId="619DD6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7F3AB15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09B2ED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Environment and Natural Resources</w:t>
            </w:r>
          </w:p>
        </w:tc>
        <w:tc>
          <w:tcPr>
            <w:tcW w:w="1525" w:type="dxa"/>
            <w:tcBorders>
              <w:top w:val="nil"/>
              <w:left w:val="nil"/>
              <w:bottom w:val="single" w:sz="4" w:space="0" w:color="auto"/>
              <w:right w:val="single" w:sz="4" w:space="0" w:color="auto"/>
            </w:tcBorders>
            <w:vAlign w:val="center"/>
            <w:hideMark/>
          </w:tcPr>
          <w:p w14:paraId="304DB0F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Iceland’s Climate Action Plan for 2018-2030</w:t>
            </w:r>
          </w:p>
        </w:tc>
        <w:tc>
          <w:tcPr>
            <w:tcW w:w="466" w:type="dxa"/>
            <w:tcBorders>
              <w:top w:val="nil"/>
              <w:left w:val="nil"/>
              <w:bottom w:val="single" w:sz="4" w:space="0" w:color="auto"/>
              <w:right w:val="single" w:sz="4" w:space="0" w:color="auto"/>
            </w:tcBorders>
            <w:vAlign w:val="center"/>
            <w:hideMark/>
          </w:tcPr>
          <w:p w14:paraId="2F8A1A4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98" w:type="dxa"/>
            <w:tcBorders>
              <w:top w:val="nil"/>
              <w:left w:val="nil"/>
              <w:bottom w:val="single" w:sz="4" w:space="0" w:color="auto"/>
              <w:right w:val="single" w:sz="4" w:space="0" w:color="auto"/>
            </w:tcBorders>
            <w:vAlign w:val="center"/>
            <w:hideMark/>
          </w:tcPr>
          <w:p w14:paraId="601E81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2018-2030</w:t>
            </w:r>
          </w:p>
        </w:tc>
        <w:tc>
          <w:tcPr>
            <w:tcW w:w="948" w:type="dxa"/>
            <w:tcBorders>
              <w:top w:val="nil"/>
              <w:left w:val="nil"/>
              <w:bottom w:val="single" w:sz="4" w:space="0" w:color="auto"/>
              <w:right w:val="single" w:sz="4" w:space="0" w:color="auto"/>
            </w:tcBorders>
            <w:vAlign w:val="center"/>
            <w:hideMark/>
          </w:tcPr>
          <w:p w14:paraId="0D4EEA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27799A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Environment and Natural Resources</w:t>
            </w:r>
          </w:p>
        </w:tc>
        <w:tc>
          <w:tcPr>
            <w:tcW w:w="1127" w:type="dxa"/>
            <w:tcBorders>
              <w:top w:val="nil"/>
              <w:left w:val="nil"/>
              <w:bottom w:val="single" w:sz="4" w:space="0" w:color="auto"/>
              <w:right w:val="single" w:sz="4" w:space="0" w:color="auto"/>
            </w:tcBorders>
            <w:vAlign w:val="center"/>
            <w:hideMark/>
          </w:tcPr>
          <w:p w14:paraId="7F1EAEE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Iceland’s Seventh National Communication and Third Biennial Report</w:t>
            </w:r>
          </w:p>
        </w:tc>
        <w:tc>
          <w:tcPr>
            <w:tcW w:w="466" w:type="dxa"/>
            <w:tcBorders>
              <w:top w:val="nil"/>
              <w:left w:val="nil"/>
              <w:bottom w:val="single" w:sz="4" w:space="0" w:color="auto"/>
              <w:right w:val="single" w:sz="4" w:space="0" w:color="auto"/>
            </w:tcBorders>
            <w:vAlign w:val="center"/>
            <w:hideMark/>
          </w:tcPr>
          <w:p w14:paraId="5728120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30" w:type="dxa"/>
            <w:tcBorders>
              <w:top w:val="nil"/>
              <w:left w:val="nil"/>
              <w:bottom w:val="single" w:sz="4" w:space="0" w:color="auto"/>
              <w:right w:val="single" w:sz="4" w:space="0" w:color="auto"/>
            </w:tcBorders>
            <w:vAlign w:val="center"/>
            <w:hideMark/>
          </w:tcPr>
          <w:p w14:paraId="374989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1B3E8B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497194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Environment and Natural Resources</w:t>
            </w:r>
          </w:p>
        </w:tc>
      </w:tr>
      <w:tr w:rsidR="00DC2C1E" w:rsidRPr="0002056A" w14:paraId="47DB4265" w14:textId="77777777" w:rsidTr="007B0C07">
        <w:trPr>
          <w:trHeight w:val="560"/>
        </w:trPr>
        <w:tc>
          <w:tcPr>
            <w:tcW w:w="630" w:type="dxa"/>
            <w:vMerge/>
            <w:tcBorders>
              <w:top w:val="nil"/>
              <w:left w:val="single" w:sz="8" w:space="0" w:color="auto"/>
              <w:bottom w:val="single" w:sz="4" w:space="0" w:color="auto"/>
              <w:right w:val="single" w:sz="4" w:space="0" w:color="auto"/>
            </w:tcBorders>
            <w:vAlign w:val="center"/>
            <w:hideMark/>
          </w:tcPr>
          <w:p w14:paraId="22090965"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4FBA222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32BC664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00AC18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5337E4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038107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7FB099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44AB3A0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77DDC8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2508CB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373220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912729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Iceland's 8th National Communication and 5th Biennial Report</w:t>
            </w:r>
          </w:p>
        </w:tc>
        <w:tc>
          <w:tcPr>
            <w:tcW w:w="466" w:type="dxa"/>
            <w:tcBorders>
              <w:top w:val="nil"/>
              <w:left w:val="nil"/>
              <w:bottom w:val="single" w:sz="4" w:space="0" w:color="auto"/>
              <w:right w:val="single" w:sz="4" w:space="0" w:color="auto"/>
            </w:tcBorders>
            <w:vAlign w:val="center"/>
            <w:hideMark/>
          </w:tcPr>
          <w:p w14:paraId="73C34D9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26849D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8929D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3BB91EB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Environment and Natural Resources</w:t>
            </w:r>
          </w:p>
        </w:tc>
      </w:tr>
      <w:tr w:rsidR="00DC2C1E" w:rsidRPr="0002056A" w14:paraId="0873D131" w14:textId="77777777" w:rsidTr="007B0C07">
        <w:trPr>
          <w:trHeight w:val="70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418EEB3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IRL</w:t>
            </w:r>
          </w:p>
        </w:tc>
        <w:tc>
          <w:tcPr>
            <w:tcW w:w="1526" w:type="dxa"/>
            <w:tcBorders>
              <w:top w:val="nil"/>
              <w:left w:val="nil"/>
              <w:bottom w:val="single" w:sz="4" w:space="0" w:color="auto"/>
              <w:right w:val="single" w:sz="4" w:space="0" w:color="auto"/>
            </w:tcBorders>
            <w:vAlign w:val="center"/>
            <w:hideMark/>
          </w:tcPr>
          <w:p w14:paraId="22E2849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Adaptation Framework Planning for a Climate Resilient Ireland</w:t>
            </w:r>
          </w:p>
        </w:tc>
        <w:tc>
          <w:tcPr>
            <w:tcW w:w="489" w:type="dxa"/>
            <w:tcBorders>
              <w:top w:val="nil"/>
              <w:left w:val="nil"/>
              <w:bottom w:val="single" w:sz="4" w:space="0" w:color="auto"/>
              <w:right w:val="single" w:sz="4" w:space="0" w:color="auto"/>
            </w:tcBorders>
            <w:vAlign w:val="center"/>
            <w:hideMark/>
          </w:tcPr>
          <w:p w14:paraId="6706102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6EA6FDA3"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2050</w:t>
            </w:r>
          </w:p>
        </w:tc>
        <w:tc>
          <w:tcPr>
            <w:tcW w:w="948" w:type="dxa"/>
            <w:tcBorders>
              <w:top w:val="nil"/>
              <w:left w:val="nil"/>
              <w:bottom w:val="single" w:sz="4" w:space="0" w:color="auto"/>
              <w:right w:val="single" w:sz="4" w:space="0" w:color="auto"/>
            </w:tcBorders>
            <w:vAlign w:val="center"/>
            <w:hideMark/>
          </w:tcPr>
          <w:p w14:paraId="175D43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Ireland</w:t>
            </w:r>
          </w:p>
        </w:tc>
        <w:tc>
          <w:tcPr>
            <w:tcW w:w="1066" w:type="dxa"/>
            <w:tcBorders>
              <w:top w:val="nil"/>
              <w:left w:val="nil"/>
              <w:bottom w:val="single" w:sz="4" w:space="0" w:color="auto"/>
              <w:right w:val="single" w:sz="4" w:space="0" w:color="auto"/>
            </w:tcBorders>
            <w:vAlign w:val="center"/>
            <w:hideMark/>
          </w:tcPr>
          <w:p w14:paraId="6FE09A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of the Environment, Climate and Communications</w:t>
            </w:r>
          </w:p>
        </w:tc>
        <w:tc>
          <w:tcPr>
            <w:tcW w:w="1525" w:type="dxa"/>
            <w:tcBorders>
              <w:top w:val="nil"/>
              <w:left w:val="nil"/>
              <w:bottom w:val="single" w:sz="4" w:space="0" w:color="auto"/>
              <w:right w:val="single" w:sz="4" w:space="0" w:color="auto"/>
            </w:tcBorders>
            <w:shd w:val="clear" w:color="000000" w:fill="BFBFBF"/>
            <w:vAlign w:val="center"/>
            <w:hideMark/>
          </w:tcPr>
          <w:p w14:paraId="1682443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1E7F5F5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1778C4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0F0CAD1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7458A11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072904D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Seventh National Communication Ireland</w:t>
            </w:r>
          </w:p>
        </w:tc>
        <w:tc>
          <w:tcPr>
            <w:tcW w:w="466" w:type="dxa"/>
            <w:tcBorders>
              <w:top w:val="nil"/>
              <w:left w:val="nil"/>
              <w:bottom w:val="single" w:sz="4" w:space="0" w:color="auto"/>
              <w:right w:val="single" w:sz="4" w:space="0" w:color="auto"/>
            </w:tcBorders>
            <w:vAlign w:val="center"/>
            <w:hideMark/>
          </w:tcPr>
          <w:p w14:paraId="4BAB6DF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0AA68F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32EE04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703DA8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of Communication, Climate Action and Environment</w:t>
            </w:r>
          </w:p>
        </w:tc>
      </w:tr>
      <w:tr w:rsidR="00DC2C1E" w:rsidRPr="0002056A" w14:paraId="3BD2A622" w14:textId="77777777" w:rsidTr="007B0C07">
        <w:trPr>
          <w:trHeight w:val="840"/>
        </w:trPr>
        <w:tc>
          <w:tcPr>
            <w:tcW w:w="630" w:type="dxa"/>
            <w:vMerge/>
            <w:tcBorders>
              <w:top w:val="nil"/>
              <w:left w:val="single" w:sz="8" w:space="0" w:color="auto"/>
              <w:bottom w:val="single" w:sz="4" w:space="0" w:color="auto"/>
              <w:right w:val="single" w:sz="4" w:space="0" w:color="auto"/>
            </w:tcBorders>
            <w:vAlign w:val="center"/>
            <w:hideMark/>
          </w:tcPr>
          <w:p w14:paraId="5E2D0C0E"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01346B5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53061AC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2C3D428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52DB68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05C0BE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4E4F693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784B6F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196B83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C93918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5443263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2F1DBF9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Ireland’s 8th National Communication</w:t>
            </w:r>
          </w:p>
        </w:tc>
        <w:tc>
          <w:tcPr>
            <w:tcW w:w="466" w:type="dxa"/>
            <w:tcBorders>
              <w:top w:val="nil"/>
              <w:left w:val="nil"/>
              <w:bottom w:val="single" w:sz="4" w:space="0" w:color="auto"/>
              <w:right w:val="single" w:sz="4" w:space="0" w:color="auto"/>
            </w:tcBorders>
            <w:vAlign w:val="center"/>
            <w:hideMark/>
          </w:tcPr>
          <w:p w14:paraId="234C7CE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4861148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F5D014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3E075E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of The Environment, Climate and Communications</w:t>
            </w:r>
          </w:p>
        </w:tc>
      </w:tr>
      <w:tr w:rsidR="00DC2C1E" w:rsidRPr="0002056A" w14:paraId="4DDF4472" w14:textId="77777777" w:rsidTr="007B0C07">
        <w:trPr>
          <w:trHeight w:val="126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1B3C4AFC"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ITA</w:t>
            </w:r>
          </w:p>
        </w:tc>
        <w:tc>
          <w:tcPr>
            <w:tcW w:w="1526" w:type="dxa"/>
            <w:tcBorders>
              <w:top w:val="nil"/>
              <w:left w:val="nil"/>
              <w:bottom w:val="single" w:sz="4" w:space="0" w:color="auto"/>
              <w:right w:val="single" w:sz="4" w:space="0" w:color="auto"/>
            </w:tcBorders>
            <w:vAlign w:val="center"/>
            <w:hideMark/>
          </w:tcPr>
          <w:p w14:paraId="731556D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Strategia Nazionale di Adattamento ai Cambiamenti Climatici (National Strategy for Climate Change Adaptation)</w:t>
            </w:r>
          </w:p>
        </w:tc>
        <w:tc>
          <w:tcPr>
            <w:tcW w:w="489" w:type="dxa"/>
            <w:tcBorders>
              <w:top w:val="nil"/>
              <w:left w:val="nil"/>
              <w:bottom w:val="single" w:sz="4" w:space="0" w:color="auto"/>
              <w:right w:val="single" w:sz="4" w:space="0" w:color="auto"/>
            </w:tcBorders>
            <w:vAlign w:val="center"/>
            <w:hideMark/>
          </w:tcPr>
          <w:p w14:paraId="14B1B09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7FD0E1D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0B7472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0D616AC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Protection of Land and Sea (MATTM).</w:t>
            </w:r>
          </w:p>
        </w:tc>
        <w:tc>
          <w:tcPr>
            <w:tcW w:w="1525" w:type="dxa"/>
            <w:tcBorders>
              <w:top w:val="nil"/>
              <w:left w:val="nil"/>
              <w:bottom w:val="single" w:sz="4" w:space="0" w:color="auto"/>
              <w:right w:val="single" w:sz="4" w:space="0" w:color="auto"/>
            </w:tcBorders>
            <w:vAlign w:val="center"/>
            <w:hideMark/>
          </w:tcPr>
          <w:p w14:paraId="6D4A837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Strategia Nazionale di Adattamento ai Cambiamenti Climatici (National Strategy for Climate Change Adaptation)</w:t>
            </w:r>
          </w:p>
        </w:tc>
        <w:tc>
          <w:tcPr>
            <w:tcW w:w="466" w:type="dxa"/>
            <w:tcBorders>
              <w:top w:val="nil"/>
              <w:left w:val="nil"/>
              <w:bottom w:val="single" w:sz="4" w:space="0" w:color="auto"/>
              <w:right w:val="single" w:sz="4" w:space="0" w:color="auto"/>
            </w:tcBorders>
            <w:vAlign w:val="center"/>
            <w:hideMark/>
          </w:tcPr>
          <w:p w14:paraId="5EA2ACB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98" w:type="dxa"/>
            <w:tcBorders>
              <w:top w:val="nil"/>
              <w:left w:val="nil"/>
              <w:bottom w:val="single" w:sz="4" w:space="0" w:color="auto"/>
              <w:right w:val="single" w:sz="4" w:space="0" w:color="auto"/>
            </w:tcBorders>
            <w:vAlign w:val="center"/>
            <w:hideMark/>
          </w:tcPr>
          <w:p w14:paraId="21C901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373C69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239849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Protection of Land and Sea (MATTM).</w:t>
            </w:r>
          </w:p>
        </w:tc>
        <w:tc>
          <w:tcPr>
            <w:tcW w:w="1127" w:type="dxa"/>
            <w:tcBorders>
              <w:top w:val="nil"/>
              <w:left w:val="nil"/>
              <w:bottom w:val="single" w:sz="4" w:space="0" w:color="auto"/>
              <w:right w:val="single" w:sz="4" w:space="0" w:color="auto"/>
            </w:tcBorders>
            <w:vAlign w:val="center"/>
            <w:hideMark/>
          </w:tcPr>
          <w:p w14:paraId="244DA11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Seventh National Communication under the United Nations Framework Convention on Climate Change</w:t>
            </w:r>
          </w:p>
        </w:tc>
        <w:tc>
          <w:tcPr>
            <w:tcW w:w="466" w:type="dxa"/>
            <w:tcBorders>
              <w:top w:val="nil"/>
              <w:left w:val="nil"/>
              <w:bottom w:val="single" w:sz="4" w:space="0" w:color="auto"/>
              <w:right w:val="single" w:sz="4" w:space="0" w:color="auto"/>
            </w:tcBorders>
            <w:vAlign w:val="center"/>
            <w:hideMark/>
          </w:tcPr>
          <w:p w14:paraId="512AF0D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776716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8D7A3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3AF79C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Environment Land and Sea</w:t>
            </w:r>
          </w:p>
        </w:tc>
      </w:tr>
      <w:tr w:rsidR="00DC2C1E" w:rsidRPr="0002056A" w14:paraId="2857D08A" w14:textId="77777777" w:rsidTr="007B0C07">
        <w:trPr>
          <w:trHeight w:val="1939"/>
        </w:trPr>
        <w:tc>
          <w:tcPr>
            <w:tcW w:w="630" w:type="dxa"/>
            <w:vMerge/>
            <w:tcBorders>
              <w:top w:val="nil"/>
              <w:left w:val="single" w:sz="8" w:space="0" w:color="auto"/>
              <w:bottom w:val="single" w:sz="4" w:space="0" w:color="auto"/>
              <w:right w:val="single" w:sz="4" w:space="0" w:color="auto"/>
            </w:tcBorders>
            <w:vAlign w:val="center"/>
            <w:hideMark/>
          </w:tcPr>
          <w:p w14:paraId="0951A701"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vAlign w:val="center"/>
            <w:hideMark/>
          </w:tcPr>
          <w:p w14:paraId="1C807FD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Piano Nazionale di Adattamento ai Cambiamenti Climatici ALLEGATO I Metodologie per la definizione di strategie e piani regionali di adattamento ai cambiamenti climatici (National Plan for Adaptation to Climate Change ANNEX I Methodologies for developing regional strategies and plans for adaptation to climate change)</w:t>
            </w:r>
          </w:p>
        </w:tc>
        <w:tc>
          <w:tcPr>
            <w:tcW w:w="489" w:type="dxa"/>
            <w:tcBorders>
              <w:top w:val="nil"/>
              <w:left w:val="nil"/>
              <w:bottom w:val="single" w:sz="4" w:space="0" w:color="auto"/>
              <w:right w:val="single" w:sz="4" w:space="0" w:color="auto"/>
            </w:tcBorders>
            <w:vAlign w:val="center"/>
            <w:hideMark/>
          </w:tcPr>
          <w:p w14:paraId="08B4667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0BCADE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00B3CE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0CFAE58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Protection of Land and Sea (MATTM).</w:t>
            </w:r>
          </w:p>
        </w:tc>
        <w:tc>
          <w:tcPr>
            <w:tcW w:w="1525" w:type="dxa"/>
            <w:tcBorders>
              <w:top w:val="nil"/>
              <w:left w:val="nil"/>
              <w:bottom w:val="single" w:sz="4" w:space="0" w:color="auto"/>
              <w:right w:val="single" w:sz="4" w:space="0" w:color="auto"/>
            </w:tcBorders>
            <w:shd w:val="clear" w:color="000000" w:fill="BFBFBF"/>
            <w:vAlign w:val="center"/>
            <w:hideMark/>
          </w:tcPr>
          <w:p w14:paraId="1043515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193726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1098665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19B116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74F778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54D3EFE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1A71F9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637410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76AF382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3B0ACC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541ED90" w14:textId="77777777" w:rsidTr="007B0C07">
        <w:trPr>
          <w:trHeight w:val="84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4BE8187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KOS</w:t>
            </w:r>
          </w:p>
        </w:tc>
        <w:tc>
          <w:tcPr>
            <w:tcW w:w="1526" w:type="dxa"/>
            <w:tcBorders>
              <w:top w:val="nil"/>
              <w:left w:val="nil"/>
              <w:bottom w:val="single" w:sz="4" w:space="0" w:color="auto"/>
              <w:right w:val="single" w:sz="4" w:space="0" w:color="auto"/>
            </w:tcBorders>
            <w:vAlign w:val="center"/>
            <w:hideMark/>
          </w:tcPr>
          <w:p w14:paraId="22009C3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Climate change strategy </w:t>
            </w:r>
            <w:r w:rsidRPr="0002056A">
              <w:rPr>
                <w:rFonts w:ascii="Georgia" w:eastAsia="Times New Roman" w:hAnsi="Georgia" w:cs="Calibri"/>
                <w:b/>
                <w:bCs/>
                <w:color w:val="000000"/>
                <w:sz w:val="10"/>
                <w:szCs w:val="10"/>
                <w:lang w:val="en-GB" w:eastAsia="hu-HU"/>
              </w:rPr>
              <w:br/>
              <w:t>2019- 2028</w:t>
            </w:r>
            <w:r w:rsidRPr="0002056A">
              <w:rPr>
                <w:rFonts w:ascii="Georgia" w:eastAsia="Times New Roman" w:hAnsi="Georgia" w:cs="Calibri"/>
                <w:b/>
                <w:bCs/>
                <w:color w:val="000000"/>
                <w:sz w:val="10"/>
                <w:szCs w:val="10"/>
                <w:lang w:val="en-GB" w:eastAsia="hu-HU"/>
              </w:rPr>
              <w:br/>
              <w:t>action plan on climate change</w:t>
            </w:r>
            <w:r w:rsidRPr="0002056A">
              <w:rPr>
                <w:rFonts w:ascii="Georgia" w:eastAsia="Times New Roman" w:hAnsi="Georgia" w:cs="Calibri"/>
                <w:b/>
                <w:bCs/>
                <w:color w:val="000000"/>
                <w:sz w:val="10"/>
                <w:szCs w:val="10"/>
                <w:lang w:val="en-GB" w:eastAsia="hu-HU"/>
              </w:rPr>
              <w:br/>
              <w:t>2019- 2021</w:t>
            </w:r>
          </w:p>
        </w:tc>
        <w:tc>
          <w:tcPr>
            <w:tcW w:w="489" w:type="dxa"/>
            <w:tcBorders>
              <w:top w:val="nil"/>
              <w:left w:val="nil"/>
              <w:bottom w:val="single" w:sz="4" w:space="0" w:color="auto"/>
              <w:right w:val="single" w:sz="4" w:space="0" w:color="auto"/>
            </w:tcBorders>
            <w:vAlign w:val="center"/>
            <w:hideMark/>
          </w:tcPr>
          <w:p w14:paraId="0C76199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29C16C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2021-2028</w:t>
            </w:r>
          </w:p>
        </w:tc>
        <w:tc>
          <w:tcPr>
            <w:tcW w:w="948" w:type="dxa"/>
            <w:tcBorders>
              <w:top w:val="nil"/>
              <w:left w:val="nil"/>
              <w:bottom w:val="single" w:sz="4" w:space="0" w:color="auto"/>
              <w:right w:val="single" w:sz="4" w:space="0" w:color="auto"/>
            </w:tcBorders>
            <w:vAlign w:val="center"/>
            <w:hideMark/>
          </w:tcPr>
          <w:p w14:paraId="7C7AF3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13DED6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Spatial Planning</w:t>
            </w:r>
          </w:p>
        </w:tc>
        <w:tc>
          <w:tcPr>
            <w:tcW w:w="1525" w:type="dxa"/>
            <w:tcBorders>
              <w:top w:val="nil"/>
              <w:left w:val="nil"/>
              <w:bottom w:val="single" w:sz="4" w:space="0" w:color="auto"/>
              <w:right w:val="single" w:sz="4" w:space="0" w:color="auto"/>
            </w:tcBorders>
            <w:vAlign w:val="center"/>
            <w:hideMark/>
          </w:tcPr>
          <w:p w14:paraId="66E5F0B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Climate change strategy </w:t>
            </w:r>
            <w:r w:rsidRPr="0002056A">
              <w:rPr>
                <w:rFonts w:ascii="Georgia" w:eastAsia="Times New Roman" w:hAnsi="Georgia" w:cs="Calibri"/>
                <w:b/>
                <w:bCs/>
                <w:color w:val="000000"/>
                <w:sz w:val="10"/>
                <w:szCs w:val="10"/>
                <w:lang w:val="en-GB" w:eastAsia="hu-HU"/>
              </w:rPr>
              <w:br/>
              <w:t>2019- 2028</w:t>
            </w:r>
            <w:r w:rsidRPr="0002056A">
              <w:rPr>
                <w:rFonts w:ascii="Georgia" w:eastAsia="Times New Roman" w:hAnsi="Georgia" w:cs="Calibri"/>
                <w:b/>
                <w:bCs/>
                <w:color w:val="000000"/>
                <w:sz w:val="10"/>
                <w:szCs w:val="10"/>
                <w:lang w:val="en-GB" w:eastAsia="hu-HU"/>
              </w:rPr>
              <w:br/>
              <w:t>action plan on climate change</w:t>
            </w:r>
            <w:r w:rsidRPr="0002056A">
              <w:rPr>
                <w:rFonts w:ascii="Georgia" w:eastAsia="Times New Roman" w:hAnsi="Georgia" w:cs="Calibri"/>
                <w:b/>
                <w:bCs/>
                <w:color w:val="000000"/>
                <w:sz w:val="10"/>
                <w:szCs w:val="10"/>
                <w:lang w:val="en-GB" w:eastAsia="hu-HU"/>
              </w:rPr>
              <w:br/>
              <w:t>2019- 2021</w:t>
            </w:r>
          </w:p>
        </w:tc>
        <w:tc>
          <w:tcPr>
            <w:tcW w:w="466" w:type="dxa"/>
            <w:tcBorders>
              <w:top w:val="nil"/>
              <w:left w:val="nil"/>
              <w:bottom w:val="single" w:sz="4" w:space="0" w:color="auto"/>
              <w:right w:val="single" w:sz="4" w:space="0" w:color="auto"/>
            </w:tcBorders>
            <w:vAlign w:val="center"/>
            <w:hideMark/>
          </w:tcPr>
          <w:p w14:paraId="1E50962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98" w:type="dxa"/>
            <w:tcBorders>
              <w:top w:val="nil"/>
              <w:left w:val="nil"/>
              <w:bottom w:val="single" w:sz="4" w:space="0" w:color="auto"/>
              <w:right w:val="single" w:sz="4" w:space="0" w:color="auto"/>
            </w:tcBorders>
            <w:vAlign w:val="center"/>
            <w:hideMark/>
          </w:tcPr>
          <w:p w14:paraId="149DA28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2021-2028</w:t>
            </w:r>
          </w:p>
        </w:tc>
        <w:tc>
          <w:tcPr>
            <w:tcW w:w="948" w:type="dxa"/>
            <w:tcBorders>
              <w:top w:val="nil"/>
              <w:left w:val="nil"/>
              <w:bottom w:val="single" w:sz="4" w:space="0" w:color="auto"/>
              <w:right w:val="single" w:sz="4" w:space="0" w:color="auto"/>
            </w:tcBorders>
            <w:vAlign w:val="center"/>
            <w:hideMark/>
          </w:tcPr>
          <w:p w14:paraId="7E6FC8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2176C1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Spatial Planning</w:t>
            </w:r>
          </w:p>
        </w:tc>
        <w:tc>
          <w:tcPr>
            <w:tcW w:w="1127" w:type="dxa"/>
            <w:tcBorders>
              <w:top w:val="nil"/>
              <w:left w:val="nil"/>
              <w:bottom w:val="single" w:sz="4" w:space="0" w:color="auto"/>
              <w:right w:val="single" w:sz="4" w:space="0" w:color="auto"/>
            </w:tcBorders>
            <w:shd w:val="clear" w:color="000000" w:fill="BFBFBF"/>
            <w:vAlign w:val="center"/>
            <w:hideMark/>
          </w:tcPr>
          <w:p w14:paraId="63E5718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441AA0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1624A1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165F94B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6BD995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E52B060" w14:textId="77777777" w:rsidTr="007B0C07">
        <w:trPr>
          <w:trHeight w:val="1554"/>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1D437C84"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LAT</w:t>
            </w:r>
          </w:p>
        </w:tc>
        <w:tc>
          <w:tcPr>
            <w:tcW w:w="1526" w:type="dxa"/>
            <w:tcBorders>
              <w:top w:val="nil"/>
              <w:left w:val="nil"/>
              <w:bottom w:val="single" w:sz="4" w:space="0" w:color="auto"/>
              <w:right w:val="single" w:sz="4" w:space="0" w:color="auto"/>
            </w:tcBorders>
            <w:vAlign w:val="center"/>
            <w:hideMark/>
          </w:tcPr>
          <w:p w14:paraId="410C873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Latvijas pielāgošanās klimata pārmaiņām stratēģija laika posmam līdz 2030.gadam (latvian strategy for adapting to climate change until 2030 and latvian national plan for adaptation to climate change until 2030)</w:t>
            </w:r>
          </w:p>
        </w:tc>
        <w:tc>
          <w:tcPr>
            <w:tcW w:w="489" w:type="dxa"/>
            <w:tcBorders>
              <w:top w:val="nil"/>
              <w:left w:val="nil"/>
              <w:bottom w:val="single" w:sz="4" w:space="0" w:color="auto"/>
              <w:right w:val="single" w:sz="4" w:space="0" w:color="auto"/>
            </w:tcBorders>
            <w:vAlign w:val="center"/>
            <w:hideMark/>
          </w:tcPr>
          <w:p w14:paraId="18ABB90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0EE5DA93"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22FEE0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26E99B6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Environmental Protection and Regional Development</w:t>
            </w:r>
          </w:p>
        </w:tc>
        <w:tc>
          <w:tcPr>
            <w:tcW w:w="1525" w:type="dxa"/>
            <w:tcBorders>
              <w:top w:val="nil"/>
              <w:left w:val="nil"/>
              <w:bottom w:val="single" w:sz="4" w:space="0" w:color="auto"/>
              <w:right w:val="single" w:sz="4" w:space="0" w:color="auto"/>
            </w:tcBorders>
            <w:vAlign w:val="center"/>
            <w:hideMark/>
          </w:tcPr>
          <w:p w14:paraId="6AFB551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Latvijas pielāgošanās klimata pārmaiņām stratēģija laika posmam līdz 2030.gadam (latvian strategy for adapting to climate change until 2030 and latvian national plan for adaptation to climate change until 2030)</w:t>
            </w:r>
          </w:p>
        </w:tc>
        <w:tc>
          <w:tcPr>
            <w:tcW w:w="466" w:type="dxa"/>
            <w:tcBorders>
              <w:top w:val="nil"/>
              <w:left w:val="nil"/>
              <w:bottom w:val="single" w:sz="4" w:space="0" w:color="auto"/>
              <w:right w:val="single" w:sz="4" w:space="0" w:color="auto"/>
            </w:tcBorders>
            <w:vAlign w:val="center"/>
            <w:hideMark/>
          </w:tcPr>
          <w:p w14:paraId="46FD618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98" w:type="dxa"/>
            <w:tcBorders>
              <w:top w:val="nil"/>
              <w:left w:val="nil"/>
              <w:bottom w:val="single" w:sz="4" w:space="0" w:color="auto"/>
              <w:right w:val="single" w:sz="4" w:space="0" w:color="auto"/>
            </w:tcBorders>
            <w:vAlign w:val="center"/>
            <w:hideMark/>
          </w:tcPr>
          <w:p w14:paraId="019334D0"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075DCE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34D933B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Environmental Protection and Regional Development</w:t>
            </w:r>
          </w:p>
        </w:tc>
        <w:tc>
          <w:tcPr>
            <w:tcW w:w="1127" w:type="dxa"/>
            <w:tcBorders>
              <w:top w:val="nil"/>
              <w:left w:val="nil"/>
              <w:bottom w:val="single" w:sz="4" w:space="0" w:color="auto"/>
              <w:right w:val="single" w:sz="4" w:space="0" w:color="auto"/>
            </w:tcBorders>
            <w:vAlign w:val="center"/>
            <w:hideMark/>
          </w:tcPr>
          <w:p w14:paraId="0BA2E1D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Latvia’s eight national communication and fifth biennial report</w:t>
            </w:r>
          </w:p>
        </w:tc>
        <w:tc>
          <w:tcPr>
            <w:tcW w:w="466" w:type="dxa"/>
            <w:tcBorders>
              <w:top w:val="nil"/>
              <w:left w:val="nil"/>
              <w:bottom w:val="single" w:sz="4" w:space="0" w:color="auto"/>
              <w:right w:val="single" w:sz="4" w:space="0" w:color="auto"/>
            </w:tcBorders>
            <w:vAlign w:val="center"/>
            <w:hideMark/>
          </w:tcPr>
          <w:p w14:paraId="02BEE73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70B7D1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6F682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4" w:space="0" w:color="auto"/>
            </w:tcBorders>
            <w:vAlign w:val="center"/>
            <w:hideMark/>
          </w:tcPr>
          <w:p w14:paraId="49F9C6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Environmental Protection and Regional Development1 Climate Change Department</w:t>
            </w:r>
          </w:p>
        </w:tc>
      </w:tr>
      <w:tr w:rsidR="00DC2C1E" w:rsidRPr="0002056A" w14:paraId="00883B2F" w14:textId="77777777" w:rsidTr="007B0C07">
        <w:trPr>
          <w:trHeight w:val="84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154500A9"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LIT</w:t>
            </w:r>
          </w:p>
        </w:tc>
        <w:tc>
          <w:tcPr>
            <w:tcW w:w="1526" w:type="dxa"/>
            <w:tcBorders>
              <w:top w:val="nil"/>
              <w:left w:val="nil"/>
              <w:bottom w:val="single" w:sz="4" w:space="0" w:color="auto"/>
              <w:right w:val="single" w:sz="4" w:space="0" w:color="auto"/>
            </w:tcBorders>
            <w:vAlign w:val="center"/>
            <w:hideMark/>
          </w:tcPr>
          <w:p w14:paraId="1337063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energy and climate action plan of the republic of lithuania for 2021-2030</w:t>
            </w:r>
          </w:p>
        </w:tc>
        <w:tc>
          <w:tcPr>
            <w:tcW w:w="489" w:type="dxa"/>
            <w:tcBorders>
              <w:top w:val="nil"/>
              <w:left w:val="nil"/>
              <w:bottom w:val="single" w:sz="4" w:space="0" w:color="auto"/>
              <w:right w:val="single" w:sz="4" w:space="0" w:color="auto"/>
            </w:tcBorders>
            <w:vAlign w:val="center"/>
            <w:hideMark/>
          </w:tcPr>
          <w:p w14:paraId="40F58BD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89" w:type="dxa"/>
            <w:tcBorders>
              <w:top w:val="nil"/>
              <w:left w:val="nil"/>
              <w:bottom w:val="single" w:sz="4" w:space="0" w:color="auto"/>
              <w:right w:val="single" w:sz="4" w:space="0" w:color="auto"/>
            </w:tcBorders>
            <w:vAlign w:val="center"/>
            <w:hideMark/>
          </w:tcPr>
          <w:p w14:paraId="2702DB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2021-2030</w:t>
            </w:r>
          </w:p>
        </w:tc>
        <w:tc>
          <w:tcPr>
            <w:tcW w:w="948" w:type="dxa"/>
            <w:tcBorders>
              <w:top w:val="nil"/>
              <w:left w:val="nil"/>
              <w:bottom w:val="single" w:sz="4" w:space="0" w:color="auto"/>
              <w:right w:val="single" w:sz="4" w:space="0" w:color="auto"/>
            </w:tcBorders>
            <w:vAlign w:val="center"/>
            <w:hideMark/>
          </w:tcPr>
          <w:p w14:paraId="33BCC4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Seimas of the Republic of Lithuania</w:t>
            </w:r>
          </w:p>
        </w:tc>
        <w:tc>
          <w:tcPr>
            <w:tcW w:w="1066" w:type="dxa"/>
            <w:tcBorders>
              <w:top w:val="nil"/>
              <w:left w:val="nil"/>
              <w:bottom w:val="single" w:sz="4" w:space="0" w:color="auto"/>
              <w:right w:val="single" w:sz="4" w:space="0" w:color="auto"/>
            </w:tcBorders>
            <w:vAlign w:val="center"/>
            <w:hideMark/>
          </w:tcPr>
          <w:p w14:paraId="6BBD116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w:t>
            </w:r>
          </w:p>
        </w:tc>
        <w:tc>
          <w:tcPr>
            <w:tcW w:w="1525" w:type="dxa"/>
            <w:tcBorders>
              <w:top w:val="nil"/>
              <w:left w:val="nil"/>
              <w:bottom w:val="single" w:sz="4" w:space="0" w:color="auto"/>
              <w:right w:val="single" w:sz="4" w:space="0" w:color="auto"/>
            </w:tcBorders>
            <w:shd w:val="clear" w:color="000000" w:fill="BFBFBF"/>
            <w:vAlign w:val="center"/>
            <w:hideMark/>
          </w:tcPr>
          <w:p w14:paraId="4F52BB4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33E822B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6B885A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8FB94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167837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CF85F7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Lithuania’s eighth national communication and fifth biennial report</w:t>
            </w:r>
          </w:p>
        </w:tc>
        <w:tc>
          <w:tcPr>
            <w:tcW w:w="466" w:type="dxa"/>
            <w:tcBorders>
              <w:top w:val="nil"/>
              <w:left w:val="nil"/>
              <w:bottom w:val="single" w:sz="4" w:space="0" w:color="auto"/>
              <w:right w:val="single" w:sz="4" w:space="0" w:color="auto"/>
            </w:tcBorders>
            <w:vAlign w:val="center"/>
            <w:hideMark/>
          </w:tcPr>
          <w:p w14:paraId="7F73FF8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201E8B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EDE57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42C451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of the Republic of Lithuania</w:t>
            </w:r>
          </w:p>
        </w:tc>
      </w:tr>
      <w:tr w:rsidR="00DC2C1E" w:rsidRPr="0002056A" w14:paraId="2E623979" w14:textId="77777777" w:rsidTr="007B0C07">
        <w:trPr>
          <w:trHeight w:val="560"/>
        </w:trPr>
        <w:tc>
          <w:tcPr>
            <w:tcW w:w="630" w:type="dxa"/>
            <w:vMerge/>
            <w:tcBorders>
              <w:top w:val="nil"/>
              <w:left w:val="single" w:sz="8" w:space="0" w:color="auto"/>
              <w:bottom w:val="single" w:sz="4" w:space="0" w:color="auto"/>
              <w:right w:val="single" w:sz="4" w:space="0" w:color="auto"/>
            </w:tcBorders>
            <w:vAlign w:val="center"/>
            <w:hideMark/>
          </w:tcPr>
          <w:p w14:paraId="0553292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vAlign w:val="center"/>
            <w:hideMark/>
          </w:tcPr>
          <w:p w14:paraId="625DB38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change management agenda</w:t>
            </w:r>
          </w:p>
        </w:tc>
        <w:tc>
          <w:tcPr>
            <w:tcW w:w="489" w:type="dxa"/>
            <w:tcBorders>
              <w:top w:val="nil"/>
              <w:left w:val="nil"/>
              <w:bottom w:val="single" w:sz="4" w:space="0" w:color="auto"/>
              <w:right w:val="single" w:sz="4" w:space="0" w:color="auto"/>
            </w:tcBorders>
            <w:vAlign w:val="center"/>
            <w:hideMark/>
          </w:tcPr>
          <w:p w14:paraId="3FBD0D8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89" w:type="dxa"/>
            <w:tcBorders>
              <w:top w:val="nil"/>
              <w:left w:val="nil"/>
              <w:bottom w:val="single" w:sz="4" w:space="0" w:color="auto"/>
              <w:right w:val="single" w:sz="4" w:space="0" w:color="auto"/>
            </w:tcBorders>
            <w:vAlign w:val="center"/>
            <w:hideMark/>
          </w:tcPr>
          <w:p w14:paraId="52BCD9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vAlign w:val="center"/>
            <w:hideMark/>
          </w:tcPr>
          <w:p w14:paraId="31F394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Seimas of the Republic of Lithuania</w:t>
            </w:r>
          </w:p>
        </w:tc>
        <w:tc>
          <w:tcPr>
            <w:tcW w:w="1066" w:type="dxa"/>
            <w:tcBorders>
              <w:top w:val="nil"/>
              <w:left w:val="nil"/>
              <w:bottom w:val="single" w:sz="4" w:space="0" w:color="auto"/>
              <w:right w:val="single" w:sz="4" w:space="0" w:color="auto"/>
            </w:tcBorders>
            <w:vAlign w:val="center"/>
            <w:hideMark/>
          </w:tcPr>
          <w:p w14:paraId="6898944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w:t>
            </w:r>
          </w:p>
        </w:tc>
        <w:tc>
          <w:tcPr>
            <w:tcW w:w="1525" w:type="dxa"/>
            <w:tcBorders>
              <w:top w:val="nil"/>
              <w:left w:val="nil"/>
              <w:bottom w:val="single" w:sz="4" w:space="0" w:color="auto"/>
              <w:right w:val="single" w:sz="4" w:space="0" w:color="auto"/>
            </w:tcBorders>
            <w:shd w:val="clear" w:color="000000" w:fill="BFBFBF"/>
            <w:vAlign w:val="center"/>
            <w:hideMark/>
          </w:tcPr>
          <w:p w14:paraId="407CB0A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A918FC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0D454C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699DB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7832E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0EACF80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1CB3A63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32FB7F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7556C88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1D5704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13EBE3F" w14:textId="77777777" w:rsidTr="007B0C07">
        <w:trPr>
          <w:trHeight w:val="210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0943B0BA"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LUX</w:t>
            </w:r>
          </w:p>
        </w:tc>
        <w:tc>
          <w:tcPr>
            <w:tcW w:w="1526" w:type="dxa"/>
            <w:tcBorders>
              <w:top w:val="nil"/>
              <w:left w:val="nil"/>
              <w:bottom w:val="single" w:sz="4" w:space="0" w:color="auto"/>
              <w:right w:val="single" w:sz="4" w:space="0" w:color="auto"/>
            </w:tcBorders>
            <w:vAlign w:val="center"/>
            <w:hideMark/>
          </w:tcPr>
          <w:p w14:paraId="04DF73E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Stratégie et plan d’action pour l’adaptation aux effets du changement climatique au luxembourg 2018-2023 (strategy and action plan for adapting to the effects of climate change in luxembourg 2018-2023)</w:t>
            </w:r>
          </w:p>
        </w:tc>
        <w:tc>
          <w:tcPr>
            <w:tcW w:w="489" w:type="dxa"/>
            <w:tcBorders>
              <w:top w:val="nil"/>
              <w:left w:val="nil"/>
              <w:bottom w:val="single" w:sz="4" w:space="0" w:color="auto"/>
              <w:right w:val="single" w:sz="4" w:space="0" w:color="auto"/>
            </w:tcBorders>
            <w:vAlign w:val="center"/>
            <w:hideMark/>
          </w:tcPr>
          <w:p w14:paraId="0B6E8F2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2B76BF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2018-2023</w:t>
            </w:r>
          </w:p>
        </w:tc>
        <w:tc>
          <w:tcPr>
            <w:tcW w:w="948" w:type="dxa"/>
            <w:tcBorders>
              <w:top w:val="nil"/>
              <w:left w:val="nil"/>
              <w:bottom w:val="single" w:sz="4" w:space="0" w:color="auto"/>
              <w:right w:val="single" w:sz="4" w:space="0" w:color="auto"/>
            </w:tcBorders>
            <w:vAlign w:val="center"/>
            <w:hideMark/>
          </w:tcPr>
          <w:p w14:paraId="0598E1E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The government of the Grand Duchy of Luxembourg</w:t>
            </w:r>
          </w:p>
        </w:tc>
        <w:tc>
          <w:tcPr>
            <w:tcW w:w="1066" w:type="dxa"/>
            <w:tcBorders>
              <w:top w:val="nil"/>
              <w:left w:val="nil"/>
              <w:bottom w:val="single" w:sz="4" w:space="0" w:color="auto"/>
              <w:right w:val="single" w:sz="4" w:space="0" w:color="auto"/>
            </w:tcBorders>
            <w:vAlign w:val="center"/>
            <w:hideMark/>
          </w:tcPr>
          <w:p w14:paraId="551E2E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Ministriy of Environment, Climate and Sustainable Development</w:t>
            </w:r>
          </w:p>
        </w:tc>
        <w:tc>
          <w:tcPr>
            <w:tcW w:w="1525" w:type="dxa"/>
            <w:tcBorders>
              <w:top w:val="nil"/>
              <w:left w:val="nil"/>
              <w:bottom w:val="single" w:sz="4" w:space="0" w:color="auto"/>
              <w:right w:val="single" w:sz="4" w:space="0" w:color="auto"/>
            </w:tcBorders>
            <w:vAlign w:val="center"/>
            <w:hideMark/>
          </w:tcPr>
          <w:p w14:paraId="01FC4C0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Stratégie et plan d’action pour l’adaptation aux effets du changement climatique au luxembourg 2018-2023 (strategy and action plan for adapting to the effects of climate change in luxembourg 2018-2023)</w:t>
            </w:r>
          </w:p>
        </w:tc>
        <w:tc>
          <w:tcPr>
            <w:tcW w:w="466" w:type="dxa"/>
            <w:tcBorders>
              <w:top w:val="nil"/>
              <w:left w:val="nil"/>
              <w:bottom w:val="single" w:sz="4" w:space="0" w:color="auto"/>
              <w:right w:val="single" w:sz="4" w:space="0" w:color="auto"/>
            </w:tcBorders>
            <w:vAlign w:val="center"/>
            <w:hideMark/>
          </w:tcPr>
          <w:p w14:paraId="46FCF53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98" w:type="dxa"/>
            <w:tcBorders>
              <w:top w:val="nil"/>
              <w:left w:val="nil"/>
              <w:bottom w:val="single" w:sz="4" w:space="0" w:color="auto"/>
              <w:right w:val="single" w:sz="4" w:space="0" w:color="auto"/>
            </w:tcBorders>
            <w:vAlign w:val="center"/>
            <w:hideMark/>
          </w:tcPr>
          <w:p w14:paraId="71582E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2018-2023</w:t>
            </w:r>
          </w:p>
        </w:tc>
        <w:tc>
          <w:tcPr>
            <w:tcW w:w="948" w:type="dxa"/>
            <w:tcBorders>
              <w:top w:val="nil"/>
              <w:left w:val="nil"/>
              <w:bottom w:val="single" w:sz="4" w:space="0" w:color="auto"/>
              <w:right w:val="single" w:sz="4" w:space="0" w:color="auto"/>
            </w:tcBorders>
            <w:vAlign w:val="center"/>
            <w:hideMark/>
          </w:tcPr>
          <w:p w14:paraId="5F0D12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The government of the Grand Duchy of Luxembourg</w:t>
            </w:r>
          </w:p>
        </w:tc>
        <w:tc>
          <w:tcPr>
            <w:tcW w:w="881" w:type="dxa"/>
            <w:tcBorders>
              <w:top w:val="nil"/>
              <w:left w:val="nil"/>
              <w:bottom w:val="single" w:sz="4" w:space="0" w:color="auto"/>
              <w:right w:val="single" w:sz="4" w:space="0" w:color="auto"/>
            </w:tcBorders>
            <w:vAlign w:val="center"/>
            <w:hideMark/>
          </w:tcPr>
          <w:p w14:paraId="139791C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Ministriy of Environment, Climate and Sustainable Development</w:t>
            </w:r>
          </w:p>
        </w:tc>
        <w:tc>
          <w:tcPr>
            <w:tcW w:w="1127" w:type="dxa"/>
            <w:tcBorders>
              <w:top w:val="nil"/>
              <w:left w:val="nil"/>
              <w:bottom w:val="single" w:sz="4" w:space="0" w:color="auto"/>
              <w:right w:val="single" w:sz="4" w:space="0" w:color="auto"/>
            </w:tcBorders>
            <w:shd w:val="clear" w:color="000000" w:fill="BFBFBF"/>
            <w:vAlign w:val="center"/>
            <w:hideMark/>
          </w:tcPr>
          <w:p w14:paraId="38C12FF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6596C3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0F9A87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363DBE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79C5B8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CA0F6D2" w14:textId="77777777" w:rsidTr="007B0C07">
        <w:trPr>
          <w:trHeight w:val="819"/>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4F155778"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MAL</w:t>
            </w:r>
          </w:p>
        </w:tc>
        <w:tc>
          <w:tcPr>
            <w:tcW w:w="1526" w:type="dxa"/>
            <w:tcBorders>
              <w:top w:val="nil"/>
              <w:left w:val="nil"/>
              <w:bottom w:val="single" w:sz="4" w:space="0" w:color="auto"/>
              <w:right w:val="single" w:sz="4" w:space="0" w:color="auto"/>
            </w:tcBorders>
            <w:vAlign w:val="center"/>
            <w:hideMark/>
          </w:tcPr>
          <w:p w14:paraId="00C9759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Change Adaptation Strategy</w:t>
            </w:r>
          </w:p>
        </w:tc>
        <w:tc>
          <w:tcPr>
            <w:tcW w:w="489" w:type="dxa"/>
            <w:tcBorders>
              <w:top w:val="nil"/>
              <w:left w:val="nil"/>
              <w:bottom w:val="single" w:sz="4" w:space="0" w:color="auto"/>
              <w:right w:val="single" w:sz="4" w:space="0" w:color="auto"/>
            </w:tcBorders>
            <w:vAlign w:val="center"/>
            <w:hideMark/>
          </w:tcPr>
          <w:p w14:paraId="4BB17B1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w:t>
            </w:r>
          </w:p>
        </w:tc>
        <w:tc>
          <w:tcPr>
            <w:tcW w:w="689" w:type="dxa"/>
            <w:tcBorders>
              <w:top w:val="nil"/>
              <w:left w:val="nil"/>
              <w:bottom w:val="single" w:sz="4" w:space="0" w:color="auto"/>
              <w:right w:val="single" w:sz="4" w:space="0" w:color="auto"/>
            </w:tcBorders>
            <w:vAlign w:val="center"/>
            <w:hideMark/>
          </w:tcPr>
          <w:p w14:paraId="72CB517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7D01CF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Malta</w:t>
            </w:r>
          </w:p>
        </w:tc>
        <w:tc>
          <w:tcPr>
            <w:tcW w:w="1066" w:type="dxa"/>
            <w:tcBorders>
              <w:top w:val="nil"/>
              <w:left w:val="nil"/>
              <w:bottom w:val="single" w:sz="4" w:space="0" w:color="auto"/>
              <w:right w:val="single" w:sz="4" w:space="0" w:color="auto"/>
            </w:tcBorders>
            <w:vAlign w:val="center"/>
            <w:hideMark/>
          </w:tcPr>
          <w:p w14:paraId="49779B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for Resources and Rural Affairs </w:t>
            </w:r>
          </w:p>
        </w:tc>
        <w:tc>
          <w:tcPr>
            <w:tcW w:w="1525" w:type="dxa"/>
            <w:tcBorders>
              <w:top w:val="nil"/>
              <w:left w:val="nil"/>
              <w:bottom w:val="single" w:sz="4" w:space="0" w:color="auto"/>
              <w:right w:val="single" w:sz="4" w:space="0" w:color="auto"/>
            </w:tcBorders>
            <w:shd w:val="clear" w:color="000000" w:fill="BFBFBF"/>
            <w:vAlign w:val="center"/>
            <w:hideMark/>
          </w:tcPr>
          <w:p w14:paraId="0C87A16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4A47A06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38E204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51E50DE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5B5374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2BA8DF3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Seventh National Communication of Malta</w:t>
            </w:r>
          </w:p>
        </w:tc>
        <w:tc>
          <w:tcPr>
            <w:tcW w:w="466" w:type="dxa"/>
            <w:tcBorders>
              <w:top w:val="nil"/>
              <w:left w:val="nil"/>
              <w:bottom w:val="single" w:sz="4" w:space="0" w:color="auto"/>
              <w:right w:val="single" w:sz="4" w:space="0" w:color="auto"/>
            </w:tcBorders>
            <w:vAlign w:val="center"/>
            <w:hideMark/>
          </w:tcPr>
          <w:p w14:paraId="0888FC5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0A45F6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3915B0A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026D40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Malta Resources Authority on behalf of the Ministry for the Environment, Sustainable Development and Climate Change</w:t>
            </w:r>
          </w:p>
        </w:tc>
      </w:tr>
      <w:tr w:rsidR="00DC2C1E" w:rsidRPr="0002056A" w14:paraId="4CFA2F43" w14:textId="77777777" w:rsidTr="007B0C07">
        <w:trPr>
          <w:trHeight w:val="831"/>
        </w:trPr>
        <w:tc>
          <w:tcPr>
            <w:tcW w:w="630" w:type="dxa"/>
            <w:vMerge/>
            <w:tcBorders>
              <w:top w:val="nil"/>
              <w:left w:val="single" w:sz="8" w:space="0" w:color="auto"/>
              <w:bottom w:val="single" w:sz="4" w:space="0" w:color="auto"/>
              <w:right w:val="single" w:sz="4" w:space="0" w:color="auto"/>
            </w:tcBorders>
            <w:vAlign w:val="center"/>
            <w:hideMark/>
          </w:tcPr>
          <w:p w14:paraId="0629ADC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07FD97A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26B0612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578CBD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4D604C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025825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AA1C6A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B4FDE7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4217A4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00C466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11F60F4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27B5B8B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Malta’s fifth biennial report</w:t>
            </w:r>
          </w:p>
        </w:tc>
        <w:tc>
          <w:tcPr>
            <w:tcW w:w="466" w:type="dxa"/>
            <w:tcBorders>
              <w:top w:val="nil"/>
              <w:left w:val="nil"/>
              <w:bottom w:val="single" w:sz="4" w:space="0" w:color="auto"/>
              <w:right w:val="single" w:sz="4" w:space="0" w:color="auto"/>
            </w:tcBorders>
            <w:vAlign w:val="center"/>
            <w:hideMark/>
          </w:tcPr>
          <w:p w14:paraId="017B2F3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6DCF7E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C26FC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0EA437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Malta Resources Authority on behalf of the Ministry for the Environment, Sustainable Development and Climate Change</w:t>
            </w:r>
          </w:p>
        </w:tc>
      </w:tr>
      <w:tr w:rsidR="00DC2C1E" w:rsidRPr="0002056A" w14:paraId="6F233023" w14:textId="77777777" w:rsidTr="007B0C07">
        <w:trPr>
          <w:trHeight w:val="843"/>
        </w:trPr>
        <w:tc>
          <w:tcPr>
            <w:tcW w:w="630" w:type="dxa"/>
            <w:vMerge/>
            <w:tcBorders>
              <w:top w:val="nil"/>
              <w:left w:val="single" w:sz="8" w:space="0" w:color="auto"/>
              <w:bottom w:val="single" w:sz="4" w:space="0" w:color="auto"/>
              <w:right w:val="single" w:sz="4" w:space="0" w:color="auto"/>
            </w:tcBorders>
            <w:vAlign w:val="center"/>
            <w:hideMark/>
          </w:tcPr>
          <w:p w14:paraId="34F3F7A1"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0E6FB09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6DD7115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6EC0E0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7879A99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6E6CE3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626DC06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77A9DF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60AB3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03A238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015557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420BB32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8th National Communication of Malta</w:t>
            </w:r>
          </w:p>
        </w:tc>
        <w:tc>
          <w:tcPr>
            <w:tcW w:w="466" w:type="dxa"/>
            <w:tcBorders>
              <w:top w:val="nil"/>
              <w:left w:val="nil"/>
              <w:bottom w:val="single" w:sz="4" w:space="0" w:color="auto"/>
              <w:right w:val="single" w:sz="4" w:space="0" w:color="auto"/>
            </w:tcBorders>
            <w:vAlign w:val="center"/>
            <w:hideMark/>
          </w:tcPr>
          <w:p w14:paraId="55E5BD1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6993BD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63EBD02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689D21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Malta Resources Authority on behalf of the Ministry for the Environment, Sustainable Development and Climate Change</w:t>
            </w:r>
          </w:p>
        </w:tc>
      </w:tr>
      <w:tr w:rsidR="00DC2C1E" w:rsidRPr="0002056A" w14:paraId="086150EB" w14:textId="77777777" w:rsidTr="007B0C07">
        <w:trPr>
          <w:trHeight w:val="128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33FA939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MON</w:t>
            </w:r>
          </w:p>
        </w:tc>
        <w:tc>
          <w:tcPr>
            <w:tcW w:w="1526" w:type="dxa"/>
            <w:tcBorders>
              <w:top w:val="nil"/>
              <w:left w:val="nil"/>
              <w:bottom w:val="single" w:sz="4" w:space="0" w:color="auto"/>
              <w:right w:val="single" w:sz="4" w:space="0" w:color="auto"/>
            </w:tcBorders>
            <w:vAlign w:val="center"/>
            <w:hideMark/>
          </w:tcPr>
          <w:p w14:paraId="2EFC0E6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Enhancing Montenegro’s capacity to integrate climate change risks into planning: Annotated Project Document template for NAP/Readiness projects</w:t>
            </w:r>
            <w:r w:rsidRPr="0002056A">
              <w:rPr>
                <w:rFonts w:ascii="Georgia" w:eastAsia="Times New Roman" w:hAnsi="Georgia" w:cs="Calibri"/>
                <w:b/>
                <w:bCs/>
                <w:color w:val="000000"/>
                <w:sz w:val="10"/>
                <w:szCs w:val="10"/>
                <w:lang w:val="en-GB" w:eastAsia="hu-HU"/>
              </w:rPr>
              <w:br/>
              <w:t>financed by the Green Climate Fund</w:t>
            </w:r>
          </w:p>
        </w:tc>
        <w:tc>
          <w:tcPr>
            <w:tcW w:w="489" w:type="dxa"/>
            <w:tcBorders>
              <w:top w:val="nil"/>
              <w:left w:val="nil"/>
              <w:bottom w:val="single" w:sz="4" w:space="0" w:color="auto"/>
              <w:right w:val="single" w:sz="4" w:space="0" w:color="auto"/>
            </w:tcBorders>
            <w:vAlign w:val="center"/>
            <w:hideMark/>
          </w:tcPr>
          <w:p w14:paraId="16C1280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89" w:type="dxa"/>
            <w:tcBorders>
              <w:top w:val="nil"/>
              <w:left w:val="nil"/>
              <w:bottom w:val="single" w:sz="4" w:space="0" w:color="auto"/>
              <w:right w:val="single" w:sz="4" w:space="0" w:color="auto"/>
            </w:tcBorders>
            <w:vAlign w:val="center"/>
            <w:hideMark/>
          </w:tcPr>
          <w:p w14:paraId="0B29B7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references to 2030</w:t>
            </w:r>
          </w:p>
        </w:tc>
        <w:tc>
          <w:tcPr>
            <w:tcW w:w="948" w:type="dxa"/>
            <w:tcBorders>
              <w:top w:val="nil"/>
              <w:left w:val="nil"/>
              <w:bottom w:val="single" w:sz="4" w:space="0" w:color="auto"/>
              <w:right w:val="single" w:sz="4" w:space="0" w:color="auto"/>
            </w:tcBorders>
            <w:vAlign w:val="center"/>
            <w:hideMark/>
          </w:tcPr>
          <w:p w14:paraId="5A8338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7712C27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UNDP</w:t>
            </w:r>
          </w:p>
        </w:tc>
        <w:tc>
          <w:tcPr>
            <w:tcW w:w="1525" w:type="dxa"/>
            <w:tcBorders>
              <w:top w:val="nil"/>
              <w:left w:val="nil"/>
              <w:bottom w:val="single" w:sz="4" w:space="0" w:color="auto"/>
              <w:right w:val="single" w:sz="4" w:space="0" w:color="auto"/>
            </w:tcBorders>
            <w:vAlign w:val="center"/>
            <w:hideMark/>
          </w:tcPr>
          <w:p w14:paraId="25BA9AA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programme of priority activities in the field of climate change mitigation and adaptation to the framework of cooperation with the green climate fund 2021–2023</w:t>
            </w:r>
          </w:p>
        </w:tc>
        <w:tc>
          <w:tcPr>
            <w:tcW w:w="466" w:type="dxa"/>
            <w:tcBorders>
              <w:top w:val="nil"/>
              <w:left w:val="nil"/>
              <w:bottom w:val="single" w:sz="4" w:space="0" w:color="auto"/>
              <w:right w:val="single" w:sz="4" w:space="0" w:color="auto"/>
            </w:tcBorders>
            <w:vAlign w:val="center"/>
            <w:hideMark/>
          </w:tcPr>
          <w:p w14:paraId="02CAFF3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40AD83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2021-2023</w:t>
            </w:r>
          </w:p>
        </w:tc>
        <w:tc>
          <w:tcPr>
            <w:tcW w:w="948" w:type="dxa"/>
            <w:tcBorders>
              <w:top w:val="nil"/>
              <w:left w:val="nil"/>
              <w:bottom w:val="single" w:sz="4" w:space="0" w:color="auto"/>
              <w:right w:val="single" w:sz="4" w:space="0" w:color="auto"/>
            </w:tcBorders>
            <w:vAlign w:val="center"/>
            <w:hideMark/>
          </w:tcPr>
          <w:p w14:paraId="5B9E5B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6520835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Sustainable Development and Tourism</w:t>
            </w:r>
          </w:p>
        </w:tc>
        <w:tc>
          <w:tcPr>
            <w:tcW w:w="1127" w:type="dxa"/>
            <w:tcBorders>
              <w:top w:val="nil"/>
              <w:left w:val="nil"/>
              <w:bottom w:val="single" w:sz="4" w:space="0" w:color="auto"/>
              <w:right w:val="single" w:sz="4" w:space="0" w:color="auto"/>
            </w:tcBorders>
            <w:vAlign w:val="center"/>
            <w:hideMark/>
          </w:tcPr>
          <w:p w14:paraId="2B5B8490" w14:textId="42A6D7A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Third biennial update report of </w:t>
            </w:r>
            <w:r w:rsidR="00962E9B" w:rsidRPr="0002056A">
              <w:rPr>
                <w:rFonts w:ascii="Georgia" w:eastAsia="Times New Roman" w:hAnsi="Georgia" w:cs="Calibri"/>
                <w:b/>
                <w:bCs/>
                <w:color w:val="000000"/>
                <w:sz w:val="10"/>
                <w:szCs w:val="10"/>
                <w:lang w:val="en-GB" w:eastAsia="hu-HU"/>
              </w:rPr>
              <w:t>Montenegro</w:t>
            </w:r>
            <w:r w:rsidRPr="0002056A">
              <w:rPr>
                <w:rFonts w:ascii="Georgia" w:eastAsia="Times New Roman" w:hAnsi="Georgia" w:cs="Calibri"/>
                <w:b/>
                <w:bCs/>
                <w:color w:val="000000"/>
                <w:sz w:val="10"/>
                <w:szCs w:val="10"/>
                <w:lang w:val="en-GB" w:eastAsia="hu-HU"/>
              </w:rPr>
              <w:t xml:space="preserve"> to the </w:t>
            </w:r>
            <w:r w:rsidR="00066AA8" w:rsidRPr="0002056A">
              <w:rPr>
                <w:rFonts w:ascii="Georgia" w:eastAsia="Times New Roman" w:hAnsi="Georgia" w:cs="Calibri"/>
                <w:b/>
                <w:bCs/>
                <w:color w:val="000000"/>
                <w:sz w:val="10"/>
                <w:szCs w:val="10"/>
                <w:lang w:val="en-GB" w:eastAsia="hu-HU"/>
              </w:rPr>
              <w:t>United Nations</w:t>
            </w:r>
            <w:r w:rsidRPr="0002056A">
              <w:rPr>
                <w:rFonts w:ascii="Georgia" w:eastAsia="Times New Roman" w:hAnsi="Georgia" w:cs="Calibri"/>
                <w:b/>
                <w:bCs/>
                <w:color w:val="000000"/>
                <w:sz w:val="10"/>
                <w:szCs w:val="10"/>
                <w:lang w:val="en-GB" w:eastAsia="hu-HU"/>
              </w:rPr>
              <w:t xml:space="preserve"> framework convention on climate change</w:t>
            </w:r>
          </w:p>
        </w:tc>
        <w:tc>
          <w:tcPr>
            <w:tcW w:w="466" w:type="dxa"/>
            <w:tcBorders>
              <w:top w:val="nil"/>
              <w:left w:val="nil"/>
              <w:bottom w:val="single" w:sz="4" w:space="0" w:color="auto"/>
              <w:right w:val="single" w:sz="4" w:space="0" w:color="auto"/>
            </w:tcBorders>
            <w:vAlign w:val="center"/>
            <w:hideMark/>
          </w:tcPr>
          <w:p w14:paraId="70F947A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30" w:type="dxa"/>
            <w:tcBorders>
              <w:top w:val="nil"/>
              <w:left w:val="nil"/>
              <w:bottom w:val="single" w:sz="4" w:space="0" w:color="auto"/>
              <w:right w:val="single" w:sz="4" w:space="0" w:color="auto"/>
            </w:tcBorders>
            <w:vAlign w:val="center"/>
            <w:hideMark/>
          </w:tcPr>
          <w:p w14:paraId="263DB1A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27D3FB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0A58B69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Montenegro</w:t>
            </w:r>
          </w:p>
        </w:tc>
      </w:tr>
      <w:tr w:rsidR="00DC2C1E" w:rsidRPr="0002056A" w14:paraId="72F42EA8" w14:textId="77777777" w:rsidTr="007B0C07">
        <w:trPr>
          <w:trHeight w:val="1400"/>
        </w:trPr>
        <w:tc>
          <w:tcPr>
            <w:tcW w:w="630" w:type="dxa"/>
            <w:vMerge/>
            <w:tcBorders>
              <w:top w:val="nil"/>
              <w:left w:val="single" w:sz="8" w:space="0" w:color="auto"/>
              <w:bottom w:val="single" w:sz="4" w:space="0" w:color="auto"/>
              <w:right w:val="single" w:sz="4" w:space="0" w:color="auto"/>
            </w:tcBorders>
            <w:vAlign w:val="center"/>
            <w:hideMark/>
          </w:tcPr>
          <w:p w14:paraId="1869F23C"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337E976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1A8224D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0DCBA2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5826A9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5E3E7D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1E6785A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04800A0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3F0E642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624CD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6CFE2D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6E16583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Montenegro third national communication on climate change</w:t>
            </w:r>
          </w:p>
        </w:tc>
        <w:tc>
          <w:tcPr>
            <w:tcW w:w="466" w:type="dxa"/>
            <w:tcBorders>
              <w:top w:val="nil"/>
              <w:left w:val="nil"/>
              <w:bottom w:val="single" w:sz="4" w:space="0" w:color="auto"/>
              <w:right w:val="single" w:sz="4" w:space="0" w:color="auto"/>
            </w:tcBorders>
            <w:vAlign w:val="center"/>
            <w:hideMark/>
          </w:tcPr>
          <w:p w14:paraId="6A43920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30" w:type="dxa"/>
            <w:tcBorders>
              <w:top w:val="nil"/>
              <w:left w:val="nil"/>
              <w:bottom w:val="single" w:sz="4" w:space="0" w:color="auto"/>
              <w:right w:val="single" w:sz="4" w:space="0" w:color="auto"/>
            </w:tcBorders>
            <w:vAlign w:val="center"/>
            <w:hideMark/>
          </w:tcPr>
          <w:p w14:paraId="3D469C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8E5C8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024D85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Sustainable Development and Tourism (MSDT) United Nations Development Programme (UNDP) in Montenegro</w:t>
            </w:r>
          </w:p>
        </w:tc>
      </w:tr>
      <w:tr w:rsidR="00DC2C1E" w:rsidRPr="0002056A" w14:paraId="7142197D" w14:textId="77777777" w:rsidTr="007B0C07">
        <w:trPr>
          <w:trHeight w:val="700"/>
        </w:trPr>
        <w:tc>
          <w:tcPr>
            <w:tcW w:w="630" w:type="dxa"/>
            <w:vMerge/>
            <w:tcBorders>
              <w:top w:val="nil"/>
              <w:left w:val="single" w:sz="8" w:space="0" w:color="auto"/>
              <w:bottom w:val="single" w:sz="4" w:space="0" w:color="auto"/>
              <w:right w:val="single" w:sz="4" w:space="0" w:color="auto"/>
            </w:tcBorders>
            <w:vAlign w:val="center"/>
            <w:hideMark/>
          </w:tcPr>
          <w:p w14:paraId="1CAEE530"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7C9B1A1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65457C6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35C3ADA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EE8C4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32BE492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490A59C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D24037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59A689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4E6C19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039D0C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05A6497C" w14:textId="77777777" w:rsidR="004925DA" w:rsidRDefault="004925DA" w:rsidP="007B0C07">
            <w:pPr>
              <w:spacing w:after="0" w:line="240" w:lineRule="auto"/>
              <w:rPr>
                <w:rFonts w:ascii="Georgia" w:eastAsia="Times New Roman" w:hAnsi="Georgia" w:cs="Calibri"/>
                <w:b/>
                <w:bCs/>
                <w:color w:val="000000"/>
                <w:sz w:val="10"/>
                <w:szCs w:val="10"/>
                <w:lang w:val="en-GB" w:eastAsia="hu-HU"/>
              </w:rPr>
            </w:pPr>
          </w:p>
          <w:p w14:paraId="44324465" w14:textId="77777777" w:rsidR="004925DA" w:rsidRDefault="004925DA" w:rsidP="007B0C07">
            <w:pPr>
              <w:spacing w:after="0" w:line="240" w:lineRule="auto"/>
              <w:rPr>
                <w:rFonts w:ascii="Georgia" w:eastAsia="Times New Roman" w:hAnsi="Georgia" w:cs="Calibri"/>
                <w:b/>
                <w:bCs/>
                <w:color w:val="000000"/>
                <w:sz w:val="10"/>
                <w:szCs w:val="10"/>
                <w:lang w:val="en-GB" w:eastAsia="hu-HU"/>
              </w:rPr>
            </w:pPr>
          </w:p>
          <w:p w14:paraId="0064B750" w14:textId="51A170B5" w:rsidR="00DC2C1E"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Adaptation</w:t>
            </w:r>
            <w:r w:rsidRPr="0002056A">
              <w:rPr>
                <w:rFonts w:ascii="Georgia" w:eastAsia="Times New Roman" w:hAnsi="Georgia" w:cs="Calibri"/>
                <w:b/>
                <w:bCs/>
                <w:color w:val="000000"/>
                <w:sz w:val="10"/>
                <w:szCs w:val="10"/>
                <w:lang w:val="en-GB" w:eastAsia="hu-HU"/>
              </w:rPr>
              <w:br/>
              <w:t>to climate change:</w:t>
            </w:r>
            <w:r w:rsidRPr="0002056A">
              <w:rPr>
                <w:rFonts w:ascii="Georgia" w:eastAsia="Times New Roman" w:hAnsi="Georgia" w:cs="Calibri"/>
                <w:b/>
                <w:bCs/>
                <w:color w:val="000000"/>
                <w:sz w:val="10"/>
                <w:szCs w:val="10"/>
                <w:lang w:val="en-GB" w:eastAsia="hu-HU"/>
              </w:rPr>
              <w:br/>
            </w:r>
            <w:r w:rsidR="004925DA">
              <w:rPr>
                <w:rFonts w:ascii="Georgia" w:eastAsia="Times New Roman" w:hAnsi="Georgia" w:cs="Calibri"/>
                <w:b/>
                <w:bCs/>
                <w:color w:val="000000"/>
                <w:sz w:val="10"/>
                <w:szCs w:val="10"/>
                <w:lang w:val="en-GB" w:eastAsia="hu-HU"/>
              </w:rPr>
              <w:t>Montenegro</w:t>
            </w:r>
          </w:p>
          <w:p w14:paraId="42D2F291" w14:textId="77777777" w:rsidR="004925DA" w:rsidRDefault="004925DA" w:rsidP="007B0C07">
            <w:pPr>
              <w:spacing w:after="0" w:line="240" w:lineRule="auto"/>
              <w:rPr>
                <w:rFonts w:ascii="Georgia" w:eastAsia="Times New Roman" w:hAnsi="Georgia" w:cs="Calibri"/>
                <w:b/>
                <w:bCs/>
                <w:color w:val="000000"/>
                <w:sz w:val="10"/>
                <w:szCs w:val="10"/>
                <w:lang w:val="en-GB" w:eastAsia="hu-HU"/>
              </w:rPr>
            </w:pPr>
          </w:p>
          <w:p w14:paraId="3AF1A9C1" w14:textId="575DCA99" w:rsidR="004925DA" w:rsidRPr="0002056A" w:rsidRDefault="004925DA" w:rsidP="007B0C07">
            <w:pPr>
              <w:spacing w:after="0" w:line="240" w:lineRule="auto"/>
              <w:rPr>
                <w:rFonts w:ascii="Georgia" w:eastAsia="Times New Roman" w:hAnsi="Georgia" w:cs="Calibri"/>
                <w:b/>
                <w:bCs/>
                <w:color w:val="000000"/>
                <w:sz w:val="10"/>
                <w:szCs w:val="10"/>
                <w:lang w:val="en-GB" w:eastAsia="hu-HU"/>
              </w:rPr>
            </w:pPr>
          </w:p>
        </w:tc>
        <w:tc>
          <w:tcPr>
            <w:tcW w:w="466" w:type="dxa"/>
            <w:tcBorders>
              <w:top w:val="nil"/>
              <w:left w:val="nil"/>
              <w:bottom w:val="single" w:sz="4" w:space="0" w:color="auto"/>
              <w:right w:val="single" w:sz="4" w:space="0" w:color="auto"/>
            </w:tcBorders>
            <w:vAlign w:val="center"/>
            <w:hideMark/>
          </w:tcPr>
          <w:p w14:paraId="640A1EE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30" w:type="dxa"/>
            <w:tcBorders>
              <w:top w:val="nil"/>
              <w:left w:val="nil"/>
              <w:bottom w:val="single" w:sz="4" w:space="0" w:color="auto"/>
              <w:right w:val="single" w:sz="4" w:space="0" w:color="auto"/>
            </w:tcBorders>
            <w:vAlign w:val="center"/>
            <w:hideMark/>
          </w:tcPr>
          <w:p w14:paraId="734FD9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949D20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147" w:type="dxa"/>
            <w:tcBorders>
              <w:top w:val="nil"/>
              <w:left w:val="nil"/>
              <w:bottom w:val="single" w:sz="4" w:space="0" w:color="auto"/>
              <w:right w:val="single" w:sz="8" w:space="0" w:color="auto"/>
            </w:tcBorders>
            <w:vAlign w:val="center"/>
            <w:hideMark/>
          </w:tcPr>
          <w:p w14:paraId="000C41B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Adaptify</w:t>
            </w:r>
          </w:p>
        </w:tc>
      </w:tr>
      <w:tr w:rsidR="00DC2C1E" w:rsidRPr="0002056A" w14:paraId="3433873D" w14:textId="77777777" w:rsidTr="007B0C07">
        <w:trPr>
          <w:trHeight w:val="59"/>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0FD8D4F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NIR</w:t>
            </w:r>
          </w:p>
        </w:tc>
        <w:tc>
          <w:tcPr>
            <w:tcW w:w="1526" w:type="dxa"/>
            <w:tcBorders>
              <w:top w:val="nil"/>
              <w:left w:val="nil"/>
              <w:bottom w:val="single" w:sz="4" w:space="0" w:color="auto"/>
              <w:right w:val="single" w:sz="4" w:space="0" w:color="auto"/>
            </w:tcBorders>
            <w:vAlign w:val="center"/>
            <w:hideMark/>
          </w:tcPr>
          <w:p w14:paraId="0C6EAEE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Northern Ireland Climate Change Adaptation Programme</w:t>
            </w:r>
          </w:p>
        </w:tc>
        <w:tc>
          <w:tcPr>
            <w:tcW w:w="489" w:type="dxa"/>
            <w:tcBorders>
              <w:top w:val="nil"/>
              <w:left w:val="nil"/>
              <w:bottom w:val="single" w:sz="4" w:space="0" w:color="auto"/>
              <w:right w:val="single" w:sz="4" w:space="0" w:color="auto"/>
            </w:tcBorders>
            <w:vAlign w:val="center"/>
            <w:hideMark/>
          </w:tcPr>
          <w:p w14:paraId="0D39472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89" w:type="dxa"/>
            <w:tcBorders>
              <w:top w:val="nil"/>
              <w:left w:val="nil"/>
              <w:bottom w:val="single" w:sz="4" w:space="0" w:color="auto"/>
              <w:right w:val="single" w:sz="4" w:space="0" w:color="auto"/>
            </w:tcBorders>
            <w:vAlign w:val="center"/>
            <w:hideMark/>
          </w:tcPr>
          <w:p w14:paraId="696AD4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2019-2024</w:t>
            </w:r>
          </w:p>
        </w:tc>
        <w:tc>
          <w:tcPr>
            <w:tcW w:w="948" w:type="dxa"/>
            <w:tcBorders>
              <w:top w:val="nil"/>
              <w:left w:val="nil"/>
              <w:bottom w:val="single" w:sz="4" w:space="0" w:color="auto"/>
              <w:right w:val="single" w:sz="4" w:space="0" w:color="auto"/>
            </w:tcBorders>
            <w:vAlign w:val="center"/>
            <w:hideMark/>
          </w:tcPr>
          <w:p w14:paraId="4263EA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DAERA</w:t>
            </w:r>
          </w:p>
        </w:tc>
        <w:tc>
          <w:tcPr>
            <w:tcW w:w="1066" w:type="dxa"/>
            <w:tcBorders>
              <w:top w:val="nil"/>
              <w:left w:val="nil"/>
              <w:bottom w:val="single" w:sz="4" w:space="0" w:color="auto"/>
              <w:right w:val="single" w:sz="4" w:space="0" w:color="auto"/>
            </w:tcBorders>
            <w:vAlign w:val="center"/>
            <w:hideMark/>
          </w:tcPr>
          <w:p w14:paraId="0E237F75"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 xml:space="preserve">Climate Change Unit, Environmental Policy Division, Environment, Marine and Fisheries </w:t>
            </w:r>
            <w:r w:rsidRPr="0002056A">
              <w:rPr>
                <w:rFonts w:ascii="Georgia" w:eastAsia="Times New Roman" w:hAnsi="Georgia" w:cs="Calibri"/>
                <w:color w:val="000000"/>
                <w:sz w:val="8"/>
                <w:szCs w:val="8"/>
                <w:lang w:val="en-GB" w:eastAsia="hu-HU"/>
              </w:rPr>
              <w:lastRenderedPageBreak/>
              <w:t>Group, Department of Agriculture, Environment and Rural Affairs (DAERA)</w:t>
            </w:r>
          </w:p>
        </w:tc>
        <w:tc>
          <w:tcPr>
            <w:tcW w:w="1525" w:type="dxa"/>
            <w:tcBorders>
              <w:top w:val="nil"/>
              <w:left w:val="nil"/>
              <w:bottom w:val="single" w:sz="4" w:space="0" w:color="auto"/>
              <w:right w:val="single" w:sz="4" w:space="0" w:color="auto"/>
            </w:tcBorders>
            <w:vAlign w:val="center"/>
            <w:hideMark/>
          </w:tcPr>
          <w:p w14:paraId="02DD546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lastRenderedPageBreak/>
              <w:t>Northern Ireland Climate Change Adaptation Programme</w:t>
            </w:r>
          </w:p>
        </w:tc>
        <w:tc>
          <w:tcPr>
            <w:tcW w:w="466" w:type="dxa"/>
            <w:tcBorders>
              <w:top w:val="nil"/>
              <w:left w:val="nil"/>
              <w:bottom w:val="single" w:sz="4" w:space="0" w:color="auto"/>
              <w:right w:val="single" w:sz="4" w:space="0" w:color="auto"/>
            </w:tcBorders>
            <w:vAlign w:val="center"/>
            <w:hideMark/>
          </w:tcPr>
          <w:p w14:paraId="7FFC471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98" w:type="dxa"/>
            <w:tcBorders>
              <w:top w:val="nil"/>
              <w:left w:val="nil"/>
              <w:bottom w:val="single" w:sz="4" w:space="0" w:color="auto"/>
              <w:right w:val="single" w:sz="4" w:space="0" w:color="auto"/>
            </w:tcBorders>
            <w:vAlign w:val="center"/>
            <w:hideMark/>
          </w:tcPr>
          <w:p w14:paraId="0C401C5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2019-2024</w:t>
            </w:r>
          </w:p>
        </w:tc>
        <w:tc>
          <w:tcPr>
            <w:tcW w:w="948" w:type="dxa"/>
            <w:tcBorders>
              <w:top w:val="nil"/>
              <w:left w:val="nil"/>
              <w:bottom w:val="single" w:sz="4" w:space="0" w:color="auto"/>
              <w:right w:val="single" w:sz="4" w:space="0" w:color="auto"/>
            </w:tcBorders>
            <w:vAlign w:val="center"/>
            <w:hideMark/>
          </w:tcPr>
          <w:p w14:paraId="128D18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DAERA</w:t>
            </w:r>
          </w:p>
        </w:tc>
        <w:tc>
          <w:tcPr>
            <w:tcW w:w="881" w:type="dxa"/>
            <w:tcBorders>
              <w:top w:val="nil"/>
              <w:left w:val="nil"/>
              <w:bottom w:val="single" w:sz="4" w:space="0" w:color="auto"/>
              <w:right w:val="single" w:sz="4" w:space="0" w:color="auto"/>
            </w:tcBorders>
            <w:vAlign w:val="center"/>
            <w:hideMark/>
          </w:tcPr>
          <w:p w14:paraId="4A048FC1"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 xml:space="preserve">Climate Change Unit, Environmental Policy Division, Environment, </w:t>
            </w:r>
            <w:r w:rsidRPr="0002056A">
              <w:rPr>
                <w:rFonts w:ascii="Georgia" w:eastAsia="Times New Roman" w:hAnsi="Georgia" w:cs="Calibri"/>
                <w:color w:val="000000"/>
                <w:sz w:val="8"/>
                <w:szCs w:val="8"/>
                <w:lang w:val="en-GB" w:eastAsia="hu-HU"/>
              </w:rPr>
              <w:lastRenderedPageBreak/>
              <w:t>Marine and Fisheries Group, Department of Agriculture, Environment and Rural Affairs (DAERA)</w:t>
            </w:r>
          </w:p>
        </w:tc>
        <w:tc>
          <w:tcPr>
            <w:tcW w:w="1127" w:type="dxa"/>
            <w:tcBorders>
              <w:top w:val="nil"/>
              <w:left w:val="nil"/>
              <w:bottom w:val="single" w:sz="4" w:space="0" w:color="auto"/>
              <w:right w:val="single" w:sz="4" w:space="0" w:color="auto"/>
            </w:tcBorders>
            <w:shd w:val="clear" w:color="000000" w:fill="BFBFBF"/>
            <w:vAlign w:val="center"/>
            <w:hideMark/>
          </w:tcPr>
          <w:p w14:paraId="2C0BC3E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lastRenderedPageBreak/>
              <w:t> </w:t>
            </w:r>
          </w:p>
        </w:tc>
        <w:tc>
          <w:tcPr>
            <w:tcW w:w="466" w:type="dxa"/>
            <w:tcBorders>
              <w:top w:val="nil"/>
              <w:left w:val="nil"/>
              <w:bottom w:val="single" w:sz="4" w:space="0" w:color="auto"/>
              <w:right w:val="single" w:sz="4" w:space="0" w:color="auto"/>
            </w:tcBorders>
            <w:shd w:val="clear" w:color="000000" w:fill="BFBFBF"/>
            <w:vAlign w:val="center"/>
            <w:hideMark/>
          </w:tcPr>
          <w:p w14:paraId="5A66E76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38C94C7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1D8835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0D8B4D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702226C" w14:textId="77777777" w:rsidTr="007B0C07">
        <w:trPr>
          <w:trHeight w:val="70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37D7EEA0"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NMR</w:t>
            </w:r>
          </w:p>
        </w:tc>
        <w:tc>
          <w:tcPr>
            <w:tcW w:w="1526" w:type="dxa"/>
            <w:tcBorders>
              <w:top w:val="nil"/>
              <w:left w:val="nil"/>
              <w:bottom w:val="single" w:sz="4" w:space="0" w:color="auto"/>
              <w:right w:val="single" w:sz="4" w:space="0" w:color="auto"/>
            </w:tcBorders>
            <w:vAlign w:val="center"/>
            <w:hideMark/>
          </w:tcPr>
          <w:p w14:paraId="71EA443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Long-term strategy on climate action and action plan</w:t>
            </w:r>
          </w:p>
        </w:tc>
        <w:tc>
          <w:tcPr>
            <w:tcW w:w="489" w:type="dxa"/>
            <w:tcBorders>
              <w:top w:val="nil"/>
              <w:left w:val="nil"/>
              <w:bottom w:val="single" w:sz="4" w:space="0" w:color="auto"/>
              <w:right w:val="single" w:sz="4" w:space="0" w:color="auto"/>
            </w:tcBorders>
            <w:vAlign w:val="center"/>
            <w:hideMark/>
          </w:tcPr>
          <w:p w14:paraId="4347045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89" w:type="dxa"/>
            <w:tcBorders>
              <w:top w:val="nil"/>
              <w:left w:val="nil"/>
              <w:bottom w:val="single" w:sz="4" w:space="0" w:color="auto"/>
              <w:right w:val="single" w:sz="4" w:space="0" w:color="auto"/>
            </w:tcBorders>
            <w:vAlign w:val="center"/>
            <w:hideMark/>
          </w:tcPr>
          <w:p w14:paraId="167F214E"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2050</w:t>
            </w:r>
          </w:p>
        </w:tc>
        <w:tc>
          <w:tcPr>
            <w:tcW w:w="948" w:type="dxa"/>
            <w:tcBorders>
              <w:top w:val="nil"/>
              <w:left w:val="nil"/>
              <w:bottom w:val="single" w:sz="4" w:space="0" w:color="auto"/>
              <w:right w:val="single" w:sz="4" w:space="0" w:color="auto"/>
            </w:tcBorders>
            <w:vAlign w:val="center"/>
            <w:hideMark/>
          </w:tcPr>
          <w:p w14:paraId="262D65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Government of the Republic of North Macedonia, </w:t>
            </w:r>
          </w:p>
        </w:tc>
        <w:tc>
          <w:tcPr>
            <w:tcW w:w="1066" w:type="dxa"/>
            <w:tcBorders>
              <w:top w:val="nil"/>
              <w:left w:val="nil"/>
              <w:bottom w:val="single" w:sz="4" w:space="0" w:color="auto"/>
              <w:right w:val="single" w:sz="4" w:space="0" w:color="auto"/>
            </w:tcBorders>
            <w:vAlign w:val="center"/>
            <w:hideMark/>
          </w:tcPr>
          <w:p w14:paraId="36A2B4D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Spatial Planning</w:t>
            </w:r>
          </w:p>
        </w:tc>
        <w:tc>
          <w:tcPr>
            <w:tcW w:w="1525" w:type="dxa"/>
            <w:tcBorders>
              <w:top w:val="nil"/>
              <w:left w:val="nil"/>
              <w:bottom w:val="single" w:sz="4" w:space="0" w:color="auto"/>
              <w:right w:val="single" w:sz="4" w:space="0" w:color="auto"/>
            </w:tcBorders>
            <w:shd w:val="clear" w:color="000000" w:fill="BFBFBF"/>
            <w:vAlign w:val="center"/>
            <w:hideMark/>
          </w:tcPr>
          <w:p w14:paraId="1B00031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A82FCD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3E2AB7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07CE527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113F46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4384367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4th National Climate Change Communication</w:t>
            </w:r>
          </w:p>
        </w:tc>
        <w:tc>
          <w:tcPr>
            <w:tcW w:w="466" w:type="dxa"/>
            <w:tcBorders>
              <w:top w:val="nil"/>
              <w:left w:val="nil"/>
              <w:bottom w:val="single" w:sz="4" w:space="0" w:color="auto"/>
              <w:right w:val="single" w:sz="4" w:space="0" w:color="auto"/>
            </w:tcBorders>
            <w:vAlign w:val="center"/>
            <w:hideMark/>
          </w:tcPr>
          <w:p w14:paraId="422A801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30" w:type="dxa"/>
            <w:tcBorders>
              <w:top w:val="nil"/>
              <w:left w:val="nil"/>
              <w:bottom w:val="single" w:sz="4" w:space="0" w:color="auto"/>
              <w:right w:val="single" w:sz="4" w:space="0" w:color="auto"/>
            </w:tcBorders>
            <w:vAlign w:val="center"/>
            <w:hideMark/>
          </w:tcPr>
          <w:p w14:paraId="738105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37AF098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510E272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Physical Planning</w:t>
            </w:r>
          </w:p>
        </w:tc>
      </w:tr>
      <w:tr w:rsidR="00DC2C1E" w:rsidRPr="0002056A" w14:paraId="1ECC1D5E" w14:textId="77777777" w:rsidTr="007B0C07">
        <w:trPr>
          <w:trHeight w:val="56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17EF55BD"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NOR</w:t>
            </w:r>
          </w:p>
        </w:tc>
        <w:tc>
          <w:tcPr>
            <w:tcW w:w="1526" w:type="dxa"/>
            <w:tcBorders>
              <w:top w:val="nil"/>
              <w:left w:val="nil"/>
              <w:bottom w:val="single" w:sz="4" w:space="0" w:color="auto"/>
              <w:right w:val="single" w:sz="4" w:space="0" w:color="auto"/>
            </w:tcBorders>
            <w:vAlign w:val="center"/>
            <w:hideMark/>
          </w:tcPr>
          <w:p w14:paraId="53B8F89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 changing climate – united for</w:t>
            </w:r>
            <w:r w:rsidRPr="0002056A">
              <w:rPr>
                <w:rFonts w:ascii="Georgia" w:eastAsia="Times New Roman" w:hAnsi="Georgia" w:cs="Calibri"/>
                <w:b/>
                <w:bCs/>
                <w:color w:val="000000"/>
                <w:sz w:val="10"/>
                <w:szCs w:val="10"/>
                <w:lang w:val="en-GB" w:eastAsia="hu-HU"/>
              </w:rPr>
              <w:br/>
              <w:t>a climate-resilient society</w:t>
            </w:r>
          </w:p>
        </w:tc>
        <w:tc>
          <w:tcPr>
            <w:tcW w:w="489" w:type="dxa"/>
            <w:tcBorders>
              <w:top w:val="nil"/>
              <w:left w:val="nil"/>
              <w:bottom w:val="single" w:sz="4" w:space="0" w:color="auto"/>
              <w:right w:val="single" w:sz="4" w:space="0" w:color="auto"/>
            </w:tcBorders>
            <w:vAlign w:val="center"/>
            <w:hideMark/>
          </w:tcPr>
          <w:p w14:paraId="7A25BD4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14DA3EE2"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2028</w:t>
            </w:r>
          </w:p>
        </w:tc>
        <w:tc>
          <w:tcPr>
            <w:tcW w:w="948" w:type="dxa"/>
            <w:tcBorders>
              <w:top w:val="nil"/>
              <w:left w:val="nil"/>
              <w:bottom w:val="single" w:sz="4" w:space="0" w:color="auto"/>
              <w:right w:val="single" w:sz="4" w:space="0" w:color="auto"/>
            </w:tcBorders>
            <w:vAlign w:val="center"/>
            <w:hideMark/>
          </w:tcPr>
          <w:p w14:paraId="13AB16A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Parliament</w:t>
            </w:r>
          </w:p>
        </w:tc>
        <w:tc>
          <w:tcPr>
            <w:tcW w:w="1066" w:type="dxa"/>
            <w:tcBorders>
              <w:top w:val="nil"/>
              <w:left w:val="nil"/>
              <w:bottom w:val="single" w:sz="4" w:space="0" w:color="auto"/>
              <w:right w:val="single" w:sz="4" w:space="0" w:color="auto"/>
            </w:tcBorders>
            <w:vAlign w:val="center"/>
            <w:hideMark/>
          </w:tcPr>
          <w:p w14:paraId="2591DB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Norwegian Ministry</w:t>
            </w:r>
            <w:r w:rsidRPr="0002056A">
              <w:rPr>
                <w:rFonts w:ascii="Georgia" w:eastAsia="Times New Roman" w:hAnsi="Georgia" w:cs="Calibri"/>
                <w:color w:val="000000"/>
                <w:sz w:val="10"/>
                <w:szCs w:val="10"/>
                <w:lang w:val="en-GB" w:eastAsia="hu-HU"/>
              </w:rPr>
              <w:br/>
              <w:t>of Climate and Environment</w:t>
            </w:r>
          </w:p>
        </w:tc>
        <w:tc>
          <w:tcPr>
            <w:tcW w:w="1525" w:type="dxa"/>
            <w:tcBorders>
              <w:top w:val="nil"/>
              <w:left w:val="nil"/>
              <w:bottom w:val="single" w:sz="4" w:space="0" w:color="auto"/>
              <w:right w:val="single" w:sz="4" w:space="0" w:color="auto"/>
            </w:tcBorders>
            <w:shd w:val="clear" w:color="000000" w:fill="BFBFBF"/>
            <w:vAlign w:val="center"/>
            <w:hideMark/>
          </w:tcPr>
          <w:p w14:paraId="67B15D6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1A588F0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527502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DDE56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059B93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3C83AD8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Norway’s Seventh National Communication</w:t>
            </w:r>
          </w:p>
        </w:tc>
        <w:tc>
          <w:tcPr>
            <w:tcW w:w="466" w:type="dxa"/>
            <w:tcBorders>
              <w:top w:val="nil"/>
              <w:left w:val="nil"/>
              <w:bottom w:val="single" w:sz="4" w:space="0" w:color="auto"/>
              <w:right w:val="single" w:sz="4" w:space="0" w:color="auto"/>
            </w:tcBorders>
            <w:vAlign w:val="center"/>
            <w:hideMark/>
          </w:tcPr>
          <w:p w14:paraId="22A592C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30" w:type="dxa"/>
            <w:tcBorders>
              <w:top w:val="nil"/>
              <w:left w:val="nil"/>
              <w:bottom w:val="single" w:sz="4" w:space="0" w:color="auto"/>
              <w:right w:val="single" w:sz="4" w:space="0" w:color="auto"/>
            </w:tcBorders>
            <w:vAlign w:val="center"/>
            <w:hideMark/>
          </w:tcPr>
          <w:p w14:paraId="44FD8C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DF596A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61A1FF4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Norwegian Ministry of Climate and Environment</w:t>
            </w:r>
          </w:p>
        </w:tc>
      </w:tr>
      <w:tr w:rsidR="00DC2C1E" w:rsidRPr="0002056A" w14:paraId="17696459" w14:textId="77777777" w:rsidTr="007B0C07">
        <w:trPr>
          <w:trHeight w:val="863"/>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178F644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POL</w:t>
            </w:r>
          </w:p>
        </w:tc>
        <w:tc>
          <w:tcPr>
            <w:tcW w:w="1526" w:type="dxa"/>
            <w:tcBorders>
              <w:top w:val="nil"/>
              <w:left w:val="nil"/>
              <w:bottom w:val="single" w:sz="4" w:space="0" w:color="auto"/>
              <w:right w:val="single" w:sz="4" w:space="0" w:color="auto"/>
            </w:tcBorders>
            <w:vAlign w:val="center"/>
            <w:hideMark/>
          </w:tcPr>
          <w:p w14:paraId="7307F74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Polish National Strategy for Adaptation to Climate Change (NAS 2020)</w:t>
            </w:r>
          </w:p>
        </w:tc>
        <w:tc>
          <w:tcPr>
            <w:tcW w:w="489" w:type="dxa"/>
            <w:tcBorders>
              <w:top w:val="nil"/>
              <w:left w:val="nil"/>
              <w:bottom w:val="single" w:sz="4" w:space="0" w:color="auto"/>
              <w:right w:val="single" w:sz="4" w:space="0" w:color="auto"/>
            </w:tcBorders>
            <w:vAlign w:val="center"/>
            <w:hideMark/>
          </w:tcPr>
          <w:p w14:paraId="13A62AB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2013</w:t>
            </w:r>
          </w:p>
        </w:tc>
        <w:tc>
          <w:tcPr>
            <w:tcW w:w="689" w:type="dxa"/>
            <w:tcBorders>
              <w:top w:val="nil"/>
              <w:left w:val="nil"/>
              <w:bottom w:val="single" w:sz="4" w:space="0" w:color="auto"/>
              <w:right w:val="single" w:sz="4" w:space="0" w:color="auto"/>
            </w:tcBorders>
            <w:vAlign w:val="center"/>
            <w:hideMark/>
          </w:tcPr>
          <w:p w14:paraId="68C0C8A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 (with an outlook to 2030)</w:t>
            </w:r>
          </w:p>
        </w:tc>
        <w:tc>
          <w:tcPr>
            <w:tcW w:w="948" w:type="dxa"/>
            <w:tcBorders>
              <w:top w:val="nil"/>
              <w:left w:val="nil"/>
              <w:bottom w:val="single" w:sz="4" w:space="0" w:color="auto"/>
              <w:right w:val="single" w:sz="4" w:space="0" w:color="auto"/>
            </w:tcBorders>
            <w:vAlign w:val="center"/>
            <w:hideMark/>
          </w:tcPr>
          <w:p w14:paraId="46DE8E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63050A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w:t>
            </w:r>
          </w:p>
        </w:tc>
        <w:tc>
          <w:tcPr>
            <w:tcW w:w="1525" w:type="dxa"/>
            <w:tcBorders>
              <w:top w:val="nil"/>
              <w:left w:val="nil"/>
              <w:bottom w:val="single" w:sz="4" w:space="0" w:color="auto"/>
              <w:right w:val="single" w:sz="4" w:space="0" w:color="auto"/>
            </w:tcBorders>
            <w:shd w:val="clear" w:color="000000" w:fill="BFBFBF"/>
            <w:vAlign w:val="center"/>
            <w:hideMark/>
          </w:tcPr>
          <w:p w14:paraId="53818E8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C4595C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048ED6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76BDED2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6F3FC8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7D08814C" w14:textId="25108581"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 xml:space="preserve">Eighth national communication and fifth biennial report under the </w:t>
            </w:r>
            <w:r w:rsidR="00066AA8" w:rsidRPr="0002056A">
              <w:rPr>
                <w:rFonts w:ascii="Georgia" w:eastAsia="Times New Roman" w:hAnsi="Georgia" w:cs="Calibri"/>
                <w:b/>
                <w:bCs/>
                <w:color w:val="000000"/>
                <w:sz w:val="8"/>
                <w:szCs w:val="8"/>
                <w:lang w:val="en-GB" w:eastAsia="hu-HU"/>
              </w:rPr>
              <w:t>United Nations</w:t>
            </w:r>
            <w:r w:rsidRPr="0002056A">
              <w:rPr>
                <w:rFonts w:ascii="Georgia" w:eastAsia="Times New Roman" w:hAnsi="Georgia" w:cs="Calibri"/>
                <w:b/>
                <w:bCs/>
                <w:color w:val="000000"/>
                <w:sz w:val="8"/>
                <w:szCs w:val="8"/>
                <w:lang w:val="en-GB" w:eastAsia="hu-HU"/>
              </w:rPr>
              <w:t xml:space="preserve"> framework convention on climate change</w:t>
            </w:r>
          </w:p>
        </w:tc>
        <w:tc>
          <w:tcPr>
            <w:tcW w:w="466" w:type="dxa"/>
            <w:tcBorders>
              <w:top w:val="nil"/>
              <w:left w:val="nil"/>
              <w:bottom w:val="single" w:sz="4" w:space="0" w:color="auto"/>
              <w:right w:val="single" w:sz="4" w:space="0" w:color="auto"/>
            </w:tcBorders>
            <w:vAlign w:val="center"/>
            <w:hideMark/>
          </w:tcPr>
          <w:p w14:paraId="4A552C6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409660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64005D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7D1B3266" w14:textId="7240EC02"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National Centre for Emissions </w:t>
            </w:r>
            <w:r w:rsidR="00066AA8" w:rsidRPr="0002056A">
              <w:rPr>
                <w:rFonts w:ascii="Georgia" w:eastAsia="Times New Roman" w:hAnsi="Georgia" w:cs="Calibri"/>
                <w:color w:val="000000"/>
                <w:sz w:val="10"/>
                <w:szCs w:val="10"/>
                <w:lang w:val="en-GB" w:eastAsia="hu-HU"/>
              </w:rPr>
              <w:t>Management (</w:t>
            </w:r>
            <w:r w:rsidRPr="0002056A">
              <w:rPr>
                <w:rFonts w:ascii="Georgia" w:eastAsia="Times New Roman" w:hAnsi="Georgia" w:cs="Calibri"/>
                <w:color w:val="000000"/>
                <w:sz w:val="10"/>
                <w:szCs w:val="10"/>
                <w:lang w:val="en-GB" w:eastAsia="hu-HU"/>
              </w:rPr>
              <w:t>KOBiZE)</w:t>
            </w:r>
          </w:p>
        </w:tc>
      </w:tr>
      <w:tr w:rsidR="00DC2C1E" w:rsidRPr="0002056A" w14:paraId="145BAD8C" w14:textId="77777777" w:rsidTr="007B0C07">
        <w:trPr>
          <w:trHeight w:val="1292"/>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413B766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POR</w:t>
            </w:r>
          </w:p>
        </w:tc>
        <w:tc>
          <w:tcPr>
            <w:tcW w:w="1526" w:type="dxa"/>
            <w:tcBorders>
              <w:top w:val="nil"/>
              <w:left w:val="nil"/>
              <w:bottom w:val="single" w:sz="4" w:space="0" w:color="auto"/>
              <w:right w:val="single" w:sz="4" w:space="0" w:color="auto"/>
            </w:tcBorders>
            <w:vAlign w:val="center"/>
            <w:hideMark/>
          </w:tcPr>
          <w:p w14:paraId="2139757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Quadro Estratégico para a Política Climática (Strategic Framework for Climate Policy)</w:t>
            </w:r>
          </w:p>
        </w:tc>
        <w:tc>
          <w:tcPr>
            <w:tcW w:w="489" w:type="dxa"/>
            <w:tcBorders>
              <w:top w:val="nil"/>
              <w:left w:val="nil"/>
              <w:bottom w:val="single" w:sz="4" w:space="0" w:color="auto"/>
              <w:right w:val="single" w:sz="4" w:space="0" w:color="auto"/>
            </w:tcBorders>
            <w:vAlign w:val="center"/>
            <w:hideMark/>
          </w:tcPr>
          <w:p w14:paraId="345BB38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w:t>
            </w:r>
          </w:p>
        </w:tc>
        <w:tc>
          <w:tcPr>
            <w:tcW w:w="689" w:type="dxa"/>
            <w:tcBorders>
              <w:top w:val="nil"/>
              <w:left w:val="nil"/>
              <w:bottom w:val="single" w:sz="4" w:space="0" w:color="auto"/>
              <w:right w:val="single" w:sz="4" w:space="0" w:color="auto"/>
            </w:tcBorders>
            <w:vAlign w:val="center"/>
            <w:hideMark/>
          </w:tcPr>
          <w:p w14:paraId="3D038B27"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w:t>
            </w:r>
          </w:p>
        </w:tc>
        <w:tc>
          <w:tcPr>
            <w:tcW w:w="948" w:type="dxa"/>
            <w:tcBorders>
              <w:top w:val="nil"/>
              <w:left w:val="nil"/>
              <w:bottom w:val="single" w:sz="4" w:space="0" w:color="auto"/>
              <w:right w:val="single" w:sz="4" w:space="0" w:color="auto"/>
            </w:tcBorders>
            <w:vAlign w:val="center"/>
            <w:hideMark/>
          </w:tcPr>
          <w:p w14:paraId="4BFE1EB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PRESIDENCY OF THE COUNCIL OF MINISTERS</w:t>
            </w:r>
          </w:p>
        </w:tc>
        <w:tc>
          <w:tcPr>
            <w:tcW w:w="1066" w:type="dxa"/>
            <w:tcBorders>
              <w:top w:val="nil"/>
              <w:left w:val="nil"/>
              <w:bottom w:val="single" w:sz="4" w:space="0" w:color="auto"/>
              <w:right w:val="single" w:sz="4" w:space="0" w:color="auto"/>
            </w:tcBorders>
            <w:vAlign w:val="center"/>
            <w:hideMark/>
          </w:tcPr>
          <w:p w14:paraId="6EED8AF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Spatial Planning and Energy (MAOTE)</w:t>
            </w:r>
          </w:p>
        </w:tc>
        <w:tc>
          <w:tcPr>
            <w:tcW w:w="1525" w:type="dxa"/>
            <w:tcBorders>
              <w:top w:val="nil"/>
              <w:left w:val="nil"/>
              <w:bottom w:val="single" w:sz="4" w:space="0" w:color="auto"/>
              <w:right w:val="single" w:sz="4" w:space="0" w:color="auto"/>
            </w:tcBorders>
            <w:vAlign w:val="center"/>
            <w:hideMark/>
          </w:tcPr>
          <w:p w14:paraId="29F8942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Programa de ação para a adaptação às alterações climáticas: p -3ac (action plan for climate change adaptation: p-3ac)</w:t>
            </w:r>
          </w:p>
        </w:tc>
        <w:tc>
          <w:tcPr>
            <w:tcW w:w="466" w:type="dxa"/>
            <w:tcBorders>
              <w:top w:val="nil"/>
              <w:left w:val="nil"/>
              <w:bottom w:val="single" w:sz="4" w:space="0" w:color="auto"/>
              <w:right w:val="single" w:sz="4" w:space="0" w:color="auto"/>
            </w:tcBorders>
            <w:vAlign w:val="center"/>
            <w:hideMark/>
          </w:tcPr>
          <w:p w14:paraId="40574F3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98" w:type="dxa"/>
            <w:tcBorders>
              <w:top w:val="nil"/>
              <w:left w:val="nil"/>
              <w:bottom w:val="single" w:sz="4" w:space="0" w:color="auto"/>
              <w:right w:val="single" w:sz="4" w:space="0" w:color="auto"/>
            </w:tcBorders>
            <w:vAlign w:val="center"/>
            <w:hideMark/>
          </w:tcPr>
          <w:p w14:paraId="7087B92A"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21D770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PRESIDENCY OF THE COUNCIL OF MINISTERS</w:t>
            </w:r>
          </w:p>
        </w:tc>
        <w:tc>
          <w:tcPr>
            <w:tcW w:w="881" w:type="dxa"/>
            <w:tcBorders>
              <w:top w:val="nil"/>
              <w:left w:val="nil"/>
              <w:bottom w:val="single" w:sz="4" w:space="0" w:color="auto"/>
              <w:right w:val="single" w:sz="4" w:space="0" w:color="auto"/>
            </w:tcBorders>
            <w:vAlign w:val="center"/>
            <w:hideMark/>
          </w:tcPr>
          <w:p w14:paraId="61069C0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Spatial Planning and Energy (MAOTE)</w:t>
            </w:r>
          </w:p>
        </w:tc>
        <w:tc>
          <w:tcPr>
            <w:tcW w:w="1127" w:type="dxa"/>
            <w:tcBorders>
              <w:top w:val="nil"/>
              <w:left w:val="nil"/>
              <w:bottom w:val="single" w:sz="4" w:space="0" w:color="auto"/>
              <w:right w:val="single" w:sz="4" w:space="0" w:color="auto"/>
            </w:tcBorders>
            <w:vAlign w:val="center"/>
            <w:hideMark/>
          </w:tcPr>
          <w:p w14:paraId="559CB692"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7th National Communication to the United Nations Framework Convention on Climate Change</w:t>
            </w:r>
            <w:r w:rsidRPr="0002056A">
              <w:rPr>
                <w:rFonts w:ascii="Georgia" w:eastAsia="Times New Roman" w:hAnsi="Georgia" w:cs="Calibri"/>
                <w:b/>
                <w:bCs/>
                <w:color w:val="000000"/>
                <w:sz w:val="8"/>
                <w:szCs w:val="8"/>
                <w:lang w:val="en-GB" w:eastAsia="hu-HU"/>
              </w:rPr>
              <w:br/>
              <w:t>3rd Biennial Report to the United Nations Framework Convention on Climate Change</w:t>
            </w:r>
            <w:r w:rsidRPr="0002056A">
              <w:rPr>
                <w:rFonts w:ascii="Georgia" w:eastAsia="Times New Roman" w:hAnsi="Georgia" w:cs="Calibri"/>
                <w:b/>
                <w:bCs/>
                <w:color w:val="000000"/>
                <w:sz w:val="8"/>
                <w:szCs w:val="8"/>
                <w:lang w:val="en-GB" w:eastAsia="hu-HU"/>
              </w:rPr>
              <w:br/>
              <w:t>4th National Communication in the Context of the Kyoto Protocol</w:t>
            </w:r>
          </w:p>
        </w:tc>
        <w:tc>
          <w:tcPr>
            <w:tcW w:w="466" w:type="dxa"/>
            <w:tcBorders>
              <w:top w:val="nil"/>
              <w:left w:val="nil"/>
              <w:bottom w:val="single" w:sz="4" w:space="0" w:color="auto"/>
              <w:right w:val="single" w:sz="4" w:space="0" w:color="auto"/>
            </w:tcBorders>
            <w:vAlign w:val="center"/>
            <w:hideMark/>
          </w:tcPr>
          <w:p w14:paraId="7814ECC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noWrap/>
            <w:vAlign w:val="center"/>
            <w:hideMark/>
          </w:tcPr>
          <w:p w14:paraId="55CD9F02"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w:t>
            </w:r>
          </w:p>
        </w:tc>
        <w:tc>
          <w:tcPr>
            <w:tcW w:w="748" w:type="dxa"/>
            <w:tcBorders>
              <w:top w:val="nil"/>
              <w:left w:val="nil"/>
              <w:bottom w:val="single" w:sz="4" w:space="0" w:color="auto"/>
              <w:right w:val="single" w:sz="4" w:space="0" w:color="auto"/>
            </w:tcBorders>
            <w:noWrap/>
            <w:vAlign w:val="center"/>
            <w:hideMark/>
          </w:tcPr>
          <w:p w14:paraId="4C59F973"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32C395E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Portuguese Environment Agency Climate Change Department</w:t>
            </w:r>
          </w:p>
        </w:tc>
      </w:tr>
      <w:tr w:rsidR="00DC2C1E" w:rsidRPr="0002056A" w14:paraId="01CDA118" w14:textId="77777777" w:rsidTr="007B0C07">
        <w:trPr>
          <w:trHeight w:val="1400"/>
        </w:trPr>
        <w:tc>
          <w:tcPr>
            <w:tcW w:w="630" w:type="dxa"/>
            <w:vMerge/>
            <w:tcBorders>
              <w:top w:val="nil"/>
              <w:left w:val="single" w:sz="8" w:space="0" w:color="auto"/>
              <w:bottom w:val="single" w:sz="4" w:space="0" w:color="auto"/>
              <w:right w:val="single" w:sz="4" w:space="0" w:color="auto"/>
            </w:tcBorders>
            <w:vAlign w:val="center"/>
            <w:hideMark/>
          </w:tcPr>
          <w:p w14:paraId="1C1D7E6C"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noWrap/>
            <w:vAlign w:val="center"/>
            <w:hideMark/>
          </w:tcPr>
          <w:p w14:paraId="3287AF4E"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noWrap/>
            <w:vAlign w:val="center"/>
            <w:hideMark/>
          </w:tcPr>
          <w:p w14:paraId="1A5D1469"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noWrap/>
            <w:vAlign w:val="center"/>
            <w:hideMark/>
          </w:tcPr>
          <w:p w14:paraId="7FE4C826"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noWrap/>
            <w:vAlign w:val="center"/>
            <w:hideMark/>
          </w:tcPr>
          <w:p w14:paraId="06DF4901"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noWrap/>
            <w:vAlign w:val="center"/>
            <w:hideMark/>
          </w:tcPr>
          <w:p w14:paraId="3F004DC1"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9B3CD4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1D66F9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A849F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CEA6D1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08680F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1B22D807"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8th National Communication to the United Nations Framework Convention on Climate Change 5th National Communication in the Context of the Kyoto Protocol</w:t>
            </w:r>
          </w:p>
        </w:tc>
        <w:tc>
          <w:tcPr>
            <w:tcW w:w="466" w:type="dxa"/>
            <w:tcBorders>
              <w:top w:val="nil"/>
              <w:left w:val="nil"/>
              <w:bottom w:val="single" w:sz="4" w:space="0" w:color="auto"/>
              <w:right w:val="single" w:sz="4" w:space="0" w:color="auto"/>
            </w:tcBorders>
            <w:vAlign w:val="center"/>
            <w:hideMark/>
          </w:tcPr>
          <w:p w14:paraId="22C64B9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noWrap/>
            <w:vAlign w:val="center"/>
            <w:hideMark/>
          </w:tcPr>
          <w:p w14:paraId="2C4E27BC"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w:t>
            </w:r>
          </w:p>
        </w:tc>
        <w:tc>
          <w:tcPr>
            <w:tcW w:w="748" w:type="dxa"/>
            <w:tcBorders>
              <w:top w:val="nil"/>
              <w:left w:val="nil"/>
              <w:bottom w:val="single" w:sz="4" w:space="0" w:color="auto"/>
              <w:right w:val="single" w:sz="4" w:space="0" w:color="auto"/>
            </w:tcBorders>
            <w:noWrap/>
            <w:vAlign w:val="center"/>
            <w:hideMark/>
          </w:tcPr>
          <w:p w14:paraId="4D572F43"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24BD009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Portuguese Environment Agency Climate Change Department</w:t>
            </w:r>
          </w:p>
        </w:tc>
      </w:tr>
      <w:tr w:rsidR="00DC2C1E" w:rsidRPr="0002056A" w14:paraId="6F5B329A" w14:textId="77777777" w:rsidTr="007B0C07">
        <w:trPr>
          <w:trHeight w:val="1796"/>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48A9B437"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ROM</w:t>
            </w:r>
          </w:p>
        </w:tc>
        <w:tc>
          <w:tcPr>
            <w:tcW w:w="1526" w:type="dxa"/>
            <w:tcBorders>
              <w:top w:val="nil"/>
              <w:left w:val="nil"/>
              <w:bottom w:val="single" w:sz="4" w:space="0" w:color="auto"/>
              <w:right w:val="single" w:sz="4" w:space="0" w:color="auto"/>
            </w:tcBorders>
            <w:vAlign w:val="center"/>
            <w:hideMark/>
          </w:tcPr>
          <w:p w14:paraId="3173790D"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Strategiei Naționale privind Adaptarea la Schimbările Climatice pentru perioada 2022- 2030 cu perspectiva anului 2050 (SNASC) și a Planului Național de Acţiune pentru implementarea Strategiei Naționale privind Adaptarea la Schimbările Climatice (PNASC) (The National Strategy on Climate Change Adaptation for the period 2022-2030 with a perspective for 2050 (SNASC) and the National Action Plan for the implementation of the National Strategy on Climate Change Adaptation (PNASC)</w:t>
            </w:r>
          </w:p>
        </w:tc>
        <w:tc>
          <w:tcPr>
            <w:tcW w:w="489" w:type="dxa"/>
            <w:tcBorders>
              <w:top w:val="nil"/>
              <w:left w:val="nil"/>
              <w:bottom w:val="single" w:sz="4" w:space="0" w:color="auto"/>
              <w:right w:val="single" w:sz="4" w:space="0" w:color="auto"/>
            </w:tcBorders>
            <w:vAlign w:val="center"/>
            <w:hideMark/>
          </w:tcPr>
          <w:p w14:paraId="35F7B4C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89" w:type="dxa"/>
            <w:tcBorders>
              <w:top w:val="nil"/>
              <w:left w:val="nil"/>
              <w:bottom w:val="single" w:sz="4" w:space="0" w:color="auto"/>
              <w:right w:val="single" w:sz="4" w:space="0" w:color="auto"/>
            </w:tcBorders>
            <w:vAlign w:val="center"/>
            <w:hideMark/>
          </w:tcPr>
          <w:p w14:paraId="7ADDF9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2022-2030, 2050</w:t>
            </w:r>
          </w:p>
        </w:tc>
        <w:tc>
          <w:tcPr>
            <w:tcW w:w="948" w:type="dxa"/>
            <w:tcBorders>
              <w:top w:val="nil"/>
              <w:left w:val="nil"/>
              <w:bottom w:val="single" w:sz="4" w:space="0" w:color="auto"/>
              <w:right w:val="single" w:sz="4" w:space="0" w:color="auto"/>
            </w:tcBorders>
            <w:vAlign w:val="center"/>
            <w:hideMark/>
          </w:tcPr>
          <w:p w14:paraId="30AA1B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Romania</w:t>
            </w:r>
          </w:p>
        </w:tc>
        <w:tc>
          <w:tcPr>
            <w:tcW w:w="1066" w:type="dxa"/>
            <w:tcBorders>
              <w:top w:val="nil"/>
              <w:left w:val="nil"/>
              <w:bottom w:val="single" w:sz="4" w:space="0" w:color="auto"/>
              <w:right w:val="single" w:sz="4" w:space="0" w:color="auto"/>
            </w:tcBorders>
            <w:vAlign w:val="center"/>
            <w:hideMark/>
          </w:tcPr>
          <w:p w14:paraId="08F2F0E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Water and Forests General Directorate for Impact Assessment, Pollution Control and Climate Change</w:t>
            </w:r>
          </w:p>
        </w:tc>
        <w:tc>
          <w:tcPr>
            <w:tcW w:w="1525" w:type="dxa"/>
            <w:tcBorders>
              <w:top w:val="nil"/>
              <w:left w:val="nil"/>
              <w:bottom w:val="single" w:sz="4" w:space="0" w:color="auto"/>
              <w:right w:val="single" w:sz="4" w:space="0" w:color="auto"/>
            </w:tcBorders>
            <w:vAlign w:val="center"/>
            <w:hideMark/>
          </w:tcPr>
          <w:p w14:paraId="6B1028E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Planul național de acțiune pentru implementarea Strategiei naționale privind adaptarea la schimbările climatice pentru perioada 2023-2030 (PNASC) (National Action Plan for the Implementation of the National Strategy on Climate Change Adaptation for the period 2023-2030 (NAPCCA))</w:t>
            </w:r>
          </w:p>
        </w:tc>
        <w:tc>
          <w:tcPr>
            <w:tcW w:w="466" w:type="dxa"/>
            <w:tcBorders>
              <w:top w:val="nil"/>
              <w:left w:val="nil"/>
              <w:bottom w:val="single" w:sz="4" w:space="0" w:color="auto"/>
              <w:right w:val="single" w:sz="4" w:space="0" w:color="auto"/>
            </w:tcBorders>
            <w:vAlign w:val="center"/>
            <w:hideMark/>
          </w:tcPr>
          <w:p w14:paraId="65FE0A1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98" w:type="dxa"/>
            <w:tcBorders>
              <w:top w:val="nil"/>
              <w:left w:val="nil"/>
              <w:bottom w:val="single" w:sz="4" w:space="0" w:color="auto"/>
              <w:right w:val="single" w:sz="4" w:space="0" w:color="auto"/>
            </w:tcBorders>
            <w:vAlign w:val="center"/>
            <w:hideMark/>
          </w:tcPr>
          <w:p w14:paraId="5DD6356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2023-2030</w:t>
            </w:r>
          </w:p>
        </w:tc>
        <w:tc>
          <w:tcPr>
            <w:tcW w:w="948" w:type="dxa"/>
            <w:tcBorders>
              <w:top w:val="nil"/>
              <w:left w:val="nil"/>
              <w:bottom w:val="single" w:sz="4" w:space="0" w:color="auto"/>
              <w:right w:val="single" w:sz="4" w:space="0" w:color="auto"/>
            </w:tcBorders>
            <w:vAlign w:val="center"/>
            <w:hideMark/>
          </w:tcPr>
          <w:p w14:paraId="7DCA8A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Romania</w:t>
            </w:r>
          </w:p>
        </w:tc>
        <w:tc>
          <w:tcPr>
            <w:tcW w:w="881" w:type="dxa"/>
            <w:tcBorders>
              <w:top w:val="nil"/>
              <w:left w:val="nil"/>
              <w:bottom w:val="single" w:sz="4" w:space="0" w:color="auto"/>
              <w:right w:val="single" w:sz="4" w:space="0" w:color="auto"/>
            </w:tcBorders>
            <w:vAlign w:val="center"/>
            <w:hideMark/>
          </w:tcPr>
          <w:p w14:paraId="5E42704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Water and Forests General Directorate for Impact Assessment, Pollution Control and Climate Change</w:t>
            </w:r>
          </w:p>
        </w:tc>
        <w:tc>
          <w:tcPr>
            <w:tcW w:w="1127" w:type="dxa"/>
            <w:tcBorders>
              <w:top w:val="nil"/>
              <w:left w:val="nil"/>
              <w:bottom w:val="single" w:sz="4" w:space="0" w:color="auto"/>
              <w:right w:val="single" w:sz="4" w:space="0" w:color="auto"/>
            </w:tcBorders>
            <w:shd w:val="clear" w:color="000000" w:fill="BFBFBF"/>
            <w:vAlign w:val="center"/>
            <w:hideMark/>
          </w:tcPr>
          <w:p w14:paraId="35D9934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6F3FBE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0914E4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01874E2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3ECD91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38FBDF8" w14:textId="77777777" w:rsidTr="007B0C07">
        <w:trPr>
          <w:trHeight w:val="662"/>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18B13A8E"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SCO</w:t>
            </w:r>
          </w:p>
        </w:tc>
        <w:tc>
          <w:tcPr>
            <w:tcW w:w="1526" w:type="dxa"/>
            <w:tcBorders>
              <w:top w:val="nil"/>
              <w:left w:val="nil"/>
              <w:bottom w:val="single" w:sz="4" w:space="0" w:color="auto"/>
              <w:right w:val="single" w:sz="4" w:space="0" w:color="auto"/>
            </w:tcBorders>
            <w:vAlign w:val="center"/>
            <w:hideMark/>
          </w:tcPr>
          <w:p w14:paraId="62200FC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Scottish National Adaptation Plan 2024 – 2029 (SNAP3)</w:t>
            </w:r>
          </w:p>
        </w:tc>
        <w:tc>
          <w:tcPr>
            <w:tcW w:w="489" w:type="dxa"/>
            <w:tcBorders>
              <w:top w:val="nil"/>
              <w:left w:val="nil"/>
              <w:bottom w:val="single" w:sz="4" w:space="0" w:color="auto"/>
              <w:right w:val="single" w:sz="4" w:space="0" w:color="auto"/>
            </w:tcBorders>
            <w:vAlign w:val="center"/>
            <w:hideMark/>
          </w:tcPr>
          <w:p w14:paraId="03096BD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1B7A828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2024-2029</w:t>
            </w:r>
          </w:p>
        </w:tc>
        <w:tc>
          <w:tcPr>
            <w:tcW w:w="948" w:type="dxa"/>
            <w:tcBorders>
              <w:top w:val="nil"/>
              <w:left w:val="nil"/>
              <w:bottom w:val="single" w:sz="4" w:space="0" w:color="auto"/>
              <w:right w:val="single" w:sz="4" w:space="0" w:color="auto"/>
            </w:tcBorders>
            <w:vAlign w:val="center"/>
            <w:hideMark/>
          </w:tcPr>
          <w:p w14:paraId="45ED44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Scottish Government</w:t>
            </w:r>
          </w:p>
        </w:tc>
        <w:tc>
          <w:tcPr>
            <w:tcW w:w="1066" w:type="dxa"/>
            <w:tcBorders>
              <w:top w:val="nil"/>
              <w:left w:val="nil"/>
              <w:bottom w:val="single" w:sz="4" w:space="0" w:color="auto"/>
              <w:right w:val="single" w:sz="4" w:space="0" w:color="auto"/>
            </w:tcBorders>
            <w:vAlign w:val="center"/>
            <w:hideMark/>
          </w:tcPr>
          <w:p w14:paraId="3A5EC9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Cabinet Secretarat for Net Zero and Energy</w:t>
            </w:r>
          </w:p>
        </w:tc>
        <w:tc>
          <w:tcPr>
            <w:tcW w:w="1525" w:type="dxa"/>
            <w:tcBorders>
              <w:top w:val="nil"/>
              <w:left w:val="nil"/>
              <w:bottom w:val="single" w:sz="4" w:space="0" w:color="auto"/>
              <w:right w:val="single" w:sz="4" w:space="0" w:color="auto"/>
            </w:tcBorders>
            <w:vAlign w:val="center"/>
            <w:hideMark/>
          </w:tcPr>
          <w:p w14:paraId="6153ADB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READY SCOTLAND: Second Scottish Climate Change Adaptation Programme 2019-2024</w:t>
            </w:r>
          </w:p>
        </w:tc>
        <w:tc>
          <w:tcPr>
            <w:tcW w:w="466" w:type="dxa"/>
            <w:tcBorders>
              <w:top w:val="nil"/>
              <w:left w:val="nil"/>
              <w:bottom w:val="single" w:sz="4" w:space="0" w:color="auto"/>
              <w:right w:val="single" w:sz="4" w:space="0" w:color="auto"/>
            </w:tcBorders>
            <w:vAlign w:val="center"/>
            <w:hideMark/>
          </w:tcPr>
          <w:p w14:paraId="623D50C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98" w:type="dxa"/>
            <w:tcBorders>
              <w:top w:val="nil"/>
              <w:left w:val="nil"/>
              <w:bottom w:val="single" w:sz="4" w:space="0" w:color="auto"/>
              <w:right w:val="single" w:sz="4" w:space="0" w:color="auto"/>
            </w:tcBorders>
            <w:vAlign w:val="center"/>
            <w:hideMark/>
          </w:tcPr>
          <w:p w14:paraId="6551AF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2019-2024</w:t>
            </w:r>
          </w:p>
        </w:tc>
        <w:tc>
          <w:tcPr>
            <w:tcW w:w="948" w:type="dxa"/>
            <w:tcBorders>
              <w:top w:val="nil"/>
              <w:left w:val="nil"/>
              <w:bottom w:val="single" w:sz="4" w:space="0" w:color="auto"/>
              <w:right w:val="single" w:sz="4" w:space="0" w:color="auto"/>
            </w:tcBorders>
            <w:vAlign w:val="center"/>
            <w:hideMark/>
          </w:tcPr>
          <w:p w14:paraId="09BB12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Scottish Government</w:t>
            </w:r>
          </w:p>
        </w:tc>
        <w:tc>
          <w:tcPr>
            <w:tcW w:w="881" w:type="dxa"/>
            <w:tcBorders>
              <w:top w:val="nil"/>
              <w:left w:val="nil"/>
              <w:bottom w:val="single" w:sz="4" w:space="0" w:color="auto"/>
              <w:right w:val="single" w:sz="4" w:space="0" w:color="auto"/>
            </w:tcBorders>
            <w:vAlign w:val="center"/>
            <w:hideMark/>
          </w:tcPr>
          <w:p w14:paraId="68C132E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Cabinet Secretarat for Net Zero and Energy</w:t>
            </w:r>
          </w:p>
        </w:tc>
        <w:tc>
          <w:tcPr>
            <w:tcW w:w="1127" w:type="dxa"/>
            <w:tcBorders>
              <w:top w:val="nil"/>
              <w:left w:val="nil"/>
              <w:bottom w:val="single" w:sz="4" w:space="0" w:color="auto"/>
              <w:right w:val="single" w:sz="4" w:space="0" w:color="auto"/>
            </w:tcBorders>
            <w:shd w:val="clear" w:color="000000" w:fill="BFBFBF"/>
            <w:vAlign w:val="center"/>
            <w:hideMark/>
          </w:tcPr>
          <w:p w14:paraId="56C9CA0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1658B57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6436EC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2A2DFCA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41415CB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D201505" w14:textId="77777777" w:rsidTr="007B0C07">
        <w:trPr>
          <w:trHeight w:val="70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3C77778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SRB</w:t>
            </w:r>
          </w:p>
        </w:tc>
        <w:tc>
          <w:tcPr>
            <w:tcW w:w="1526" w:type="dxa"/>
            <w:tcBorders>
              <w:top w:val="nil"/>
              <w:left w:val="nil"/>
              <w:bottom w:val="single" w:sz="4" w:space="0" w:color="auto"/>
              <w:right w:val="single" w:sz="4" w:space="0" w:color="auto"/>
            </w:tcBorders>
            <w:vAlign w:val="center"/>
            <w:hideMark/>
          </w:tcPr>
          <w:p w14:paraId="4E309AB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Serbia’s First National Adaptation Plan D R A F T</w:t>
            </w:r>
          </w:p>
        </w:tc>
        <w:tc>
          <w:tcPr>
            <w:tcW w:w="489" w:type="dxa"/>
            <w:tcBorders>
              <w:top w:val="nil"/>
              <w:left w:val="nil"/>
              <w:bottom w:val="single" w:sz="4" w:space="0" w:color="auto"/>
              <w:right w:val="single" w:sz="4" w:space="0" w:color="auto"/>
            </w:tcBorders>
            <w:vAlign w:val="center"/>
            <w:hideMark/>
          </w:tcPr>
          <w:p w14:paraId="39ABDB7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w:t>
            </w:r>
          </w:p>
        </w:tc>
        <w:tc>
          <w:tcPr>
            <w:tcW w:w="689" w:type="dxa"/>
            <w:tcBorders>
              <w:top w:val="nil"/>
              <w:left w:val="nil"/>
              <w:bottom w:val="single" w:sz="4" w:space="0" w:color="auto"/>
              <w:right w:val="single" w:sz="4" w:space="0" w:color="auto"/>
            </w:tcBorders>
            <w:vAlign w:val="center"/>
            <w:hideMark/>
          </w:tcPr>
          <w:p w14:paraId="110FF3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220)</w:t>
            </w:r>
          </w:p>
        </w:tc>
        <w:tc>
          <w:tcPr>
            <w:tcW w:w="948" w:type="dxa"/>
            <w:tcBorders>
              <w:top w:val="nil"/>
              <w:left w:val="nil"/>
              <w:bottom w:val="single" w:sz="4" w:space="0" w:color="auto"/>
              <w:right w:val="single" w:sz="4" w:space="0" w:color="auto"/>
            </w:tcBorders>
            <w:vAlign w:val="center"/>
            <w:hideMark/>
          </w:tcPr>
          <w:p w14:paraId="2C04D0B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Environmental Protection</w:t>
            </w:r>
          </w:p>
        </w:tc>
        <w:tc>
          <w:tcPr>
            <w:tcW w:w="1066" w:type="dxa"/>
            <w:tcBorders>
              <w:top w:val="nil"/>
              <w:left w:val="nil"/>
              <w:bottom w:val="single" w:sz="4" w:space="0" w:color="auto"/>
              <w:right w:val="single" w:sz="4" w:space="0" w:color="auto"/>
            </w:tcBorders>
            <w:vAlign w:val="center"/>
            <w:hideMark/>
          </w:tcPr>
          <w:p w14:paraId="4FC839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UNDP</w:t>
            </w:r>
          </w:p>
        </w:tc>
        <w:tc>
          <w:tcPr>
            <w:tcW w:w="1525" w:type="dxa"/>
            <w:tcBorders>
              <w:top w:val="nil"/>
              <w:left w:val="nil"/>
              <w:bottom w:val="single" w:sz="4" w:space="0" w:color="auto"/>
              <w:right w:val="single" w:sz="4" w:space="0" w:color="auto"/>
            </w:tcBorders>
            <w:vAlign w:val="center"/>
            <w:hideMark/>
          </w:tcPr>
          <w:p w14:paraId="4F64ED7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adaptation programme for the period 2023-2030</w:t>
            </w:r>
          </w:p>
        </w:tc>
        <w:tc>
          <w:tcPr>
            <w:tcW w:w="466" w:type="dxa"/>
            <w:tcBorders>
              <w:top w:val="nil"/>
              <w:left w:val="nil"/>
              <w:bottom w:val="single" w:sz="4" w:space="0" w:color="auto"/>
              <w:right w:val="single" w:sz="4" w:space="0" w:color="auto"/>
            </w:tcBorders>
            <w:vAlign w:val="center"/>
            <w:hideMark/>
          </w:tcPr>
          <w:p w14:paraId="6DF67FD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98" w:type="dxa"/>
            <w:tcBorders>
              <w:top w:val="nil"/>
              <w:left w:val="nil"/>
              <w:bottom w:val="single" w:sz="4" w:space="0" w:color="auto"/>
              <w:right w:val="single" w:sz="4" w:space="0" w:color="auto"/>
            </w:tcBorders>
            <w:vAlign w:val="center"/>
            <w:hideMark/>
          </w:tcPr>
          <w:p w14:paraId="249328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2023-2030</w:t>
            </w:r>
          </w:p>
        </w:tc>
        <w:tc>
          <w:tcPr>
            <w:tcW w:w="948" w:type="dxa"/>
            <w:tcBorders>
              <w:top w:val="nil"/>
              <w:left w:val="nil"/>
              <w:bottom w:val="single" w:sz="4" w:space="0" w:color="auto"/>
              <w:right w:val="single" w:sz="4" w:space="0" w:color="auto"/>
            </w:tcBorders>
            <w:vAlign w:val="center"/>
            <w:hideMark/>
          </w:tcPr>
          <w:p w14:paraId="3C942E8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Serbia</w:t>
            </w:r>
          </w:p>
        </w:tc>
        <w:tc>
          <w:tcPr>
            <w:tcW w:w="881" w:type="dxa"/>
            <w:tcBorders>
              <w:top w:val="nil"/>
              <w:left w:val="nil"/>
              <w:bottom w:val="single" w:sz="4" w:space="0" w:color="auto"/>
              <w:right w:val="single" w:sz="4" w:space="0" w:color="auto"/>
            </w:tcBorders>
            <w:vAlign w:val="center"/>
            <w:hideMark/>
          </w:tcPr>
          <w:p w14:paraId="1BCAF0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Environmental Protection and UNDP</w:t>
            </w:r>
          </w:p>
        </w:tc>
        <w:tc>
          <w:tcPr>
            <w:tcW w:w="1127" w:type="dxa"/>
            <w:tcBorders>
              <w:top w:val="nil"/>
              <w:left w:val="nil"/>
              <w:bottom w:val="single" w:sz="4" w:space="0" w:color="auto"/>
              <w:right w:val="single" w:sz="4" w:space="0" w:color="auto"/>
            </w:tcBorders>
            <w:shd w:val="clear" w:color="000000" w:fill="BFBFBF"/>
            <w:noWrap/>
            <w:vAlign w:val="center"/>
            <w:hideMark/>
          </w:tcPr>
          <w:p w14:paraId="536EB776" w14:textId="77777777" w:rsidR="00DC2C1E" w:rsidRPr="0002056A" w:rsidRDefault="00DC2C1E" w:rsidP="007B0C07">
            <w:pPr>
              <w:spacing w:after="0" w:line="240" w:lineRule="auto"/>
              <w:rPr>
                <w:rFonts w:ascii="Calibri" w:eastAsia="Times New Roman" w:hAnsi="Calibri" w:cs="Calibri"/>
                <w:b/>
                <w:bCs/>
                <w:color w:val="000000"/>
                <w:sz w:val="10"/>
                <w:szCs w:val="10"/>
                <w:lang w:val="en-GB" w:eastAsia="hu-HU"/>
              </w:rPr>
            </w:pPr>
            <w:r w:rsidRPr="0002056A">
              <w:rPr>
                <w:rFonts w:ascii="Calibri" w:eastAsia="Times New Roman" w:hAnsi="Calibri"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noWrap/>
            <w:vAlign w:val="center"/>
            <w:hideMark/>
          </w:tcPr>
          <w:p w14:paraId="59811444"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noWrap/>
            <w:vAlign w:val="center"/>
            <w:hideMark/>
          </w:tcPr>
          <w:p w14:paraId="47F34BD8"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noWrap/>
            <w:vAlign w:val="center"/>
            <w:hideMark/>
          </w:tcPr>
          <w:p w14:paraId="5BB180D3"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43A7F2F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9AE5A91" w14:textId="77777777" w:rsidTr="007B0C07">
        <w:trPr>
          <w:trHeight w:val="59"/>
        </w:trPr>
        <w:tc>
          <w:tcPr>
            <w:tcW w:w="630" w:type="dxa"/>
            <w:vMerge/>
            <w:tcBorders>
              <w:top w:val="nil"/>
              <w:left w:val="single" w:sz="8" w:space="0" w:color="auto"/>
              <w:bottom w:val="single" w:sz="4" w:space="0" w:color="auto"/>
              <w:right w:val="single" w:sz="4" w:space="0" w:color="auto"/>
            </w:tcBorders>
            <w:vAlign w:val="center"/>
            <w:hideMark/>
          </w:tcPr>
          <w:p w14:paraId="72D311E4"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vAlign w:val="center"/>
            <w:hideMark/>
          </w:tcPr>
          <w:p w14:paraId="2662570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adaptation programme for the period 2023-2030</w:t>
            </w:r>
          </w:p>
        </w:tc>
        <w:tc>
          <w:tcPr>
            <w:tcW w:w="489" w:type="dxa"/>
            <w:tcBorders>
              <w:top w:val="nil"/>
              <w:left w:val="nil"/>
              <w:bottom w:val="single" w:sz="4" w:space="0" w:color="auto"/>
              <w:right w:val="single" w:sz="4" w:space="0" w:color="auto"/>
            </w:tcBorders>
            <w:vAlign w:val="center"/>
            <w:hideMark/>
          </w:tcPr>
          <w:p w14:paraId="25B29E6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689" w:type="dxa"/>
            <w:tcBorders>
              <w:top w:val="nil"/>
              <w:left w:val="nil"/>
              <w:bottom w:val="single" w:sz="4" w:space="0" w:color="auto"/>
              <w:right w:val="single" w:sz="4" w:space="0" w:color="auto"/>
            </w:tcBorders>
            <w:vAlign w:val="center"/>
            <w:hideMark/>
          </w:tcPr>
          <w:p w14:paraId="5073F2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2023-2030</w:t>
            </w:r>
          </w:p>
        </w:tc>
        <w:tc>
          <w:tcPr>
            <w:tcW w:w="948" w:type="dxa"/>
            <w:tcBorders>
              <w:top w:val="nil"/>
              <w:left w:val="nil"/>
              <w:bottom w:val="single" w:sz="4" w:space="0" w:color="auto"/>
              <w:right w:val="single" w:sz="4" w:space="0" w:color="auto"/>
            </w:tcBorders>
            <w:vAlign w:val="center"/>
            <w:hideMark/>
          </w:tcPr>
          <w:p w14:paraId="0B23F4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Serbia</w:t>
            </w:r>
          </w:p>
        </w:tc>
        <w:tc>
          <w:tcPr>
            <w:tcW w:w="1066" w:type="dxa"/>
            <w:tcBorders>
              <w:top w:val="nil"/>
              <w:left w:val="nil"/>
              <w:bottom w:val="single" w:sz="4" w:space="0" w:color="auto"/>
              <w:right w:val="single" w:sz="4" w:space="0" w:color="auto"/>
            </w:tcBorders>
            <w:vAlign w:val="center"/>
            <w:hideMark/>
          </w:tcPr>
          <w:p w14:paraId="7D7715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Environmental Protection and UNDP</w:t>
            </w:r>
          </w:p>
        </w:tc>
        <w:tc>
          <w:tcPr>
            <w:tcW w:w="1525" w:type="dxa"/>
            <w:tcBorders>
              <w:top w:val="nil"/>
              <w:left w:val="nil"/>
              <w:bottom w:val="single" w:sz="4" w:space="0" w:color="auto"/>
              <w:right w:val="single" w:sz="4" w:space="0" w:color="auto"/>
            </w:tcBorders>
            <w:shd w:val="clear" w:color="000000" w:fill="BFBFBF"/>
            <w:vAlign w:val="center"/>
            <w:hideMark/>
          </w:tcPr>
          <w:p w14:paraId="5C8D9D5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3FDAE4E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4B8C76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6A0F9D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89CCA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4205E95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77D6384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703ABF8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18D3A5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0A8E21A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F653E09" w14:textId="77777777" w:rsidTr="007B0C07">
        <w:trPr>
          <w:trHeight w:val="1023"/>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00D51E0F"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SLK</w:t>
            </w:r>
          </w:p>
        </w:tc>
        <w:tc>
          <w:tcPr>
            <w:tcW w:w="1526" w:type="dxa"/>
            <w:tcBorders>
              <w:top w:val="nil"/>
              <w:left w:val="nil"/>
              <w:bottom w:val="single" w:sz="4" w:space="0" w:color="auto"/>
              <w:right w:val="single" w:sz="4" w:space="0" w:color="auto"/>
            </w:tcBorders>
            <w:vAlign w:val="center"/>
            <w:hideMark/>
          </w:tcPr>
          <w:p w14:paraId="0AEECD7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Stratégia adaptácie slovenskej republiky na zmenu klímy (strategy for the adaptation of the slovak republic to climate change)</w:t>
            </w:r>
          </w:p>
        </w:tc>
        <w:tc>
          <w:tcPr>
            <w:tcW w:w="489" w:type="dxa"/>
            <w:tcBorders>
              <w:top w:val="nil"/>
              <w:left w:val="nil"/>
              <w:bottom w:val="single" w:sz="4" w:space="0" w:color="auto"/>
              <w:right w:val="single" w:sz="4" w:space="0" w:color="auto"/>
            </w:tcBorders>
            <w:vAlign w:val="center"/>
            <w:hideMark/>
          </w:tcPr>
          <w:p w14:paraId="064D019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89" w:type="dxa"/>
            <w:tcBorders>
              <w:top w:val="nil"/>
              <w:left w:val="nil"/>
              <w:bottom w:val="single" w:sz="4" w:space="0" w:color="auto"/>
              <w:right w:val="single" w:sz="4" w:space="0" w:color="auto"/>
            </w:tcBorders>
            <w:vAlign w:val="center"/>
            <w:hideMark/>
          </w:tcPr>
          <w:p w14:paraId="53419A2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2025-2031</w:t>
            </w:r>
          </w:p>
        </w:tc>
        <w:tc>
          <w:tcPr>
            <w:tcW w:w="948" w:type="dxa"/>
            <w:tcBorders>
              <w:top w:val="nil"/>
              <w:left w:val="nil"/>
              <w:bottom w:val="single" w:sz="4" w:space="0" w:color="auto"/>
              <w:right w:val="single" w:sz="4" w:space="0" w:color="auto"/>
            </w:tcBorders>
            <w:vAlign w:val="center"/>
            <w:hideMark/>
          </w:tcPr>
          <w:p w14:paraId="16C4ED5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1BD289F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of the Slovak Republic</w:t>
            </w:r>
          </w:p>
        </w:tc>
        <w:tc>
          <w:tcPr>
            <w:tcW w:w="1525" w:type="dxa"/>
            <w:tcBorders>
              <w:top w:val="nil"/>
              <w:left w:val="nil"/>
              <w:bottom w:val="single" w:sz="4" w:space="0" w:color="auto"/>
              <w:right w:val="single" w:sz="4" w:space="0" w:color="auto"/>
            </w:tcBorders>
            <w:vAlign w:val="center"/>
            <w:hideMark/>
          </w:tcPr>
          <w:p w14:paraId="77045EC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Akčný plán pre implementáciu Stratégie adaptácie SR na zmenu klímy (Action Plan for the Implementation of the Slovak Republic's Climate Change Adaptation Strategy)</w:t>
            </w:r>
          </w:p>
        </w:tc>
        <w:tc>
          <w:tcPr>
            <w:tcW w:w="466" w:type="dxa"/>
            <w:tcBorders>
              <w:top w:val="nil"/>
              <w:left w:val="nil"/>
              <w:bottom w:val="single" w:sz="4" w:space="0" w:color="auto"/>
              <w:right w:val="single" w:sz="4" w:space="0" w:color="auto"/>
            </w:tcBorders>
            <w:vAlign w:val="center"/>
            <w:hideMark/>
          </w:tcPr>
          <w:p w14:paraId="7DB547D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2E9209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2021-2030</w:t>
            </w:r>
          </w:p>
        </w:tc>
        <w:tc>
          <w:tcPr>
            <w:tcW w:w="948" w:type="dxa"/>
            <w:tcBorders>
              <w:top w:val="nil"/>
              <w:left w:val="nil"/>
              <w:bottom w:val="single" w:sz="4" w:space="0" w:color="auto"/>
              <w:right w:val="single" w:sz="4" w:space="0" w:color="auto"/>
            </w:tcBorders>
            <w:vAlign w:val="center"/>
            <w:hideMark/>
          </w:tcPr>
          <w:p w14:paraId="337035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72C5C8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w:t>
            </w:r>
          </w:p>
        </w:tc>
        <w:tc>
          <w:tcPr>
            <w:tcW w:w="1127" w:type="dxa"/>
            <w:tcBorders>
              <w:top w:val="nil"/>
              <w:left w:val="nil"/>
              <w:bottom w:val="single" w:sz="4" w:space="0" w:color="auto"/>
              <w:right w:val="single" w:sz="4" w:space="0" w:color="auto"/>
            </w:tcBorders>
            <w:shd w:val="clear" w:color="000000" w:fill="BFBFBF"/>
            <w:vAlign w:val="center"/>
            <w:hideMark/>
          </w:tcPr>
          <w:p w14:paraId="28A83D7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94A0B8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08A89D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47A643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50783A6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2F3B1AA" w14:textId="77777777" w:rsidTr="007B0C07">
        <w:trPr>
          <w:trHeight w:val="56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5A09B716"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SLN</w:t>
            </w:r>
          </w:p>
        </w:tc>
        <w:tc>
          <w:tcPr>
            <w:tcW w:w="1526" w:type="dxa"/>
            <w:tcBorders>
              <w:top w:val="nil"/>
              <w:left w:val="nil"/>
              <w:bottom w:val="single" w:sz="4" w:space="0" w:color="auto"/>
              <w:right w:val="single" w:sz="4" w:space="0" w:color="auto"/>
            </w:tcBorders>
            <w:vAlign w:val="center"/>
            <w:hideMark/>
          </w:tcPr>
          <w:p w14:paraId="41C19C5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Strategic framework for climate change adaptation</w:t>
            </w:r>
          </w:p>
        </w:tc>
        <w:tc>
          <w:tcPr>
            <w:tcW w:w="489" w:type="dxa"/>
            <w:tcBorders>
              <w:top w:val="nil"/>
              <w:left w:val="nil"/>
              <w:bottom w:val="single" w:sz="4" w:space="0" w:color="auto"/>
              <w:right w:val="single" w:sz="4" w:space="0" w:color="auto"/>
            </w:tcBorders>
            <w:vAlign w:val="center"/>
            <w:hideMark/>
          </w:tcPr>
          <w:p w14:paraId="3B9764D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689" w:type="dxa"/>
            <w:tcBorders>
              <w:top w:val="nil"/>
              <w:left w:val="nil"/>
              <w:bottom w:val="single" w:sz="4" w:space="0" w:color="auto"/>
              <w:right w:val="single" w:sz="4" w:space="0" w:color="auto"/>
            </w:tcBorders>
            <w:vAlign w:val="center"/>
            <w:hideMark/>
          </w:tcPr>
          <w:p w14:paraId="3A0343AC"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2050</w:t>
            </w:r>
          </w:p>
        </w:tc>
        <w:tc>
          <w:tcPr>
            <w:tcW w:w="948" w:type="dxa"/>
            <w:tcBorders>
              <w:top w:val="nil"/>
              <w:left w:val="nil"/>
              <w:bottom w:val="single" w:sz="4" w:space="0" w:color="auto"/>
              <w:right w:val="single" w:sz="4" w:space="0" w:color="auto"/>
            </w:tcBorders>
            <w:vAlign w:val="center"/>
            <w:hideMark/>
          </w:tcPr>
          <w:p w14:paraId="2A47FB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Assembly</w:t>
            </w:r>
          </w:p>
        </w:tc>
        <w:tc>
          <w:tcPr>
            <w:tcW w:w="1066" w:type="dxa"/>
            <w:tcBorders>
              <w:top w:val="nil"/>
              <w:left w:val="nil"/>
              <w:bottom w:val="single" w:sz="4" w:space="0" w:color="auto"/>
              <w:right w:val="single" w:sz="4" w:space="0" w:color="auto"/>
            </w:tcBorders>
            <w:vAlign w:val="center"/>
            <w:hideMark/>
          </w:tcPr>
          <w:p w14:paraId="268BD57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Spatial Planning.</w:t>
            </w:r>
          </w:p>
        </w:tc>
        <w:tc>
          <w:tcPr>
            <w:tcW w:w="1525" w:type="dxa"/>
            <w:tcBorders>
              <w:top w:val="nil"/>
              <w:left w:val="nil"/>
              <w:bottom w:val="single" w:sz="4" w:space="0" w:color="auto"/>
              <w:right w:val="single" w:sz="4" w:space="0" w:color="auto"/>
            </w:tcBorders>
            <w:shd w:val="clear" w:color="000000" w:fill="BFBFBF"/>
            <w:vAlign w:val="center"/>
            <w:hideMark/>
          </w:tcPr>
          <w:p w14:paraId="5D8897C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C34C3C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6F47927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7CBC6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4F8B68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shd w:val="clear" w:color="000000" w:fill="BFBFBF"/>
            <w:vAlign w:val="center"/>
            <w:hideMark/>
          </w:tcPr>
          <w:p w14:paraId="322A74B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21CBEBF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2729378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73432D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7339295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1602056" w14:textId="77777777" w:rsidTr="007B0C07">
        <w:trPr>
          <w:trHeight w:val="941"/>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09F3B67B"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SPA</w:t>
            </w:r>
          </w:p>
        </w:tc>
        <w:tc>
          <w:tcPr>
            <w:tcW w:w="1526" w:type="dxa"/>
            <w:tcBorders>
              <w:top w:val="nil"/>
              <w:left w:val="nil"/>
              <w:bottom w:val="single" w:sz="4" w:space="0" w:color="auto"/>
              <w:right w:val="single" w:sz="4" w:space="0" w:color="auto"/>
            </w:tcBorders>
            <w:vAlign w:val="center"/>
            <w:hideMark/>
          </w:tcPr>
          <w:p w14:paraId="65AC399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Plan nacional de adaptación al cambio climático 2021-2030 (national climate change adaptation plan 2021-2030)</w:t>
            </w:r>
          </w:p>
        </w:tc>
        <w:tc>
          <w:tcPr>
            <w:tcW w:w="489" w:type="dxa"/>
            <w:tcBorders>
              <w:top w:val="nil"/>
              <w:left w:val="nil"/>
              <w:bottom w:val="single" w:sz="4" w:space="0" w:color="auto"/>
              <w:right w:val="single" w:sz="4" w:space="0" w:color="auto"/>
            </w:tcBorders>
            <w:vAlign w:val="center"/>
            <w:hideMark/>
          </w:tcPr>
          <w:p w14:paraId="1B2941F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89" w:type="dxa"/>
            <w:tcBorders>
              <w:top w:val="nil"/>
              <w:left w:val="nil"/>
              <w:bottom w:val="single" w:sz="4" w:space="0" w:color="auto"/>
              <w:right w:val="single" w:sz="4" w:space="0" w:color="auto"/>
            </w:tcBorders>
            <w:vAlign w:val="center"/>
            <w:hideMark/>
          </w:tcPr>
          <w:p w14:paraId="18D3CBB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2021-2030</w:t>
            </w:r>
          </w:p>
        </w:tc>
        <w:tc>
          <w:tcPr>
            <w:tcW w:w="948" w:type="dxa"/>
            <w:tcBorders>
              <w:top w:val="nil"/>
              <w:left w:val="nil"/>
              <w:bottom w:val="single" w:sz="4" w:space="0" w:color="auto"/>
              <w:right w:val="single" w:sz="4" w:space="0" w:color="auto"/>
            </w:tcBorders>
            <w:vAlign w:val="center"/>
            <w:hideMark/>
          </w:tcPr>
          <w:p w14:paraId="1039F2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1A1B26B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Ecological Transition and the Demographic Challenge (MITECO)</w:t>
            </w:r>
          </w:p>
        </w:tc>
        <w:tc>
          <w:tcPr>
            <w:tcW w:w="1525" w:type="dxa"/>
            <w:tcBorders>
              <w:top w:val="nil"/>
              <w:left w:val="nil"/>
              <w:bottom w:val="single" w:sz="4" w:space="0" w:color="auto"/>
              <w:right w:val="single" w:sz="4" w:space="0" w:color="auto"/>
            </w:tcBorders>
            <w:vAlign w:val="center"/>
            <w:hideMark/>
          </w:tcPr>
          <w:p w14:paraId="1EA8773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Plan nacional de adaptación al cambio climático programa de trabajo 2021-2025 (national climate change adaptation plan work program 2021-2025)</w:t>
            </w:r>
          </w:p>
        </w:tc>
        <w:tc>
          <w:tcPr>
            <w:tcW w:w="466" w:type="dxa"/>
            <w:tcBorders>
              <w:top w:val="nil"/>
              <w:left w:val="nil"/>
              <w:bottom w:val="single" w:sz="4" w:space="0" w:color="auto"/>
              <w:right w:val="single" w:sz="4" w:space="0" w:color="auto"/>
            </w:tcBorders>
            <w:vAlign w:val="center"/>
            <w:hideMark/>
          </w:tcPr>
          <w:p w14:paraId="3FF18EA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698" w:type="dxa"/>
            <w:tcBorders>
              <w:top w:val="nil"/>
              <w:left w:val="nil"/>
              <w:bottom w:val="single" w:sz="4" w:space="0" w:color="auto"/>
              <w:right w:val="single" w:sz="4" w:space="0" w:color="auto"/>
            </w:tcBorders>
            <w:vAlign w:val="center"/>
            <w:hideMark/>
          </w:tcPr>
          <w:p w14:paraId="30FAA68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2021-2025</w:t>
            </w:r>
          </w:p>
        </w:tc>
        <w:tc>
          <w:tcPr>
            <w:tcW w:w="948" w:type="dxa"/>
            <w:tcBorders>
              <w:top w:val="nil"/>
              <w:left w:val="nil"/>
              <w:bottom w:val="single" w:sz="4" w:space="0" w:color="auto"/>
              <w:right w:val="single" w:sz="4" w:space="0" w:color="auto"/>
            </w:tcBorders>
            <w:vAlign w:val="center"/>
            <w:hideMark/>
          </w:tcPr>
          <w:p w14:paraId="1AD3B8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4746B6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the Ecological Transition and the Demographic Challenge (MITECO)</w:t>
            </w:r>
          </w:p>
        </w:tc>
        <w:tc>
          <w:tcPr>
            <w:tcW w:w="1127" w:type="dxa"/>
            <w:tcBorders>
              <w:top w:val="nil"/>
              <w:left w:val="nil"/>
              <w:bottom w:val="single" w:sz="4" w:space="0" w:color="auto"/>
              <w:right w:val="single" w:sz="4" w:space="0" w:color="auto"/>
            </w:tcBorders>
            <w:vAlign w:val="center"/>
            <w:hideMark/>
          </w:tcPr>
          <w:p w14:paraId="7EE1EE1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Seventh National Communication of Spain United Nations Framework Convention on Climate Change</w:t>
            </w:r>
          </w:p>
        </w:tc>
        <w:tc>
          <w:tcPr>
            <w:tcW w:w="466" w:type="dxa"/>
            <w:tcBorders>
              <w:top w:val="nil"/>
              <w:left w:val="nil"/>
              <w:bottom w:val="single" w:sz="4" w:space="0" w:color="auto"/>
              <w:right w:val="single" w:sz="4" w:space="0" w:color="auto"/>
            </w:tcBorders>
            <w:vAlign w:val="center"/>
            <w:hideMark/>
          </w:tcPr>
          <w:p w14:paraId="3C78A05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30" w:type="dxa"/>
            <w:tcBorders>
              <w:top w:val="nil"/>
              <w:left w:val="nil"/>
              <w:bottom w:val="single" w:sz="4" w:space="0" w:color="auto"/>
              <w:right w:val="single" w:sz="4" w:space="0" w:color="auto"/>
            </w:tcBorders>
            <w:vAlign w:val="center"/>
            <w:hideMark/>
          </w:tcPr>
          <w:p w14:paraId="7AACAA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4D115D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2E4DFF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Fisheries, Food and Environment</w:t>
            </w:r>
          </w:p>
        </w:tc>
      </w:tr>
      <w:tr w:rsidR="00DC2C1E" w:rsidRPr="0002056A" w14:paraId="30D71236" w14:textId="77777777" w:rsidTr="007B0C07">
        <w:trPr>
          <w:trHeight w:val="1115"/>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5FC532AC"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SWE</w:t>
            </w:r>
          </w:p>
        </w:tc>
        <w:tc>
          <w:tcPr>
            <w:tcW w:w="1526" w:type="dxa"/>
            <w:tcBorders>
              <w:top w:val="nil"/>
              <w:left w:val="nil"/>
              <w:bottom w:val="single" w:sz="4" w:space="0" w:color="auto"/>
              <w:right w:val="single" w:sz="4" w:space="0" w:color="auto"/>
            </w:tcBorders>
            <w:vAlign w:val="center"/>
            <w:hideMark/>
          </w:tcPr>
          <w:p w14:paraId="2B35C98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Nationell strategi och regeringens handlingsplan </w:t>
            </w:r>
            <w:r w:rsidRPr="0002056A">
              <w:rPr>
                <w:rFonts w:ascii="Georgia" w:eastAsia="Times New Roman" w:hAnsi="Georgia" w:cs="Calibri"/>
                <w:b/>
                <w:bCs/>
                <w:color w:val="000000"/>
                <w:sz w:val="10"/>
                <w:szCs w:val="10"/>
                <w:lang w:val="en-GB" w:eastAsia="hu-HU"/>
              </w:rPr>
              <w:br/>
              <w:t>för klimatanpassning (National Strategy and the Government’s Action Plan for Climate Change Adaptation) (Skr. 2023/24:97)</w:t>
            </w:r>
          </w:p>
        </w:tc>
        <w:tc>
          <w:tcPr>
            <w:tcW w:w="489" w:type="dxa"/>
            <w:tcBorders>
              <w:top w:val="nil"/>
              <w:left w:val="nil"/>
              <w:bottom w:val="single" w:sz="4" w:space="0" w:color="auto"/>
              <w:right w:val="single" w:sz="4" w:space="0" w:color="auto"/>
            </w:tcBorders>
            <w:vAlign w:val="center"/>
            <w:hideMark/>
          </w:tcPr>
          <w:p w14:paraId="498010B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510DEE75"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2030</w:t>
            </w:r>
          </w:p>
        </w:tc>
        <w:tc>
          <w:tcPr>
            <w:tcW w:w="948" w:type="dxa"/>
            <w:tcBorders>
              <w:top w:val="nil"/>
              <w:left w:val="nil"/>
              <w:bottom w:val="single" w:sz="4" w:space="0" w:color="auto"/>
              <w:right w:val="single" w:sz="4" w:space="0" w:color="auto"/>
            </w:tcBorders>
            <w:vAlign w:val="center"/>
            <w:hideMark/>
          </w:tcPr>
          <w:p w14:paraId="1E81DE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77388F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 Ministry of the Environment and Energy</w:t>
            </w:r>
          </w:p>
        </w:tc>
        <w:tc>
          <w:tcPr>
            <w:tcW w:w="1525" w:type="dxa"/>
            <w:tcBorders>
              <w:top w:val="nil"/>
              <w:left w:val="nil"/>
              <w:bottom w:val="single" w:sz="4" w:space="0" w:color="auto"/>
              <w:right w:val="single" w:sz="4" w:space="0" w:color="auto"/>
            </w:tcBorders>
            <w:shd w:val="clear" w:color="000000" w:fill="BFBFBF"/>
            <w:vAlign w:val="center"/>
            <w:hideMark/>
          </w:tcPr>
          <w:p w14:paraId="4FE30F5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54CFF55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4903CCB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31D0841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2767F5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5A30718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Sweden’s third Biennial Report under the UNFCCC</w:t>
            </w:r>
          </w:p>
        </w:tc>
        <w:tc>
          <w:tcPr>
            <w:tcW w:w="466" w:type="dxa"/>
            <w:tcBorders>
              <w:top w:val="nil"/>
              <w:left w:val="nil"/>
              <w:bottom w:val="single" w:sz="4" w:space="0" w:color="auto"/>
              <w:right w:val="single" w:sz="4" w:space="0" w:color="auto"/>
            </w:tcBorders>
            <w:vAlign w:val="center"/>
            <w:hideMark/>
          </w:tcPr>
          <w:p w14:paraId="0F80FDC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629551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155906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357F8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Energy</w:t>
            </w:r>
          </w:p>
        </w:tc>
      </w:tr>
      <w:tr w:rsidR="00DC2C1E" w:rsidRPr="0002056A" w14:paraId="6D1D8061" w14:textId="77777777" w:rsidTr="007B0C07">
        <w:trPr>
          <w:trHeight w:val="560"/>
        </w:trPr>
        <w:tc>
          <w:tcPr>
            <w:tcW w:w="630" w:type="dxa"/>
            <w:vMerge/>
            <w:tcBorders>
              <w:top w:val="nil"/>
              <w:left w:val="single" w:sz="8" w:space="0" w:color="auto"/>
              <w:bottom w:val="single" w:sz="4" w:space="0" w:color="auto"/>
              <w:right w:val="single" w:sz="4" w:space="0" w:color="auto"/>
            </w:tcBorders>
            <w:vAlign w:val="center"/>
            <w:hideMark/>
          </w:tcPr>
          <w:p w14:paraId="45E25DA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182EFCA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5D9F3C4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40D75C2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20F8575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vAlign w:val="center"/>
            <w:hideMark/>
          </w:tcPr>
          <w:p w14:paraId="723C278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08C6693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3EBE91A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2FE7BD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6857997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03A7EC9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5C2BF55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Sweden’s Seventh National Communication on Climate Change</w:t>
            </w:r>
          </w:p>
        </w:tc>
        <w:tc>
          <w:tcPr>
            <w:tcW w:w="466" w:type="dxa"/>
            <w:tcBorders>
              <w:top w:val="nil"/>
              <w:left w:val="nil"/>
              <w:bottom w:val="single" w:sz="4" w:space="0" w:color="auto"/>
              <w:right w:val="single" w:sz="4" w:space="0" w:color="auto"/>
            </w:tcBorders>
            <w:vAlign w:val="center"/>
            <w:hideMark/>
          </w:tcPr>
          <w:p w14:paraId="1D708D1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01E237F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5E8A2C4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75D0FA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Energy</w:t>
            </w:r>
          </w:p>
        </w:tc>
      </w:tr>
      <w:tr w:rsidR="00DC2C1E" w:rsidRPr="0002056A" w14:paraId="30144C30" w14:textId="77777777" w:rsidTr="007B0C07">
        <w:trPr>
          <w:trHeight w:val="1260"/>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1FD2F151"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SWI</w:t>
            </w:r>
          </w:p>
        </w:tc>
        <w:tc>
          <w:tcPr>
            <w:tcW w:w="1526" w:type="dxa"/>
            <w:tcBorders>
              <w:top w:val="nil"/>
              <w:left w:val="nil"/>
              <w:bottom w:val="single" w:sz="4" w:space="0" w:color="auto"/>
              <w:right w:val="single" w:sz="4" w:space="0" w:color="auto"/>
            </w:tcBorders>
            <w:vAlign w:val="center"/>
            <w:hideMark/>
          </w:tcPr>
          <w:p w14:paraId="7A806F7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Adaptation to climate change in Switzerland</w:t>
            </w:r>
          </w:p>
        </w:tc>
        <w:tc>
          <w:tcPr>
            <w:tcW w:w="489" w:type="dxa"/>
            <w:tcBorders>
              <w:top w:val="nil"/>
              <w:left w:val="nil"/>
              <w:bottom w:val="single" w:sz="4" w:space="0" w:color="auto"/>
              <w:right w:val="single" w:sz="4" w:space="0" w:color="auto"/>
            </w:tcBorders>
            <w:vAlign w:val="center"/>
            <w:hideMark/>
          </w:tcPr>
          <w:p w14:paraId="2C4012A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w:t>
            </w:r>
          </w:p>
        </w:tc>
        <w:tc>
          <w:tcPr>
            <w:tcW w:w="689" w:type="dxa"/>
            <w:tcBorders>
              <w:top w:val="nil"/>
              <w:left w:val="nil"/>
              <w:bottom w:val="single" w:sz="4" w:space="0" w:color="auto"/>
              <w:right w:val="single" w:sz="4" w:space="0" w:color="auto"/>
            </w:tcBorders>
            <w:vAlign w:val="center"/>
            <w:hideMark/>
          </w:tcPr>
          <w:p w14:paraId="31193B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vAlign w:val="center"/>
            <w:hideMark/>
          </w:tcPr>
          <w:p w14:paraId="3008E65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Interdepartmental Committee on Climate (IDA Climate) project group</w:t>
            </w:r>
          </w:p>
        </w:tc>
        <w:tc>
          <w:tcPr>
            <w:tcW w:w="1066" w:type="dxa"/>
            <w:tcBorders>
              <w:top w:val="nil"/>
              <w:left w:val="nil"/>
              <w:bottom w:val="single" w:sz="4" w:space="0" w:color="auto"/>
              <w:right w:val="single" w:sz="4" w:space="0" w:color="auto"/>
            </w:tcBorders>
            <w:vAlign w:val="center"/>
            <w:hideMark/>
          </w:tcPr>
          <w:p w14:paraId="60795E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Office for the Environment (FOEN)</w:t>
            </w:r>
          </w:p>
        </w:tc>
        <w:tc>
          <w:tcPr>
            <w:tcW w:w="1525" w:type="dxa"/>
            <w:tcBorders>
              <w:top w:val="nil"/>
              <w:left w:val="nil"/>
              <w:bottom w:val="single" w:sz="4" w:space="0" w:color="auto"/>
              <w:right w:val="single" w:sz="4" w:space="0" w:color="auto"/>
            </w:tcBorders>
            <w:vAlign w:val="center"/>
            <w:hideMark/>
          </w:tcPr>
          <w:p w14:paraId="2B1C557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Anpassung an den Klimawandel in der Schweiz Aktionsplan 2020–2025 (Adaptation to Climate Change in Switzerland Action Plan 2020–2025)</w:t>
            </w:r>
          </w:p>
        </w:tc>
        <w:tc>
          <w:tcPr>
            <w:tcW w:w="466" w:type="dxa"/>
            <w:tcBorders>
              <w:top w:val="nil"/>
              <w:left w:val="nil"/>
              <w:bottom w:val="single" w:sz="4" w:space="0" w:color="auto"/>
              <w:right w:val="single" w:sz="4" w:space="0" w:color="auto"/>
            </w:tcBorders>
            <w:vAlign w:val="center"/>
            <w:hideMark/>
          </w:tcPr>
          <w:p w14:paraId="7907119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698" w:type="dxa"/>
            <w:tcBorders>
              <w:top w:val="nil"/>
              <w:left w:val="nil"/>
              <w:bottom w:val="single" w:sz="4" w:space="0" w:color="auto"/>
              <w:right w:val="single" w:sz="4" w:space="0" w:color="auto"/>
            </w:tcBorders>
            <w:vAlign w:val="center"/>
            <w:hideMark/>
          </w:tcPr>
          <w:p w14:paraId="1F3AAE8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2020-2025</w:t>
            </w:r>
          </w:p>
        </w:tc>
        <w:tc>
          <w:tcPr>
            <w:tcW w:w="948" w:type="dxa"/>
            <w:tcBorders>
              <w:top w:val="nil"/>
              <w:left w:val="nil"/>
              <w:bottom w:val="single" w:sz="4" w:space="0" w:color="auto"/>
              <w:right w:val="single" w:sz="4" w:space="0" w:color="auto"/>
            </w:tcBorders>
            <w:vAlign w:val="center"/>
            <w:hideMark/>
          </w:tcPr>
          <w:p w14:paraId="2945BDB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Interdepartmental Committee on Climate (IDA Climate) project group</w:t>
            </w:r>
          </w:p>
        </w:tc>
        <w:tc>
          <w:tcPr>
            <w:tcW w:w="881" w:type="dxa"/>
            <w:tcBorders>
              <w:top w:val="nil"/>
              <w:left w:val="nil"/>
              <w:bottom w:val="single" w:sz="4" w:space="0" w:color="auto"/>
              <w:right w:val="single" w:sz="4" w:space="0" w:color="auto"/>
            </w:tcBorders>
            <w:vAlign w:val="center"/>
            <w:hideMark/>
          </w:tcPr>
          <w:p w14:paraId="738C05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Office for the Environment</w:t>
            </w:r>
          </w:p>
        </w:tc>
        <w:tc>
          <w:tcPr>
            <w:tcW w:w="1127" w:type="dxa"/>
            <w:tcBorders>
              <w:top w:val="nil"/>
              <w:left w:val="nil"/>
              <w:bottom w:val="single" w:sz="4" w:space="0" w:color="auto"/>
              <w:right w:val="single" w:sz="4" w:space="0" w:color="auto"/>
            </w:tcBorders>
            <w:vAlign w:val="center"/>
            <w:hideMark/>
          </w:tcPr>
          <w:p w14:paraId="5DB8E84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Amendment to Switzerland’s Seventh National Communication and Third Biennial Report under the UNFCCC</w:t>
            </w:r>
          </w:p>
        </w:tc>
        <w:tc>
          <w:tcPr>
            <w:tcW w:w="466" w:type="dxa"/>
            <w:tcBorders>
              <w:top w:val="nil"/>
              <w:left w:val="nil"/>
              <w:bottom w:val="single" w:sz="4" w:space="0" w:color="auto"/>
              <w:right w:val="single" w:sz="4" w:space="0" w:color="auto"/>
            </w:tcBorders>
            <w:vAlign w:val="center"/>
            <w:hideMark/>
          </w:tcPr>
          <w:p w14:paraId="19B5041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30" w:type="dxa"/>
            <w:tcBorders>
              <w:top w:val="nil"/>
              <w:left w:val="nil"/>
              <w:bottom w:val="single" w:sz="4" w:space="0" w:color="auto"/>
              <w:right w:val="single" w:sz="4" w:space="0" w:color="auto"/>
            </w:tcBorders>
            <w:vAlign w:val="center"/>
            <w:hideMark/>
          </w:tcPr>
          <w:p w14:paraId="506A43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17BB466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068825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Swiss Federal Office for the Environment</w:t>
            </w:r>
          </w:p>
        </w:tc>
      </w:tr>
      <w:tr w:rsidR="00DC2C1E" w:rsidRPr="0002056A" w14:paraId="677AA6DB" w14:textId="77777777" w:rsidTr="007B0C07">
        <w:trPr>
          <w:trHeight w:val="840"/>
        </w:trPr>
        <w:tc>
          <w:tcPr>
            <w:tcW w:w="630" w:type="dxa"/>
            <w:vMerge/>
            <w:tcBorders>
              <w:top w:val="nil"/>
              <w:left w:val="single" w:sz="8" w:space="0" w:color="auto"/>
              <w:bottom w:val="single" w:sz="4" w:space="0" w:color="auto"/>
              <w:right w:val="single" w:sz="4" w:space="0" w:color="auto"/>
            </w:tcBorders>
            <w:vAlign w:val="center"/>
            <w:hideMark/>
          </w:tcPr>
          <w:p w14:paraId="15BBA45B"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5A9D058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vAlign w:val="center"/>
            <w:hideMark/>
          </w:tcPr>
          <w:p w14:paraId="54E92CE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vAlign w:val="center"/>
            <w:hideMark/>
          </w:tcPr>
          <w:p w14:paraId="106BC01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0B4A1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noWrap/>
            <w:vAlign w:val="center"/>
            <w:hideMark/>
          </w:tcPr>
          <w:p w14:paraId="7C9BC461"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525" w:type="dxa"/>
            <w:tcBorders>
              <w:top w:val="nil"/>
              <w:left w:val="nil"/>
              <w:bottom w:val="single" w:sz="4" w:space="0" w:color="auto"/>
              <w:right w:val="single" w:sz="4" w:space="0" w:color="auto"/>
            </w:tcBorders>
            <w:shd w:val="clear" w:color="000000" w:fill="BFBFBF"/>
            <w:vAlign w:val="center"/>
            <w:hideMark/>
          </w:tcPr>
          <w:p w14:paraId="7EC9C82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1E10776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4" w:space="0" w:color="auto"/>
              <w:right w:val="single" w:sz="4" w:space="0" w:color="auto"/>
            </w:tcBorders>
            <w:shd w:val="clear" w:color="000000" w:fill="BFBFBF"/>
            <w:vAlign w:val="center"/>
            <w:hideMark/>
          </w:tcPr>
          <w:p w14:paraId="78C09DC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vAlign w:val="center"/>
            <w:hideMark/>
          </w:tcPr>
          <w:p w14:paraId="1071B7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4" w:space="0" w:color="auto"/>
              <w:right w:val="single" w:sz="4" w:space="0" w:color="auto"/>
            </w:tcBorders>
            <w:shd w:val="clear" w:color="000000" w:fill="BFBFBF"/>
            <w:vAlign w:val="center"/>
            <w:hideMark/>
          </w:tcPr>
          <w:p w14:paraId="7597C72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4" w:space="0" w:color="auto"/>
              <w:right w:val="single" w:sz="4" w:space="0" w:color="auto"/>
            </w:tcBorders>
            <w:vAlign w:val="center"/>
            <w:hideMark/>
          </w:tcPr>
          <w:p w14:paraId="5AC070E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Switzerland’s Seventh National Communication and Third Biennial Report under the UNFCCC</w:t>
            </w:r>
          </w:p>
        </w:tc>
        <w:tc>
          <w:tcPr>
            <w:tcW w:w="466" w:type="dxa"/>
            <w:tcBorders>
              <w:top w:val="nil"/>
              <w:left w:val="nil"/>
              <w:bottom w:val="single" w:sz="4" w:space="0" w:color="auto"/>
              <w:right w:val="single" w:sz="4" w:space="0" w:color="auto"/>
            </w:tcBorders>
            <w:vAlign w:val="center"/>
            <w:hideMark/>
          </w:tcPr>
          <w:p w14:paraId="23B8DF7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30" w:type="dxa"/>
            <w:tcBorders>
              <w:top w:val="nil"/>
              <w:left w:val="nil"/>
              <w:bottom w:val="single" w:sz="4" w:space="0" w:color="auto"/>
              <w:right w:val="single" w:sz="4" w:space="0" w:color="auto"/>
            </w:tcBorders>
            <w:vAlign w:val="center"/>
            <w:hideMark/>
          </w:tcPr>
          <w:p w14:paraId="066252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04F23A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5BABC3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Swiss Federal Office for the Environment</w:t>
            </w:r>
          </w:p>
        </w:tc>
      </w:tr>
      <w:tr w:rsidR="00DC2C1E" w:rsidRPr="0002056A" w14:paraId="5ED8B14D" w14:textId="77777777" w:rsidTr="007B0C07">
        <w:trPr>
          <w:trHeight w:val="943"/>
        </w:trPr>
        <w:tc>
          <w:tcPr>
            <w:tcW w:w="630" w:type="dxa"/>
            <w:vMerge w:val="restart"/>
            <w:tcBorders>
              <w:top w:val="nil"/>
              <w:left w:val="single" w:sz="8" w:space="0" w:color="auto"/>
              <w:bottom w:val="single" w:sz="4" w:space="0" w:color="auto"/>
              <w:right w:val="single" w:sz="4" w:space="0" w:color="auto"/>
            </w:tcBorders>
            <w:shd w:val="clear" w:color="000000" w:fill="C6E0B4"/>
            <w:noWrap/>
            <w:vAlign w:val="center"/>
            <w:hideMark/>
          </w:tcPr>
          <w:p w14:paraId="6760123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lastRenderedPageBreak/>
              <w:t>NRL</w:t>
            </w:r>
          </w:p>
        </w:tc>
        <w:tc>
          <w:tcPr>
            <w:tcW w:w="1526" w:type="dxa"/>
            <w:tcBorders>
              <w:top w:val="nil"/>
              <w:left w:val="nil"/>
              <w:bottom w:val="single" w:sz="4" w:space="0" w:color="auto"/>
              <w:right w:val="single" w:sz="4" w:space="0" w:color="auto"/>
            </w:tcBorders>
            <w:vAlign w:val="center"/>
            <w:hideMark/>
          </w:tcPr>
          <w:p w14:paraId="6BA704E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Adaptation Strategy</w:t>
            </w:r>
          </w:p>
        </w:tc>
        <w:tc>
          <w:tcPr>
            <w:tcW w:w="489" w:type="dxa"/>
            <w:tcBorders>
              <w:top w:val="nil"/>
              <w:left w:val="nil"/>
              <w:bottom w:val="single" w:sz="4" w:space="0" w:color="auto"/>
              <w:right w:val="single" w:sz="4" w:space="0" w:color="auto"/>
            </w:tcBorders>
            <w:vAlign w:val="center"/>
            <w:hideMark/>
          </w:tcPr>
          <w:p w14:paraId="017495C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689" w:type="dxa"/>
            <w:tcBorders>
              <w:top w:val="nil"/>
              <w:left w:val="nil"/>
              <w:bottom w:val="single" w:sz="4" w:space="0" w:color="auto"/>
              <w:right w:val="single" w:sz="4" w:space="0" w:color="auto"/>
            </w:tcBorders>
            <w:vAlign w:val="center"/>
            <w:hideMark/>
          </w:tcPr>
          <w:p w14:paraId="70A27DB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not declared (presumably 2030)</w:t>
            </w:r>
          </w:p>
        </w:tc>
        <w:tc>
          <w:tcPr>
            <w:tcW w:w="948" w:type="dxa"/>
            <w:tcBorders>
              <w:top w:val="nil"/>
              <w:left w:val="nil"/>
              <w:bottom w:val="single" w:sz="4" w:space="0" w:color="auto"/>
              <w:right w:val="single" w:sz="4" w:space="0" w:color="auto"/>
            </w:tcBorders>
            <w:vAlign w:val="center"/>
            <w:hideMark/>
          </w:tcPr>
          <w:p w14:paraId="24BD6C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11E94E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Infrastructure and Environment</w:t>
            </w:r>
          </w:p>
        </w:tc>
        <w:tc>
          <w:tcPr>
            <w:tcW w:w="1525" w:type="dxa"/>
            <w:tcBorders>
              <w:top w:val="nil"/>
              <w:left w:val="nil"/>
              <w:bottom w:val="single" w:sz="4" w:space="0" w:color="auto"/>
              <w:right w:val="single" w:sz="4" w:space="0" w:color="auto"/>
            </w:tcBorders>
            <w:vAlign w:val="center"/>
            <w:hideMark/>
          </w:tcPr>
          <w:p w14:paraId="3E62626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Implementing with ambition - Implementation Programme 2018 – 2019 National Climate Adaptation Strategy (NAS) of the Netherlands</w:t>
            </w:r>
          </w:p>
        </w:tc>
        <w:tc>
          <w:tcPr>
            <w:tcW w:w="466" w:type="dxa"/>
            <w:tcBorders>
              <w:top w:val="nil"/>
              <w:left w:val="nil"/>
              <w:bottom w:val="single" w:sz="4" w:space="0" w:color="auto"/>
              <w:right w:val="single" w:sz="4" w:space="0" w:color="auto"/>
            </w:tcBorders>
            <w:vAlign w:val="center"/>
            <w:hideMark/>
          </w:tcPr>
          <w:p w14:paraId="5F66657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698" w:type="dxa"/>
            <w:tcBorders>
              <w:top w:val="nil"/>
              <w:left w:val="nil"/>
              <w:bottom w:val="single" w:sz="4" w:space="0" w:color="auto"/>
              <w:right w:val="single" w:sz="4" w:space="0" w:color="auto"/>
            </w:tcBorders>
            <w:vAlign w:val="center"/>
            <w:hideMark/>
          </w:tcPr>
          <w:p w14:paraId="76500BE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2018-2019</w:t>
            </w:r>
          </w:p>
        </w:tc>
        <w:tc>
          <w:tcPr>
            <w:tcW w:w="948" w:type="dxa"/>
            <w:tcBorders>
              <w:top w:val="nil"/>
              <w:left w:val="nil"/>
              <w:bottom w:val="single" w:sz="4" w:space="0" w:color="auto"/>
              <w:right w:val="single" w:sz="4" w:space="0" w:color="auto"/>
            </w:tcBorders>
            <w:vAlign w:val="center"/>
            <w:hideMark/>
          </w:tcPr>
          <w:p w14:paraId="77E49B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1834BC6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Infrastructure and Water Management</w:t>
            </w:r>
          </w:p>
        </w:tc>
        <w:tc>
          <w:tcPr>
            <w:tcW w:w="1127" w:type="dxa"/>
            <w:tcBorders>
              <w:top w:val="nil"/>
              <w:left w:val="nil"/>
              <w:bottom w:val="single" w:sz="4" w:space="0" w:color="auto"/>
              <w:right w:val="single" w:sz="4" w:space="0" w:color="auto"/>
            </w:tcBorders>
            <w:vAlign w:val="center"/>
            <w:hideMark/>
          </w:tcPr>
          <w:p w14:paraId="3A2B6CD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Seventh Netherlands National Communication under the United Nations Framework Convention on Climate Change</w:t>
            </w:r>
          </w:p>
        </w:tc>
        <w:tc>
          <w:tcPr>
            <w:tcW w:w="466" w:type="dxa"/>
            <w:tcBorders>
              <w:top w:val="nil"/>
              <w:left w:val="nil"/>
              <w:bottom w:val="single" w:sz="4" w:space="0" w:color="auto"/>
              <w:right w:val="single" w:sz="4" w:space="0" w:color="auto"/>
            </w:tcBorders>
            <w:vAlign w:val="center"/>
            <w:hideMark/>
          </w:tcPr>
          <w:p w14:paraId="2EFB564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630" w:type="dxa"/>
            <w:tcBorders>
              <w:top w:val="nil"/>
              <w:left w:val="nil"/>
              <w:bottom w:val="single" w:sz="4" w:space="0" w:color="auto"/>
              <w:right w:val="single" w:sz="4" w:space="0" w:color="auto"/>
            </w:tcBorders>
            <w:vAlign w:val="center"/>
            <w:hideMark/>
          </w:tcPr>
          <w:p w14:paraId="7B2920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73C653B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A8797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Economic Affairs and Climate Policy</w:t>
            </w:r>
          </w:p>
        </w:tc>
      </w:tr>
      <w:tr w:rsidR="00DC2C1E" w:rsidRPr="0002056A" w14:paraId="0A25A474" w14:textId="77777777" w:rsidTr="007B0C07">
        <w:trPr>
          <w:trHeight w:val="1372"/>
        </w:trPr>
        <w:tc>
          <w:tcPr>
            <w:tcW w:w="630" w:type="dxa"/>
            <w:vMerge/>
            <w:tcBorders>
              <w:top w:val="nil"/>
              <w:left w:val="single" w:sz="8" w:space="0" w:color="auto"/>
              <w:bottom w:val="single" w:sz="4" w:space="0" w:color="auto"/>
              <w:right w:val="single" w:sz="4" w:space="0" w:color="auto"/>
            </w:tcBorders>
            <w:vAlign w:val="center"/>
            <w:hideMark/>
          </w:tcPr>
          <w:p w14:paraId="3A16B888"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526" w:type="dxa"/>
            <w:tcBorders>
              <w:top w:val="nil"/>
              <w:left w:val="nil"/>
              <w:bottom w:val="single" w:sz="4" w:space="0" w:color="auto"/>
              <w:right w:val="single" w:sz="4" w:space="0" w:color="auto"/>
            </w:tcBorders>
            <w:shd w:val="clear" w:color="000000" w:fill="BFBFBF"/>
            <w:vAlign w:val="center"/>
            <w:hideMark/>
          </w:tcPr>
          <w:p w14:paraId="14B1FFE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89" w:type="dxa"/>
            <w:tcBorders>
              <w:top w:val="nil"/>
              <w:left w:val="nil"/>
              <w:bottom w:val="single" w:sz="4" w:space="0" w:color="auto"/>
              <w:right w:val="single" w:sz="4" w:space="0" w:color="auto"/>
            </w:tcBorders>
            <w:shd w:val="clear" w:color="000000" w:fill="BFBFBF"/>
            <w:noWrap/>
            <w:vAlign w:val="center"/>
            <w:hideMark/>
          </w:tcPr>
          <w:p w14:paraId="0BB38AEE" w14:textId="77777777" w:rsidR="00DC2C1E" w:rsidRPr="0002056A" w:rsidRDefault="00DC2C1E" w:rsidP="007B0C07">
            <w:pPr>
              <w:spacing w:after="0" w:line="240" w:lineRule="auto"/>
              <w:jc w:val="center"/>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689" w:type="dxa"/>
            <w:tcBorders>
              <w:top w:val="nil"/>
              <w:left w:val="nil"/>
              <w:bottom w:val="single" w:sz="4" w:space="0" w:color="auto"/>
              <w:right w:val="single" w:sz="4" w:space="0" w:color="auto"/>
            </w:tcBorders>
            <w:shd w:val="clear" w:color="000000" w:fill="BFBFBF"/>
            <w:noWrap/>
            <w:vAlign w:val="center"/>
            <w:hideMark/>
          </w:tcPr>
          <w:p w14:paraId="01E5748D"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948" w:type="dxa"/>
            <w:tcBorders>
              <w:top w:val="nil"/>
              <w:left w:val="nil"/>
              <w:bottom w:val="single" w:sz="4" w:space="0" w:color="auto"/>
              <w:right w:val="single" w:sz="4" w:space="0" w:color="auto"/>
            </w:tcBorders>
            <w:shd w:val="clear" w:color="000000" w:fill="BFBFBF"/>
            <w:noWrap/>
            <w:vAlign w:val="center"/>
            <w:hideMark/>
          </w:tcPr>
          <w:p w14:paraId="5AB4FF84"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066" w:type="dxa"/>
            <w:tcBorders>
              <w:top w:val="nil"/>
              <w:left w:val="nil"/>
              <w:bottom w:val="single" w:sz="4" w:space="0" w:color="auto"/>
              <w:right w:val="single" w:sz="4" w:space="0" w:color="auto"/>
            </w:tcBorders>
            <w:shd w:val="clear" w:color="000000" w:fill="BFBFBF"/>
            <w:noWrap/>
            <w:vAlign w:val="center"/>
            <w:hideMark/>
          </w:tcPr>
          <w:p w14:paraId="6CBB50EE" w14:textId="77777777" w:rsidR="00DC2C1E" w:rsidRPr="0002056A" w:rsidRDefault="00DC2C1E" w:rsidP="007B0C07">
            <w:pPr>
              <w:spacing w:after="0" w:line="240" w:lineRule="auto"/>
              <w:rPr>
                <w:rFonts w:ascii="Calibri" w:eastAsia="Times New Roman" w:hAnsi="Calibri" w:cs="Calibri"/>
                <w:color w:val="000000"/>
                <w:sz w:val="10"/>
                <w:szCs w:val="10"/>
                <w:lang w:val="en-GB" w:eastAsia="hu-HU"/>
              </w:rPr>
            </w:pPr>
            <w:r w:rsidRPr="0002056A">
              <w:rPr>
                <w:rFonts w:ascii="Calibri" w:eastAsia="Times New Roman" w:hAnsi="Calibri" w:cs="Calibri"/>
                <w:color w:val="000000"/>
                <w:sz w:val="10"/>
                <w:szCs w:val="10"/>
                <w:lang w:val="en-GB" w:eastAsia="hu-HU"/>
              </w:rPr>
              <w:t> </w:t>
            </w:r>
          </w:p>
        </w:tc>
        <w:tc>
          <w:tcPr>
            <w:tcW w:w="1525" w:type="dxa"/>
            <w:tcBorders>
              <w:top w:val="nil"/>
              <w:left w:val="nil"/>
              <w:bottom w:val="single" w:sz="4" w:space="0" w:color="auto"/>
              <w:right w:val="single" w:sz="4" w:space="0" w:color="auto"/>
            </w:tcBorders>
            <w:vAlign w:val="center"/>
            <w:hideMark/>
          </w:tcPr>
          <w:p w14:paraId="691CB37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Deltaprogramme 2025</w:t>
            </w:r>
          </w:p>
        </w:tc>
        <w:tc>
          <w:tcPr>
            <w:tcW w:w="466" w:type="dxa"/>
            <w:tcBorders>
              <w:top w:val="nil"/>
              <w:left w:val="nil"/>
              <w:bottom w:val="single" w:sz="4" w:space="0" w:color="auto"/>
              <w:right w:val="single" w:sz="4" w:space="0" w:color="auto"/>
            </w:tcBorders>
            <w:vAlign w:val="center"/>
            <w:hideMark/>
          </w:tcPr>
          <w:p w14:paraId="0D1DE9E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w:t>
            </w:r>
          </w:p>
        </w:tc>
        <w:tc>
          <w:tcPr>
            <w:tcW w:w="698" w:type="dxa"/>
            <w:tcBorders>
              <w:top w:val="nil"/>
              <w:left w:val="nil"/>
              <w:bottom w:val="single" w:sz="4" w:space="0" w:color="auto"/>
              <w:right w:val="single" w:sz="4" w:space="0" w:color="auto"/>
            </w:tcBorders>
            <w:vAlign w:val="center"/>
            <w:hideMark/>
          </w:tcPr>
          <w:p w14:paraId="4FA3C8B7"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2025</w:t>
            </w:r>
          </w:p>
        </w:tc>
        <w:tc>
          <w:tcPr>
            <w:tcW w:w="948" w:type="dxa"/>
            <w:tcBorders>
              <w:top w:val="nil"/>
              <w:left w:val="nil"/>
              <w:bottom w:val="single" w:sz="4" w:space="0" w:color="auto"/>
              <w:right w:val="single" w:sz="4" w:space="0" w:color="auto"/>
            </w:tcBorders>
            <w:vAlign w:val="center"/>
            <w:hideMark/>
          </w:tcPr>
          <w:p w14:paraId="595807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211EA6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Infrastructure and Water Management</w:t>
            </w:r>
            <w:r w:rsidRPr="0002056A">
              <w:rPr>
                <w:rFonts w:ascii="Georgia" w:eastAsia="Times New Roman" w:hAnsi="Georgia" w:cs="Calibri"/>
                <w:color w:val="000000"/>
                <w:sz w:val="10"/>
                <w:szCs w:val="10"/>
                <w:lang w:val="en-GB" w:eastAsia="hu-HU"/>
              </w:rPr>
              <w:br/>
              <w:t>Ministry of Agriculture, Fisheries, Food Security and Nature</w:t>
            </w:r>
            <w:r w:rsidRPr="0002056A">
              <w:rPr>
                <w:rFonts w:ascii="Georgia" w:eastAsia="Times New Roman" w:hAnsi="Georgia" w:cs="Calibri"/>
                <w:color w:val="000000"/>
                <w:sz w:val="10"/>
                <w:szCs w:val="10"/>
                <w:lang w:val="en-GB" w:eastAsia="hu-HU"/>
              </w:rPr>
              <w:br/>
              <w:t>Ministry of Housing and Spatial Planning</w:t>
            </w:r>
          </w:p>
        </w:tc>
        <w:tc>
          <w:tcPr>
            <w:tcW w:w="1127" w:type="dxa"/>
            <w:tcBorders>
              <w:top w:val="nil"/>
              <w:left w:val="nil"/>
              <w:bottom w:val="single" w:sz="4" w:space="0" w:color="auto"/>
              <w:right w:val="single" w:sz="4" w:space="0" w:color="auto"/>
            </w:tcBorders>
            <w:vAlign w:val="center"/>
            <w:hideMark/>
          </w:tcPr>
          <w:p w14:paraId="2FDD5CBD" w14:textId="04F3A01E"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Eighth Netherlands National Communication Under </w:t>
            </w:r>
            <w:r w:rsidR="00066AA8" w:rsidRPr="0002056A">
              <w:rPr>
                <w:rFonts w:ascii="Georgia" w:eastAsia="Times New Roman" w:hAnsi="Georgia" w:cs="Calibri"/>
                <w:b/>
                <w:bCs/>
                <w:color w:val="000000"/>
                <w:sz w:val="10"/>
                <w:szCs w:val="10"/>
                <w:lang w:val="en-GB" w:eastAsia="hu-HU"/>
              </w:rPr>
              <w:t>the</w:t>
            </w:r>
            <w:r w:rsidRPr="0002056A">
              <w:rPr>
                <w:rFonts w:ascii="Georgia" w:eastAsia="Times New Roman" w:hAnsi="Georgia" w:cs="Calibri"/>
                <w:b/>
                <w:bCs/>
                <w:color w:val="000000"/>
                <w:sz w:val="10"/>
                <w:szCs w:val="10"/>
                <w:lang w:val="en-GB" w:eastAsia="hu-HU"/>
              </w:rPr>
              <w:t xml:space="preserve"> United Nations Framework Convention </w:t>
            </w:r>
            <w:r w:rsidR="00066AA8" w:rsidRPr="0002056A">
              <w:rPr>
                <w:rFonts w:ascii="Georgia" w:eastAsia="Times New Roman" w:hAnsi="Georgia" w:cs="Calibri"/>
                <w:b/>
                <w:bCs/>
                <w:color w:val="000000"/>
                <w:sz w:val="10"/>
                <w:szCs w:val="10"/>
                <w:lang w:val="en-GB" w:eastAsia="hu-HU"/>
              </w:rPr>
              <w:t>on</w:t>
            </w:r>
            <w:r w:rsidRPr="0002056A">
              <w:rPr>
                <w:rFonts w:ascii="Georgia" w:eastAsia="Times New Roman" w:hAnsi="Georgia" w:cs="Calibri"/>
                <w:b/>
                <w:bCs/>
                <w:color w:val="000000"/>
                <w:sz w:val="10"/>
                <w:szCs w:val="10"/>
                <w:lang w:val="en-GB" w:eastAsia="hu-HU"/>
              </w:rPr>
              <w:t xml:space="preserve"> Climate Change</w:t>
            </w:r>
          </w:p>
        </w:tc>
        <w:tc>
          <w:tcPr>
            <w:tcW w:w="466" w:type="dxa"/>
            <w:tcBorders>
              <w:top w:val="nil"/>
              <w:left w:val="nil"/>
              <w:bottom w:val="single" w:sz="4" w:space="0" w:color="auto"/>
              <w:right w:val="single" w:sz="4" w:space="0" w:color="auto"/>
            </w:tcBorders>
            <w:vAlign w:val="center"/>
            <w:hideMark/>
          </w:tcPr>
          <w:p w14:paraId="5A3B96E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630" w:type="dxa"/>
            <w:tcBorders>
              <w:top w:val="nil"/>
              <w:left w:val="nil"/>
              <w:bottom w:val="single" w:sz="4" w:space="0" w:color="auto"/>
              <w:right w:val="single" w:sz="4" w:space="0" w:color="auto"/>
            </w:tcBorders>
            <w:vAlign w:val="center"/>
            <w:hideMark/>
          </w:tcPr>
          <w:p w14:paraId="3B19DA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748" w:type="dxa"/>
            <w:tcBorders>
              <w:top w:val="nil"/>
              <w:left w:val="nil"/>
              <w:bottom w:val="single" w:sz="4" w:space="0" w:color="auto"/>
              <w:right w:val="single" w:sz="4" w:space="0" w:color="auto"/>
            </w:tcBorders>
            <w:vAlign w:val="center"/>
            <w:hideMark/>
          </w:tcPr>
          <w:p w14:paraId="69EF19A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147" w:type="dxa"/>
            <w:tcBorders>
              <w:top w:val="nil"/>
              <w:left w:val="nil"/>
              <w:bottom w:val="single" w:sz="4" w:space="0" w:color="auto"/>
              <w:right w:val="single" w:sz="8" w:space="0" w:color="auto"/>
            </w:tcBorders>
            <w:vAlign w:val="center"/>
            <w:hideMark/>
          </w:tcPr>
          <w:p w14:paraId="14B8A1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Economic Affairs and Climate Policy</w:t>
            </w:r>
          </w:p>
        </w:tc>
      </w:tr>
      <w:tr w:rsidR="00DC2C1E" w:rsidRPr="0002056A" w14:paraId="0C39714F" w14:textId="77777777" w:rsidTr="007B0C07">
        <w:trPr>
          <w:trHeight w:val="980"/>
        </w:trPr>
        <w:tc>
          <w:tcPr>
            <w:tcW w:w="630" w:type="dxa"/>
            <w:tcBorders>
              <w:top w:val="nil"/>
              <w:left w:val="single" w:sz="8" w:space="0" w:color="auto"/>
              <w:bottom w:val="single" w:sz="4" w:space="0" w:color="auto"/>
              <w:right w:val="single" w:sz="4" w:space="0" w:color="auto"/>
            </w:tcBorders>
            <w:shd w:val="clear" w:color="000000" w:fill="C6E0B4"/>
            <w:noWrap/>
            <w:vAlign w:val="center"/>
            <w:hideMark/>
          </w:tcPr>
          <w:p w14:paraId="6122A678"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TUR</w:t>
            </w:r>
          </w:p>
        </w:tc>
        <w:tc>
          <w:tcPr>
            <w:tcW w:w="1526" w:type="dxa"/>
            <w:tcBorders>
              <w:top w:val="nil"/>
              <w:left w:val="nil"/>
              <w:bottom w:val="single" w:sz="4" w:space="0" w:color="auto"/>
              <w:right w:val="single" w:sz="4" w:space="0" w:color="auto"/>
            </w:tcBorders>
            <w:vAlign w:val="center"/>
            <w:hideMark/>
          </w:tcPr>
          <w:p w14:paraId="0959298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Adaptation Strategy and Action Plan (2024-2030)</w:t>
            </w:r>
          </w:p>
        </w:tc>
        <w:tc>
          <w:tcPr>
            <w:tcW w:w="489" w:type="dxa"/>
            <w:tcBorders>
              <w:top w:val="nil"/>
              <w:left w:val="nil"/>
              <w:bottom w:val="single" w:sz="4" w:space="0" w:color="auto"/>
              <w:right w:val="single" w:sz="4" w:space="0" w:color="auto"/>
            </w:tcBorders>
            <w:vAlign w:val="center"/>
            <w:hideMark/>
          </w:tcPr>
          <w:p w14:paraId="3C9A008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89" w:type="dxa"/>
            <w:tcBorders>
              <w:top w:val="nil"/>
              <w:left w:val="nil"/>
              <w:bottom w:val="single" w:sz="4" w:space="0" w:color="auto"/>
              <w:right w:val="single" w:sz="4" w:space="0" w:color="auto"/>
            </w:tcBorders>
            <w:vAlign w:val="center"/>
            <w:hideMark/>
          </w:tcPr>
          <w:p w14:paraId="7B12D32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2024-2030</w:t>
            </w:r>
          </w:p>
        </w:tc>
        <w:tc>
          <w:tcPr>
            <w:tcW w:w="948" w:type="dxa"/>
            <w:tcBorders>
              <w:top w:val="nil"/>
              <w:left w:val="nil"/>
              <w:bottom w:val="single" w:sz="4" w:space="0" w:color="auto"/>
              <w:right w:val="single" w:sz="4" w:space="0" w:color="auto"/>
            </w:tcBorders>
            <w:vAlign w:val="center"/>
            <w:hideMark/>
          </w:tcPr>
          <w:p w14:paraId="1C3C053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66" w:type="dxa"/>
            <w:tcBorders>
              <w:top w:val="nil"/>
              <w:left w:val="nil"/>
              <w:bottom w:val="single" w:sz="4" w:space="0" w:color="auto"/>
              <w:right w:val="single" w:sz="4" w:space="0" w:color="auto"/>
            </w:tcBorders>
            <w:vAlign w:val="center"/>
            <w:hideMark/>
          </w:tcPr>
          <w:p w14:paraId="45A00A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Urbanization and Climate Change; Directorate of Climate Change</w:t>
            </w:r>
          </w:p>
        </w:tc>
        <w:tc>
          <w:tcPr>
            <w:tcW w:w="1525" w:type="dxa"/>
            <w:tcBorders>
              <w:top w:val="nil"/>
              <w:left w:val="nil"/>
              <w:bottom w:val="single" w:sz="4" w:space="0" w:color="auto"/>
              <w:right w:val="single" w:sz="4" w:space="0" w:color="auto"/>
            </w:tcBorders>
            <w:vAlign w:val="center"/>
            <w:hideMark/>
          </w:tcPr>
          <w:p w14:paraId="27B7520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Adaptation Strategy and Action Plan (2024-2030)</w:t>
            </w:r>
          </w:p>
        </w:tc>
        <w:tc>
          <w:tcPr>
            <w:tcW w:w="466" w:type="dxa"/>
            <w:tcBorders>
              <w:top w:val="nil"/>
              <w:left w:val="nil"/>
              <w:bottom w:val="single" w:sz="4" w:space="0" w:color="auto"/>
              <w:right w:val="single" w:sz="4" w:space="0" w:color="auto"/>
            </w:tcBorders>
            <w:vAlign w:val="center"/>
            <w:hideMark/>
          </w:tcPr>
          <w:p w14:paraId="3ED3E47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698" w:type="dxa"/>
            <w:tcBorders>
              <w:top w:val="nil"/>
              <w:left w:val="nil"/>
              <w:bottom w:val="single" w:sz="4" w:space="0" w:color="auto"/>
              <w:right w:val="single" w:sz="4" w:space="0" w:color="auto"/>
            </w:tcBorders>
            <w:vAlign w:val="center"/>
            <w:hideMark/>
          </w:tcPr>
          <w:p w14:paraId="61F15D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2024-2030</w:t>
            </w:r>
          </w:p>
        </w:tc>
        <w:tc>
          <w:tcPr>
            <w:tcW w:w="948" w:type="dxa"/>
            <w:tcBorders>
              <w:top w:val="nil"/>
              <w:left w:val="nil"/>
              <w:bottom w:val="single" w:sz="4" w:space="0" w:color="auto"/>
              <w:right w:val="single" w:sz="4" w:space="0" w:color="auto"/>
            </w:tcBorders>
            <w:vAlign w:val="center"/>
            <w:hideMark/>
          </w:tcPr>
          <w:p w14:paraId="039C42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881" w:type="dxa"/>
            <w:tcBorders>
              <w:top w:val="nil"/>
              <w:left w:val="nil"/>
              <w:bottom w:val="single" w:sz="4" w:space="0" w:color="auto"/>
              <w:right w:val="single" w:sz="4" w:space="0" w:color="auto"/>
            </w:tcBorders>
            <w:vAlign w:val="center"/>
            <w:hideMark/>
          </w:tcPr>
          <w:p w14:paraId="1CA57F4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Urbanization and Climate Change; Directorate of Climate Change</w:t>
            </w:r>
          </w:p>
        </w:tc>
        <w:tc>
          <w:tcPr>
            <w:tcW w:w="1127" w:type="dxa"/>
            <w:tcBorders>
              <w:top w:val="nil"/>
              <w:left w:val="nil"/>
              <w:bottom w:val="single" w:sz="4" w:space="0" w:color="auto"/>
              <w:right w:val="single" w:sz="4" w:space="0" w:color="auto"/>
            </w:tcBorders>
            <w:shd w:val="clear" w:color="000000" w:fill="BFBFBF"/>
            <w:vAlign w:val="center"/>
            <w:hideMark/>
          </w:tcPr>
          <w:p w14:paraId="14111A0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4" w:space="0" w:color="auto"/>
              <w:right w:val="single" w:sz="4" w:space="0" w:color="auto"/>
            </w:tcBorders>
            <w:shd w:val="clear" w:color="000000" w:fill="BFBFBF"/>
            <w:vAlign w:val="center"/>
            <w:hideMark/>
          </w:tcPr>
          <w:p w14:paraId="6F1FE70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4" w:space="0" w:color="auto"/>
              <w:right w:val="single" w:sz="4" w:space="0" w:color="auto"/>
            </w:tcBorders>
            <w:shd w:val="clear" w:color="000000" w:fill="BFBFBF"/>
            <w:vAlign w:val="center"/>
            <w:hideMark/>
          </w:tcPr>
          <w:p w14:paraId="35EE5CF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4" w:space="0" w:color="auto"/>
              <w:right w:val="single" w:sz="4" w:space="0" w:color="auto"/>
            </w:tcBorders>
            <w:shd w:val="clear" w:color="000000" w:fill="BFBFBF"/>
            <w:vAlign w:val="center"/>
            <w:hideMark/>
          </w:tcPr>
          <w:p w14:paraId="147077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4" w:space="0" w:color="auto"/>
              <w:right w:val="single" w:sz="8" w:space="0" w:color="auto"/>
            </w:tcBorders>
            <w:shd w:val="clear" w:color="000000" w:fill="BFBFBF"/>
            <w:vAlign w:val="center"/>
            <w:hideMark/>
          </w:tcPr>
          <w:p w14:paraId="399E62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188F376" w14:textId="77777777" w:rsidTr="007B0C07">
        <w:trPr>
          <w:trHeight w:val="850"/>
        </w:trPr>
        <w:tc>
          <w:tcPr>
            <w:tcW w:w="630" w:type="dxa"/>
            <w:tcBorders>
              <w:top w:val="nil"/>
              <w:left w:val="single" w:sz="8" w:space="0" w:color="auto"/>
              <w:bottom w:val="single" w:sz="8" w:space="0" w:color="auto"/>
              <w:right w:val="single" w:sz="4" w:space="0" w:color="auto"/>
            </w:tcBorders>
            <w:shd w:val="clear" w:color="000000" w:fill="C6E0B4"/>
            <w:noWrap/>
            <w:vAlign w:val="center"/>
            <w:hideMark/>
          </w:tcPr>
          <w:p w14:paraId="12BCA27E"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WAL</w:t>
            </w:r>
          </w:p>
        </w:tc>
        <w:tc>
          <w:tcPr>
            <w:tcW w:w="1526" w:type="dxa"/>
            <w:tcBorders>
              <w:top w:val="nil"/>
              <w:left w:val="nil"/>
              <w:bottom w:val="single" w:sz="8" w:space="0" w:color="auto"/>
              <w:right w:val="single" w:sz="4" w:space="0" w:color="auto"/>
            </w:tcBorders>
            <w:vAlign w:val="center"/>
            <w:hideMark/>
          </w:tcPr>
          <w:p w14:paraId="69B2777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Prosperity for All: A Climate Conscious Wales A climate change adaptation plan for Wales + Technical Annex</w:t>
            </w:r>
          </w:p>
        </w:tc>
        <w:tc>
          <w:tcPr>
            <w:tcW w:w="489" w:type="dxa"/>
            <w:tcBorders>
              <w:top w:val="nil"/>
              <w:left w:val="nil"/>
              <w:bottom w:val="single" w:sz="8" w:space="0" w:color="auto"/>
              <w:right w:val="single" w:sz="4" w:space="0" w:color="auto"/>
            </w:tcBorders>
            <w:vAlign w:val="center"/>
            <w:hideMark/>
          </w:tcPr>
          <w:p w14:paraId="7E9EEDB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689" w:type="dxa"/>
            <w:tcBorders>
              <w:top w:val="nil"/>
              <w:left w:val="nil"/>
              <w:bottom w:val="single" w:sz="8" w:space="0" w:color="auto"/>
              <w:right w:val="single" w:sz="4" w:space="0" w:color="auto"/>
            </w:tcBorders>
            <w:vAlign w:val="center"/>
            <w:hideMark/>
          </w:tcPr>
          <w:p w14:paraId="3211A6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2020-2025</w:t>
            </w:r>
          </w:p>
        </w:tc>
        <w:tc>
          <w:tcPr>
            <w:tcW w:w="948" w:type="dxa"/>
            <w:tcBorders>
              <w:top w:val="nil"/>
              <w:left w:val="nil"/>
              <w:bottom w:val="single" w:sz="8" w:space="0" w:color="auto"/>
              <w:right w:val="single" w:sz="4" w:space="0" w:color="auto"/>
            </w:tcBorders>
            <w:vAlign w:val="center"/>
            <w:hideMark/>
          </w:tcPr>
          <w:p w14:paraId="6A1DDE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Welsh Government</w:t>
            </w:r>
          </w:p>
        </w:tc>
        <w:tc>
          <w:tcPr>
            <w:tcW w:w="1066" w:type="dxa"/>
            <w:tcBorders>
              <w:top w:val="nil"/>
              <w:left w:val="nil"/>
              <w:bottom w:val="single" w:sz="8" w:space="0" w:color="auto"/>
              <w:right w:val="single" w:sz="4" w:space="0" w:color="auto"/>
            </w:tcBorders>
            <w:vAlign w:val="center"/>
            <w:hideMark/>
          </w:tcPr>
          <w:p w14:paraId="16E34C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Natural Resources Wales</w:t>
            </w:r>
          </w:p>
        </w:tc>
        <w:tc>
          <w:tcPr>
            <w:tcW w:w="1525" w:type="dxa"/>
            <w:tcBorders>
              <w:top w:val="nil"/>
              <w:left w:val="nil"/>
              <w:bottom w:val="single" w:sz="8" w:space="0" w:color="auto"/>
              <w:right w:val="single" w:sz="4" w:space="0" w:color="auto"/>
            </w:tcBorders>
            <w:shd w:val="clear" w:color="000000" w:fill="BFBFBF"/>
            <w:vAlign w:val="center"/>
            <w:hideMark/>
          </w:tcPr>
          <w:p w14:paraId="28F71CD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8" w:space="0" w:color="auto"/>
              <w:right w:val="single" w:sz="4" w:space="0" w:color="auto"/>
            </w:tcBorders>
            <w:shd w:val="clear" w:color="000000" w:fill="BFBFBF"/>
            <w:vAlign w:val="center"/>
            <w:hideMark/>
          </w:tcPr>
          <w:p w14:paraId="2B1AC6B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98" w:type="dxa"/>
            <w:tcBorders>
              <w:top w:val="nil"/>
              <w:left w:val="nil"/>
              <w:bottom w:val="single" w:sz="8" w:space="0" w:color="auto"/>
              <w:right w:val="single" w:sz="4" w:space="0" w:color="auto"/>
            </w:tcBorders>
            <w:shd w:val="clear" w:color="000000" w:fill="BFBFBF"/>
            <w:vAlign w:val="center"/>
            <w:hideMark/>
          </w:tcPr>
          <w:p w14:paraId="3D4532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8" w:type="dxa"/>
            <w:tcBorders>
              <w:top w:val="nil"/>
              <w:left w:val="nil"/>
              <w:bottom w:val="single" w:sz="8" w:space="0" w:color="auto"/>
              <w:right w:val="single" w:sz="4" w:space="0" w:color="auto"/>
            </w:tcBorders>
            <w:shd w:val="clear" w:color="000000" w:fill="BFBFBF"/>
            <w:vAlign w:val="center"/>
            <w:hideMark/>
          </w:tcPr>
          <w:p w14:paraId="22B1BC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81" w:type="dxa"/>
            <w:tcBorders>
              <w:top w:val="nil"/>
              <w:left w:val="nil"/>
              <w:bottom w:val="single" w:sz="8" w:space="0" w:color="auto"/>
              <w:right w:val="single" w:sz="4" w:space="0" w:color="auto"/>
            </w:tcBorders>
            <w:shd w:val="clear" w:color="000000" w:fill="BFBFBF"/>
            <w:vAlign w:val="center"/>
            <w:hideMark/>
          </w:tcPr>
          <w:p w14:paraId="179343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27" w:type="dxa"/>
            <w:tcBorders>
              <w:top w:val="nil"/>
              <w:left w:val="nil"/>
              <w:bottom w:val="single" w:sz="8" w:space="0" w:color="auto"/>
              <w:right w:val="single" w:sz="4" w:space="0" w:color="auto"/>
            </w:tcBorders>
            <w:shd w:val="clear" w:color="000000" w:fill="BFBFBF"/>
            <w:vAlign w:val="center"/>
            <w:hideMark/>
          </w:tcPr>
          <w:p w14:paraId="078C97B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466" w:type="dxa"/>
            <w:tcBorders>
              <w:top w:val="nil"/>
              <w:left w:val="nil"/>
              <w:bottom w:val="single" w:sz="8" w:space="0" w:color="auto"/>
              <w:right w:val="single" w:sz="4" w:space="0" w:color="auto"/>
            </w:tcBorders>
            <w:shd w:val="clear" w:color="000000" w:fill="BFBFBF"/>
            <w:vAlign w:val="center"/>
            <w:hideMark/>
          </w:tcPr>
          <w:p w14:paraId="37A3FE4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0" w:type="dxa"/>
            <w:tcBorders>
              <w:top w:val="nil"/>
              <w:left w:val="nil"/>
              <w:bottom w:val="single" w:sz="8" w:space="0" w:color="auto"/>
              <w:right w:val="single" w:sz="4" w:space="0" w:color="auto"/>
            </w:tcBorders>
            <w:shd w:val="clear" w:color="000000" w:fill="BFBFBF"/>
            <w:vAlign w:val="center"/>
            <w:hideMark/>
          </w:tcPr>
          <w:p w14:paraId="295F8EC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48" w:type="dxa"/>
            <w:tcBorders>
              <w:top w:val="nil"/>
              <w:left w:val="nil"/>
              <w:bottom w:val="single" w:sz="8" w:space="0" w:color="auto"/>
              <w:right w:val="single" w:sz="4" w:space="0" w:color="auto"/>
            </w:tcBorders>
            <w:shd w:val="clear" w:color="000000" w:fill="BFBFBF"/>
            <w:vAlign w:val="center"/>
            <w:hideMark/>
          </w:tcPr>
          <w:p w14:paraId="51F4B0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147" w:type="dxa"/>
            <w:tcBorders>
              <w:top w:val="nil"/>
              <w:left w:val="nil"/>
              <w:bottom w:val="single" w:sz="8" w:space="0" w:color="auto"/>
              <w:right w:val="single" w:sz="8" w:space="0" w:color="auto"/>
            </w:tcBorders>
            <w:shd w:val="clear" w:color="000000" w:fill="BFBFBF"/>
            <w:vAlign w:val="center"/>
            <w:hideMark/>
          </w:tcPr>
          <w:p w14:paraId="33341E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bl>
    <w:p w14:paraId="2DF0ED4E" w14:textId="23DB18A1" w:rsidR="000F24D1" w:rsidRDefault="000F24D1" w:rsidP="00DC2C1E">
      <w:pPr>
        <w:rPr>
          <w:lang w:val="en-GB"/>
        </w:rPr>
      </w:pPr>
    </w:p>
    <w:p w14:paraId="274C9495" w14:textId="77777777" w:rsidR="000F24D1" w:rsidRDefault="000F24D1">
      <w:pPr>
        <w:spacing w:after="160" w:line="259" w:lineRule="auto"/>
        <w:rPr>
          <w:lang w:val="en-GB"/>
        </w:rPr>
      </w:pPr>
      <w:r>
        <w:rPr>
          <w:lang w:val="en-GB"/>
        </w:rPr>
        <w:br w:type="page"/>
      </w:r>
    </w:p>
    <w:p w14:paraId="17F16C79" w14:textId="77777777" w:rsidR="00DC2C1E" w:rsidRPr="0002056A" w:rsidRDefault="00DC2C1E" w:rsidP="00DC2C1E">
      <w:pPr>
        <w:rPr>
          <w:lang w:val="en-GB"/>
        </w:rPr>
      </w:pPr>
    </w:p>
    <w:p w14:paraId="58F6658A" w14:textId="33F9B175" w:rsidR="00DC2C1E" w:rsidRPr="0002056A" w:rsidRDefault="001470D9" w:rsidP="00DC2C1E">
      <w:pPr>
        <w:pStyle w:val="Cmsor3"/>
        <w:rPr>
          <w:lang w:val="en-GB"/>
        </w:rPr>
      </w:pPr>
      <w:bookmarkStart w:id="79" w:name="_Toc225578891"/>
      <w:r w:rsidRPr="0002056A">
        <w:rPr>
          <w:lang w:val="en-GB"/>
        </w:rPr>
        <w:t xml:space="preserve">Annex </w:t>
      </w:r>
      <w:r w:rsidR="00EA2724" w:rsidRPr="0002056A">
        <w:rPr>
          <w:lang w:val="en-GB"/>
        </w:rPr>
        <w:t>3</w:t>
      </w:r>
      <w:r w:rsidRPr="0002056A">
        <w:rPr>
          <w:lang w:val="en-GB"/>
        </w:rPr>
        <w:t xml:space="preserve">b) </w:t>
      </w:r>
      <w:r w:rsidR="00DC2C1E" w:rsidRPr="0002056A">
        <w:rPr>
          <w:lang w:val="en-GB"/>
        </w:rPr>
        <w:t>List of the analysed national MRE documents</w:t>
      </w:r>
      <w:bookmarkEnd w:id="79"/>
    </w:p>
    <w:tbl>
      <w:tblPr>
        <w:tblW w:w="14707" w:type="dxa"/>
        <w:tblCellMar>
          <w:left w:w="70" w:type="dxa"/>
          <w:right w:w="70" w:type="dxa"/>
        </w:tblCellMar>
        <w:tblLook w:val="04A0" w:firstRow="1" w:lastRow="0" w:firstColumn="1" w:lastColumn="0" w:noHBand="0" w:noVBand="1"/>
      </w:tblPr>
      <w:tblGrid>
        <w:gridCol w:w="636"/>
        <w:gridCol w:w="1327"/>
        <w:gridCol w:w="548"/>
        <w:gridCol w:w="718"/>
        <w:gridCol w:w="1019"/>
        <w:gridCol w:w="955"/>
        <w:gridCol w:w="1466"/>
        <w:gridCol w:w="633"/>
        <w:gridCol w:w="706"/>
        <w:gridCol w:w="1019"/>
        <w:gridCol w:w="1019"/>
        <w:gridCol w:w="1032"/>
        <w:gridCol w:w="871"/>
        <w:gridCol w:w="906"/>
        <w:gridCol w:w="912"/>
        <w:gridCol w:w="940"/>
      </w:tblGrid>
      <w:tr w:rsidR="00DC2C1E" w:rsidRPr="0002056A" w14:paraId="0DA36331" w14:textId="77777777" w:rsidTr="007B0C07">
        <w:trPr>
          <w:trHeight w:val="230"/>
          <w:tblHeader/>
        </w:trPr>
        <w:tc>
          <w:tcPr>
            <w:tcW w:w="636" w:type="dxa"/>
            <w:vMerge w:val="restart"/>
            <w:tcBorders>
              <w:top w:val="single" w:sz="8" w:space="0" w:color="auto"/>
              <w:left w:val="single" w:sz="8" w:space="0" w:color="auto"/>
              <w:bottom w:val="single" w:sz="4" w:space="0" w:color="auto"/>
              <w:right w:val="single" w:sz="4" w:space="0" w:color="auto"/>
            </w:tcBorders>
            <w:shd w:val="clear" w:color="000000" w:fill="548235"/>
            <w:vAlign w:val="center"/>
            <w:hideMark/>
          </w:tcPr>
          <w:p w14:paraId="7FA24601" w14:textId="77777777" w:rsidR="00DC2C1E" w:rsidRPr="0002056A" w:rsidRDefault="00DC2C1E" w:rsidP="007B0C07">
            <w:pPr>
              <w:spacing w:after="0" w:line="240" w:lineRule="auto"/>
              <w:jc w:val="center"/>
              <w:rPr>
                <w:rFonts w:ascii="Georgia" w:eastAsia="Times New Roman" w:hAnsi="Georgia" w:cs="Calibri"/>
                <w:b/>
                <w:bCs/>
                <w:color w:val="000000"/>
                <w:sz w:val="16"/>
                <w:szCs w:val="16"/>
                <w:lang w:val="en-GB" w:eastAsia="hu-HU"/>
              </w:rPr>
            </w:pPr>
            <w:r w:rsidRPr="0002056A">
              <w:rPr>
                <w:rFonts w:ascii="Georgia" w:eastAsia="Times New Roman" w:hAnsi="Georgia" w:cs="Calibri"/>
                <w:b/>
                <w:bCs/>
                <w:color w:val="000000"/>
                <w:sz w:val="16"/>
                <w:szCs w:val="16"/>
                <w:lang w:val="en-GB" w:eastAsia="hu-HU"/>
              </w:rPr>
              <w:t>Coun-try</w:t>
            </w:r>
          </w:p>
        </w:tc>
        <w:tc>
          <w:tcPr>
            <w:tcW w:w="4567" w:type="dxa"/>
            <w:gridSpan w:val="5"/>
            <w:tcBorders>
              <w:top w:val="single" w:sz="8" w:space="0" w:color="auto"/>
              <w:left w:val="nil"/>
              <w:bottom w:val="single" w:sz="4" w:space="0" w:color="auto"/>
              <w:right w:val="single" w:sz="4" w:space="0" w:color="auto"/>
            </w:tcBorders>
            <w:shd w:val="clear" w:color="000000" w:fill="548235"/>
            <w:vAlign w:val="center"/>
            <w:hideMark/>
          </w:tcPr>
          <w:p w14:paraId="0F64A3A1"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Monitoring reports</w:t>
            </w:r>
          </w:p>
        </w:tc>
        <w:tc>
          <w:tcPr>
            <w:tcW w:w="4843" w:type="dxa"/>
            <w:gridSpan w:val="5"/>
            <w:tcBorders>
              <w:top w:val="single" w:sz="8" w:space="0" w:color="auto"/>
              <w:left w:val="nil"/>
              <w:bottom w:val="single" w:sz="4" w:space="0" w:color="auto"/>
              <w:right w:val="single" w:sz="4" w:space="0" w:color="auto"/>
            </w:tcBorders>
            <w:shd w:val="clear" w:color="000000" w:fill="548235"/>
            <w:vAlign w:val="center"/>
            <w:hideMark/>
          </w:tcPr>
          <w:p w14:paraId="22E6165B"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Evaluations</w:t>
            </w:r>
          </w:p>
        </w:tc>
        <w:tc>
          <w:tcPr>
            <w:tcW w:w="4661" w:type="dxa"/>
            <w:gridSpan w:val="5"/>
            <w:tcBorders>
              <w:top w:val="single" w:sz="8" w:space="0" w:color="auto"/>
              <w:left w:val="nil"/>
              <w:bottom w:val="single" w:sz="4" w:space="0" w:color="auto"/>
              <w:right w:val="single" w:sz="8" w:space="0" w:color="000000"/>
            </w:tcBorders>
            <w:shd w:val="clear" w:color="000000" w:fill="548235"/>
            <w:vAlign w:val="center"/>
            <w:hideMark/>
          </w:tcPr>
          <w:p w14:paraId="6FF463BE" w14:textId="77777777" w:rsidR="00DC2C1E" w:rsidRPr="0002056A" w:rsidRDefault="00DC2C1E" w:rsidP="007B0C07">
            <w:pPr>
              <w:spacing w:after="0" w:line="240" w:lineRule="auto"/>
              <w:jc w:val="center"/>
              <w:rPr>
                <w:rFonts w:ascii="Georgia" w:eastAsia="Times New Roman" w:hAnsi="Georgia" w:cs="Calibri"/>
                <w:b/>
                <w:bCs/>
                <w:color w:val="000000"/>
                <w:sz w:val="18"/>
                <w:szCs w:val="18"/>
                <w:lang w:val="en-GB" w:eastAsia="hu-HU"/>
              </w:rPr>
            </w:pPr>
            <w:r w:rsidRPr="0002056A">
              <w:rPr>
                <w:rFonts w:ascii="Georgia" w:eastAsia="Times New Roman" w:hAnsi="Georgia" w:cs="Calibri"/>
                <w:b/>
                <w:bCs/>
                <w:color w:val="000000"/>
                <w:sz w:val="18"/>
                <w:szCs w:val="18"/>
                <w:lang w:val="en-GB" w:eastAsia="hu-HU"/>
              </w:rPr>
              <w:t>Methodological documents</w:t>
            </w:r>
          </w:p>
        </w:tc>
      </w:tr>
      <w:tr w:rsidR="00DC2C1E" w:rsidRPr="0002056A" w14:paraId="48772C18" w14:textId="77777777" w:rsidTr="007B0C07">
        <w:trPr>
          <w:trHeight w:val="360"/>
          <w:tblHeader/>
        </w:trPr>
        <w:tc>
          <w:tcPr>
            <w:tcW w:w="636" w:type="dxa"/>
            <w:vMerge/>
            <w:tcBorders>
              <w:top w:val="single" w:sz="8" w:space="0" w:color="auto"/>
              <w:left w:val="single" w:sz="8" w:space="0" w:color="auto"/>
              <w:bottom w:val="single" w:sz="4" w:space="0" w:color="auto"/>
              <w:right w:val="single" w:sz="4" w:space="0" w:color="auto"/>
            </w:tcBorders>
            <w:vAlign w:val="center"/>
            <w:hideMark/>
          </w:tcPr>
          <w:p w14:paraId="50210952" w14:textId="77777777" w:rsidR="00DC2C1E" w:rsidRPr="0002056A" w:rsidRDefault="00DC2C1E" w:rsidP="007B0C07">
            <w:pPr>
              <w:spacing w:after="0" w:line="240" w:lineRule="auto"/>
              <w:rPr>
                <w:rFonts w:ascii="Georgia" w:eastAsia="Times New Roman" w:hAnsi="Georgia" w:cs="Calibri"/>
                <w:b/>
                <w:bCs/>
                <w:color w:val="000000"/>
                <w:sz w:val="16"/>
                <w:szCs w:val="16"/>
                <w:lang w:val="en-GB" w:eastAsia="hu-HU"/>
              </w:rPr>
            </w:pPr>
          </w:p>
        </w:tc>
        <w:tc>
          <w:tcPr>
            <w:tcW w:w="1327" w:type="dxa"/>
            <w:tcBorders>
              <w:top w:val="nil"/>
              <w:left w:val="nil"/>
              <w:bottom w:val="single" w:sz="4" w:space="0" w:color="auto"/>
              <w:right w:val="single" w:sz="4" w:space="0" w:color="auto"/>
            </w:tcBorders>
            <w:shd w:val="clear" w:color="000000" w:fill="C6E0B4"/>
            <w:vAlign w:val="center"/>
            <w:hideMark/>
          </w:tcPr>
          <w:p w14:paraId="1E6F6350"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548" w:type="dxa"/>
            <w:tcBorders>
              <w:top w:val="nil"/>
              <w:left w:val="nil"/>
              <w:bottom w:val="single" w:sz="4" w:space="0" w:color="auto"/>
              <w:right w:val="single" w:sz="4" w:space="0" w:color="auto"/>
            </w:tcBorders>
            <w:shd w:val="clear" w:color="000000" w:fill="C6E0B4"/>
            <w:vAlign w:val="center"/>
            <w:hideMark/>
          </w:tcPr>
          <w:p w14:paraId="3241A358"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718" w:type="dxa"/>
            <w:tcBorders>
              <w:top w:val="nil"/>
              <w:left w:val="nil"/>
              <w:bottom w:val="single" w:sz="4" w:space="0" w:color="auto"/>
              <w:right w:val="single" w:sz="4" w:space="0" w:color="auto"/>
            </w:tcBorders>
            <w:shd w:val="clear" w:color="000000" w:fill="C6E0B4"/>
            <w:vAlign w:val="center"/>
            <w:hideMark/>
          </w:tcPr>
          <w:p w14:paraId="1B24320D"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1019" w:type="dxa"/>
            <w:tcBorders>
              <w:top w:val="nil"/>
              <w:left w:val="nil"/>
              <w:bottom w:val="single" w:sz="4" w:space="0" w:color="auto"/>
              <w:right w:val="single" w:sz="4" w:space="0" w:color="auto"/>
            </w:tcBorders>
            <w:shd w:val="clear" w:color="000000" w:fill="C6E0B4"/>
            <w:vAlign w:val="center"/>
            <w:hideMark/>
          </w:tcPr>
          <w:p w14:paraId="56A0D059"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Ordered by</w:t>
            </w:r>
          </w:p>
        </w:tc>
        <w:tc>
          <w:tcPr>
            <w:tcW w:w="955" w:type="dxa"/>
            <w:tcBorders>
              <w:top w:val="nil"/>
              <w:left w:val="nil"/>
              <w:bottom w:val="single" w:sz="4" w:space="0" w:color="auto"/>
              <w:right w:val="single" w:sz="4" w:space="0" w:color="auto"/>
            </w:tcBorders>
            <w:shd w:val="clear" w:color="000000" w:fill="C6E0B4"/>
            <w:vAlign w:val="center"/>
            <w:hideMark/>
          </w:tcPr>
          <w:p w14:paraId="7265C5F0"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c>
          <w:tcPr>
            <w:tcW w:w="1466" w:type="dxa"/>
            <w:tcBorders>
              <w:top w:val="nil"/>
              <w:left w:val="nil"/>
              <w:bottom w:val="single" w:sz="4" w:space="0" w:color="auto"/>
              <w:right w:val="single" w:sz="4" w:space="0" w:color="auto"/>
            </w:tcBorders>
            <w:shd w:val="clear" w:color="000000" w:fill="C6E0B4"/>
            <w:vAlign w:val="center"/>
            <w:hideMark/>
          </w:tcPr>
          <w:p w14:paraId="45677FB3"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633" w:type="dxa"/>
            <w:tcBorders>
              <w:top w:val="nil"/>
              <w:left w:val="nil"/>
              <w:bottom w:val="single" w:sz="4" w:space="0" w:color="auto"/>
              <w:right w:val="single" w:sz="4" w:space="0" w:color="auto"/>
            </w:tcBorders>
            <w:shd w:val="clear" w:color="000000" w:fill="C6E0B4"/>
            <w:vAlign w:val="center"/>
            <w:hideMark/>
          </w:tcPr>
          <w:p w14:paraId="2E9AC514"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706" w:type="dxa"/>
            <w:tcBorders>
              <w:top w:val="nil"/>
              <w:left w:val="nil"/>
              <w:bottom w:val="single" w:sz="4" w:space="0" w:color="auto"/>
              <w:right w:val="single" w:sz="4" w:space="0" w:color="auto"/>
            </w:tcBorders>
            <w:shd w:val="clear" w:color="000000" w:fill="C6E0B4"/>
            <w:vAlign w:val="center"/>
            <w:hideMark/>
          </w:tcPr>
          <w:p w14:paraId="02875BF3"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1019" w:type="dxa"/>
            <w:tcBorders>
              <w:top w:val="nil"/>
              <w:left w:val="nil"/>
              <w:bottom w:val="single" w:sz="4" w:space="0" w:color="auto"/>
              <w:right w:val="single" w:sz="4" w:space="0" w:color="auto"/>
            </w:tcBorders>
            <w:shd w:val="clear" w:color="000000" w:fill="C6E0B4"/>
            <w:vAlign w:val="center"/>
            <w:hideMark/>
          </w:tcPr>
          <w:p w14:paraId="1DDF17ED"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Ordered by</w:t>
            </w:r>
          </w:p>
        </w:tc>
        <w:tc>
          <w:tcPr>
            <w:tcW w:w="1019" w:type="dxa"/>
            <w:tcBorders>
              <w:top w:val="nil"/>
              <w:left w:val="nil"/>
              <w:bottom w:val="single" w:sz="4" w:space="0" w:color="auto"/>
              <w:right w:val="single" w:sz="4" w:space="0" w:color="auto"/>
            </w:tcBorders>
            <w:shd w:val="clear" w:color="000000" w:fill="C6E0B4"/>
            <w:vAlign w:val="center"/>
            <w:hideMark/>
          </w:tcPr>
          <w:p w14:paraId="12A59DBE"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c>
          <w:tcPr>
            <w:tcW w:w="1032" w:type="dxa"/>
            <w:tcBorders>
              <w:top w:val="nil"/>
              <w:left w:val="nil"/>
              <w:bottom w:val="single" w:sz="4" w:space="0" w:color="auto"/>
              <w:right w:val="single" w:sz="4" w:space="0" w:color="auto"/>
            </w:tcBorders>
            <w:shd w:val="clear" w:color="000000" w:fill="C6E0B4"/>
            <w:vAlign w:val="center"/>
            <w:hideMark/>
          </w:tcPr>
          <w:p w14:paraId="76A146CE"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Title</w:t>
            </w:r>
          </w:p>
        </w:tc>
        <w:tc>
          <w:tcPr>
            <w:tcW w:w="871" w:type="dxa"/>
            <w:tcBorders>
              <w:top w:val="nil"/>
              <w:left w:val="nil"/>
              <w:bottom w:val="single" w:sz="4" w:space="0" w:color="auto"/>
              <w:right w:val="single" w:sz="4" w:space="0" w:color="auto"/>
            </w:tcBorders>
            <w:shd w:val="clear" w:color="000000" w:fill="C6E0B4"/>
            <w:vAlign w:val="center"/>
            <w:hideMark/>
          </w:tcPr>
          <w:p w14:paraId="2426434D"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Date</w:t>
            </w:r>
          </w:p>
        </w:tc>
        <w:tc>
          <w:tcPr>
            <w:tcW w:w="906" w:type="dxa"/>
            <w:tcBorders>
              <w:top w:val="nil"/>
              <w:left w:val="nil"/>
              <w:bottom w:val="single" w:sz="4" w:space="0" w:color="auto"/>
              <w:right w:val="single" w:sz="4" w:space="0" w:color="auto"/>
            </w:tcBorders>
            <w:shd w:val="clear" w:color="000000" w:fill="C6E0B4"/>
            <w:vAlign w:val="center"/>
            <w:hideMark/>
          </w:tcPr>
          <w:p w14:paraId="6AF09B31"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Time horizon</w:t>
            </w:r>
          </w:p>
        </w:tc>
        <w:tc>
          <w:tcPr>
            <w:tcW w:w="912" w:type="dxa"/>
            <w:tcBorders>
              <w:top w:val="nil"/>
              <w:left w:val="nil"/>
              <w:bottom w:val="single" w:sz="4" w:space="0" w:color="auto"/>
              <w:right w:val="single" w:sz="4" w:space="0" w:color="auto"/>
            </w:tcBorders>
            <w:shd w:val="clear" w:color="000000" w:fill="C6E0B4"/>
            <w:vAlign w:val="center"/>
            <w:hideMark/>
          </w:tcPr>
          <w:p w14:paraId="2B7E85D0"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Ordered by</w:t>
            </w:r>
          </w:p>
        </w:tc>
        <w:tc>
          <w:tcPr>
            <w:tcW w:w="940" w:type="dxa"/>
            <w:tcBorders>
              <w:top w:val="nil"/>
              <w:left w:val="nil"/>
              <w:bottom w:val="single" w:sz="4" w:space="0" w:color="auto"/>
              <w:right w:val="single" w:sz="8" w:space="0" w:color="auto"/>
            </w:tcBorders>
            <w:shd w:val="clear" w:color="000000" w:fill="C6E0B4"/>
            <w:vAlign w:val="center"/>
            <w:hideMark/>
          </w:tcPr>
          <w:p w14:paraId="2FE03C54" w14:textId="77777777" w:rsidR="00DC2C1E" w:rsidRPr="0002056A" w:rsidRDefault="00DC2C1E" w:rsidP="007B0C07">
            <w:pPr>
              <w:spacing w:after="0" w:line="240" w:lineRule="auto"/>
              <w:jc w:val="center"/>
              <w:rPr>
                <w:rFonts w:ascii="Georgia" w:eastAsia="Times New Roman" w:hAnsi="Georgia" w:cs="Calibri"/>
                <w:b/>
                <w:bCs/>
                <w:sz w:val="12"/>
                <w:szCs w:val="12"/>
                <w:lang w:val="en-GB" w:eastAsia="hu-HU"/>
              </w:rPr>
            </w:pPr>
            <w:r w:rsidRPr="0002056A">
              <w:rPr>
                <w:rFonts w:ascii="Georgia" w:eastAsia="Times New Roman" w:hAnsi="Georgia" w:cs="Calibri"/>
                <w:b/>
                <w:bCs/>
                <w:sz w:val="12"/>
                <w:szCs w:val="12"/>
                <w:lang w:val="en-GB" w:eastAsia="hu-HU"/>
              </w:rPr>
              <w:t>Elaborated by</w:t>
            </w:r>
          </w:p>
        </w:tc>
      </w:tr>
      <w:tr w:rsidR="00DC2C1E" w:rsidRPr="0002056A" w14:paraId="7413A815" w14:textId="77777777" w:rsidTr="007B0C07">
        <w:trPr>
          <w:trHeight w:val="696"/>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EE37CC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ALB</w:t>
            </w:r>
          </w:p>
        </w:tc>
        <w:tc>
          <w:tcPr>
            <w:tcW w:w="1327" w:type="dxa"/>
            <w:tcBorders>
              <w:top w:val="nil"/>
              <w:left w:val="nil"/>
              <w:bottom w:val="single" w:sz="4" w:space="0" w:color="auto"/>
              <w:right w:val="single" w:sz="4" w:space="0" w:color="auto"/>
            </w:tcBorders>
            <w:shd w:val="clear" w:color="000000" w:fill="D0CECE"/>
            <w:noWrap/>
            <w:vAlign w:val="bottom"/>
            <w:hideMark/>
          </w:tcPr>
          <w:p w14:paraId="18375D0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noWrap/>
            <w:vAlign w:val="bottom"/>
            <w:hideMark/>
          </w:tcPr>
          <w:p w14:paraId="1EF985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noWrap/>
            <w:vAlign w:val="bottom"/>
            <w:hideMark/>
          </w:tcPr>
          <w:p w14:paraId="657EA2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463CF28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noWrap/>
            <w:vAlign w:val="bottom"/>
            <w:hideMark/>
          </w:tcPr>
          <w:p w14:paraId="2B31FB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78EA18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STRATEGY IN ALBANIA 2020-2030, 2019-2021 Action Plan Monitoring</w:t>
            </w:r>
          </w:p>
        </w:tc>
        <w:tc>
          <w:tcPr>
            <w:tcW w:w="633" w:type="dxa"/>
            <w:tcBorders>
              <w:top w:val="nil"/>
              <w:left w:val="nil"/>
              <w:bottom w:val="single" w:sz="4" w:space="0" w:color="auto"/>
              <w:right w:val="single" w:sz="4" w:space="0" w:color="auto"/>
            </w:tcBorders>
            <w:vAlign w:val="center"/>
            <w:hideMark/>
          </w:tcPr>
          <w:p w14:paraId="75D8B78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160581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2019-2021</w:t>
            </w:r>
          </w:p>
        </w:tc>
        <w:tc>
          <w:tcPr>
            <w:tcW w:w="1019" w:type="dxa"/>
            <w:tcBorders>
              <w:top w:val="nil"/>
              <w:left w:val="nil"/>
              <w:bottom w:val="single" w:sz="4" w:space="0" w:color="auto"/>
              <w:right w:val="single" w:sz="4" w:space="0" w:color="auto"/>
            </w:tcBorders>
            <w:vAlign w:val="center"/>
            <w:hideMark/>
          </w:tcPr>
          <w:p w14:paraId="6C56FAE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5FE44F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REC Albania, Westminster Foundation for Democracy Limited (WFD)</w:t>
            </w:r>
          </w:p>
        </w:tc>
        <w:tc>
          <w:tcPr>
            <w:tcW w:w="1032" w:type="dxa"/>
            <w:tcBorders>
              <w:top w:val="nil"/>
              <w:left w:val="nil"/>
              <w:bottom w:val="single" w:sz="4" w:space="0" w:color="auto"/>
              <w:right w:val="single" w:sz="4" w:space="0" w:color="auto"/>
            </w:tcBorders>
            <w:shd w:val="clear" w:color="000000" w:fill="D0CECE"/>
            <w:vAlign w:val="center"/>
            <w:hideMark/>
          </w:tcPr>
          <w:p w14:paraId="54CBBF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77289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01C5C0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B025B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47CD56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830D9C7" w14:textId="77777777" w:rsidTr="007B0C07">
        <w:trPr>
          <w:trHeight w:val="420"/>
        </w:trPr>
        <w:tc>
          <w:tcPr>
            <w:tcW w:w="636" w:type="dxa"/>
            <w:vMerge/>
            <w:tcBorders>
              <w:top w:val="nil"/>
              <w:left w:val="single" w:sz="8" w:space="0" w:color="auto"/>
              <w:bottom w:val="single" w:sz="4" w:space="0" w:color="auto"/>
              <w:right w:val="single" w:sz="4" w:space="0" w:color="auto"/>
            </w:tcBorders>
            <w:vAlign w:val="center"/>
            <w:hideMark/>
          </w:tcPr>
          <w:p w14:paraId="31241B8D"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noWrap/>
            <w:vAlign w:val="bottom"/>
            <w:hideMark/>
          </w:tcPr>
          <w:p w14:paraId="5141B5A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noWrap/>
            <w:vAlign w:val="bottom"/>
            <w:hideMark/>
          </w:tcPr>
          <w:p w14:paraId="60E3BCA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noWrap/>
            <w:vAlign w:val="bottom"/>
            <w:hideMark/>
          </w:tcPr>
          <w:p w14:paraId="1BC9812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1C6D76C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noWrap/>
            <w:vAlign w:val="bottom"/>
            <w:hideMark/>
          </w:tcPr>
          <w:p w14:paraId="2E71E16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1E0AF4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Albania’s First Biennial Update Report</w:t>
            </w:r>
          </w:p>
        </w:tc>
        <w:tc>
          <w:tcPr>
            <w:tcW w:w="633" w:type="dxa"/>
            <w:tcBorders>
              <w:top w:val="nil"/>
              <w:left w:val="nil"/>
              <w:bottom w:val="single" w:sz="4" w:space="0" w:color="auto"/>
              <w:right w:val="single" w:sz="4" w:space="0" w:color="auto"/>
            </w:tcBorders>
            <w:vAlign w:val="center"/>
            <w:hideMark/>
          </w:tcPr>
          <w:p w14:paraId="03B099C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06" w:type="dxa"/>
            <w:tcBorders>
              <w:top w:val="nil"/>
              <w:left w:val="nil"/>
              <w:bottom w:val="single" w:sz="4" w:space="0" w:color="auto"/>
              <w:right w:val="single" w:sz="4" w:space="0" w:color="auto"/>
            </w:tcBorders>
            <w:vAlign w:val="center"/>
            <w:hideMark/>
          </w:tcPr>
          <w:p w14:paraId="2908F5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57C42F7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UNFCCC</w:t>
            </w:r>
          </w:p>
        </w:tc>
        <w:tc>
          <w:tcPr>
            <w:tcW w:w="1019" w:type="dxa"/>
            <w:tcBorders>
              <w:top w:val="nil"/>
              <w:left w:val="nil"/>
              <w:bottom w:val="single" w:sz="4" w:space="0" w:color="auto"/>
              <w:right w:val="single" w:sz="4" w:space="0" w:color="auto"/>
            </w:tcBorders>
            <w:vAlign w:val="center"/>
            <w:hideMark/>
          </w:tcPr>
          <w:p w14:paraId="1C5E3D2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Tourism and Environment</w:t>
            </w:r>
          </w:p>
        </w:tc>
        <w:tc>
          <w:tcPr>
            <w:tcW w:w="1032" w:type="dxa"/>
            <w:tcBorders>
              <w:top w:val="nil"/>
              <w:left w:val="nil"/>
              <w:bottom w:val="single" w:sz="4" w:space="0" w:color="auto"/>
              <w:right w:val="single" w:sz="4" w:space="0" w:color="auto"/>
            </w:tcBorders>
            <w:shd w:val="clear" w:color="000000" w:fill="D0CECE"/>
            <w:vAlign w:val="center"/>
            <w:hideMark/>
          </w:tcPr>
          <w:p w14:paraId="665DC9B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710D15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B3CD3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77B38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D393EF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D5F0FB9" w14:textId="77777777" w:rsidTr="007B0C07">
        <w:trPr>
          <w:trHeight w:val="555"/>
        </w:trPr>
        <w:tc>
          <w:tcPr>
            <w:tcW w:w="636" w:type="dxa"/>
            <w:vMerge/>
            <w:tcBorders>
              <w:top w:val="nil"/>
              <w:left w:val="single" w:sz="8" w:space="0" w:color="auto"/>
              <w:bottom w:val="single" w:sz="4" w:space="0" w:color="auto"/>
              <w:right w:val="single" w:sz="4" w:space="0" w:color="auto"/>
            </w:tcBorders>
            <w:vAlign w:val="center"/>
            <w:hideMark/>
          </w:tcPr>
          <w:p w14:paraId="451F778B"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noWrap/>
            <w:vAlign w:val="bottom"/>
            <w:hideMark/>
          </w:tcPr>
          <w:p w14:paraId="6339D79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noWrap/>
            <w:vAlign w:val="bottom"/>
            <w:hideMark/>
          </w:tcPr>
          <w:p w14:paraId="3D1018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noWrap/>
            <w:vAlign w:val="bottom"/>
            <w:hideMark/>
          </w:tcPr>
          <w:p w14:paraId="2D8B375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50D5BA3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noWrap/>
            <w:vAlign w:val="bottom"/>
            <w:hideMark/>
          </w:tcPr>
          <w:p w14:paraId="325605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91C30C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Albania’s National Adaptation Plan First progress report March 2023</w:t>
            </w:r>
          </w:p>
        </w:tc>
        <w:tc>
          <w:tcPr>
            <w:tcW w:w="633" w:type="dxa"/>
            <w:tcBorders>
              <w:top w:val="nil"/>
              <w:left w:val="nil"/>
              <w:bottom w:val="single" w:sz="4" w:space="0" w:color="auto"/>
              <w:right w:val="single" w:sz="4" w:space="0" w:color="auto"/>
            </w:tcBorders>
            <w:vAlign w:val="center"/>
            <w:hideMark/>
          </w:tcPr>
          <w:p w14:paraId="3988CD0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502EC4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2019-2023</w:t>
            </w:r>
          </w:p>
        </w:tc>
        <w:tc>
          <w:tcPr>
            <w:tcW w:w="1019" w:type="dxa"/>
            <w:tcBorders>
              <w:top w:val="nil"/>
              <w:left w:val="nil"/>
              <w:bottom w:val="single" w:sz="4" w:space="0" w:color="auto"/>
              <w:right w:val="single" w:sz="4" w:space="0" w:color="auto"/>
            </w:tcBorders>
            <w:vAlign w:val="center"/>
            <w:hideMark/>
          </w:tcPr>
          <w:p w14:paraId="2D3C55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7EA606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Tourism and Environment</w:t>
            </w:r>
          </w:p>
        </w:tc>
        <w:tc>
          <w:tcPr>
            <w:tcW w:w="1032" w:type="dxa"/>
            <w:tcBorders>
              <w:top w:val="nil"/>
              <w:left w:val="nil"/>
              <w:bottom w:val="single" w:sz="4" w:space="0" w:color="auto"/>
              <w:right w:val="single" w:sz="4" w:space="0" w:color="auto"/>
            </w:tcBorders>
            <w:shd w:val="clear" w:color="000000" w:fill="D0CECE"/>
            <w:vAlign w:val="center"/>
            <w:hideMark/>
          </w:tcPr>
          <w:p w14:paraId="42673A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D4206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903943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95AC9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AF67E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F5E1390" w14:textId="77777777" w:rsidTr="007B0C07">
        <w:trPr>
          <w:trHeight w:val="737"/>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32EAFA4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AUT</w:t>
            </w:r>
          </w:p>
        </w:tc>
        <w:tc>
          <w:tcPr>
            <w:tcW w:w="1327" w:type="dxa"/>
            <w:tcBorders>
              <w:top w:val="nil"/>
              <w:left w:val="nil"/>
              <w:bottom w:val="single" w:sz="4" w:space="0" w:color="auto"/>
              <w:right w:val="single" w:sz="4" w:space="0" w:color="auto"/>
            </w:tcBorders>
            <w:shd w:val="clear" w:color="000000" w:fill="D0CECE"/>
            <w:vAlign w:val="center"/>
            <w:hideMark/>
          </w:tcPr>
          <w:p w14:paraId="7B90805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19837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79489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87EFD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AD535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407BD0EE" w14:textId="47F9D491"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 xml:space="preserve">Anpassung an den </w:t>
            </w:r>
            <w:r w:rsidR="00962E9B" w:rsidRPr="0002056A">
              <w:rPr>
                <w:rFonts w:ascii="Georgia" w:eastAsia="Times New Roman" w:hAnsi="Georgia" w:cs="Calibri"/>
                <w:b/>
                <w:bCs/>
                <w:color w:val="000000"/>
                <w:sz w:val="8"/>
                <w:szCs w:val="8"/>
                <w:lang w:val="en-GB" w:eastAsia="hu-HU"/>
              </w:rPr>
              <w:t>Klimawandel</w:t>
            </w:r>
            <w:r w:rsidRPr="0002056A">
              <w:rPr>
                <w:rFonts w:ascii="Georgia" w:eastAsia="Times New Roman" w:hAnsi="Georgia" w:cs="Calibri"/>
                <w:b/>
                <w:bCs/>
                <w:color w:val="000000"/>
                <w:sz w:val="8"/>
                <w:szCs w:val="8"/>
                <w:lang w:val="en-GB" w:eastAsia="hu-HU"/>
              </w:rPr>
              <w:t xml:space="preserve"> in </w:t>
            </w:r>
            <w:r w:rsidR="00DE039F" w:rsidRPr="0002056A">
              <w:rPr>
                <w:rFonts w:ascii="Georgia" w:eastAsia="Times New Roman" w:hAnsi="Georgia" w:cs="Calibri"/>
                <w:b/>
                <w:bCs/>
                <w:color w:val="000000"/>
                <w:sz w:val="8"/>
                <w:szCs w:val="8"/>
                <w:lang w:val="en-GB" w:eastAsia="hu-HU"/>
              </w:rPr>
              <w:t>Oesterreich</w:t>
            </w:r>
            <w:r w:rsidRPr="0002056A">
              <w:rPr>
                <w:rFonts w:ascii="Georgia" w:eastAsia="Times New Roman" w:hAnsi="Georgia" w:cs="Calibri"/>
                <w:b/>
                <w:bCs/>
                <w:color w:val="000000"/>
                <w:sz w:val="8"/>
                <w:szCs w:val="8"/>
                <w:lang w:val="en-GB" w:eastAsia="hu-HU"/>
              </w:rPr>
              <w:t xml:space="preserve"> </w:t>
            </w:r>
            <w:r w:rsidR="00DE039F">
              <w:rPr>
                <w:rFonts w:ascii="Georgia" w:eastAsia="Times New Roman" w:hAnsi="Georgia" w:cs="Calibri"/>
                <w:b/>
                <w:bCs/>
                <w:color w:val="000000"/>
                <w:sz w:val="8"/>
                <w:szCs w:val="8"/>
                <w:lang w:val="en-GB" w:eastAsia="hu-HU"/>
              </w:rPr>
              <w:t>F</w:t>
            </w:r>
            <w:r w:rsidRPr="0002056A">
              <w:rPr>
                <w:rFonts w:ascii="Georgia" w:eastAsia="Times New Roman" w:hAnsi="Georgia" w:cs="Calibri"/>
                <w:b/>
                <w:bCs/>
                <w:color w:val="000000"/>
                <w:sz w:val="8"/>
                <w:szCs w:val="8"/>
                <w:lang w:val="en-GB" w:eastAsia="hu-HU"/>
              </w:rPr>
              <w:t>ortschrittsbericht</w:t>
            </w:r>
          </w:p>
        </w:tc>
        <w:tc>
          <w:tcPr>
            <w:tcW w:w="633" w:type="dxa"/>
            <w:tcBorders>
              <w:top w:val="nil"/>
              <w:left w:val="nil"/>
              <w:bottom w:val="single" w:sz="4" w:space="0" w:color="auto"/>
              <w:right w:val="single" w:sz="4" w:space="0" w:color="auto"/>
            </w:tcBorders>
            <w:vAlign w:val="center"/>
            <w:hideMark/>
          </w:tcPr>
          <w:p w14:paraId="690B0D8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w:t>
            </w:r>
          </w:p>
        </w:tc>
        <w:tc>
          <w:tcPr>
            <w:tcW w:w="706" w:type="dxa"/>
            <w:tcBorders>
              <w:top w:val="nil"/>
              <w:left w:val="nil"/>
              <w:bottom w:val="single" w:sz="4" w:space="0" w:color="auto"/>
              <w:right w:val="single" w:sz="4" w:space="0" w:color="auto"/>
            </w:tcBorders>
            <w:vAlign w:val="center"/>
            <w:hideMark/>
          </w:tcPr>
          <w:p w14:paraId="6813EB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2012-15</w:t>
            </w:r>
          </w:p>
        </w:tc>
        <w:tc>
          <w:tcPr>
            <w:tcW w:w="1019" w:type="dxa"/>
            <w:tcBorders>
              <w:top w:val="nil"/>
              <w:left w:val="nil"/>
              <w:bottom w:val="single" w:sz="4" w:space="0" w:color="auto"/>
              <w:right w:val="single" w:sz="4" w:space="0" w:color="auto"/>
            </w:tcBorders>
            <w:vAlign w:val="center"/>
            <w:hideMark/>
          </w:tcPr>
          <w:p w14:paraId="5F361C2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Federal Government </w:t>
            </w:r>
          </w:p>
        </w:tc>
        <w:tc>
          <w:tcPr>
            <w:tcW w:w="1019" w:type="dxa"/>
            <w:tcBorders>
              <w:top w:val="nil"/>
              <w:left w:val="nil"/>
              <w:bottom w:val="single" w:sz="4" w:space="0" w:color="auto"/>
              <w:right w:val="single" w:sz="4" w:space="0" w:color="auto"/>
            </w:tcBorders>
            <w:vAlign w:val="center"/>
            <w:hideMark/>
          </w:tcPr>
          <w:p w14:paraId="39E396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Land- und Forstwirtschaft, Umwelt und Wasserwirtschaft</w:t>
            </w:r>
          </w:p>
        </w:tc>
        <w:tc>
          <w:tcPr>
            <w:tcW w:w="1032" w:type="dxa"/>
            <w:tcBorders>
              <w:top w:val="nil"/>
              <w:left w:val="nil"/>
              <w:bottom w:val="single" w:sz="4" w:space="0" w:color="auto"/>
              <w:right w:val="single" w:sz="4" w:space="0" w:color="auto"/>
            </w:tcBorders>
            <w:shd w:val="clear" w:color="000000" w:fill="D0CECE"/>
            <w:vAlign w:val="center"/>
            <w:hideMark/>
          </w:tcPr>
          <w:p w14:paraId="6B1F255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4E8C6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11C05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B19CF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83FB7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01C90AD" w14:textId="77777777" w:rsidTr="007B0C07">
        <w:trPr>
          <w:trHeight w:val="860"/>
        </w:trPr>
        <w:tc>
          <w:tcPr>
            <w:tcW w:w="636" w:type="dxa"/>
            <w:vMerge/>
            <w:tcBorders>
              <w:top w:val="nil"/>
              <w:left w:val="single" w:sz="8" w:space="0" w:color="auto"/>
              <w:bottom w:val="single" w:sz="4" w:space="0" w:color="auto"/>
              <w:right w:val="single" w:sz="4" w:space="0" w:color="auto"/>
            </w:tcBorders>
            <w:vAlign w:val="center"/>
            <w:hideMark/>
          </w:tcPr>
          <w:p w14:paraId="47214ABD"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633CFCD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35BBB4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D0FD12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2D894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9BC1A1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042B39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Zweiter Fortschrittsbericht zur österreichischen Strategie zur Anpassung an den Klimawandel</w:t>
            </w:r>
          </w:p>
        </w:tc>
        <w:tc>
          <w:tcPr>
            <w:tcW w:w="633" w:type="dxa"/>
            <w:tcBorders>
              <w:top w:val="nil"/>
              <w:left w:val="nil"/>
              <w:bottom w:val="single" w:sz="4" w:space="0" w:color="auto"/>
              <w:right w:val="single" w:sz="4" w:space="0" w:color="auto"/>
            </w:tcBorders>
            <w:vAlign w:val="center"/>
            <w:hideMark/>
          </w:tcPr>
          <w:p w14:paraId="09F04E4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06" w:type="dxa"/>
            <w:tcBorders>
              <w:top w:val="nil"/>
              <w:left w:val="nil"/>
              <w:bottom w:val="single" w:sz="4" w:space="0" w:color="auto"/>
              <w:right w:val="single" w:sz="4" w:space="0" w:color="auto"/>
            </w:tcBorders>
            <w:vAlign w:val="center"/>
            <w:hideMark/>
          </w:tcPr>
          <w:p w14:paraId="62F874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2017-21</w:t>
            </w:r>
          </w:p>
        </w:tc>
        <w:tc>
          <w:tcPr>
            <w:tcW w:w="1019" w:type="dxa"/>
            <w:tcBorders>
              <w:top w:val="nil"/>
              <w:left w:val="nil"/>
              <w:bottom w:val="single" w:sz="4" w:space="0" w:color="auto"/>
              <w:right w:val="single" w:sz="4" w:space="0" w:color="auto"/>
            </w:tcBorders>
            <w:vAlign w:val="center"/>
            <w:hideMark/>
          </w:tcPr>
          <w:p w14:paraId="70890A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Federal Government </w:t>
            </w:r>
          </w:p>
        </w:tc>
        <w:tc>
          <w:tcPr>
            <w:tcW w:w="1019" w:type="dxa"/>
            <w:tcBorders>
              <w:top w:val="nil"/>
              <w:left w:val="nil"/>
              <w:bottom w:val="single" w:sz="4" w:space="0" w:color="auto"/>
              <w:right w:val="single" w:sz="4" w:space="0" w:color="auto"/>
            </w:tcBorders>
            <w:vAlign w:val="center"/>
            <w:hideMark/>
          </w:tcPr>
          <w:p w14:paraId="5469E8F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Klimaschutz, Umwelt, Energie, Mobilität, Innovation und Technologie</w:t>
            </w:r>
          </w:p>
        </w:tc>
        <w:tc>
          <w:tcPr>
            <w:tcW w:w="1032" w:type="dxa"/>
            <w:tcBorders>
              <w:top w:val="nil"/>
              <w:left w:val="nil"/>
              <w:bottom w:val="single" w:sz="4" w:space="0" w:color="auto"/>
              <w:right w:val="single" w:sz="4" w:space="0" w:color="auto"/>
            </w:tcBorders>
            <w:shd w:val="clear" w:color="000000" w:fill="D0CECE"/>
            <w:vAlign w:val="center"/>
            <w:hideMark/>
          </w:tcPr>
          <w:p w14:paraId="7E1BB0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73D34B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521C3C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204DBD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17B3E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0003CA8" w14:textId="77777777" w:rsidTr="007B0C07">
        <w:trPr>
          <w:trHeight w:val="860"/>
        </w:trPr>
        <w:tc>
          <w:tcPr>
            <w:tcW w:w="636" w:type="dxa"/>
            <w:vMerge/>
            <w:tcBorders>
              <w:top w:val="nil"/>
              <w:left w:val="single" w:sz="8" w:space="0" w:color="auto"/>
              <w:bottom w:val="single" w:sz="4" w:space="0" w:color="auto"/>
              <w:right w:val="single" w:sz="4" w:space="0" w:color="auto"/>
            </w:tcBorders>
            <w:vAlign w:val="center"/>
            <w:hideMark/>
          </w:tcPr>
          <w:p w14:paraId="72E71FAD"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7B7201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3756F01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D4585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F106C7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41D33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F3F00B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Austrian Assessment Report 2014 (AAR14) (Österreichischer Sachstandsbericht Klimawandel 2014)</w:t>
            </w:r>
          </w:p>
        </w:tc>
        <w:tc>
          <w:tcPr>
            <w:tcW w:w="633" w:type="dxa"/>
            <w:tcBorders>
              <w:top w:val="nil"/>
              <w:left w:val="nil"/>
              <w:bottom w:val="single" w:sz="4" w:space="0" w:color="auto"/>
              <w:right w:val="single" w:sz="4" w:space="0" w:color="auto"/>
            </w:tcBorders>
            <w:vAlign w:val="center"/>
            <w:hideMark/>
          </w:tcPr>
          <w:p w14:paraId="5F0AEE6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2014</w:t>
            </w:r>
          </w:p>
        </w:tc>
        <w:tc>
          <w:tcPr>
            <w:tcW w:w="706" w:type="dxa"/>
            <w:tcBorders>
              <w:top w:val="nil"/>
              <w:left w:val="nil"/>
              <w:bottom w:val="single" w:sz="4" w:space="0" w:color="auto"/>
              <w:right w:val="single" w:sz="4" w:space="0" w:color="auto"/>
            </w:tcBorders>
            <w:vAlign w:val="center"/>
            <w:hideMark/>
          </w:tcPr>
          <w:p w14:paraId="4169C1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1129DB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Federal Government</w:t>
            </w:r>
          </w:p>
        </w:tc>
        <w:tc>
          <w:tcPr>
            <w:tcW w:w="1019" w:type="dxa"/>
            <w:tcBorders>
              <w:top w:val="nil"/>
              <w:left w:val="nil"/>
              <w:bottom w:val="single" w:sz="4" w:space="0" w:color="auto"/>
              <w:right w:val="single" w:sz="4" w:space="0" w:color="auto"/>
            </w:tcBorders>
            <w:vAlign w:val="center"/>
            <w:hideMark/>
          </w:tcPr>
          <w:p w14:paraId="0DCD01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Austrian Panel on Climate Change (APCC)</w:t>
            </w:r>
          </w:p>
        </w:tc>
        <w:tc>
          <w:tcPr>
            <w:tcW w:w="1032" w:type="dxa"/>
            <w:tcBorders>
              <w:top w:val="nil"/>
              <w:left w:val="nil"/>
              <w:bottom w:val="single" w:sz="4" w:space="0" w:color="auto"/>
              <w:right w:val="single" w:sz="4" w:space="0" w:color="auto"/>
            </w:tcBorders>
            <w:shd w:val="clear" w:color="000000" w:fill="D0CECE"/>
            <w:vAlign w:val="center"/>
            <w:hideMark/>
          </w:tcPr>
          <w:p w14:paraId="0CB182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0DD64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86196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2E669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C6F96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73580AC" w14:textId="77777777" w:rsidTr="007B0C07">
        <w:trPr>
          <w:trHeight w:val="420"/>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423BD38"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BEL</w:t>
            </w:r>
          </w:p>
        </w:tc>
        <w:tc>
          <w:tcPr>
            <w:tcW w:w="1327" w:type="dxa"/>
            <w:tcBorders>
              <w:top w:val="nil"/>
              <w:left w:val="nil"/>
              <w:bottom w:val="single" w:sz="4" w:space="0" w:color="auto"/>
              <w:right w:val="single" w:sz="4" w:space="0" w:color="auto"/>
            </w:tcBorders>
            <w:shd w:val="clear" w:color="000000" w:fill="D0CECE"/>
            <w:vAlign w:val="center"/>
            <w:hideMark/>
          </w:tcPr>
          <w:p w14:paraId="3A1ECC0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A8736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045075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3380E1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88269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0E15E36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Mid-term evaluatie van het Nationale Adaptatie Plan </w:t>
            </w:r>
          </w:p>
        </w:tc>
        <w:tc>
          <w:tcPr>
            <w:tcW w:w="633" w:type="dxa"/>
            <w:tcBorders>
              <w:top w:val="nil"/>
              <w:left w:val="nil"/>
              <w:bottom w:val="single" w:sz="4" w:space="0" w:color="auto"/>
              <w:right w:val="single" w:sz="4" w:space="0" w:color="auto"/>
            </w:tcBorders>
            <w:vAlign w:val="center"/>
            <w:hideMark/>
          </w:tcPr>
          <w:p w14:paraId="78C113E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22261F1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2017-2018</w:t>
            </w:r>
          </w:p>
        </w:tc>
        <w:tc>
          <w:tcPr>
            <w:tcW w:w="1019" w:type="dxa"/>
            <w:tcBorders>
              <w:top w:val="nil"/>
              <w:left w:val="nil"/>
              <w:bottom w:val="single" w:sz="4" w:space="0" w:color="auto"/>
              <w:right w:val="single" w:sz="4" w:space="0" w:color="auto"/>
            </w:tcBorders>
            <w:vAlign w:val="center"/>
            <w:hideMark/>
          </w:tcPr>
          <w:p w14:paraId="2B83DE5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1019" w:type="dxa"/>
            <w:tcBorders>
              <w:top w:val="nil"/>
              <w:left w:val="nil"/>
              <w:bottom w:val="single" w:sz="4" w:space="0" w:color="auto"/>
              <w:right w:val="single" w:sz="4" w:space="0" w:color="auto"/>
            </w:tcBorders>
            <w:vAlign w:val="center"/>
            <w:hideMark/>
          </w:tcPr>
          <w:p w14:paraId="7CF4BA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Climate Commission</w:t>
            </w:r>
          </w:p>
        </w:tc>
        <w:tc>
          <w:tcPr>
            <w:tcW w:w="1032" w:type="dxa"/>
            <w:tcBorders>
              <w:top w:val="nil"/>
              <w:left w:val="nil"/>
              <w:bottom w:val="single" w:sz="4" w:space="0" w:color="auto"/>
              <w:right w:val="single" w:sz="4" w:space="0" w:color="auto"/>
            </w:tcBorders>
            <w:shd w:val="clear" w:color="000000" w:fill="D0CECE"/>
            <w:vAlign w:val="center"/>
            <w:hideMark/>
          </w:tcPr>
          <w:p w14:paraId="539AB1A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09EEDC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C149A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D66A5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5E397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4FE0DAD" w14:textId="77777777" w:rsidTr="007B0C07">
        <w:trPr>
          <w:trHeight w:val="420"/>
        </w:trPr>
        <w:tc>
          <w:tcPr>
            <w:tcW w:w="636" w:type="dxa"/>
            <w:vMerge/>
            <w:tcBorders>
              <w:top w:val="nil"/>
              <w:left w:val="single" w:sz="8" w:space="0" w:color="auto"/>
              <w:bottom w:val="single" w:sz="4" w:space="0" w:color="auto"/>
              <w:right w:val="single" w:sz="4" w:space="0" w:color="auto"/>
            </w:tcBorders>
            <w:vAlign w:val="center"/>
            <w:hideMark/>
          </w:tcPr>
          <w:p w14:paraId="6A963048"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1EC7264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9144FC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B4470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B99490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29480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622814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Évaluation finale du plan national d'adaptation</w:t>
            </w:r>
          </w:p>
        </w:tc>
        <w:tc>
          <w:tcPr>
            <w:tcW w:w="633" w:type="dxa"/>
            <w:tcBorders>
              <w:top w:val="nil"/>
              <w:left w:val="nil"/>
              <w:bottom w:val="single" w:sz="4" w:space="0" w:color="auto"/>
              <w:right w:val="single" w:sz="4" w:space="0" w:color="auto"/>
            </w:tcBorders>
            <w:vAlign w:val="center"/>
            <w:hideMark/>
          </w:tcPr>
          <w:p w14:paraId="54C551D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06" w:type="dxa"/>
            <w:tcBorders>
              <w:top w:val="nil"/>
              <w:left w:val="nil"/>
              <w:bottom w:val="single" w:sz="4" w:space="0" w:color="auto"/>
              <w:right w:val="single" w:sz="4" w:space="0" w:color="auto"/>
            </w:tcBorders>
            <w:vAlign w:val="center"/>
            <w:hideMark/>
          </w:tcPr>
          <w:p w14:paraId="30E153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2017-2020</w:t>
            </w:r>
          </w:p>
        </w:tc>
        <w:tc>
          <w:tcPr>
            <w:tcW w:w="1019" w:type="dxa"/>
            <w:tcBorders>
              <w:top w:val="nil"/>
              <w:left w:val="nil"/>
              <w:bottom w:val="single" w:sz="4" w:space="0" w:color="auto"/>
              <w:right w:val="single" w:sz="4" w:space="0" w:color="auto"/>
            </w:tcBorders>
            <w:vAlign w:val="center"/>
            <w:hideMark/>
          </w:tcPr>
          <w:p w14:paraId="4F4F867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Federal Government</w:t>
            </w:r>
          </w:p>
        </w:tc>
        <w:tc>
          <w:tcPr>
            <w:tcW w:w="1019" w:type="dxa"/>
            <w:tcBorders>
              <w:top w:val="nil"/>
              <w:left w:val="nil"/>
              <w:bottom w:val="single" w:sz="4" w:space="0" w:color="auto"/>
              <w:right w:val="single" w:sz="4" w:space="0" w:color="auto"/>
            </w:tcBorders>
            <w:vAlign w:val="center"/>
            <w:hideMark/>
          </w:tcPr>
          <w:p w14:paraId="38E664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Climate Commission</w:t>
            </w:r>
          </w:p>
        </w:tc>
        <w:tc>
          <w:tcPr>
            <w:tcW w:w="1032" w:type="dxa"/>
            <w:tcBorders>
              <w:top w:val="nil"/>
              <w:left w:val="nil"/>
              <w:bottom w:val="single" w:sz="4" w:space="0" w:color="auto"/>
              <w:right w:val="single" w:sz="4" w:space="0" w:color="auto"/>
            </w:tcBorders>
            <w:shd w:val="clear" w:color="000000" w:fill="D0CECE"/>
            <w:vAlign w:val="center"/>
            <w:hideMark/>
          </w:tcPr>
          <w:p w14:paraId="799E60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BF9359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28AE0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4C8747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9282A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4B05F02" w14:textId="77777777" w:rsidTr="007B0C07">
        <w:trPr>
          <w:trHeight w:val="186"/>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615F8993"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BIH</w:t>
            </w:r>
          </w:p>
        </w:tc>
        <w:tc>
          <w:tcPr>
            <w:tcW w:w="1327" w:type="dxa"/>
            <w:tcBorders>
              <w:top w:val="nil"/>
              <w:left w:val="nil"/>
              <w:bottom w:val="single" w:sz="4" w:space="0" w:color="auto"/>
              <w:right w:val="single" w:sz="4" w:space="0" w:color="auto"/>
            </w:tcBorders>
            <w:shd w:val="clear" w:color="000000" w:fill="D0CECE"/>
            <w:vAlign w:val="center"/>
            <w:hideMark/>
          </w:tcPr>
          <w:p w14:paraId="292DC38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BB357A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A3594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49A6A1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2E4EA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530894D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0B4220C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02EFEF4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9BC06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D48EF0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020734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96442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65A93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BE65D7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F9BBD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B775257" w14:textId="77777777" w:rsidTr="007B0C07">
        <w:trPr>
          <w:trHeight w:val="841"/>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3D39AE10"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BUL</w:t>
            </w:r>
          </w:p>
        </w:tc>
        <w:tc>
          <w:tcPr>
            <w:tcW w:w="1327" w:type="dxa"/>
            <w:tcBorders>
              <w:top w:val="nil"/>
              <w:left w:val="nil"/>
              <w:bottom w:val="single" w:sz="4" w:space="0" w:color="auto"/>
              <w:right w:val="single" w:sz="4" w:space="0" w:color="auto"/>
            </w:tcBorders>
            <w:shd w:val="clear" w:color="000000" w:fill="D0CECE"/>
            <w:vAlign w:val="center"/>
            <w:hideMark/>
          </w:tcPr>
          <w:p w14:paraId="68D7699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AFA8E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92C9F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FF38F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DCA1AA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7D6C70D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First official report </w:t>
            </w:r>
            <w:r w:rsidRPr="0002056A">
              <w:rPr>
                <w:rFonts w:ascii="Georgia" w:eastAsia="Times New Roman" w:hAnsi="Georgia" w:cs="Calibri"/>
                <w:b/>
                <w:bCs/>
                <w:color w:val="000000"/>
                <w:sz w:val="10"/>
                <w:szCs w:val="10"/>
                <w:lang w:val="en-GB" w:eastAsia="hu-HU"/>
              </w:rPr>
              <w:br/>
              <w:t>on the implementation of</w:t>
            </w:r>
            <w:r w:rsidRPr="0002056A">
              <w:rPr>
                <w:rFonts w:ascii="Georgia" w:eastAsia="Times New Roman" w:hAnsi="Georgia" w:cs="Calibri"/>
                <w:b/>
                <w:bCs/>
                <w:color w:val="000000"/>
                <w:sz w:val="10"/>
                <w:szCs w:val="10"/>
                <w:lang w:val="en-GB" w:eastAsia="hu-HU"/>
              </w:rPr>
              <w:br/>
              <w:t xml:space="preserve">the third national action plan on climate change </w:t>
            </w:r>
            <w:r w:rsidRPr="0002056A">
              <w:rPr>
                <w:rFonts w:ascii="Georgia" w:eastAsia="Times New Roman" w:hAnsi="Georgia" w:cs="Calibri"/>
                <w:b/>
                <w:bCs/>
                <w:color w:val="000000"/>
                <w:sz w:val="10"/>
                <w:szCs w:val="10"/>
                <w:lang w:val="en-GB" w:eastAsia="hu-HU"/>
              </w:rPr>
              <w:br/>
              <w:t>2013-2020</w:t>
            </w:r>
          </w:p>
        </w:tc>
        <w:tc>
          <w:tcPr>
            <w:tcW w:w="633" w:type="dxa"/>
            <w:tcBorders>
              <w:top w:val="nil"/>
              <w:left w:val="nil"/>
              <w:bottom w:val="single" w:sz="4" w:space="0" w:color="auto"/>
              <w:right w:val="single" w:sz="4" w:space="0" w:color="auto"/>
            </w:tcBorders>
            <w:vAlign w:val="center"/>
            <w:hideMark/>
          </w:tcPr>
          <w:p w14:paraId="44311C8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706" w:type="dxa"/>
            <w:tcBorders>
              <w:top w:val="nil"/>
              <w:left w:val="nil"/>
              <w:bottom w:val="single" w:sz="4" w:space="0" w:color="auto"/>
              <w:right w:val="single" w:sz="4" w:space="0" w:color="auto"/>
            </w:tcBorders>
            <w:vAlign w:val="center"/>
            <w:hideMark/>
          </w:tcPr>
          <w:p w14:paraId="2B1F50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2014-2016</w:t>
            </w:r>
          </w:p>
        </w:tc>
        <w:tc>
          <w:tcPr>
            <w:tcW w:w="1019" w:type="dxa"/>
            <w:tcBorders>
              <w:top w:val="nil"/>
              <w:left w:val="nil"/>
              <w:bottom w:val="single" w:sz="4" w:space="0" w:color="auto"/>
              <w:right w:val="single" w:sz="4" w:space="0" w:color="auto"/>
            </w:tcBorders>
            <w:vAlign w:val="center"/>
            <w:hideMark/>
          </w:tcPr>
          <w:p w14:paraId="6B550F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3933BF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and water</w:t>
            </w:r>
          </w:p>
        </w:tc>
        <w:tc>
          <w:tcPr>
            <w:tcW w:w="1032" w:type="dxa"/>
            <w:tcBorders>
              <w:top w:val="nil"/>
              <w:left w:val="nil"/>
              <w:bottom w:val="single" w:sz="4" w:space="0" w:color="auto"/>
              <w:right w:val="single" w:sz="4" w:space="0" w:color="auto"/>
            </w:tcBorders>
            <w:shd w:val="clear" w:color="000000" w:fill="D0CECE"/>
            <w:vAlign w:val="center"/>
            <w:hideMark/>
          </w:tcPr>
          <w:p w14:paraId="1146C4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2F8DF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0B0F0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F0C5E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88E70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BBFAA72"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3B9EA84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CRO</w:t>
            </w:r>
          </w:p>
        </w:tc>
        <w:tc>
          <w:tcPr>
            <w:tcW w:w="1327" w:type="dxa"/>
            <w:tcBorders>
              <w:top w:val="nil"/>
              <w:left w:val="nil"/>
              <w:bottom w:val="single" w:sz="4" w:space="0" w:color="auto"/>
              <w:right w:val="single" w:sz="4" w:space="0" w:color="auto"/>
            </w:tcBorders>
            <w:shd w:val="clear" w:color="000000" w:fill="D0CECE"/>
            <w:vAlign w:val="center"/>
            <w:hideMark/>
          </w:tcPr>
          <w:p w14:paraId="50AA690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348B5AE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12C10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28EBA4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88E36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32E0CDC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7543D9E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470C82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608E8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ED85E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2DAABC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A1742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96F54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F0EE9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A22951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F2C0296"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22FA855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CYP</w:t>
            </w:r>
          </w:p>
        </w:tc>
        <w:tc>
          <w:tcPr>
            <w:tcW w:w="1327" w:type="dxa"/>
            <w:tcBorders>
              <w:top w:val="nil"/>
              <w:left w:val="nil"/>
              <w:bottom w:val="single" w:sz="4" w:space="0" w:color="auto"/>
              <w:right w:val="single" w:sz="4" w:space="0" w:color="auto"/>
            </w:tcBorders>
            <w:shd w:val="clear" w:color="000000" w:fill="D0CECE"/>
            <w:vAlign w:val="center"/>
            <w:hideMark/>
          </w:tcPr>
          <w:p w14:paraId="7FDA681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8D751F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770E3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0C60D7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8FFEC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5D2DE70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4505834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7F897B4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84A45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44FA3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6E51C3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1C8A2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90F59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CF3E7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3F6D3E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56E67C3"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766BFAC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CZH</w:t>
            </w:r>
          </w:p>
        </w:tc>
        <w:tc>
          <w:tcPr>
            <w:tcW w:w="1327" w:type="dxa"/>
            <w:tcBorders>
              <w:top w:val="nil"/>
              <w:left w:val="nil"/>
              <w:bottom w:val="single" w:sz="4" w:space="0" w:color="auto"/>
              <w:right w:val="single" w:sz="4" w:space="0" w:color="auto"/>
            </w:tcBorders>
            <w:shd w:val="clear" w:color="000000" w:fill="D0CECE"/>
            <w:vAlign w:val="center"/>
            <w:hideMark/>
          </w:tcPr>
          <w:p w14:paraId="2780664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3E199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0C006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1BB0BA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FBBBF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40A7791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73DC579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6718401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85EF0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D2BB95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717285F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18B22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1A4A4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448CE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81E173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0FD0BCE" w14:textId="77777777" w:rsidTr="007B0C07">
        <w:trPr>
          <w:trHeight w:val="1160"/>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678F6D31"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lastRenderedPageBreak/>
              <w:t>DEN</w:t>
            </w:r>
          </w:p>
        </w:tc>
        <w:tc>
          <w:tcPr>
            <w:tcW w:w="1327" w:type="dxa"/>
            <w:tcBorders>
              <w:top w:val="nil"/>
              <w:left w:val="nil"/>
              <w:bottom w:val="single" w:sz="4" w:space="0" w:color="auto"/>
              <w:right w:val="single" w:sz="4" w:space="0" w:color="auto"/>
            </w:tcBorders>
            <w:vAlign w:val="center"/>
            <w:hideMark/>
          </w:tcPr>
          <w:p w14:paraId="045CEA5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Data catalog for climate adaptation Overview of existing data for use in municipal climate adaptation</w:t>
            </w:r>
          </w:p>
        </w:tc>
        <w:tc>
          <w:tcPr>
            <w:tcW w:w="548" w:type="dxa"/>
            <w:tcBorders>
              <w:top w:val="nil"/>
              <w:left w:val="nil"/>
              <w:bottom w:val="single" w:sz="4" w:space="0" w:color="auto"/>
              <w:right w:val="single" w:sz="4" w:space="0" w:color="auto"/>
            </w:tcBorders>
            <w:vAlign w:val="center"/>
            <w:hideMark/>
          </w:tcPr>
          <w:p w14:paraId="7B96B08B"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718" w:type="dxa"/>
            <w:tcBorders>
              <w:top w:val="nil"/>
              <w:left w:val="nil"/>
              <w:bottom w:val="single" w:sz="4" w:space="0" w:color="auto"/>
              <w:right w:val="single" w:sz="4" w:space="0" w:color="auto"/>
            </w:tcBorders>
            <w:vAlign w:val="center"/>
            <w:hideMark/>
          </w:tcPr>
          <w:p w14:paraId="5EFFB3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1291D6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955" w:type="dxa"/>
            <w:tcBorders>
              <w:top w:val="nil"/>
              <w:left w:val="nil"/>
              <w:bottom w:val="single" w:sz="4" w:space="0" w:color="auto"/>
              <w:right w:val="single" w:sz="4" w:space="0" w:color="auto"/>
            </w:tcBorders>
            <w:vAlign w:val="center"/>
            <w:hideMark/>
          </w:tcPr>
          <w:p w14:paraId="7FE197A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The Secretariat for Terrain, Climate, and Water</w:t>
            </w:r>
          </w:p>
        </w:tc>
        <w:tc>
          <w:tcPr>
            <w:tcW w:w="1466" w:type="dxa"/>
            <w:tcBorders>
              <w:top w:val="nil"/>
              <w:left w:val="nil"/>
              <w:bottom w:val="single" w:sz="4" w:space="0" w:color="auto"/>
              <w:right w:val="single" w:sz="4" w:space="0" w:color="auto"/>
            </w:tcBorders>
            <w:shd w:val="clear" w:color="000000" w:fill="D0CECE"/>
            <w:vAlign w:val="center"/>
            <w:hideMark/>
          </w:tcPr>
          <w:p w14:paraId="0C848C4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540593A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74FF03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62AB3E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F45D4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14E7DD0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E16B2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7DB0B1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9450E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94757B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6BA01E86" w14:textId="77777777" w:rsidTr="007B0C07">
        <w:trPr>
          <w:trHeight w:val="646"/>
        </w:trPr>
        <w:tc>
          <w:tcPr>
            <w:tcW w:w="636" w:type="dxa"/>
            <w:vMerge/>
            <w:tcBorders>
              <w:top w:val="nil"/>
              <w:left w:val="single" w:sz="8" w:space="0" w:color="auto"/>
              <w:bottom w:val="single" w:sz="4" w:space="0" w:color="auto"/>
              <w:right w:val="single" w:sz="4" w:space="0" w:color="auto"/>
            </w:tcBorders>
            <w:vAlign w:val="center"/>
            <w:hideMark/>
          </w:tcPr>
          <w:p w14:paraId="16BAAF23"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vAlign w:val="center"/>
            <w:hideMark/>
          </w:tcPr>
          <w:p w14:paraId="12DD884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Environmental indicators – indicators for assessing the effects of climate change</w:t>
            </w:r>
          </w:p>
        </w:tc>
        <w:tc>
          <w:tcPr>
            <w:tcW w:w="548" w:type="dxa"/>
            <w:tcBorders>
              <w:top w:val="nil"/>
              <w:left w:val="nil"/>
              <w:bottom w:val="single" w:sz="4" w:space="0" w:color="auto"/>
              <w:right w:val="single" w:sz="4" w:space="0" w:color="auto"/>
            </w:tcBorders>
            <w:vAlign w:val="center"/>
            <w:hideMark/>
          </w:tcPr>
          <w:p w14:paraId="57C1552B"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18" w:type="dxa"/>
            <w:tcBorders>
              <w:top w:val="nil"/>
              <w:left w:val="nil"/>
              <w:bottom w:val="single" w:sz="4" w:space="0" w:color="auto"/>
              <w:right w:val="single" w:sz="4" w:space="0" w:color="auto"/>
            </w:tcBorders>
            <w:vAlign w:val="center"/>
            <w:hideMark/>
          </w:tcPr>
          <w:p w14:paraId="2EED42D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5F2AF5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955" w:type="dxa"/>
            <w:tcBorders>
              <w:top w:val="nil"/>
              <w:left w:val="nil"/>
              <w:bottom w:val="single" w:sz="4" w:space="0" w:color="auto"/>
              <w:right w:val="single" w:sz="4" w:space="0" w:color="auto"/>
            </w:tcBorders>
            <w:vAlign w:val="center"/>
            <w:hideMark/>
          </w:tcPr>
          <w:p w14:paraId="0E2740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Aarhus University</w:t>
            </w:r>
          </w:p>
        </w:tc>
        <w:tc>
          <w:tcPr>
            <w:tcW w:w="1466" w:type="dxa"/>
            <w:tcBorders>
              <w:top w:val="nil"/>
              <w:left w:val="nil"/>
              <w:bottom w:val="single" w:sz="4" w:space="0" w:color="auto"/>
              <w:right w:val="single" w:sz="4" w:space="0" w:color="auto"/>
            </w:tcBorders>
            <w:shd w:val="clear" w:color="000000" w:fill="D0CECE"/>
            <w:vAlign w:val="center"/>
            <w:hideMark/>
          </w:tcPr>
          <w:p w14:paraId="12EEF68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7474A05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3938EB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7A6AE0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06F14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30841A1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6E93C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CC8557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C829F2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A2153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867E1BD" w14:textId="77777777" w:rsidTr="007B0C07">
        <w:trPr>
          <w:trHeight w:val="372"/>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78BFE034"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ENG</w:t>
            </w:r>
          </w:p>
        </w:tc>
        <w:tc>
          <w:tcPr>
            <w:tcW w:w="1327" w:type="dxa"/>
            <w:tcBorders>
              <w:top w:val="nil"/>
              <w:left w:val="nil"/>
              <w:bottom w:val="single" w:sz="4" w:space="0" w:color="auto"/>
              <w:right w:val="single" w:sz="4" w:space="0" w:color="auto"/>
            </w:tcBorders>
            <w:shd w:val="clear" w:color="000000" w:fill="D0CECE"/>
            <w:vAlign w:val="center"/>
            <w:hideMark/>
          </w:tcPr>
          <w:p w14:paraId="74092FE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F7F013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65D73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A2B29C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4EFB70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0B4C5BD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Evidence for the third UK Climate Change Risk Assessment (CCRA3) Summary for England</w:t>
            </w:r>
          </w:p>
        </w:tc>
        <w:tc>
          <w:tcPr>
            <w:tcW w:w="633" w:type="dxa"/>
            <w:tcBorders>
              <w:top w:val="nil"/>
              <w:left w:val="nil"/>
              <w:bottom w:val="single" w:sz="4" w:space="0" w:color="auto"/>
              <w:right w:val="single" w:sz="4" w:space="0" w:color="auto"/>
            </w:tcBorders>
            <w:vAlign w:val="center"/>
            <w:hideMark/>
          </w:tcPr>
          <w:p w14:paraId="0B6AE1C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1E635C8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4E0FE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 Climate Change Committee</w:t>
            </w:r>
          </w:p>
        </w:tc>
        <w:tc>
          <w:tcPr>
            <w:tcW w:w="1019" w:type="dxa"/>
            <w:tcBorders>
              <w:top w:val="nil"/>
              <w:left w:val="nil"/>
              <w:bottom w:val="single" w:sz="4" w:space="0" w:color="auto"/>
              <w:right w:val="single" w:sz="4" w:space="0" w:color="auto"/>
            </w:tcBorders>
            <w:vAlign w:val="center"/>
            <w:hideMark/>
          </w:tcPr>
          <w:p w14:paraId="2696508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Sustainability West Midlands</w:t>
            </w:r>
          </w:p>
        </w:tc>
        <w:tc>
          <w:tcPr>
            <w:tcW w:w="1032" w:type="dxa"/>
            <w:tcBorders>
              <w:top w:val="nil"/>
              <w:left w:val="nil"/>
              <w:bottom w:val="single" w:sz="4" w:space="0" w:color="auto"/>
              <w:right w:val="single" w:sz="4" w:space="0" w:color="auto"/>
            </w:tcBorders>
            <w:shd w:val="clear" w:color="000000" w:fill="D0CECE"/>
            <w:vAlign w:val="center"/>
            <w:hideMark/>
          </w:tcPr>
          <w:p w14:paraId="6F9CB2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972CF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4934E0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225C2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DA685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A8ED30A" w14:textId="77777777" w:rsidTr="007B0C07">
        <w:trPr>
          <w:trHeight w:val="477"/>
        </w:trPr>
        <w:tc>
          <w:tcPr>
            <w:tcW w:w="636" w:type="dxa"/>
            <w:vMerge/>
            <w:tcBorders>
              <w:top w:val="nil"/>
              <w:left w:val="single" w:sz="8" w:space="0" w:color="auto"/>
              <w:bottom w:val="single" w:sz="4" w:space="0" w:color="auto"/>
              <w:right w:val="single" w:sz="4" w:space="0" w:color="auto"/>
            </w:tcBorders>
            <w:vAlign w:val="center"/>
            <w:hideMark/>
          </w:tcPr>
          <w:p w14:paraId="544BE873"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7F2166F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3F7897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068685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07788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4CBE1B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C9EA3C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Progress in adapting to climate change 2023 Report to Parliament</w:t>
            </w:r>
          </w:p>
        </w:tc>
        <w:tc>
          <w:tcPr>
            <w:tcW w:w="633" w:type="dxa"/>
            <w:tcBorders>
              <w:top w:val="nil"/>
              <w:left w:val="nil"/>
              <w:bottom w:val="single" w:sz="4" w:space="0" w:color="auto"/>
              <w:right w:val="single" w:sz="4" w:space="0" w:color="auto"/>
            </w:tcBorders>
            <w:vAlign w:val="center"/>
            <w:hideMark/>
          </w:tcPr>
          <w:p w14:paraId="5CFE375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1F9E4F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2018-2023</w:t>
            </w:r>
          </w:p>
        </w:tc>
        <w:tc>
          <w:tcPr>
            <w:tcW w:w="1019" w:type="dxa"/>
            <w:tcBorders>
              <w:top w:val="nil"/>
              <w:left w:val="nil"/>
              <w:bottom w:val="single" w:sz="4" w:space="0" w:color="auto"/>
              <w:right w:val="single" w:sz="4" w:space="0" w:color="auto"/>
            </w:tcBorders>
            <w:vAlign w:val="center"/>
            <w:hideMark/>
          </w:tcPr>
          <w:p w14:paraId="1762E9A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 Climate Change Committee</w:t>
            </w:r>
          </w:p>
        </w:tc>
        <w:tc>
          <w:tcPr>
            <w:tcW w:w="1019" w:type="dxa"/>
            <w:tcBorders>
              <w:top w:val="nil"/>
              <w:left w:val="nil"/>
              <w:bottom w:val="single" w:sz="4" w:space="0" w:color="auto"/>
              <w:right w:val="single" w:sz="4" w:space="0" w:color="auto"/>
            </w:tcBorders>
            <w:vAlign w:val="center"/>
            <w:hideMark/>
          </w:tcPr>
          <w:p w14:paraId="48AB5F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Change Committee</w:t>
            </w:r>
          </w:p>
        </w:tc>
        <w:tc>
          <w:tcPr>
            <w:tcW w:w="1032" w:type="dxa"/>
            <w:tcBorders>
              <w:top w:val="nil"/>
              <w:left w:val="nil"/>
              <w:bottom w:val="single" w:sz="4" w:space="0" w:color="auto"/>
              <w:right w:val="single" w:sz="4" w:space="0" w:color="auto"/>
            </w:tcBorders>
            <w:shd w:val="clear" w:color="000000" w:fill="D0CECE"/>
            <w:vAlign w:val="center"/>
            <w:hideMark/>
          </w:tcPr>
          <w:p w14:paraId="716F06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B4DF65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8EF845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7B44A8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A9B15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9AB24B3" w14:textId="77777777" w:rsidTr="007B0C07">
        <w:trPr>
          <w:trHeight w:val="280"/>
        </w:trPr>
        <w:tc>
          <w:tcPr>
            <w:tcW w:w="636" w:type="dxa"/>
            <w:vMerge/>
            <w:tcBorders>
              <w:top w:val="nil"/>
              <w:left w:val="single" w:sz="8" w:space="0" w:color="auto"/>
              <w:bottom w:val="single" w:sz="4" w:space="0" w:color="auto"/>
              <w:right w:val="single" w:sz="4" w:space="0" w:color="auto"/>
            </w:tcBorders>
            <w:vAlign w:val="center"/>
            <w:hideMark/>
          </w:tcPr>
          <w:p w14:paraId="5443336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31189BC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81C666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49139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260C3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53CD0C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922100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UK Climate Change Risk Assessment 2022</w:t>
            </w:r>
          </w:p>
        </w:tc>
        <w:tc>
          <w:tcPr>
            <w:tcW w:w="633" w:type="dxa"/>
            <w:tcBorders>
              <w:top w:val="nil"/>
              <w:left w:val="nil"/>
              <w:bottom w:val="single" w:sz="4" w:space="0" w:color="auto"/>
              <w:right w:val="single" w:sz="4" w:space="0" w:color="auto"/>
            </w:tcBorders>
            <w:vAlign w:val="center"/>
            <w:hideMark/>
          </w:tcPr>
          <w:p w14:paraId="6ACCA25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477CFB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20D144C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1747F0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UK Government</w:t>
            </w:r>
          </w:p>
        </w:tc>
        <w:tc>
          <w:tcPr>
            <w:tcW w:w="1032" w:type="dxa"/>
            <w:tcBorders>
              <w:top w:val="nil"/>
              <w:left w:val="nil"/>
              <w:bottom w:val="single" w:sz="4" w:space="0" w:color="auto"/>
              <w:right w:val="single" w:sz="4" w:space="0" w:color="auto"/>
            </w:tcBorders>
            <w:shd w:val="clear" w:color="000000" w:fill="D0CECE"/>
            <w:vAlign w:val="center"/>
            <w:hideMark/>
          </w:tcPr>
          <w:p w14:paraId="3DD92B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F5792C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DA7ED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E506E8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EADB9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29F6FBF"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35ABE3C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EST</w:t>
            </w:r>
          </w:p>
        </w:tc>
        <w:tc>
          <w:tcPr>
            <w:tcW w:w="1327" w:type="dxa"/>
            <w:tcBorders>
              <w:top w:val="nil"/>
              <w:left w:val="nil"/>
              <w:bottom w:val="single" w:sz="4" w:space="0" w:color="auto"/>
              <w:right w:val="single" w:sz="4" w:space="0" w:color="auto"/>
            </w:tcBorders>
            <w:shd w:val="clear" w:color="000000" w:fill="D0CECE"/>
            <w:vAlign w:val="center"/>
            <w:hideMark/>
          </w:tcPr>
          <w:p w14:paraId="1E4E5A2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3EE482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F5FD85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AFA701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4AB2C4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65CF48E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5C2BE7E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1B6BA48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B9326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73918C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547946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B94F73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CDC47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9A2850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AD619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3F69A02" w14:textId="77777777" w:rsidTr="007B0C07">
        <w:trPr>
          <w:trHeight w:val="478"/>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498EC25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FIN</w:t>
            </w:r>
          </w:p>
        </w:tc>
        <w:tc>
          <w:tcPr>
            <w:tcW w:w="1327" w:type="dxa"/>
            <w:tcBorders>
              <w:top w:val="nil"/>
              <w:left w:val="nil"/>
              <w:bottom w:val="single" w:sz="4" w:space="0" w:color="auto"/>
              <w:right w:val="single" w:sz="4" w:space="0" w:color="auto"/>
            </w:tcBorders>
            <w:shd w:val="clear" w:color="000000" w:fill="D0CECE"/>
            <w:vAlign w:val="center"/>
            <w:hideMark/>
          </w:tcPr>
          <w:p w14:paraId="04C22FD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8B11E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2DF92D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B65535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93B1F0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C23058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Adaptation to climate change in Finland Current state and future prospects</w:t>
            </w:r>
          </w:p>
        </w:tc>
        <w:tc>
          <w:tcPr>
            <w:tcW w:w="633" w:type="dxa"/>
            <w:tcBorders>
              <w:top w:val="nil"/>
              <w:left w:val="nil"/>
              <w:bottom w:val="single" w:sz="4" w:space="0" w:color="auto"/>
              <w:right w:val="single" w:sz="4" w:space="0" w:color="auto"/>
            </w:tcBorders>
            <w:vAlign w:val="center"/>
            <w:hideMark/>
          </w:tcPr>
          <w:p w14:paraId="2697AA5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236DA7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40C30E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160637D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Finnish Government</w:t>
            </w:r>
          </w:p>
        </w:tc>
        <w:tc>
          <w:tcPr>
            <w:tcW w:w="1032" w:type="dxa"/>
            <w:tcBorders>
              <w:top w:val="nil"/>
              <w:left w:val="nil"/>
              <w:bottom w:val="single" w:sz="4" w:space="0" w:color="auto"/>
              <w:right w:val="single" w:sz="4" w:space="0" w:color="auto"/>
            </w:tcBorders>
            <w:shd w:val="clear" w:color="000000" w:fill="D0CECE"/>
            <w:vAlign w:val="center"/>
            <w:hideMark/>
          </w:tcPr>
          <w:p w14:paraId="079817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0D7F8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86960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DA8C5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EA3260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A02D185" w14:textId="77777777" w:rsidTr="007B0C07">
        <w:trPr>
          <w:trHeight w:val="556"/>
        </w:trPr>
        <w:tc>
          <w:tcPr>
            <w:tcW w:w="636" w:type="dxa"/>
            <w:vMerge/>
            <w:tcBorders>
              <w:top w:val="nil"/>
              <w:left w:val="single" w:sz="8" w:space="0" w:color="auto"/>
              <w:bottom w:val="single" w:sz="4" w:space="0" w:color="auto"/>
              <w:right w:val="single" w:sz="4" w:space="0" w:color="auto"/>
            </w:tcBorders>
            <w:vAlign w:val="center"/>
            <w:hideMark/>
          </w:tcPr>
          <w:p w14:paraId="367F12D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4403CE2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109740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2B52F0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BD9C4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C42525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075E32A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Evaluation of the Implementation of Finland’s National Strategy for Adaptation to Climate Change 2009</w:t>
            </w:r>
          </w:p>
        </w:tc>
        <w:tc>
          <w:tcPr>
            <w:tcW w:w="633" w:type="dxa"/>
            <w:tcBorders>
              <w:top w:val="nil"/>
              <w:left w:val="nil"/>
              <w:bottom w:val="single" w:sz="4" w:space="0" w:color="auto"/>
              <w:right w:val="single" w:sz="4" w:space="0" w:color="auto"/>
            </w:tcBorders>
            <w:vAlign w:val="center"/>
            <w:hideMark/>
          </w:tcPr>
          <w:p w14:paraId="43CA9A2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2009</w:t>
            </w:r>
          </w:p>
        </w:tc>
        <w:tc>
          <w:tcPr>
            <w:tcW w:w="706" w:type="dxa"/>
            <w:tcBorders>
              <w:top w:val="nil"/>
              <w:left w:val="nil"/>
              <w:bottom w:val="single" w:sz="4" w:space="0" w:color="auto"/>
              <w:right w:val="single" w:sz="4" w:space="0" w:color="auto"/>
            </w:tcBorders>
            <w:vAlign w:val="center"/>
            <w:hideMark/>
          </w:tcPr>
          <w:p w14:paraId="4E8856F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2005-2009</w:t>
            </w:r>
          </w:p>
        </w:tc>
        <w:tc>
          <w:tcPr>
            <w:tcW w:w="1019" w:type="dxa"/>
            <w:tcBorders>
              <w:top w:val="nil"/>
              <w:left w:val="nil"/>
              <w:bottom w:val="single" w:sz="4" w:space="0" w:color="auto"/>
              <w:right w:val="single" w:sz="4" w:space="0" w:color="auto"/>
            </w:tcBorders>
            <w:vAlign w:val="center"/>
            <w:hideMark/>
          </w:tcPr>
          <w:p w14:paraId="5F7DB7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74EF94D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Agriculture and Forestry</w:t>
            </w:r>
          </w:p>
        </w:tc>
        <w:tc>
          <w:tcPr>
            <w:tcW w:w="1032" w:type="dxa"/>
            <w:tcBorders>
              <w:top w:val="nil"/>
              <w:left w:val="nil"/>
              <w:bottom w:val="single" w:sz="4" w:space="0" w:color="auto"/>
              <w:right w:val="single" w:sz="4" w:space="0" w:color="auto"/>
            </w:tcBorders>
            <w:shd w:val="clear" w:color="000000" w:fill="D0CECE"/>
            <w:vAlign w:val="center"/>
            <w:hideMark/>
          </w:tcPr>
          <w:p w14:paraId="262DEF3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B3E2B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B0497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A230D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5DCFDA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497C9AD" w14:textId="77777777" w:rsidTr="007B0C07">
        <w:trPr>
          <w:trHeight w:val="975"/>
        </w:trPr>
        <w:tc>
          <w:tcPr>
            <w:tcW w:w="636" w:type="dxa"/>
            <w:vMerge/>
            <w:tcBorders>
              <w:top w:val="nil"/>
              <w:left w:val="single" w:sz="8" w:space="0" w:color="auto"/>
              <w:bottom w:val="single" w:sz="4" w:space="0" w:color="auto"/>
              <w:right w:val="single" w:sz="4" w:space="0" w:color="auto"/>
            </w:tcBorders>
            <w:vAlign w:val="center"/>
            <w:hideMark/>
          </w:tcPr>
          <w:p w14:paraId="292C80E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B5B0B5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ECF03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6C5A80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7CCEC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B8CE1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6AA0D7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Regional characteristics and vulnerabilities related to climate change in FinlandA review as a background for the National Climate Change Adaptation Plan 2030</w:t>
            </w:r>
          </w:p>
        </w:tc>
        <w:tc>
          <w:tcPr>
            <w:tcW w:w="633" w:type="dxa"/>
            <w:tcBorders>
              <w:top w:val="nil"/>
              <w:left w:val="nil"/>
              <w:bottom w:val="single" w:sz="4" w:space="0" w:color="auto"/>
              <w:right w:val="single" w:sz="4" w:space="0" w:color="auto"/>
            </w:tcBorders>
            <w:vAlign w:val="center"/>
            <w:hideMark/>
          </w:tcPr>
          <w:p w14:paraId="24D4924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09FCC9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41CAD1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1CE13A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of Agriculture and Forestry Helsinki </w:t>
            </w:r>
          </w:p>
        </w:tc>
        <w:tc>
          <w:tcPr>
            <w:tcW w:w="1032" w:type="dxa"/>
            <w:tcBorders>
              <w:top w:val="nil"/>
              <w:left w:val="nil"/>
              <w:bottom w:val="single" w:sz="4" w:space="0" w:color="auto"/>
              <w:right w:val="single" w:sz="4" w:space="0" w:color="auto"/>
            </w:tcBorders>
            <w:shd w:val="clear" w:color="000000" w:fill="D0CECE"/>
            <w:vAlign w:val="center"/>
            <w:hideMark/>
          </w:tcPr>
          <w:p w14:paraId="079FD40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994B54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8FC38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F19AE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7550B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B495DAD" w14:textId="77777777" w:rsidTr="007B0C07">
        <w:trPr>
          <w:trHeight w:val="408"/>
        </w:trPr>
        <w:tc>
          <w:tcPr>
            <w:tcW w:w="636" w:type="dxa"/>
            <w:vMerge/>
            <w:tcBorders>
              <w:top w:val="nil"/>
              <w:left w:val="single" w:sz="8" w:space="0" w:color="auto"/>
              <w:bottom w:val="single" w:sz="4" w:space="0" w:color="auto"/>
              <w:right w:val="single" w:sz="4" w:space="0" w:color="auto"/>
            </w:tcBorders>
            <w:vAlign w:val="center"/>
            <w:hideMark/>
          </w:tcPr>
          <w:p w14:paraId="3E20B48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07BAB89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14799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2E5E7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8EA74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57F04D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4E9FCB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Evaluation of adaptation to climate change in Finland 2022</w:t>
            </w:r>
          </w:p>
        </w:tc>
        <w:tc>
          <w:tcPr>
            <w:tcW w:w="633" w:type="dxa"/>
            <w:tcBorders>
              <w:top w:val="nil"/>
              <w:left w:val="nil"/>
              <w:bottom w:val="single" w:sz="4" w:space="0" w:color="auto"/>
              <w:right w:val="single" w:sz="4" w:space="0" w:color="auto"/>
            </w:tcBorders>
            <w:vAlign w:val="center"/>
            <w:hideMark/>
          </w:tcPr>
          <w:p w14:paraId="7F90799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6495FE9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9547A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68FA36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Prime Minister's Office</w:t>
            </w:r>
          </w:p>
        </w:tc>
        <w:tc>
          <w:tcPr>
            <w:tcW w:w="1032" w:type="dxa"/>
            <w:tcBorders>
              <w:top w:val="nil"/>
              <w:left w:val="nil"/>
              <w:bottom w:val="single" w:sz="4" w:space="0" w:color="auto"/>
              <w:right w:val="single" w:sz="4" w:space="0" w:color="auto"/>
            </w:tcBorders>
            <w:shd w:val="clear" w:color="000000" w:fill="D0CECE"/>
            <w:vAlign w:val="center"/>
            <w:hideMark/>
          </w:tcPr>
          <w:p w14:paraId="6217C0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44212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5BD2A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5057C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E98E9A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7980BA2" w14:textId="77777777" w:rsidTr="007B0C07">
        <w:trPr>
          <w:trHeight w:val="414"/>
        </w:trPr>
        <w:tc>
          <w:tcPr>
            <w:tcW w:w="636" w:type="dxa"/>
            <w:vMerge/>
            <w:tcBorders>
              <w:top w:val="nil"/>
              <w:left w:val="single" w:sz="8" w:space="0" w:color="auto"/>
              <w:bottom w:val="single" w:sz="4" w:space="0" w:color="auto"/>
              <w:right w:val="single" w:sz="4" w:space="0" w:color="auto"/>
            </w:tcBorders>
            <w:vAlign w:val="center"/>
            <w:hideMark/>
          </w:tcPr>
          <w:p w14:paraId="089B88C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51DBB08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40F401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81BB7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A5707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7C52F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2BE023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and socioeconomic scenarios for climate change adaptation planning</w:t>
            </w:r>
          </w:p>
        </w:tc>
        <w:tc>
          <w:tcPr>
            <w:tcW w:w="633" w:type="dxa"/>
            <w:tcBorders>
              <w:top w:val="nil"/>
              <w:left w:val="nil"/>
              <w:bottom w:val="single" w:sz="4" w:space="0" w:color="auto"/>
              <w:right w:val="single" w:sz="4" w:space="0" w:color="auto"/>
            </w:tcBorders>
            <w:vAlign w:val="center"/>
            <w:hideMark/>
          </w:tcPr>
          <w:p w14:paraId="1E6821E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1BEA0C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7CF681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17E14D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of Agriculture and Forestry Helsinki </w:t>
            </w:r>
          </w:p>
        </w:tc>
        <w:tc>
          <w:tcPr>
            <w:tcW w:w="1032" w:type="dxa"/>
            <w:tcBorders>
              <w:top w:val="nil"/>
              <w:left w:val="nil"/>
              <w:bottom w:val="single" w:sz="4" w:space="0" w:color="auto"/>
              <w:right w:val="single" w:sz="4" w:space="0" w:color="auto"/>
            </w:tcBorders>
            <w:shd w:val="clear" w:color="000000" w:fill="D0CECE"/>
            <w:vAlign w:val="center"/>
            <w:hideMark/>
          </w:tcPr>
          <w:p w14:paraId="39656EA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353AF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C77F4C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0F598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8ED6D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21767F3" w14:textId="77777777" w:rsidTr="007B0C07">
        <w:trPr>
          <w:trHeight w:val="420"/>
        </w:trPr>
        <w:tc>
          <w:tcPr>
            <w:tcW w:w="636" w:type="dxa"/>
            <w:vMerge/>
            <w:tcBorders>
              <w:top w:val="nil"/>
              <w:left w:val="single" w:sz="8" w:space="0" w:color="auto"/>
              <w:bottom w:val="single" w:sz="4" w:space="0" w:color="auto"/>
              <w:right w:val="single" w:sz="4" w:space="0" w:color="auto"/>
            </w:tcBorders>
            <w:vAlign w:val="center"/>
            <w:hideMark/>
          </w:tcPr>
          <w:p w14:paraId="7F03181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34C1480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5F554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FC95D7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B12D6D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CC832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746F84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risk and vulnerability assessment</w:t>
            </w:r>
          </w:p>
        </w:tc>
        <w:tc>
          <w:tcPr>
            <w:tcW w:w="633" w:type="dxa"/>
            <w:tcBorders>
              <w:top w:val="nil"/>
              <w:left w:val="nil"/>
              <w:bottom w:val="single" w:sz="4" w:space="0" w:color="auto"/>
              <w:right w:val="single" w:sz="4" w:space="0" w:color="auto"/>
            </w:tcBorders>
            <w:vAlign w:val="center"/>
            <w:hideMark/>
          </w:tcPr>
          <w:p w14:paraId="18B06F9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706" w:type="dxa"/>
            <w:tcBorders>
              <w:top w:val="nil"/>
              <w:left w:val="nil"/>
              <w:bottom w:val="single" w:sz="4" w:space="0" w:color="auto"/>
              <w:right w:val="single" w:sz="4" w:space="0" w:color="auto"/>
            </w:tcBorders>
            <w:vAlign w:val="center"/>
            <w:hideMark/>
          </w:tcPr>
          <w:p w14:paraId="43B621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3D28E7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653315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of Agriculture and Forestry Helsinki </w:t>
            </w:r>
          </w:p>
        </w:tc>
        <w:tc>
          <w:tcPr>
            <w:tcW w:w="1032" w:type="dxa"/>
            <w:tcBorders>
              <w:top w:val="nil"/>
              <w:left w:val="nil"/>
              <w:bottom w:val="single" w:sz="4" w:space="0" w:color="auto"/>
              <w:right w:val="single" w:sz="4" w:space="0" w:color="auto"/>
            </w:tcBorders>
            <w:shd w:val="clear" w:color="000000" w:fill="D0CECE"/>
            <w:vAlign w:val="center"/>
            <w:hideMark/>
          </w:tcPr>
          <w:p w14:paraId="73D0F25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1EEBAD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E81C6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3A74A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3F03B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4CBAC32" w14:textId="77777777" w:rsidTr="007B0C07">
        <w:trPr>
          <w:trHeight w:val="242"/>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46FBAE84"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FRA</w:t>
            </w:r>
          </w:p>
        </w:tc>
        <w:tc>
          <w:tcPr>
            <w:tcW w:w="1327" w:type="dxa"/>
            <w:tcBorders>
              <w:top w:val="nil"/>
              <w:left w:val="nil"/>
              <w:bottom w:val="single" w:sz="4" w:space="0" w:color="auto"/>
              <w:right w:val="single" w:sz="4" w:space="0" w:color="auto"/>
            </w:tcBorders>
            <w:shd w:val="clear" w:color="000000" w:fill="D0CECE"/>
            <w:vAlign w:val="center"/>
            <w:hideMark/>
          </w:tcPr>
          <w:p w14:paraId="4062E49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CE8E24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D3E958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4FC9D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4A2904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2A260D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Activity Report of the Observatory</w:t>
            </w:r>
          </w:p>
        </w:tc>
        <w:tc>
          <w:tcPr>
            <w:tcW w:w="633" w:type="dxa"/>
            <w:tcBorders>
              <w:top w:val="nil"/>
              <w:left w:val="nil"/>
              <w:bottom w:val="single" w:sz="4" w:space="0" w:color="auto"/>
              <w:right w:val="single" w:sz="4" w:space="0" w:color="auto"/>
            </w:tcBorders>
            <w:vAlign w:val="center"/>
            <w:hideMark/>
          </w:tcPr>
          <w:p w14:paraId="4A68CF5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vAlign w:val="center"/>
            <w:hideMark/>
          </w:tcPr>
          <w:p w14:paraId="31E858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2021-2022</w:t>
            </w:r>
          </w:p>
        </w:tc>
        <w:tc>
          <w:tcPr>
            <w:tcW w:w="1019" w:type="dxa"/>
            <w:tcBorders>
              <w:top w:val="nil"/>
              <w:left w:val="nil"/>
              <w:bottom w:val="single" w:sz="4" w:space="0" w:color="auto"/>
              <w:right w:val="single" w:sz="4" w:space="0" w:color="auto"/>
            </w:tcBorders>
            <w:vAlign w:val="center"/>
            <w:hideMark/>
          </w:tcPr>
          <w:p w14:paraId="398919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5BB312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Observatoire National sur les Effets du Réchauffement Climatique</w:t>
            </w:r>
          </w:p>
        </w:tc>
        <w:tc>
          <w:tcPr>
            <w:tcW w:w="1032" w:type="dxa"/>
            <w:tcBorders>
              <w:top w:val="nil"/>
              <w:left w:val="nil"/>
              <w:bottom w:val="single" w:sz="4" w:space="0" w:color="auto"/>
              <w:right w:val="single" w:sz="4" w:space="0" w:color="auto"/>
            </w:tcBorders>
            <w:shd w:val="clear" w:color="000000" w:fill="D0CECE"/>
            <w:vAlign w:val="center"/>
            <w:hideMark/>
          </w:tcPr>
          <w:p w14:paraId="7FECB24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68122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32371E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1D530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AB109A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82B045B" w14:textId="77777777" w:rsidTr="007B0C07">
        <w:trPr>
          <w:trHeight w:val="520"/>
        </w:trPr>
        <w:tc>
          <w:tcPr>
            <w:tcW w:w="636" w:type="dxa"/>
            <w:vMerge/>
            <w:tcBorders>
              <w:top w:val="nil"/>
              <w:left w:val="single" w:sz="8" w:space="0" w:color="auto"/>
              <w:bottom w:val="single" w:sz="4" w:space="0" w:color="auto"/>
              <w:right w:val="single" w:sz="4" w:space="0" w:color="auto"/>
            </w:tcBorders>
            <w:vAlign w:val="center"/>
            <w:hideMark/>
          </w:tcPr>
          <w:p w14:paraId="4499EF47"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607D4D0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2012EB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26A9B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ED555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92BEF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586077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Activity Report of the Observatory</w:t>
            </w:r>
          </w:p>
        </w:tc>
        <w:tc>
          <w:tcPr>
            <w:tcW w:w="633" w:type="dxa"/>
            <w:tcBorders>
              <w:top w:val="nil"/>
              <w:left w:val="nil"/>
              <w:bottom w:val="single" w:sz="4" w:space="0" w:color="auto"/>
              <w:right w:val="single" w:sz="4" w:space="0" w:color="auto"/>
            </w:tcBorders>
            <w:vAlign w:val="center"/>
            <w:hideMark/>
          </w:tcPr>
          <w:p w14:paraId="51D980A7"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vAlign w:val="center"/>
            <w:hideMark/>
          </w:tcPr>
          <w:p w14:paraId="20295C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2019-2020</w:t>
            </w:r>
          </w:p>
        </w:tc>
        <w:tc>
          <w:tcPr>
            <w:tcW w:w="1019" w:type="dxa"/>
            <w:tcBorders>
              <w:top w:val="nil"/>
              <w:left w:val="nil"/>
              <w:bottom w:val="single" w:sz="4" w:space="0" w:color="auto"/>
              <w:right w:val="single" w:sz="4" w:space="0" w:color="auto"/>
            </w:tcBorders>
            <w:vAlign w:val="center"/>
            <w:hideMark/>
          </w:tcPr>
          <w:p w14:paraId="6DCA14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7C6E8CF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Observatoire National sur les Effets du Réchauffement Climatique</w:t>
            </w:r>
          </w:p>
        </w:tc>
        <w:tc>
          <w:tcPr>
            <w:tcW w:w="1032" w:type="dxa"/>
            <w:tcBorders>
              <w:top w:val="nil"/>
              <w:left w:val="nil"/>
              <w:bottom w:val="single" w:sz="4" w:space="0" w:color="auto"/>
              <w:right w:val="single" w:sz="4" w:space="0" w:color="auto"/>
            </w:tcBorders>
            <w:shd w:val="clear" w:color="000000" w:fill="D0CECE"/>
            <w:vAlign w:val="center"/>
            <w:hideMark/>
          </w:tcPr>
          <w:p w14:paraId="382273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CA7E15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F7D19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2D3AD6B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54D0E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3ADFA93" w14:textId="77777777" w:rsidTr="007B0C07">
        <w:trPr>
          <w:trHeight w:val="1170"/>
        </w:trPr>
        <w:tc>
          <w:tcPr>
            <w:tcW w:w="636" w:type="dxa"/>
            <w:vMerge/>
            <w:tcBorders>
              <w:top w:val="nil"/>
              <w:left w:val="single" w:sz="8" w:space="0" w:color="auto"/>
              <w:bottom w:val="single" w:sz="4" w:space="0" w:color="auto"/>
              <w:right w:val="single" w:sz="4" w:space="0" w:color="auto"/>
            </w:tcBorders>
            <w:vAlign w:val="center"/>
            <w:hideMark/>
          </w:tcPr>
          <w:p w14:paraId="6552E31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37DF910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6CB639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3B7FA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41CB8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CE1CB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D3B524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Mid-term evaluation of the 2nd national climate change adaptation plan (2018-2021)</w:t>
            </w:r>
          </w:p>
        </w:tc>
        <w:tc>
          <w:tcPr>
            <w:tcW w:w="633" w:type="dxa"/>
            <w:tcBorders>
              <w:top w:val="nil"/>
              <w:left w:val="nil"/>
              <w:bottom w:val="single" w:sz="4" w:space="0" w:color="auto"/>
              <w:right w:val="single" w:sz="4" w:space="0" w:color="auto"/>
            </w:tcBorders>
            <w:vAlign w:val="center"/>
            <w:hideMark/>
          </w:tcPr>
          <w:p w14:paraId="17D0A06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39A72A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2018-2021</w:t>
            </w:r>
          </w:p>
        </w:tc>
        <w:tc>
          <w:tcPr>
            <w:tcW w:w="1019" w:type="dxa"/>
            <w:tcBorders>
              <w:top w:val="nil"/>
              <w:left w:val="nil"/>
              <w:bottom w:val="single" w:sz="4" w:space="0" w:color="auto"/>
              <w:right w:val="single" w:sz="4" w:space="0" w:color="auto"/>
            </w:tcBorders>
            <w:vAlign w:val="center"/>
            <w:hideMark/>
          </w:tcPr>
          <w:p w14:paraId="5D0D8D8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6BFA720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 of France</w:t>
            </w:r>
          </w:p>
        </w:tc>
        <w:tc>
          <w:tcPr>
            <w:tcW w:w="1032" w:type="dxa"/>
            <w:tcBorders>
              <w:top w:val="nil"/>
              <w:left w:val="nil"/>
              <w:bottom w:val="single" w:sz="4" w:space="0" w:color="auto"/>
              <w:right w:val="single" w:sz="4" w:space="0" w:color="auto"/>
            </w:tcBorders>
            <w:shd w:val="clear" w:color="000000" w:fill="D0CECE"/>
            <w:vAlign w:val="center"/>
            <w:hideMark/>
          </w:tcPr>
          <w:p w14:paraId="01F5E4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140F2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3951E1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AB0949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340B00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65F01454" w14:textId="77777777" w:rsidTr="007B0C07">
        <w:trPr>
          <w:trHeight w:val="930"/>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472A0F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GER</w:t>
            </w:r>
          </w:p>
        </w:tc>
        <w:tc>
          <w:tcPr>
            <w:tcW w:w="1327" w:type="dxa"/>
            <w:tcBorders>
              <w:top w:val="nil"/>
              <w:left w:val="nil"/>
              <w:bottom w:val="single" w:sz="4" w:space="0" w:color="auto"/>
              <w:right w:val="single" w:sz="4" w:space="0" w:color="auto"/>
            </w:tcBorders>
            <w:vAlign w:val="center"/>
            <w:hideMark/>
          </w:tcPr>
          <w:p w14:paraId="0C95C2C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Entwicklung eines Indikatorensystems für die Deutsche Anpassungsstrategie an den Klimawandel (DAS)</w:t>
            </w:r>
          </w:p>
        </w:tc>
        <w:tc>
          <w:tcPr>
            <w:tcW w:w="548" w:type="dxa"/>
            <w:tcBorders>
              <w:top w:val="nil"/>
              <w:left w:val="nil"/>
              <w:bottom w:val="single" w:sz="4" w:space="0" w:color="auto"/>
              <w:right w:val="single" w:sz="4" w:space="0" w:color="auto"/>
            </w:tcBorders>
            <w:vAlign w:val="center"/>
            <w:hideMark/>
          </w:tcPr>
          <w:p w14:paraId="685D213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2011</w:t>
            </w:r>
          </w:p>
        </w:tc>
        <w:tc>
          <w:tcPr>
            <w:tcW w:w="718" w:type="dxa"/>
            <w:tcBorders>
              <w:top w:val="nil"/>
              <w:left w:val="nil"/>
              <w:bottom w:val="single" w:sz="4" w:space="0" w:color="auto"/>
              <w:right w:val="single" w:sz="4" w:space="0" w:color="auto"/>
            </w:tcBorders>
            <w:noWrap/>
            <w:vAlign w:val="center"/>
            <w:hideMark/>
          </w:tcPr>
          <w:p w14:paraId="57D0BA5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7D895047"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Bundesministerium für Umwelt, Naturschutz, Bau und Reaktorsicherheit</w:t>
            </w:r>
          </w:p>
        </w:tc>
        <w:tc>
          <w:tcPr>
            <w:tcW w:w="955" w:type="dxa"/>
            <w:tcBorders>
              <w:top w:val="nil"/>
              <w:left w:val="nil"/>
              <w:bottom w:val="single" w:sz="4" w:space="0" w:color="auto"/>
              <w:right w:val="single" w:sz="4" w:space="0" w:color="auto"/>
            </w:tcBorders>
            <w:vAlign w:val="center"/>
            <w:hideMark/>
          </w:tcPr>
          <w:p w14:paraId="17D9A8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German Environment Agency</w:t>
            </w:r>
          </w:p>
        </w:tc>
        <w:tc>
          <w:tcPr>
            <w:tcW w:w="1466" w:type="dxa"/>
            <w:tcBorders>
              <w:top w:val="nil"/>
              <w:left w:val="nil"/>
              <w:bottom w:val="single" w:sz="4" w:space="0" w:color="auto"/>
              <w:right w:val="single" w:sz="4" w:space="0" w:color="auto"/>
            </w:tcBorders>
            <w:vAlign w:val="center"/>
            <w:hideMark/>
          </w:tcPr>
          <w:p w14:paraId="1417C3C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Anpassung an den Klimawandel - Erste Fortschrittsbericht der Bundesregierung zur Deutschen Anpassungsstrategie an den Klimawandel (First Progress Report on the German Strategy for Adaptation to Climate Change (DAS))</w:t>
            </w:r>
          </w:p>
        </w:tc>
        <w:tc>
          <w:tcPr>
            <w:tcW w:w="633" w:type="dxa"/>
            <w:tcBorders>
              <w:top w:val="nil"/>
              <w:left w:val="nil"/>
              <w:bottom w:val="single" w:sz="4" w:space="0" w:color="auto"/>
              <w:right w:val="single" w:sz="4" w:space="0" w:color="auto"/>
            </w:tcBorders>
            <w:vAlign w:val="center"/>
            <w:hideMark/>
          </w:tcPr>
          <w:p w14:paraId="6EBDF1F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706" w:type="dxa"/>
            <w:tcBorders>
              <w:top w:val="nil"/>
              <w:left w:val="nil"/>
              <w:bottom w:val="single" w:sz="4" w:space="0" w:color="auto"/>
              <w:right w:val="single" w:sz="4" w:space="0" w:color="auto"/>
            </w:tcBorders>
            <w:vAlign w:val="center"/>
            <w:hideMark/>
          </w:tcPr>
          <w:p w14:paraId="07F99B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2008-2015</w:t>
            </w:r>
          </w:p>
        </w:tc>
        <w:tc>
          <w:tcPr>
            <w:tcW w:w="1019" w:type="dxa"/>
            <w:tcBorders>
              <w:top w:val="nil"/>
              <w:left w:val="nil"/>
              <w:bottom w:val="single" w:sz="4" w:space="0" w:color="auto"/>
              <w:right w:val="single" w:sz="4" w:space="0" w:color="auto"/>
            </w:tcBorders>
            <w:vAlign w:val="center"/>
            <w:hideMark/>
          </w:tcPr>
          <w:p w14:paraId="0DD0666F"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Bundesministerium für Umwelt, Naturschutz, Bau und Reaktorsicherheit</w:t>
            </w:r>
          </w:p>
        </w:tc>
        <w:tc>
          <w:tcPr>
            <w:tcW w:w="1019" w:type="dxa"/>
            <w:tcBorders>
              <w:top w:val="nil"/>
              <w:left w:val="nil"/>
              <w:bottom w:val="single" w:sz="4" w:space="0" w:color="auto"/>
              <w:right w:val="single" w:sz="4" w:space="0" w:color="auto"/>
            </w:tcBorders>
            <w:vAlign w:val="center"/>
            <w:hideMark/>
          </w:tcPr>
          <w:p w14:paraId="0EF662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Independent evaluator team</w:t>
            </w:r>
          </w:p>
        </w:tc>
        <w:tc>
          <w:tcPr>
            <w:tcW w:w="1032" w:type="dxa"/>
            <w:tcBorders>
              <w:top w:val="nil"/>
              <w:left w:val="nil"/>
              <w:bottom w:val="single" w:sz="4" w:space="0" w:color="auto"/>
              <w:right w:val="single" w:sz="4" w:space="0" w:color="auto"/>
            </w:tcBorders>
            <w:vAlign w:val="center"/>
            <w:hideMark/>
          </w:tcPr>
          <w:p w14:paraId="1D28E39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Methodology for the evaluation of the German adaptation strategy</w:t>
            </w:r>
          </w:p>
        </w:tc>
        <w:tc>
          <w:tcPr>
            <w:tcW w:w="871" w:type="dxa"/>
            <w:tcBorders>
              <w:top w:val="nil"/>
              <w:left w:val="nil"/>
              <w:bottom w:val="single" w:sz="4" w:space="0" w:color="auto"/>
              <w:right w:val="single" w:sz="4" w:space="0" w:color="auto"/>
            </w:tcBorders>
            <w:vAlign w:val="center"/>
            <w:hideMark/>
          </w:tcPr>
          <w:p w14:paraId="44B065E9"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906" w:type="dxa"/>
            <w:tcBorders>
              <w:top w:val="nil"/>
              <w:left w:val="nil"/>
              <w:bottom w:val="single" w:sz="4" w:space="0" w:color="auto"/>
              <w:right w:val="single" w:sz="4" w:space="0" w:color="auto"/>
            </w:tcBorders>
            <w:vAlign w:val="center"/>
            <w:hideMark/>
          </w:tcPr>
          <w:p w14:paraId="3E4262C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912" w:type="dxa"/>
            <w:tcBorders>
              <w:top w:val="nil"/>
              <w:left w:val="nil"/>
              <w:bottom w:val="single" w:sz="4" w:space="0" w:color="auto"/>
              <w:right w:val="single" w:sz="4" w:space="0" w:color="auto"/>
            </w:tcBorders>
            <w:vAlign w:val="center"/>
            <w:hideMark/>
          </w:tcPr>
          <w:p w14:paraId="13D3480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Umwelt, Naturschutz, Bau und Reaktor-sicherheit</w:t>
            </w:r>
          </w:p>
        </w:tc>
        <w:tc>
          <w:tcPr>
            <w:tcW w:w="940" w:type="dxa"/>
            <w:tcBorders>
              <w:top w:val="nil"/>
              <w:left w:val="nil"/>
              <w:bottom w:val="single" w:sz="4" w:space="0" w:color="auto"/>
              <w:right w:val="single" w:sz="8" w:space="0" w:color="auto"/>
            </w:tcBorders>
            <w:vAlign w:val="center"/>
            <w:hideMark/>
          </w:tcPr>
          <w:p w14:paraId="2B7FEE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German Environment Agency</w:t>
            </w:r>
          </w:p>
        </w:tc>
      </w:tr>
      <w:tr w:rsidR="00DC2C1E" w:rsidRPr="0002056A" w14:paraId="2B38E0E7" w14:textId="77777777" w:rsidTr="007B0C07">
        <w:trPr>
          <w:trHeight w:val="1088"/>
        </w:trPr>
        <w:tc>
          <w:tcPr>
            <w:tcW w:w="636" w:type="dxa"/>
            <w:vMerge/>
            <w:tcBorders>
              <w:top w:val="nil"/>
              <w:left w:val="single" w:sz="8" w:space="0" w:color="auto"/>
              <w:bottom w:val="single" w:sz="4" w:space="0" w:color="auto"/>
              <w:right w:val="single" w:sz="4" w:space="0" w:color="auto"/>
            </w:tcBorders>
            <w:vAlign w:val="center"/>
            <w:hideMark/>
          </w:tcPr>
          <w:p w14:paraId="4648CAA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vAlign w:val="center"/>
            <w:hideMark/>
          </w:tcPr>
          <w:p w14:paraId="7194723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Handbuch zur Verstetigung der indikatorbasierten Berichterstattung zur Umsetzung der Deutschen Anpassungsstrategie an den Klimawandel (DAS)</w:t>
            </w:r>
          </w:p>
        </w:tc>
        <w:tc>
          <w:tcPr>
            <w:tcW w:w="548" w:type="dxa"/>
            <w:tcBorders>
              <w:top w:val="nil"/>
              <w:left w:val="nil"/>
              <w:bottom w:val="single" w:sz="4" w:space="0" w:color="auto"/>
              <w:right w:val="single" w:sz="4" w:space="0" w:color="auto"/>
            </w:tcBorders>
            <w:vAlign w:val="center"/>
            <w:hideMark/>
          </w:tcPr>
          <w:p w14:paraId="66ED9AB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w:t>
            </w:r>
          </w:p>
        </w:tc>
        <w:tc>
          <w:tcPr>
            <w:tcW w:w="718" w:type="dxa"/>
            <w:tcBorders>
              <w:top w:val="nil"/>
              <w:left w:val="nil"/>
              <w:bottom w:val="single" w:sz="4" w:space="0" w:color="auto"/>
              <w:right w:val="single" w:sz="4" w:space="0" w:color="auto"/>
            </w:tcBorders>
            <w:noWrap/>
            <w:vAlign w:val="center"/>
            <w:hideMark/>
          </w:tcPr>
          <w:p w14:paraId="445635E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3A5DBDD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Umwelt, Naturschutz, Bau und Reaktorsicherheit</w:t>
            </w:r>
          </w:p>
        </w:tc>
        <w:tc>
          <w:tcPr>
            <w:tcW w:w="955" w:type="dxa"/>
            <w:tcBorders>
              <w:top w:val="nil"/>
              <w:left w:val="nil"/>
              <w:bottom w:val="single" w:sz="4" w:space="0" w:color="auto"/>
              <w:right w:val="single" w:sz="4" w:space="0" w:color="auto"/>
            </w:tcBorders>
            <w:vAlign w:val="center"/>
            <w:hideMark/>
          </w:tcPr>
          <w:p w14:paraId="39480D4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Bosch &amp; Partner GmbH</w:t>
            </w:r>
          </w:p>
        </w:tc>
        <w:tc>
          <w:tcPr>
            <w:tcW w:w="1466" w:type="dxa"/>
            <w:tcBorders>
              <w:top w:val="nil"/>
              <w:left w:val="nil"/>
              <w:bottom w:val="single" w:sz="4" w:space="0" w:color="auto"/>
              <w:right w:val="single" w:sz="4" w:space="0" w:color="auto"/>
            </w:tcBorders>
            <w:vAlign w:val="center"/>
            <w:hideMark/>
          </w:tcPr>
          <w:p w14:paraId="1C31935E"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Zweiter Fortschrittsbericht zur Deutschen Anpassungsstrategie an den Klimawandel (Second Progress Report on the German Strategy for Adaptation to Climate Change (DAS))</w:t>
            </w:r>
          </w:p>
        </w:tc>
        <w:tc>
          <w:tcPr>
            <w:tcW w:w="633" w:type="dxa"/>
            <w:tcBorders>
              <w:top w:val="nil"/>
              <w:left w:val="nil"/>
              <w:bottom w:val="single" w:sz="4" w:space="0" w:color="auto"/>
              <w:right w:val="single" w:sz="4" w:space="0" w:color="auto"/>
            </w:tcBorders>
            <w:vAlign w:val="center"/>
            <w:hideMark/>
          </w:tcPr>
          <w:p w14:paraId="34EF305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571DBC5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2015-2019</w:t>
            </w:r>
          </w:p>
        </w:tc>
        <w:tc>
          <w:tcPr>
            <w:tcW w:w="1019" w:type="dxa"/>
            <w:tcBorders>
              <w:top w:val="nil"/>
              <w:left w:val="nil"/>
              <w:bottom w:val="single" w:sz="4" w:space="0" w:color="auto"/>
              <w:right w:val="single" w:sz="4" w:space="0" w:color="auto"/>
            </w:tcBorders>
            <w:vAlign w:val="center"/>
            <w:hideMark/>
          </w:tcPr>
          <w:p w14:paraId="2ACE32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Umwelt, Naturschutz, Bau und Reaktorsicherheit</w:t>
            </w:r>
          </w:p>
        </w:tc>
        <w:tc>
          <w:tcPr>
            <w:tcW w:w="1019" w:type="dxa"/>
            <w:tcBorders>
              <w:top w:val="nil"/>
              <w:left w:val="nil"/>
              <w:bottom w:val="single" w:sz="4" w:space="0" w:color="auto"/>
              <w:right w:val="single" w:sz="4" w:space="0" w:color="auto"/>
            </w:tcBorders>
            <w:vAlign w:val="center"/>
            <w:hideMark/>
          </w:tcPr>
          <w:p w14:paraId="4384EDE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Independent evaluator team</w:t>
            </w:r>
          </w:p>
        </w:tc>
        <w:tc>
          <w:tcPr>
            <w:tcW w:w="1032" w:type="dxa"/>
            <w:tcBorders>
              <w:top w:val="nil"/>
              <w:left w:val="nil"/>
              <w:bottom w:val="single" w:sz="4" w:space="0" w:color="auto"/>
              <w:right w:val="single" w:sz="4" w:space="0" w:color="auto"/>
            </w:tcBorders>
            <w:shd w:val="clear" w:color="000000" w:fill="D0CECE"/>
            <w:vAlign w:val="center"/>
            <w:hideMark/>
          </w:tcPr>
          <w:p w14:paraId="5DA803D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1A86D8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57DC7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551D6D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FABC1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104A339" w14:textId="77777777" w:rsidTr="007B0C07">
        <w:trPr>
          <w:trHeight w:val="977"/>
        </w:trPr>
        <w:tc>
          <w:tcPr>
            <w:tcW w:w="636" w:type="dxa"/>
            <w:vMerge/>
            <w:tcBorders>
              <w:top w:val="nil"/>
              <w:left w:val="single" w:sz="8" w:space="0" w:color="auto"/>
              <w:bottom w:val="single" w:sz="4" w:space="0" w:color="auto"/>
              <w:right w:val="single" w:sz="4" w:space="0" w:color="auto"/>
            </w:tcBorders>
            <w:vAlign w:val="center"/>
            <w:hideMark/>
          </w:tcPr>
          <w:p w14:paraId="4018B89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vAlign w:val="center"/>
            <w:hideMark/>
          </w:tcPr>
          <w:p w14:paraId="0F6E34F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Monitoringbericht 2023 zur Deutschen Anpassungsstrategie an den Klimawandel Bericht der Interministeriellen Arbeitsgruppe Anpassungsstrategie der Bundesregierung</w:t>
            </w:r>
          </w:p>
        </w:tc>
        <w:tc>
          <w:tcPr>
            <w:tcW w:w="548" w:type="dxa"/>
            <w:tcBorders>
              <w:top w:val="nil"/>
              <w:left w:val="nil"/>
              <w:bottom w:val="single" w:sz="4" w:space="0" w:color="auto"/>
              <w:right w:val="single" w:sz="4" w:space="0" w:color="auto"/>
            </w:tcBorders>
            <w:vAlign w:val="center"/>
            <w:hideMark/>
          </w:tcPr>
          <w:p w14:paraId="11F21BA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18" w:type="dxa"/>
            <w:tcBorders>
              <w:top w:val="nil"/>
              <w:left w:val="nil"/>
              <w:bottom w:val="single" w:sz="4" w:space="0" w:color="auto"/>
              <w:right w:val="single" w:sz="4" w:space="0" w:color="auto"/>
            </w:tcBorders>
            <w:noWrap/>
            <w:vAlign w:val="center"/>
            <w:hideMark/>
          </w:tcPr>
          <w:p w14:paraId="101CAE0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374D889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Bundesministerium für Umwelt, Naturschutz, Bau und Reaktorsicherheit</w:t>
            </w:r>
          </w:p>
        </w:tc>
        <w:tc>
          <w:tcPr>
            <w:tcW w:w="955" w:type="dxa"/>
            <w:tcBorders>
              <w:top w:val="nil"/>
              <w:left w:val="nil"/>
              <w:bottom w:val="single" w:sz="4" w:space="0" w:color="auto"/>
              <w:right w:val="single" w:sz="4" w:space="0" w:color="auto"/>
            </w:tcBorders>
            <w:vAlign w:val="center"/>
            <w:hideMark/>
          </w:tcPr>
          <w:p w14:paraId="347D728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German Environment Agency</w:t>
            </w:r>
          </w:p>
        </w:tc>
        <w:tc>
          <w:tcPr>
            <w:tcW w:w="1466" w:type="dxa"/>
            <w:tcBorders>
              <w:top w:val="nil"/>
              <w:left w:val="nil"/>
              <w:bottom w:val="single" w:sz="4" w:space="0" w:color="auto"/>
              <w:right w:val="single" w:sz="4" w:space="0" w:color="auto"/>
            </w:tcBorders>
            <w:vAlign w:val="center"/>
            <w:hideMark/>
          </w:tcPr>
          <w:p w14:paraId="4B9F79F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2023 Monitoring Report on the German Strategy for Adaptation to Climate Change</w:t>
            </w:r>
          </w:p>
        </w:tc>
        <w:tc>
          <w:tcPr>
            <w:tcW w:w="633" w:type="dxa"/>
            <w:tcBorders>
              <w:top w:val="nil"/>
              <w:left w:val="nil"/>
              <w:bottom w:val="single" w:sz="4" w:space="0" w:color="auto"/>
              <w:right w:val="single" w:sz="4" w:space="0" w:color="auto"/>
            </w:tcBorders>
            <w:vAlign w:val="center"/>
            <w:hideMark/>
          </w:tcPr>
          <w:p w14:paraId="4015BE4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1D32B98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2019-2023</w:t>
            </w:r>
          </w:p>
        </w:tc>
        <w:tc>
          <w:tcPr>
            <w:tcW w:w="1019" w:type="dxa"/>
            <w:tcBorders>
              <w:top w:val="nil"/>
              <w:left w:val="nil"/>
              <w:bottom w:val="single" w:sz="4" w:space="0" w:color="auto"/>
              <w:right w:val="single" w:sz="4" w:space="0" w:color="auto"/>
            </w:tcBorders>
            <w:vAlign w:val="center"/>
            <w:hideMark/>
          </w:tcPr>
          <w:p w14:paraId="3E0498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Interministerial Working Group on Adaptation to Climate Change</w:t>
            </w:r>
          </w:p>
        </w:tc>
        <w:tc>
          <w:tcPr>
            <w:tcW w:w="1019" w:type="dxa"/>
            <w:tcBorders>
              <w:top w:val="nil"/>
              <w:left w:val="nil"/>
              <w:bottom w:val="single" w:sz="4" w:space="0" w:color="auto"/>
              <w:right w:val="single" w:sz="4" w:space="0" w:color="auto"/>
            </w:tcBorders>
            <w:vAlign w:val="center"/>
            <w:hideMark/>
          </w:tcPr>
          <w:p w14:paraId="51604CD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Independent evaluator team</w:t>
            </w:r>
          </w:p>
        </w:tc>
        <w:tc>
          <w:tcPr>
            <w:tcW w:w="1032" w:type="dxa"/>
            <w:tcBorders>
              <w:top w:val="nil"/>
              <w:left w:val="nil"/>
              <w:bottom w:val="single" w:sz="4" w:space="0" w:color="auto"/>
              <w:right w:val="single" w:sz="4" w:space="0" w:color="auto"/>
            </w:tcBorders>
            <w:shd w:val="clear" w:color="000000" w:fill="D0CECE"/>
            <w:vAlign w:val="center"/>
            <w:hideMark/>
          </w:tcPr>
          <w:p w14:paraId="7671246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D8E82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F22BF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309E1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D2A0B6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9AAEAA9"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bottom"/>
            <w:hideMark/>
          </w:tcPr>
          <w:p w14:paraId="29F680B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GRE</w:t>
            </w:r>
          </w:p>
        </w:tc>
        <w:tc>
          <w:tcPr>
            <w:tcW w:w="1327" w:type="dxa"/>
            <w:tcBorders>
              <w:top w:val="nil"/>
              <w:left w:val="nil"/>
              <w:bottom w:val="single" w:sz="4" w:space="0" w:color="auto"/>
              <w:right w:val="single" w:sz="4" w:space="0" w:color="auto"/>
            </w:tcBorders>
            <w:shd w:val="clear" w:color="000000" w:fill="D0CECE"/>
            <w:noWrap/>
            <w:vAlign w:val="bottom"/>
            <w:hideMark/>
          </w:tcPr>
          <w:p w14:paraId="70B509D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noWrap/>
            <w:vAlign w:val="bottom"/>
            <w:hideMark/>
          </w:tcPr>
          <w:p w14:paraId="6C4700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noWrap/>
            <w:vAlign w:val="bottom"/>
            <w:hideMark/>
          </w:tcPr>
          <w:p w14:paraId="7AE8B90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4D0E3F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noWrap/>
            <w:vAlign w:val="bottom"/>
            <w:hideMark/>
          </w:tcPr>
          <w:p w14:paraId="36B9CB0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noWrap/>
            <w:vAlign w:val="bottom"/>
            <w:hideMark/>
          </w:tcPr>
          <w:p w14:paraId="10AE26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noWrap/>
            <w:vAlign w:val="bottom"/>
            <w:hideMark/>
          </w:tcPr>
          <w:p w14:paraId="04146CB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noWrap/>
            <w:vAlign w:val="bottom"/>
            <w:hideMark/>
          </w:tcPr>
          <w:p w14:paraId="1E9B1F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4013E0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5586D3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306B9BC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B4309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5E119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79556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725368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5CDD79F" w14:textId="77777777" w:rsidTr="007B0C07">
        <w:trPr>
          <w:trHeight w:val="1859"/>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4CF91FA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HUN</w:t>
            </w:r>
          </w:p>
        </w:tc>
        <w:tc>
          <w:tcPr>
            <w:tcW w:w="1327" w:type="dxa"/>
            <w:tcBorders>
              <w:top w:val="nil"/>
              <w:left w:val="nil"/>
              <w:bottom w:val="single" w:sz="4" w:space="0" w:color="auto"/>
              <w:right w:val="single" w:sz="4" w:space="0" w:color="auto"/>
            </w:tcBorders>
            <w:vAlign w:val="center"/>
            <w:hideMark/>
          </w:tcPr>
          <w:p w14:paraId="0C3FFD5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Climate Change and Adaptation – Establishing the National Adaptation Geo-Information System (NAGiS). An effective tool to provide the right answers. HU04 – Programme for adaptation and climate change. EEA-C11-1 project. </w:t>
            </w:r>
          </w:p>
        </w:tc>
        <w:tc>
          <w:tcPr>
            <w:tcW w:w="548" w:type="dxa"/>
            <w:tcBorders>
              <w:top w:val="nil"/>
              <w:left w:val="nil"/>
              <w:bottom w:val="single" w:sz="4" w:space="0" w:color="auto"/>
              <w:right w:val="single" w:sz="4" w:space="0" w:color="auto"/>
            </w:tcBorders>
            <w:vAlign w:val="center"/>
            <w:hideMark/>
          </w:tcPr>
          <w:p w14:paraId="0DE7E5BB"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w:t>
            </w:r>
          </w:p>
        </w:tc>
        <w:tc>
          <w:tcPr>
            <w:tcW w:w="718" w:type="dxa"/>
            <w:tcBorders>
              <w:top w:val="nil"/>
              <w:left w:val="nil"/>
              <w:bottom w:val="single" w:sz="4" w:space="0" w:color="auto"/>
              <w:right w:val="single" w:sz="4" w:space="0" w:color="auto"/>
            </w:tcBorders>
            <w:vAlign w:val="center"/>
            <w:hideMark/>
          </w:tcPr>
          <w:p w14:paraId="1464DD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7C9605E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955" w:type="dxa"/>
            <w:tcBorders>
              <w:top w:val="nil"/>
              <w:left w:val="nil"/>
              <w:bottom w:val="single" w:sz="4" w:space="0" w:color="auto"/>
              <w:right w:val="single" w:sz="4" w:space="0" w:color="auto"/>
            </w:tcBorders>
            <w:vAlign w:val="center"/>
            <w:hideMark/>
          </w:tcPr>
          <w:p w14:paraId="226E630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Hungarian Mining and Geological Institute</w:t>
            </w:r>
          </w:p>
        </w:tc>
        <w:tc>
          <w:tcPr>
            <w:tcW w:w="1466" w:type="dxa"/>
            <w:tcBorders>
              <w:top w:val="nil"/>
              <w:left w:val="nil"/>
              <w:bottom w:val="single" w:sz="4" w:space="0" w:color="auto"/>
              <w:right w:val="single" w:sz="4" w:space="0" w:color="auto"/>
            </w:tcBorders>
            <w:vAlign w:val="center"/>
            <w:hideMark/>
          </w:tcPr>
          <w:p w14:paraId="7FD9452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Mid-term Evaluation report on the Implementation of the NCCS-2 and its Action Plans</w:t>
            </w:r>
          </w:p>
        </w:tc>
        <w:tc>
          <w:tcPr>
            <w:tcW w:w="633" w:type="dxa"/>
            <w:tcBorders>
              <w:top w:val="nil"/>
              <w:left w:val="nil"/>
              <w:bottom w:val="single" w:sz="4" w:space="0" w:color="auto"/>
              <w:right w:val="single" w:sz="4" w:space="0" w:color="auto"/>
            </w:tcBorders>
            <w:vAlign w:val="center"/>
            <w:hideMark/>
          </w:tcPr>
          <w:p w14:paraId="4D3DD11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578A37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2018-23</w:t>
            </w:r>
          </w:p>
        </w:tc>
        <w:tc>
          <w:tcPr>
            <w:tcW w:w="1019" w:type="dxa"/>
            <w:tcBorders>
              <w:top w:val="nil"/>
              <w:left w:val="nil"/>
              <w:bottom w:val="single" w:sz="4" w:space="0" w:color="auto"/>
              <w:right w:val="single" w:sz="4" w:space="0" w:color="auto"/>
            </w:tcBorders>
            <w:vAlign w:val="center"/>
            <w:hideMark/>
          </w:tcPr>
          <w:p w14:paraId="6C7242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Energy</w:t>
            </w:r>
          </w:p>
        </w:tc>
        <w:tc>
          <w:tcPr>
            <w:tcW w:w="1019" w:type="dxa"/>
            <w:tcBorders>
              <w:top w:val="nil"/>
              <w:left w:val="nil"/>
              <w:bottom w:val="single" w:sz="4" w:space="0" w:color="auto"/>
              <w:right w:val="single" w:sz="4" w:space="0" w:color="auto"/>
            </w:tcBorders>
            <w:vAlign w:val="center"/>
            <w:hideMark/>
          </w:tcPr>
          <w:p w14:paraId="7663CF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c>
          <w:tcPr>
            <w:tcW w:w="1032" w:type="dxa"/>
            <w:tcBorders>
              <w:top w:val="nil"/>
              <w:left w:val="nil"/>
              <w:bottom w:val="single" w:sz="4" w:space="0" w:color="auto"/>
              <w:right w:val="single" w:sz="4" w:space="0" w:color="auto"/>
            </w:tcBorders>
            <w:vAlign w:val="center"/>
            <w:hideMark/>
          </w:tcPr>
          <w:p w14:paraId="6E236F5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Proposal for a system concept directly basising the establishment and starting of operation of the hungarian climate policy monitoring, reporting and evaluation system (KIMER)</w:t>
            </w:r>
          </w:p>
        </w:tc>
        <w:tc>
          <w:tcPr>
            <w:tcW w:w="871" w:type="dxa"/>
            <w:tcBorders>
              <w:top w:val="nil"/>
              <w:left w:val="nil"/>
              <w:bottom w:val="single" w:sz="4" w:space="0" w:color="auto"/>
              <w:right w:val="single" w:sz="4" w:space="0" w:color="auto"/>
            </w:tcBorders>
            <w:vAlign w:val="center"/>
            <w:hideMark/>
          </w:tcPr>
          <w:p w14:paraId="60729BA4"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906" w:type="dxa"/>
            <w:tcBorders>
              <w:top w:val="nil"/>
              <w:left w:val="nil"/>
              <w:bottom w:val="single" w:sz="4" w:space="0" w:color="auto"/>
              <w:right w:val="single" w:sz="4" w:space="0" w:color="auto"/>
            </w:tcBorders>
            <w:vAlign w:val="center"/>
            <w:hideMark/>
          </w:tcPr>
          <w:p w14:paraId="27C9D0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912" w:type="dxa"/>
            <w:tcBorders>
              <w:top w:val="nil"/>
              <w:left w:val="nil"/>
              <w:bottom w:val="single" w:sz="4" w:space="0" w:color="auto"/>
              <w:right w:val="single" w:sz="4" w:space="0" w:color="auto"/>
            </w:tcBorders>
            <w:vAlign w:val="center"/>
            <w:hideMark/>
          </w:tcPr>
          <w:p w14:paraId="044AC42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Energy</w:t>
            </w:r>
          </w:p>
        </w:tc>
        <w:tc>
          <w:tcPr>
            <w:tcW w:w="940" w:type="dxa"/>
            <w:tcBorders>
              <w:top w:val="nil"/>
              <w:left w:val="nil"/>
              <w:bottom w:val="single" w:sz="4" w:space="0" w:color="auto"/>
              <w:right w:val="single" w:sz="8" w:space="0" w:color="auto"/>
            </w:tcBorders>
            <w:vAlign w:val="center"/>
            <w:hideMark/>
          </w:tcPr>
          <w:p w14:paraId="435382C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Adaptation Centre</w:t>
            </w:r>
          </w:p>
        </w:tc>
      </w:tr>
      <w:tr w:rsidR="00DC2C1E" w:rsidRPr="0002056A" w14:paraId="77BB6873" w14:textId="77777777" w:rsidTr="00EA79C7">
        <w:trPr>
          <w:trHeight w:val="710"/>
        </w:trPr>
        <w:tc>
          <w:tcPr>
            <w:tcW w:w="636" w:type="dxa"/>
            <w:vMerge/>
            <w:tcBorders>
              <w:top w:val="nil"/>
              <w:left w:val="single" w:sz="8" w:space="0" w:color="auto"/>
              <w:bottom w:val="single" w:sz="4" w:space="0" w:color="auto"/>
              <w:right w:val="single" w:sz="4" w:space="0" w:color="auto"/>
            </w:tcBorders>
            <w:vAlign w:val="center"/>
            <w:hideMark/>
          </w:tcPr>
          <w:p w14:paraId="74D5F734"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auto" w:fill="D9D9D9" w:themeFill="background1" w:themeFillShade="D9"/>
            <w:vAlign w:val="center"/>
            <w:hideMark/>
          </w:tcPr>
          <w:p w14:paraId="4F797D4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auto" w:fill="D9D9D9" w:themeFill="background1" w:themeFillShade="D9"/>
            <w:vAlign w:val="center"/>
            <w:hideMark/>
          </w:tcPr>
          <w:p w14:paraId="02C6E7B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auto" w:fill="D9D9D9" w:themeFill="background1" w:themeFillShade="D9"/>
            <w:vAlign w:val="center"/>
            <w:hideMark/>
          </w:tcPr>
          <w:p w14:paraId="23B49E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63310C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auto" w:fill="D9D9D9" w:themeFill="background1" w:themeFillShade="D9"/>
            <w:vAlign w:val="center"/>
            <w:hideMark/>
          </w:tcPr>
          <w:p w14:paraId="6BA791F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69731E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Evaluation of developments and central measures implemented to support adaptation to the impacts of climate change</w:t>
            </w:r>
          </w:p>
        </w:tc>
        <w:tc>
          <w:tcPr>
            <w:tcW w:w="633" w:type="dxa"/>
            <w:tcBorders>
              <w:top w:val="nil"/>
              <w:left w:val="nil"/>
              <w:bottom w:val="single" w:sz="4" w:space="0" w:color="auto"/>
              <w:right w:val="single" w:sz="4" w:space="0" w:color="auto"/>
            </w:tcBorders>
            <w:vAlign w:val="center"/>
            <w:hideMark/>
          </w:tcPr>
          <w:p w14:paraId="41634DB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06" w:type="dxa"/>
            <w:tcBorders>
              <w:top w:val="nil"/>
              <w:left w:val="nil"/>
              <w:bottom w:val="single" w:sz="4" w:space="0" w:color="auto"/>
              <w:right w:val="single" w:sz="4" w:space="0" w:color="auto"/>
            </w:tcBorders>
            <w:vAlign w:val="center"/>
            <w:hideMark/>
          </w:tcPr>
          <w:p w14:paraId="19A8CE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2014-20</w:t>
            </w:r>
          </w:p>
        </w:tc>
        <w:tc>
          <w:tcPr>
            <w:tcW w:w="1019" w:type="dxa"/>
            <w:tcBorders>
              <w:top w:val="nil"/>
              <w:left w:val="nil"/>
              <w:bottom w:val="single" w:sz="4" w:space="0" w:color="auto"/>
              <w:right w:val="single" w:sz="4" w:space="0" w:color="auto"/>
            </w:tcBorders>
            <w:vAlign w:val="center"/>
            <w:hideMark/>
          </w:tcPr>
          <w:p w14:paraId="7C14609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Chancellery</w:t>
            </w:r>
          </w:p>
        </w:tc>
        <w:tc>
          <w:tcPr>
            <w:tcW w:w="1019" w:type="dxa"/>
            <w:tcBorders>
              <w:top w:val="nil"/>
              <w:left w:val="nil"/>
              <w:bottom w:val="single" w:sz="4" w:space="0" w:color="auto"/>
              <w:right w:val="single" w:sz="4" w:space="0" w:color="auto"/>
            </w:tcBorders>
            <w:vAlign w:val="center"/>
            <w:hideMark/>
          </w:tcPr>
          <w:p w14:paraId="34C9F05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Trenecon Kft.</w:t>
            </w:r>
          </w:p>
        </w:tc>
        <w:tc>
          <w:tcPr>
            <w:tcW w:w="1032" w:type="dxa"/>
            <w:tcBorders>
              <w:top w:val="nil"/>
              <w:left w:val="nil"/>
              <w:bottom w:val="single" w:sz="4" w:space="0" w:color="auto"/>
              <w:right w:val="single" w:sz="4" w:space="0" w:color="auto"/>
            </w:tcBorders>
            <w:shd w:val="clear" w:color="000000" w:fill="D0CECE"/>
            <w:vAlign w:val="center"/>
            <w:hideMark/>
          </w:tcPr>
          <w:p w14:paraId="421747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22C39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5B181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5BC2F6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5F73C78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F0A2786" w14:textId="77777777" w:rsidTr="00EA79C7">
        <w:trPr>
          <w:trHeight w:val="1258"/>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6BA30A1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lastRenderedPageBreak/>
              <w:t>ICE</w:t>
            </w:r>
          </w:p>
        </w:tc>
        <w:tc>
          <w:tcPr>
            <w:tcW w:w="1327" w:type="dxa"/>
            <w:tcBorders>
              <w:top w:val="nil"/>
              <w:left w:val="nil"/>
              <w:bottom w:val="single" w:sz="4" w:space="0" w:color="auto"/>
              <w:right w:val="single" w:sz="4" w:space="0" w:color="auto"/>
            </w:tcBorders>
            <w:shd w:val="clear" w:color="auto" w:fill="D9D9D9" w:themeFill="background1" w:themeFillShade="D9"/>
            <w:vAlign w:val="center"/>
            <w:hideMark/>
          </w:tcPr>
          <w:p w14:paraId="68C83B5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auto" w:fill="D9D9D9" w:themeFill="background1" w:themeFillShade="D9"/>
            <w:vAlign w:val="center"/>
            <w:hideMark/>
          </w:tcPr>
          <w:p w14:paraId="6498C6E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auto" w:fill="D9D9D9" w:themeFill="background1" w:themeFillShade="D9"/>
            <w:vAlign w:val="center"/>
            <w:hideMark/>
          </w:tcPr>
          <w:p w14:paraId="541461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2CFC41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auto" w:fill="D9D9D9" w:themeFill="background1" w:themeFillShade="D9"/>
            <w:vAlign w:val="center"/>
            <w:hideMark/>
          </w:tcPr>
          <w:p w14:paraId="647B8E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730E02B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Loftslagsbreytingar og áhrif þeirra á íslandi skýrsla vísindanefndar um loftslagsbreytingar (Climate Change and Its Effects in Iceland Report of the Scientific Committee on Climate Change)</w:t>
            </w:r>
          </w:p>
        </w:tc>
        <w:tc>
          <w:tcPr>
            <w:tcW w:w="633" w:type="dxa"/>
            <w:tcBorders>
              <w:top w:val="nil"/>
              <w:left w:val="nil"/>
              <w:bottom w:val="single" w:sz="4" w:space="0" w:color="auto"/>
              <w:right w:val="single" w:sz="4" w:space="0" w:color="auto"/>
            </w:tcBorders>
            <w:vAlign w:val="center"/>
            <w:hideMark/>
          </w:tcPr>
          <w:p w14:paraId="7B8A5CB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706" w:type="dxa"/>
            <w:tcBorders>
              <w:top w:val="nil"/>
              <w:left w:val="nil"/>
              <w:bottom w:val="single" w:sz="4" w:space="0" w:color="auto"/>
              <w:right w:val="single" w:sz="4" w:space="0" w:color="auto"/>
            </w:tcBorders>
            <w:vAlign w:val="center"/>
            <w:hideMark/>
          </w:tcPr>
          <w:p w14:paraId="061515C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71F160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53FD426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Icelandic Meteorological Office </w:t>
            </w:r>
          </w:p>
        </w:tc>
        <w:tc>
          <w:tcPr>
            <w:tcW w:w="1032" w:type="dxa"/>
            <w:tcBorders>
              <w:top w:val="nil"/>
              <w:left w:val="nil"/>
              <w:bottom w:val="single" w:sz="4" w:space="0" w:color="auto"/>
              <w:right w:val="single" w:sz="4" w:space="0" w:color="auto"/>
            </w:tcBorders>
            <w:shd w:val="clear" w:color="000000" w:fill="D0CECE"/>
            <w:vAlign w:val="center"/>
            <w:hideMark/>
          </w:tcPr>
          <w:p w14:paraId="35EA732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E5100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47DCA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8C3D2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B6AE6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43DC921" w14:textId="77777777" w:rsidTr="007B0C07">
        <w:trPr>
          <w:trHeight w:val="646"/>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39AFC60"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IRL</w:t>
            </w:r>
          </w:p>
        </w:tc>
        <w:tc>
          <w:tcPr>
            <w:tcW w:w="1327" w:type="dxa"/>
            <w:tcBorders>
              <w:top w:val="nil"/>
              <w:left w:val="nil"/>
              <w:bottom w:val="single" w:sz="4" w:space="0" w:color="auto"/>
              <w:right w:val="single" w:sz="4" w:space="0" w:color="auto"/>
            </w:tcBorders>
            <w:vAlign w:val="center"/>
            <w:hideMark/>
          </w:tcPr>
          <w:p w14:paraId="3BD0A74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Policy Coherence in Adaptation Studies: Selecting and Using Indicators of Climate Resilience</w:t>
            </w:r>
          </w:p>
        </w:tc>
        <w:tc>
          <w:tcPr>
            <w:tcW w:w="548" w:type="dxa"/>
            <w:tcBorders>
              <w:top w:val="nil"/>
              <w:left w:val="nil"/>
              <w:bottom w:val="single" w:sz="4" w:space="0" w:color="auto"/>
              <w:right w:val="single" w:sz="4" w:space="0" w:color="auto"/>
            </w:tcBorders>
            <w:vAlign w:val="center"/>
            <w:hideMark/>
          </w:tcPr>
          <w:p w14:paraId="4EAEDFD5"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718" w:type="dxa"/>
            <w:tcBorders>
              <w:top w:val="nil"/>
              <w:left w:val="nil"/>
              <w:bottom w:val="single" w:sz="4" w:space="0" w:color="auto"/>
              <w:right w:val="single" w:sz="4" w:space="0" w:color="auto"/>
            </w:tcBorders>
            <w:vAlign w:val="center"/>
            <w:hideMark/>
          </w:tcPr>
          <w:p w14:paraId="25CDC4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1F164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955" w:type="dxa"/>
            <w:tcBorders>
              <w:top w:val="nil"/>
              <w:left w:val="nil"/>
              <w:bottom w:val="single" w:sz="4" w:space="0" w:color="auto"/>
              <w:right w:val="single" w:sz="4" w:space="0" w:color="auto"/>
            </w:tcBorders>
            <w:vAlign w:val="center"/>
            <w:hideMark/>
          </w:tcPr>
          <w:p w14:paraId="04B296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Environmental protection agency</w:t>
            </w:r>
          </w:p>
        </w:tc>
        <w:tc>
          <w:tcPr>
            <w:tcW w:w="1466" w:type="dxa"/>
            <w:tcBorders>
              <w:top w:val="nil"/>
              <w:left w:val="nil"/>
              <w:bottom w:val="single" w:sz="4" w:space="0" w:color="auto"/>
              <w:right w:val="single" w:sz="4" w:space="0" w:color="auto"/>
            </w:tcBorders>
            <w:vAlign w:val="center"/>
            <w:hideMark/>
          </w:tcPr>
          <w:p w14:paraId="52459A2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Review of the National Adaptation Framework </w:t>
            </w:r>
          </w:p>
        </w:tc>
        <w:tc>
          <w:tcPr>
            <w:tcW w:w="633" w:type="dxa"/>
            <w:tcBorders>
              <w:top w:val="nil"/>
              <w:left w:val="nil"/>
              <w:bottom w:val="single" w:sz="4" w:space="0" w:color="auto"/>
              <w:right w:val="single" w:sz="4" w:space="0" w:color="auto"/>
            </w:tcBorders>
            <w:vAlign w:val="center"/>
            <w:hideMark/>
          </w:tcPr>
          <w:p w14:paraId="53378D3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1531D9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2018-2022</w:t>
            </w:r>
          </w:p>
        </w:tc>
        <w:tc>
          <w:tcPr>
            <w:tcW w:w="1019" w:type="dxa"/>
            <w:tcBorders>
              <w:top w:val="nil"/>
              <w:left w:val="nil"/>
              <w:bottom w:val="single" w:sz="4" w:space="0" w:color="auto"/>
              <w:right w:val="single" w:sz="4" w:space="0" w:color="auto"/>
            </w:tcBorders>
            <w:vAlign w:val="center"/>
            <w:hideMark/>
          </w:tcPr>
          <w:p w14:paraId="347A0DA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496BC1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Department of Environment, Climate and Communications</w:t>
            </w:r>
          </w:p>
        </w:tc>
        <w:tc>
          <w:tcPr>
            <w:tcW w:w="1032" w:type="dxa"/>
            <w:tcBorders>
              <w:top w:val="nil"/>
              <w:left w:val="nil"/>
              <w:bottom w:val="single" w:sz="4" w:space="0" w:color="auto"/>
              <w:right w:val="single" w:sz="4" w:space="0" w:color="auto"/>
            </w:tcBorders>
            <w:shd w:val="clear" w:color="000000" w:fill="D0CECE"/>
            <w:vAlign w:val="center"/>
            <w:hideMark/>
          </w:tcPr>
          <w:p w14:paraId="45FE42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63CCF4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5E97D7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97FE6F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ACBB72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57AFAE4" w14:textId="77777777" w:rsidTr="007B0C07">
        <w:trPr>
          <w:trHeight w:val="363"/>
        </w:trPr>
        <w:tc>
          <w:tcPr>
            <w:tcW w:w="636" w:type="dxa"/>
            <w:vMerge/>
            <w:tcBorders>
              <w:top w:val="nil"/>
              <w:left w:val="single" w:sz="8" w:space="0" w:color="auto"/>
              <w:bottom w:val="single" w:sz="4" w:space="0" w:color="auto"/>
              <w:right w:val="single" w:sz="4" w:space="0" w:color="auto"/>
            </w:tcBorders>
            <w:vAlign w:val="center"/>
            <w:hideMark/>
          </w:tcPr>
          <w:p w14:paraId="1159C3CB"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3BB8FD3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2D60E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28F16C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0DAB5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1747F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D4E121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annual review 2021</w:t>
            </w:r>
          </w:p>
        </w:tc>
        <w:tc>
          <w:tcPr>
            <w:tcW w:w="633" w:type="dxa"/>
            <w:tcBorders>
              <w:top w:val="nil"/>
              <w:left w:val="nil"/>
              <w:bottom w:val="single" w:sz="4" w:space="0" w:color="auto"/>
              <w:right w:val="single" w:sz="4" w:space="0" w:color="auto"/>
            </w:tcBorders>
            <w:vAlign w:val="center"/>
            <w:hideMark/>
          </w:tcPr>
          <w:p w14:paraId="5718324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06" w:type="dxa"/>
            <w:tcBorders>
              <w:top w:val="nil"/>
              <w:left w:val="nil"/>
              <w:bottom w:val="single" w:sz="4" w:space="0" w:color="auto"/>
              <w:right w:val="single" w:sz="4" w:space="0" w:color="auto"/>
            </w:tcBorders>
            <w:vAlign w:val="center"/>
            <w:hideMark/>
          </w:tcPr>
          <w:p w14:paraId="564CA8CD"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1019" w:type="dxa"/>
            <w:tcBorders>
              <w:top w:val="nil"/>
              <w:left w:val="nil"/>
              <w:bottom w:val="single" w:sz="4" w:space="0" w:color="auto"/>
              <w:right w:val="single" w:sz="4" w:space="0" w:color="auto"/>
            </w:tcBorders>
            <w:vAlign w:val="center"/>
            <w:hideMark/>
          </w:tcPr>
          <w:p w14:paraId="55F49B5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23F8FEE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Change Advisory Council</w:t>
            </w:r>
          </w:p>
        </w:tc>
        <w:tc>
          <w:tcPr>
            <w:tcW w:w="1032" w:type="dxa"/>
            <w:tcBorders>
              <w:top w:val="nil"/>
              <w:left w:val="nil"/>
              <w:bottom w:val="single" w:sz="4" w:space="0" w:color="auto"/>
              <w:right w:val="single" w:sz="4" w:space="0" w:color="auto"/>
            </w:tcBorders>
            <w:shd w:val="clear" w:color="000000" w:fill="D0CECE"/>
            <w:vAlign w:val="center"/>
            <w:hideMark/>
          </w:tcPr>
          <w:p w14:paraId="225890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A9F22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5E8412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A1939C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4C99C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E9B3816" w14:textId="77777777" w:rsidTr="007B0C07">
        <w:trPr>
          <w:trHeight w:val="1261"/>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09F7E20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ITA</w:t>
            </w:r>
          </w:p>
        </w:tc>
        <w:tc>
          <w:tcPr>
            <w:tcW w:w="1327" w:type="dxa"/>
            <w:tcBorders>
              <w:top w:val="nil"/>
              <w:left w:val="nil"/>
              <w:bottom w:val="single" w:sz="4" w:space="0" w:color="auto"/>
              <w:right w:val="single" w:sz="4" w:space="0" w:color="auto"/>
            </w:tcBorders>
            <w:shd w:val="clear" w:color="000000" w:fill="D0CECE"/>
            <w:vAlign w:val="center"/>
            <w:hideMark/>
          </w:tcPr>
          <w:p w14:paraId="05A81C3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D4F176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E410DA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0B58D9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005D6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B01495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Rapporto sullo stato delle conoscenze scientifiche su impatti, vulnerabilità ed adattamento ai cambiamenti climatici in Italia (Report on the state of scientific knowledge on impacts, vulnerabilities, and adaptation to climate change in Italy)</w:t>
            </w:r>
          </w:p>
        </w:tc>
        <w:tc>
          <w:tcPr>
            <w:tcW w:w="633" w:type="dxa"/>
            <w:tcBorders>
              <w:top w:val="nil"/>
              <w:left w:val="nil"/>
              <w:bottom w:val="single" w:sz="4" w:space="0" w:color="auto"/>
              <w:right w:val="single" w:sz="4" w:space="0" w:color="auto"/>
            </w:tcBorders>
            <w:vAlign w:val="center"/>
            <w:hideMark/>
          </w:tcPr>
          <w:p w14:paraId="6B66FB0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2014</w:t>
            </w:r>
          </w:p>
        </w:tc>
        <w:tc>
          <w:tcPr>
            <w:tcW w:w="706" w:type="dxa"/>
            <w:tcBorders>
              <w:top w:val="nil"/>
              <w:left w:val="nil"/>
              <w:bottom w:val="single" w:sz="4" w:space="0" w:color="auto"/>
              <w:right w:val="single" w:sz="4" w:space="0" w:color="auto"/>
            </w:tcBorders>
            <w:vAlign w:val="center"/>
            <w:hideMark/>
          </w:tcPr>
          <w:p w14:paraId="68B9EBE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3F9BD0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578DAD8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Protection of Land and Sea.</w:t>
            </w:r>
          </w:p>
        </w:tc>
        <w:tc>
          <w:tcPr>
            <w:tcW w:w="1032" w:type="dxa"/>
            <w:tcBorders>
              <w:top w:val="nil"/>
              <w:left w:val="nil"/>
              <w:bottom w:val="single" w:sz="4" w:space="0" w:color="auto"/>
              <w:right w:val="single" w:sz="4" w:space="0" w:color="auto"/>
            </w:tcBorders>
            <w:shd w:val="clear" w:color="000000" w:fill="D0CECE"/>
            <w:vAlign w:val="center"/>
            <w:hideMark/>
          </w:tcPr>
          <w:p w14:paraId="7146FE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BAA6B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3ECA8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90D3ED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5C3093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3AA0382" w14:textId="77777777" w:rsidTr="007B0C07">
        <w:trPr>
          <w:trHeight w:val="1548"/>
        </w:trPr>
        <w:tc>
          <w:tcPr>
            <w:tcW w:w="636" w:type="dxa"/>
            <w:vMerge/>
            <w:tcBorders>
              <w:top w:val="nil"/>
              <w:left w:val="single" w:sz="8" w:space="0" w:color="auto"/>
              <w:bottom w:val="single" w:sz="4" w:space="0" w:color="auto"/>
              <w:right w:val="single" w:sz="4" w:space="0" w:color="auto"/>
            </w:tcBorders>
            <w:vAlign w:val="center"/>
            <w:hideMark/>
          </w:tcPr>
          <w:p w14:paraId="33C3863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6F01179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7F1ED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373F2F8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E0FD5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0898E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0830C38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Piano nazionale di adattamento ai cambiamenti climatici allegato iii impatti e vulnerabilità settoriali (national plan for adaptation to climate change annex iii sectoral impacts and vulnerabilities)</w:t>
            </w:r>
          </w:p>
        </w:tc>
        <w:tc>
          <w:tcPr>
            <w:tcW w:w="633" w:type="dxa"/>
            <w:tcBorders>
              <w:top w:val="nil"/>
              <w:left w:val="nil"/>
              <w:bottom w:val="single" w:sz="4" w:space="0" w:color="auto"/>
              <w:right w:val="single" w:sz="4" w:space="0" w:color="auto"/>
            </w:tcBorders>
            <w:vAlign w:val="center"/>
            <w:hideMark/>
          </w:tcPr>
          <w:p w14:paraId="51CAB9A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706" w:type="dxa"/>
            <w:tcBorders>
              <w:top w:val="nil"/>
              <w:left w:val="nil"/>
              <w:bottom w:val="single" w:sz="4" w:space="0" w:color="auto"/>
              <w:right w:val="single" w:sz="4" w:space="0" w:color="auto"/>
            </w:tcBorders>
            <w:vAlign w:val="center"/>
            <w:hideMark/>
          </w:tcPr>
          <w:p w14:paraId="69406B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76E731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1341B3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and Protection of Land and Sea.</w:t>
            </w:r>
          </w:p>
        </w:tc>
        <w:tc>
          <w:tcPr>
            <w:tcW w:w="1032" w:type="dxa"/>
            <w:tcBorders>
              <w:top w:val="nil"/>
              <w:left w:val="nil"/>
              <w:bottom w:val="single" w:sz="4" w:space="0" w:color="auto"/>
              <w:right w:val="single" w:sz="4" w:space="0" w:color="auto"/>
            </w:tcBorders>
            <w:shd w:val="clear" w:color="000000" w:fill="D0CECE"/>
            <w:vAlign w:val="center"/>
            <w:hideMark/>
          </w:tcPr>
          <w:p w14:paraId="5A9BFB7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D0AFA5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931D97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287023C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119BE6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7371B4A"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2C554B66"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KOS</w:t>
            </w:r>
          </w:p>
        </w:tc>
        <w:tc>
          <w:tcPr>
            <w:tcW w:w="1327" w:type="dxa"/>
            <w:tcBorders>
              <w:top w:val="nil"/>
              <w:left w:val="nil"/>
              <w:bottom w:val="single" w:sz="4" w:space="0" w:color="auto"/>
              <w:right w:val="single" w:sz="4" w:space="0" w:color="auto"/>
            </w:tcBorders>
            <w:shd w:val="clear" w:color="000000" w:fill="D0CECE"/>
            <w:vAlign w:val="center"/>
            <w:hideMark/>
          </w:tcPr>
          <w:p w14:paraId="5F3A523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B719A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3050078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93D92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A31898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7976228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4418C75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05A3B3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420F1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EE52A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288E268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069E5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9836C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1DC83B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3B6646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8E4144C" w14:textId="77777777" w:rsidTr="007B0C07">
        <w:trPr>
          <w:trHeight w:val="779"/>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581EA53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LAT</w:t>
            </w:r>
          </w:p>
        </w:tc>
        <w:tc>
          <w:tcPr>
            <w:tcW w:w="1327" w:type="dxa"/>
            <w:tcBorders>
              <w:top w:val="nil"/>
              <w:left w:val="nil"/>
              <w:bottom w:val="single" w:sz="4" w:space="0" w:color="auto"/>
              <w:right w:val="single" w:sz="4" w:space="0" w:color="auto"/>
            </w:tcBorders>
            <w:shd w:val="clear" w:color="000000" w:fill="D0CECE"/>
            <w:vAlign w:val="center"/>
            <w:hideMark/>
          </w:tcPr>
          <w:p w14:paraId="2AB45BA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42D3C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36839A6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1C873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1F4CA6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7055AA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scenarios for latvia report summary</w:t>
            </w:r>
          </w:p>
        </w:tc>
        <w:tc>
          <w:tcPr>
            <w:tcW w:w="633" w:type="dxa"/>
            <w:tcBorders>
              <w:top w:val="nil"/>
              <w:left w:val="nil"/>
              <w:bottom w:val="single" w:sz="4" w:space="0" w:color="auto"/>
              <w:right w:val="single" w:sz="4" w:space="0" w:color="auto"/>
            </w:tcBorders>
            <w:vAlign w:val="center"/>
            <w:hideMark/>
          </w:tcPr>
          <w:p w14:paraId="4372DFC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706" w:type="dxa"/>
            <w:tcBorders>
              <w:top w:val="nil"/>
              <w:left w:val="nil"/>
              <w:bottom w:val="single" w:sz="4" w:space="0" w:color="auto"/>
              <w:right w:val="single" w:sz="4" w:space="0" w:color="auto"/>
            </w:tcBorders>
            <w:vAlign w:val="center"/>
            <w:hideMark/>
          </w:tcPr>
          <w:p w14:paraId="2900AB5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19BA09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1113748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Latvian Environment, Geology and Meteorology Centre</w:t>
            </w:r>
          </w:p>
        </w:tc>
        <w:tc>
          <w:tcPr>
            <w:tcW w:w="1032" w:type="dxa"/>
            <w:tcBorders>
              <w:top w:val="nil"/>
              <w:left w:val="nil"/>
              <w:bottom w:val="single" w:sz="4" w:space="0" w:color="auto"/>
              <w:right w:val="single" w:sz="4" w:space="0" w:color="auto"/>
            </w:tcBorders>
            <w:shd w:val="clear" w:color="000000" w:fill="D0CECE"/>
            <w:vAlign w:val="center"/>
            <w:hideMark/>
          </w:tcPr>
          <w:p w14:paraId="326AC1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498BB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25DC6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2974A7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110B4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5318B17" w14:textId="77777777" w:rsidTr="007B0C07">
        <w:trPr>
          <w:trHeight w:val="1099"/>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70EB908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LIT</w:t>
            </w:r>
          </w:p>
        </w:tc>
        <w:tc>
          <w:tcPr>
            <w:tcW w:w="1327" w:type="dxa"/>
            <w:tcBorders>
              <w:top w:val="nil"/>
              <w:left w:val="nil"/>
              <w:bottom w:val="single" w:sz="4" w:space="0" w:color="auto"/>
              <w:right w:val="single" w:sz="4" w:space="0" w:color="auto"/>
            </w:tcBorders>
            <w:shd w:val="clear" w:color="000000" w:fill="D0CECE"/>
            <w:vAlign w:val="center"/>
            <w:hideMark/>
          </w:tcPr>
          <w:p w14:paraId="1813B07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6653B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349F73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41DC5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53418D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AAAD2E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Lithuanian Economic Sector Analysis</w:t>
            </w:r>
            <w:r w:rsidRPr="0002056A">
              <w:rPr>
                <w:rFonts w:ascii="Georgia" w:eastAsia="Times New Roman" w:hAnsi="Georgia" w:cs="Calibri"/>
                <w:b/>
                <w:bCs/>
                <w:color w:val="000000"/>
                <w:sz w:val="10"/>
                <w:szCs w:val="10"/>
                <w:lang w:val="en-GB" w:eastAsia="hu-HU"/>
              </w:rPr>
              <w:br/>
              <w:t>on the Implementation and Update of the Goals and Objectives of the National Climate Change Management Policy Strategy for the Period from 2021</w:t>
            </w:r>
            <w:r w:rsidRPr="0002056A">
              <w:rPr>
                <w:rFonts w:ascii="Georgia" w:eastAsia="Times New Roman" w:hAnsi="Georgia" w:cs="Calibri"/>
                <w:b/>
                <w:bCs/>
                <w:color w:val="000000"/>
                <w:sz w:val="10"/>
                <w:szCs w:val="10"/>
                <w:lang w:val="en-GB" w:eastAsia="hu-HU"/>
              </w:rPr>
              <w:br/>
              <w:t>Service Report</w:t>
            </w:r>
          </w:p>
        </w:tc>
        <w:tc>
          <w:tcPr>
            <w:tcW w:w="633" w:type="dxa"/>
            <w:tcBorders>
              <w:top w:val="nil"/>
              <w:left w:val="nil"/>
              <w:bottom w:val="single" w:sz="4" w:space="0" w:color="auto"/>
              <w:right w:val="single" w:sz="4" w:space="0" w:color="auto"/>
            </w:tcBorders>
            <w:vAlign w:val="center"/>
            <w:hideMark/>
          </w:tcPr>
          <w:p w14:paraId="2669514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316063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59CD0A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w:t>
            </w:r>
          </w:p>
        </w:tc>
        <w:tc>
          <w:tcPr>
            <w:tcW w:w="1019" w:type="dxa"/>
            <w:tcBorders>
              <w:top w:val="nil"/>
              <w:left w:val="nil"/>
              <w:bottom w:val="single" w:sz="4" w:space="0" w:color="auto"/>
              <w:right w:val="single" w:sz="4" w:space="0" w:color="auto"/>
            </w:tcBorders>
            <w:vAlign w:val="center"/>
            <w:hideMark/>
          </w:tcPr>
          <w:p w14:paraId="2A11540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Smart Continent SC</w:t>
            </w:r>
          </w:p>
        </w:tc>
        <w:tc>
          <w:tcPr>
            <w:tcW w:w="1032" w:type="dxa"/>
            <w:tcBorders>
              <w:top w:val="nil"/>
              <w:left w:val="nil"/>
              <w:bottom w:val="single" w:sz="4" w:space="0" w:color="auto"/>
              <w:right w:val="single" w:sz="4" w:space="0" w:color="auto"/>
            </w:tcBorders>
            <w:shd w:val="clear" w:color="000000" w:fill="D0CECE"/>
            <w:noWrap/>
            <w:vAlign w:val="bottom"/>
            <w:hideMark/>
          </w:tcPr>
          <w:p w14:paraId="75D1C7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noWrap/>
            <w:vAlign w:val="bottom"/>
            <w:hideMark/>
          </w:tcPr>
          <w:p w14:paraId="0BD483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noWrap/>
            <w:vAlign w:val="bottom"/>
            <w:hideMark/>
          </w:tcPr>
          <w:p w14:paraId="72B3EC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B81EA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2125AC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D93EA36"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68B1C26D"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LUX</w:t>
            </w:r>
          </w:p>
        </w:tc>
        <w:tc>
          <w:tcPr>
            <w:tcW w:w="1327" w:type="dxa"/>
            <w:tcBorders>
              <w:top w:val="nil"/>
              <w:left w:val="nil"/>
              <w:bottom w:val="single" w:sz="4" w:space="0" w:color="auto"/>
              <w:right w:val="single" w:sz="4" w:space="0" w:color="auto"/>
            </w:tcBorders>
            <w:shd w:val="clear" w:color="000000" w:fill="D0CECE"/>
            <w:vAlign w:val="center"/>
            <w:hideMark/>
          </w:tcPr>
          <w:p w14:paraId="067CBDF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A909B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8BA9B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9F9E2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27016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710D17F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1E5C8EB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5FDB8F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52C0B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5BD2A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451F0A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2DE0F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BFC90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33A8E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88190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86EF860"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1E8CE3C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MAL</w:t>
            </w:r>
          </w:p>
        </w:tc>
        <w:tc>
          <w:tcPr>
            <w:tcW w:w="1327" w:type="dxa"/>
            <w:tcBorders>
              <w:top w:val="nil"/>
              <w:left w:val="nil"/>
              <w:bottom w:val="single" w:sz="4" w:space="0" w:color="auto"/>
              <w:right w:val="single" w:sz="4" w:space="0" w:color="auto"/>
            </w:tcBorders>
            <w:shd w:val="clear" w:color="000000" w:fill="D0CECE"/>
            <w:vAlign w:val="center"/>
            <w:hideMark/>
          </w:tcPr>
          <w:p w14:paraId="1E0BDC3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80BA1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142EA8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F2B501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BACA4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693E0A00"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0C12A00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41921A5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D084C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279F0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7B15417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97CBA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1195A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4C1D0D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A75E8C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63249AC" w14:textId="77777777" w:rsidTr="007B0C07">
        <w:trPr>
          <w:trHeight w:val="23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143B4090"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MON</w:t>
            </w:r>
          </w:p>
        </w:tc>
        <w:tc>
          <w:tcPr>
            <w:tcW w:w="1327" w:type="dxa"/>
            <w:tcBorders>
              <w:top w:val="nil"/>
              <w:left w:val="nil"/>
              <w:bottom w:val="single" w:sz="4" w:space="0" w:color="auto"/>
              <w:right w:val="single" w:sz="4" w:space="0" w:color="auto"/>
            </w:tcBorders>
            <w:shd w:val="clear" w:color="000000" w:fill="D0CECE"/>
            <w:vAlign w:val="center"/>
            <w:hideMark/>
          </w:tcPr>
          <w:p w14:paraId="402884F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D80E6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52994A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737CA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27058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4AFE7E7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2046354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4077D3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FF0C1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22AF86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258831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4DB254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63253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23BC80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1996E8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76D3490" w14:textId="77777777" w:rsidTr="007B0C07">
        <w:trPr>
          <w:trHeight w:val="576"/>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2412567"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lastRenderedPageBreak/>
              <w:t>NIR</w:t>
            </w:r>
          </w:p>
        </w:tc>
        <w:tc>
          <w:tcPr>
            <w:tcW w:w="1327" w:type="dxa"/>
            <w:tcBorders>
              <w:top w:val="nil"/>
              <w:left w:val="nil"/>
              <w:bottom w:val="single" w:sz="4" w:space="0" w:color="auto"/>
              <w:right w:val="single" w:sz="4" w:space="0" w:color="auto"/>
            </w:tcBorders>
            <w:shd w:val="clear" w:color="000000" w:fill="D0CECE"/>
            <w:vAlign w:val="center"/>
            <w:hideMark/>
          </w:tcPr>
          <w:p w14:paraId="684492B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9BC8BE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1511E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00903D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4E4B9C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5B6DD81"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 xml:space="preserve">Northern Ireland Climate Change </w:t>
            </w:r>
            <w:r w:rsidRPr="0002056A">
              <w:rPr>
                <w:rFonts w:ascii="Georgia" w:eastAsia="Times New Roman" w:hAnsi="Georgia" w:cs="Calibri"/>
                <w:b/>
                <w:bCs/>
                <w:color w:val="000000"/>
                <w:sz w:val="8"/>
                <w:szCs w:val="8"/>
                <w:lang w:val="en-GB" w:eastAsia="hu-HU"/>
              </w:rPr>
              <w:br/>
              <w:t>Adaptation Programme 2019 - 2024</w:t>
            </w:r>
            <w:r w:rsidRPr="0002056A">
              <w:rPr>
                <w:rFonts w:ascii="Georgia" w:eastAsia="Times New Roman" w:hAnsi="Georgia" w:cs="Calibri"/>
                <w:b/>
                <w:bCs/>
                <w:color w:val="000000"/>
                <w:sz w:val="8"/>
                <w:szCs w:val="8"/>
                <w:lang w:val="en-GB" w:eastAsia="hu-HU"/>
              </w:rPr>
              <w:br/>
              <w:t>Mid Programme Progress Review 2022</w:t>
            </w:r>
          </w:p>
        </w:tc>
        <w:tc>
          <w:tcPr>
            <w:tcW w:w="633" w:type="dxa"/>
            <w:tcBorders>
              <w:top w:val="nil"/>
              <w:left w:val="nil"/>
              <w:bottom w:val="single" w:sz="4" w:space="0" w:color="auto"/>
              <w:right w:val="single" w:sz="4" w:space="0" w:color="auto"/>
            </w:tcBorders>
            <w:vAlign w:val="center"/>
            <w:hideMark/>
          </w:tcPr>
          <w:p w14:paraId="335C8723"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7FB92B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2019-2022</w:t>
            </w:r>
          </w:p>
        </w:tc>
        <w:tc>
          <w:tcPr>
            <w:tcW w:w="1019" w:type="dxa"/>
            <w:tcBorders>
              <w:top w:val="nil"/>
              <w:left w:val="nil"/>
              <w:bottom w:val="single" w:sz="4" w:space="0" w:color="auto"/>
              <w:right w:val="single" w:sz="4" w:space="0" w:color="auto"/>
            </w:tcBorders>
            <w:vAlign w:val="center"/>
            <w:hideMark/>
          </w:tcPr>
          <w:p w14:paraId="7DC3A2A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DAERA</w:t>
            </w:r>
          </w:p>
        </w:tc>
        <w:tc>
          <w:tcPr>
            <w:tcW w:w="1019" w:type="dxa"/>
            <w:tcBorders>
              <w:top w:val="nil"/>
              <w:left w:val="nil"/>
              <w:bottom w:val="single" w:sz="4" w:space="0" w:color="auto"/>
              <w:right w:val="single" w:sz="4" w:space="0" w:color="auto"/>
            </w:tcBorders>
            <w:vAlign w:val="center"/>
            <w:hideMark/>
          </w:tcPr>
          <w:p w14:paraId="5544BBF6" w14:textId="77777777" w:rsidR="00DC2C1E" w:rsidRPr="0002056A" w:rsidRDefault="00DC2C1E" w:rsidP="007B0C07">
            <w:pPr>
              <w:spacing w:after="0" w:line="240" w:lineRule="auto"/>
              <w:rPr>
                <w:rFonts w:ascii="Georgia" w:eastAsia="Times New Roman" w:hAnsi="Georgia" w:cs="Calibri"/>
                <w:color w:val="000000"/>
                <w:sz w:val="8"/>
                <w:szCs w:val="8"/>
                <w:lang w:val="en-GB" w:eastAsia="hu-HU"/>
              </w:rPr>
            </w:pPr>
            <w:r w:rsidRPr="0002056A">
              <w:rPr>
                <w:rFonts w:ascii="Georgia" w:eastAsia="Times New Roman" w:hAnsi="Georgia" w:cs="Calibri"/>
                <w:color w:val="000000"/>
                <w:sz w:val="8"/>
                <w:szCs w:val="8"/>
                <w:lang w:val="en-GB" w:eastAsia="hu-HU"/>
              </w:rPr>
              <w:t>Climate Change and Green Growth Policy Division Department of Agriculture, Environment and Rural Affairs (DAERA)</w:t>
            </w:r>
          </w:p>
        </w:tc>
        <w:tc>
          <w:tcPr>
            <w:tcW w:w="1032" w:type="dxa"/>
            <w:tcBorders>
              <w:top w:val="nil"/>
              <w:left w:val="nil"/>
              <w:bottom w:val="single" w:sz="4" w:space="0" w:color="auto"/>
              <w:right w:val="single" w:sz="4" w:space="0" w:color="auto"/>
            </w:tcBorders>
            <w:shd w:val="clear" w:color="000000" w:fill="D0CECE"/>
            <w:vAlign w:val="center"/>
            <w:hideMark/>
          </w:tcPr>
          <w:p w14:paraId="48EBA2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2CA172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DE652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800D8E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138DF1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65E8225C" w14:textId="77777777" w:rsidTr="007B0C07">
        <w:trPr>
          <w:trHeight w:val="420"/>
        </w:trPr>
        <w:tc>
          <w:tcPr>
            <w:tcW w:w="636" w:type="dxa"/>
            <w:vMerge/>
            <w:tcBorders>
              <w:top w:val="nil"/>
              <w:left w:val="single" w:sz="8" w:space="0" w:color="auto"/>
              <w:bottom w:val="single" w:sz="4" w:space="0" w:color="auto"/>
              <w:right w:val="single" w:sz="4" w:space="0" w:color="auto"/>
            </w:tcBorders>
            <w:vAlign w:val="center"/>
            <w:hideMark/>
          </w:tcPr>
          <w:p w14:paraId="43864C0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121EBE7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07CED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3AE9D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CE615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1CB38C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C4E3164"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Adapting to climate change Progress in Northern Ireland</w:t>
            </w:r>
          </w:p>
        </w:tc>
        <w:tc>
          <w:tcPr>
            <w:tcW w:w="633" w:type="dxa"/>
            <w:tcBorders>
              <w:top w:val="nil"/>
              <w:left w:val="nil"/>
              <w:bottom w:val="single" w:sz="4" w:space="0" w:color="auto"/>
              <w:right w:val="single" w:sz="4" w:space="0" w:color="auto"/>
            </w:tcBorders>
            <w:vAlign w:val="center"/>
            <w:hideMark/>
          </w:tcPr>
          <w:p w14:paraId="1EC98FE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35A2BB88"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1019" w:type="dxa"/>
            <w:tcBorders>
              <w:top w:val="nil"/>
              <w:left w:val="nil"/>
              <w:bottom w:val="single" w:sz="4" w:space="0" w:color="auto"/>
              <w:right w:val="single" w:sz="4" w:space="0" w:color="auto"/>
            </w:tcBorders>
            <w:vAlign w:val="center"/>
            <w:hideMark/>
          </w:tcPr>
          <w:p w14:paraId="3F011A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286B7F5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Change Committee</w:t>
            </w:r>
          </w:p>
        </w:tc>
        <w:tc>
          <w:tcPr>
            <w:tcW w:w="1032" w:type="dxa"/>
            <w:tcBorders>
              <w:top w:val="nil"/>
              <w:left w:val="nil"/>
              <w:bottom w:val="single" w:sz="4" w:space="0" w:color="auto"/>
              <w:right w:val="single" w:sz="4" w:space="0" w:color="auto"/>
            </w:tcBorders>
            <w:shd w:val="clear" w:color="000000" w:fill="D0CECE"/>
            <w:vAlign w:val="center"/>
            <w:hideMark/>
          </w:tcPr>
          <w:p w14:paraId="3F009B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56C6C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B98FF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7983B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636F88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CB93B51" w14:textId="77777777" w:rsidTr="007B0C07">
        <w:trPr>
          <w:trHeight w:val="504"/>
        </w:trPr>
        <w:tc>
          <w:tcPr>
            <w:tcW w:w="636" w:type="dxa"/>
            <w:vMerge/>
            <w:tcBorders>
              <w:top w:val="nil"/>
              <w:left w:val="single" w:sz="8" w:space="0" w:color="auto"/>
              <w:bottom w:val="single" w:sz="4" w:space="0" w:color="auto"/>
              <w:right w:val="single" w:sz="4" w:space="0" w:color="auto"/>
            </w:tcBorders>
            <w:vAlign w:val="center"/>
            <w:hideMark/>
          </w:tcPr>
          <w:p w14:paraId="157B17CA"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E4C573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1BB4AC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9306D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1ECD80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62824E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5D1CEA77"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Evaluation of the first Northern Ireland Climate Change Adaptation Programme (NICCAP 1),</w:t>
            </w:r>
          </w:p>
        </w:tc>
        <w:tc>
          <w:tcPr>
            <w:tcW w:w="633" w:type="dxa"/>
            <w:tcBorders>
              <w:top w:val="nil"/>
              <w:left w:val="nil"/>
              <w:bottom w:val="single" w:sz="4" w:space="0" w:color="auto"/>
              <w:right w:val="single" w:sz="4" w:space="0" w:color="auto"/>
            </w:tcBorders>
            <w:vAlign w:val="center"/>
            <w:hideMark/>
          </w:tcPr>
          <w:p w14:paraId="395BBFA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0FD557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2014-19</w:t>
            </w:r>
          </w:p>
        </w:tc>
        <w:tc>
          <w:tcPr>
            <w:tcW w:w="1019" w:type="dxa"/>
            <w:tcBorders>
              <w:top w:val="nil"/>
              <w:left w:val="nil"/>
              <w:bottom w:val="single" w:sz="4" w:space="0" w:color="auto"/>
              <w:right w:val="single" w:sz="4" w:space="0" w:color="auto"/>
            </w:tcBorders>
            <w:vAlign w:val="center"/>
            <w:hideMark/>
          </w:tcPr>
          <w:p w14:paraId="069D86B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6444D87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Change Committee</w:t>
            </w:r>
          </w:p>
        </w:tc>
        <w:tc>
          <w:tcPr>
            <w:tcW w:w="1032" w:type="dxa"/>
            <w:tcBorders>
              <w:top w:val="nil"/>
              <w:left w:val="nil"/>
              <w:bottom w:val="single" w:sz="4" w:space="0" w:color="auto"/>
              <w:right w:val="single" w:sz="4" w:space="0" w:color="auto"/>
            </w:tcBorders>
            <w:shd w:val="clear" w:color="000000" w:fill="D0CECE"/>
            <w:vAlign w:val="center"/>
            <w:hideMark/>
          </w:tcPr>
          <w:p w14:paraId="4032295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F6911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5CCE51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20AF9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A215B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8538491" w14:textId="77777777" w:rsidTr="007B0C07">
        <w:trPr>
          <w:trHeight w:val="696"/>
        </w:trPr>
        <w:tc>
          <w:tcPr>
            <w:tcW w:w="636" w:type="dxa"/>
            <w:vMerge/>
            <w:tcBorders>
              <w:top w:val="nil"/>
              <w:left w:val="single" w:sz="8" w:space="0" w:color="auto"/>
              <w:bottom w:val="single" w:sz="4" w:space="0" w:color="auto"/>
              <w:right w:val="single" w:sz="4" w:space="0" w:color="auto"/>
            </w:tcBorders>
            <w:vAlign w:val="center"/>
            <w:hideMark/>
          </w:tcPr>
          <w:p w14:paraId="49258D28"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40A5259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AA058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46701F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EC261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217DB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85B5EB2" w14:textId="77777777" w:rsidR="00DC2C1E" w:rsidRPr="0002056A" w:rsidRDefault="00DC2C1E" w:rsidP="007B0C07">
            <w:pPr>
              <w:spacing w:after="0" w:line="240" w:lineRule="auto"/>
              <w:rPr>
                <w:rFonts w:ascii="Georgia" w:eastAsia="Times New Roman" w:hAnsi="Georgia" w:cs="Calibri"/>
                <w:b/>
                <w:bCs/>
                <w:color w:val="000000"/>
                <w:sz w:val="8"/>
                <w:szCs w:val="8"/>
                <w:lang w:val="en-GB" w:eastAsia="hu-HU"/>
              </w:rPr>
            </w:pPr>
            <w:r w:rsidRPr="0002056A">
              <w:rPr>
                <w:rFonts w:ascii="Georgia" w:eastAsia="Times New Roman" w:hAnsi="Georgia" w:cs="Calibri"/>
                <w:b/>
                <w:bCs/>
                <w:color w:val="000000"/>
                <w:sz w:val="8"/>
                <w:szCs w:val="8"/>
                <w:lang w:val="en-GB" w:eastAsia="hu-HU"/>
              </w:rPr>
              <w:t>Evidence for the third</w:t>
            </w:r>
            <w:r w:rsidRPr="0002056A">
              <w:rPr>
                <w:rFonts w:ascii="Georgia" w:eastAsia="Times New Roman" w:hAnsi="Georgia" w:cs="Calibri"/>
                <w:b/>
                <w:bCs/>
                <w:color w:val="000000"/>
                <w:sz w:val="8"/>
                <w:szCs w:val="8"/>
                <w:lang w:val="en-GB" w:eastAsia="hu-HU"/>
              </w:rPr>
              <w:br/>
              <w:t>UK Climate Change Risk</w:t>
            </w:r>
            <w:r w:rsidRPr="0002056A">
              <w:rPr>
                <w:rFonts w:ascii="Georgia" w:eastAsia="Times New Roman" w:hAnsi="Georgia" w:cs="Calibri"/>
                <w:b/>
                <w:bCs/>
                <w:color w:val="000000"/>
                <w:sz w:val="8"/>
                <w:szCs w:val="8"/>
                <w:lang w:val="en-GB" w:eastAsia="hu-HU"/>
              </w:rPr>
              <w:br/>
              <w:t>Assessment (CCRA3)</w:t>
            </w:r>
            <w:r w:rsidRPr="0002056A">
              <w:rPr>
                <w:rFonts w:ascii="Georgia" w:eastAsia="Times New Roman" w:hAnsi="Georgia" w:cs="Calibri"/>
                <w:b/>
                <w:bCs/>
                <w:color w:val="000000"/>
                <w:sz w:val="8"/>
                <w:szCs w:val="8"/>
                <w:lang w:val="en-GB" w:eastAsia="hu-HU"/>
              </w:rPr>
              <w:br/>
              <w:t>Summary for</w:t>
            </w:r>
            <w:r w:rsidRPr="0002056A">
              <w:rPr>
                <w:rFonts w:ascii="Georgia" w:eastAsia="Times New Roman" w:hAnsi="Georgia" w:cs="Calibri"/>
                <w:b/>
                <w:bCs/>
                <w:color w:val="000000"/>
                <w:sz w:val="8"/>
                <w:szCs w:val="8"/>
                <w:lang w:val="en-GB" w:eastAsia="hu-HU"/>
              </w:rPr>
              <w:br/>
              <w:t>Northern</w:t>
            </w:r>
            <w:r w:rsidRPr="0002056A">
              <w:rPr>
                <w:rFonts w:ascii="Georgia" w:eastAsia="Times New Roman" w:hAnsi="Georgia" w:cs="Calibri"/>
                <w:b/>
                <w:bCs/>
                <w:color w:val="000000"/>
                <w:sz w:val="8"/>
                <w:szCs w:val="8"/>
                <w:lang w:val="en-GB" w:eastAsia="hu-HU"/>
              </w:rPr>
              <w:br/>
              <w:t>Ireland</w:t>
            </w:r>
          </w:p>
        </w:tc>
        <w:tc>
          <w:tcPr>
            <w:tcW w:w="633" w:type="dxa"/>
            <w:tcBorders>
              <w:top w:val="nil"/>
              <w:left w:val="nil"/>
              <w:bottom w:val="single" w:sz="4" w:space="0" w:color="auto"/>
              <w:right w:val="single" w:sz="4" w:space="0" w:color="auto"/>
            </w:tcBorders>
            <w:vAlign w:val="center"/>
            <w:hideMark/>
          </w:tcPr>
          <w:p w14:paraId="244C943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28DF4C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1984369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4" w:space="0" w:color="auto"/>
              <w:right w:val="single" w:sz="4" w:space="0" w:color="auto"/>
            </w:tcBorders>
            <w:vAlign w:val="center"/>
            <w:hideMark/>
          </w:tcPr>
          <w:p w14:paraId="002EE06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Northern Ireland</w:t>
            </w:r>
          </w:p>
        </w:tc>
        <w:tc>
          <w:tcPr>
            <w:tcW w:w="1032" w:type="dxa"/>
            <w:tcBorders>
              <w:top w:val="nil"/>
              <w:left w:val="nil"/>
              <w:bottom w:val="single" w:sz="4" w:space="0" w:color="auto"/>
              <w:right w:val="single" w:sz="4" w:space="0" w:color="auto"/>
            </w:tcBorders>
            <w:shd w:val="clear" w:color="000000" w:fill="D0CECE"/>
            <w:vAlign w:val="center"/>
            <w:hideMark/>
          </w:tcPr>
          <w:p w14:paraId="216477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647B6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83A8D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9472F1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AE5AE1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D769FB6"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07115FC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NMR</w:t>
            </w:r>
          </w:p>
        </w:tc>
        <w:tc>
          <w:tcPr>
            <w:tcW w:w="1327" w:type="dxa"/>
            <w:tcBorders>
              <w:top w:val="nil"/>
              <w:left w:val="nil"/>
              <w:bottom w:val="single" w:sz="4" w:space="0" w:color="auto"/>
              <w:right w:val="single" w:sz="4" w:space="0" w:color="auto"/>
            </w:tcBorders>
            <w:shd w:val="clear" w:color="000000" w:fill="D0CECE"/>
            <w:vAlign w:val="center"/>
            <w:hideMark/>
          </w:tcPr>
          <w:p w14:paraId="409347F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D3D2B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ECD97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04835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D421A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2BF0491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3C31A61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57BCAD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C55DA8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4AC71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66904DE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4909B9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518F6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9C21F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73593D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BE2ED9B" w14:textId="77777777" w:rsidTr="007B0C07">
        <w:trPr>
          <w:trHeight w:val="765"/>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5AD9F0D1"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NOR</w:t>
            </w:r>
          </w:p>
        </w:tc>
        <w:tc>
          <w:tcPr>
            <w:tcW w:w="1327" w:type="dxa"/>
            <w:tcBorders>
              <w:top w:val="nil"/>
              <w:left w:val="nil"/>
              <w:bottom w:val="single" w:sz="4" w:space="0" w:color="auto"/>
              <w:right w:val="single" w:sz="4" w:space="0" w:color="auto"/>
            </w:tcBorders>
            <w:shd w:val="clear" w:color="000000" w:fill="D0CECE"/>
            <w:vAlign w:val="center"/>
            <w:hideMark/>
          </w:tcPr>
          <w:p w14:paraId="75F86AB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noWrap/>
            <w:vAlign w:val="bottom"/>
            <w:hideMark/>
          </w:tcPr>
          <w:p w14:paraId="5624260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noWrap/>
            <w:vAlign w:val="bottom"/>
            <w:hideMark/>
          </w:tcPr>
          <w:p w14:paraId="43D3080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noWrap/>
            <w:vAlign w:val="bottom"/>
            <w:hideMark/>
          </w:tcPr>
          <w:p w14:paraId="11E88EB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1B82B4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161BF2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Study on the consequences for Norway of climate change in other countries (Utredning om konsekvenser for Norge av klimaendringer i andre land)</w:t>
            </w:r>
          </w:p>
        </w:tc>
        <w:tc>
          <w:tcPr>
            <w:tcW w:w="633" w:type="dxa"/>
            <w:tcBorders>
              <w:top w:val="nil"/>
              <w:left w:val="nil"/>
              <w:bottom w:val="single" w:sz="4" w:space="0" w:color="auto"/>
              <w:right w:val="single" w:sz="4" w:space="0" w:color="auto"/>
            </w:tcBorders>
            <w:vAlign w:val="center"/>
            <w:hideMark/>
          </w:tcPr>
          <w:p w14:paraId="0DEF0C05"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706" w:type="dxa"/>
            <w:tcBorders>
              <w:top w:val="nil"/>
              <w:left w:val="nil"/>
              <w:bottom w:val="single" w:sz="4" w:space="0" w:color="auto"/>
              <w:right w:val="single" w:sz="4" w:space="0" w:color="auto"/>
            </w:tcBorders>
            <w:vAlign w:val="center"/>
            <w:hideMark/>
          </w:tcPr>
          <w:p w14:paraId="26ACCE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4E8AE2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og Climate and Environment</w:t>
            </w:r>
          </w:p>
        </w:tc>
        <w:tc>
          <w:tcPr>
            <w:tcW w:w="1019" w:type="dxa"/>
            <w:tcBorders>
              <w:top w:val="nil"/>
              <w:left w:val="nil"/>
              <w:bottom w:val="single" w:sz="4" w:space="0" w:color="auto"/>
              <w:right w:val="single" w:sz="4" w:space="0" w:color="auto"/>
            </w:tcBorders>
            <w:vAlign w:val="center"/>
            <w:hideMark/>
          </w:tcPr>
          <w:p w14:paraId="41229C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Norwegian Environment Agency</w:t>
            </w:r>
          </w:p>
        </w:tc>
        <w:tc>
          <w:tcPr>
            <w:tcW w:w="1032" w:type="dxa"/>
            <w:tcBorders>
              <w:top w:val="nil"/>
              <w:left w:val="nil"/>
              <w:bottom w:val="single" w:sz="4" w:space="0" w:color="auto"/>
              <w:right w:val="single" w:sz="4" w:space="0" w:color="auto"/>
            </w:tcBorders>
            <w:shd w:val="clear" w:color="000000" w:fill="D0CECE"/>
            <w:vAlign w:val="center"/>
            <w:hideMark/>
          </w:tcPr>
          <w:p w14:paraId="67D34F0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08C83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98DA2E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9AF75C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B46F2F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0A247FB" w14:textId="77777777" w:rsidTr="007B0C07">
        <w:trPr>
          <w:trHeight w:val="420"/>
        </w:trPr>
        <w:tc>
          <w:tcPr>
            <w:tcW w:w="636" w:type="dxa"/>
            <w:vMerge/>
            <w:tcBorders>
              <w:top w:val="nil"/>
              <w:left w:val="single" w:sz="8" w:space="0" w:color="auto"/>
              <w:bottom w:val="single" w:sz="4" w:space="0" w:color="auto"/>
              <w:right w:val="single" w:sz="4" w:space="0" w:color="auto"/>
            </w:tcBorders>
            <w:vAlign w:val="center"/>
            <w:hideMark/>
          </w:tcPr>
          <w:p w14:paraId="0BC215E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FCFC49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0B4D39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426AE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B00A85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346A43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4815A11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Norway's first adaptation communication</w:t>
            </w:r>
          </w:p>
        </w:tc>
        <w:tc>
          <w:tcPr>
            <w:tcW w:w="633" w:type="dxa"/>
            <w:tcBorders>
              <w:top w:val="nil"/>
              <w:left w:val="nil"/>
              <w:bottom w:val="single" w:sz="4" w:space="0" w:color="auto"/>
              <w:right w:val="single" w:sz="4" w:space="0" w:color="auto"/>
            </w:tcBorders>
            <w:vAlign w:val="center"/>
            <w:hideMark/>
          </w:tcPr>
          <w:p w14:paraId="00D1355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w:t>
            </w:r>
          </w:p>
        </w:tc>
        <w:tc>
          <w:tcPr>
            <w:tcW w:w="706" w:type="dxa"/>
            <w:tcBorders>
              <w:top w:val="nil"/>
              <w:left w:val="nil"/>
              <w:bottom w:val="single" w:sz="4" w:space="0" w:color="auto"/>
              <w:right w:val="single" w:sz="4" w:space="0" w:color="auto"/>
            </w:tcBorders>
            <w:vAlign w:val="center"/>
            <w:hideMark/>
          </w:tcPr>
          <w:p w14:paraId="74F90AF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2010-2017</w:t>
            </w:r>
          </w:p>
        </w:tc>
        <w:tc>
          <w:tcPr>
            <w:tcW w:w="1019" w:type="dxa"/>
            <w:tcBorders>
              <w:top w:val="nil"/>
              <w:left w:val="nil"/>
              <w:bottom w:val="single" w:sz="4" w:space="0" w:color="auto"/>
              <w:right w:val="single" w:sz="4" w:space="0" w:color="auto"/>
            </w:tcBorders>
            <w:vAlign w:val="center"/>
            <w:hideMark/>
          </w:tcPr>
          <w:p w14:paraId="1127CD2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3EF621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og Climate and Environment</w:t>
            </w:r>
          </w:p>
        </w:tc>
        <w:tc>
          <w:tcPr>
            <w:tcW w:w="1032" w:type="dxa"/>
            <w:tcBorders>
              <w:top w:val="nil"/>
              <w:left w:val="nil"/>
              <w:bottom w:val="single" w:sz="4" w:space="0" w:color="auto"/>
              <w:right w:val="single" w:sz="4" w:space="0" w:color="auto"/>
            </w:tcBorders>
            <w:shd w:val="clear" w:color="000000" w:fill="D0CECE"/>
            <w:vAlign w:val="center"/>
            <w:hideMark/>
          </w:tcPr>
          <w:p w14:paraId="03728D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CB2AD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DAC291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0B138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9DE4FA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314BC42"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5CB0364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POL</w:t>
            </w:r>
          </w:p>
        </w:tc>
        <w:tc>
          <w:tcPr>
            <w:tcW w:w="1327" w:type="dxa"/>
            <w:tcBorders>
              <w:top w:val="nil"/>
              <w:left w:val="nil"/>
              <w:bottom w:val="single" w:sz="4" w:space="0" w:color="auto"/>
              <w:right w:val="single" w:sz="4" w:space="0" w:color="auto"/>
            </w:tcBorders>
            <w:shd w:val="clear" w:color="000000" w:fill="D0CECE"/>
            <w:vAlign w:val="center"/>
            <w:hideMark/>
          </w:tcPr>
          <w:p w14:paraId="6F1E662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C41E0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65805E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9E68A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C6554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7658EC9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4C7A74E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10E417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95C5E0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78FBE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3079248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27BF6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58A055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9F9DC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19603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87E02CD" w14:textId="77777777" w:rsidTr="007B0C07">
        <w:trPr>
          <w:trHeight w:val="743"/>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1D86E1E2"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POR</w:t>
            </w:r>
          </w:p>
        </w:tc>
        <w:tc>
          <w:tcPr>
            <w:tcW w:w="1327" w:type="dxa"/>
            <w:tcBorders>
              <w:top w:val="nil"/>
              <w:left w:val="nil"/>
              <w:bottom w:val="single" w:sz="4" w:space="0" w:color="auto"/>
              <w:right w:val="single" w:sz="4" w:space="0" w:color="auto"/>
            </w:tcBorders>
            <w:shd w:val="clear" w:color="000000" w:fill="D0CECE"/>
            <w:vAlign w:val="center"/>
            <w:hideMark/>
          </w:tcPr>
          <w:p w14:paraId="5A944D8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66F174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EDBB8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E4601A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EBA3A8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9637B2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Progress Report on the National Strategy for Climate Change Adaptation</w:t>
            </w:r>
          </w:p>
        </w:tc>
        <w:tc>
          <w:tcPr>
            <w:tcW w:w="633" w:type="dxa"/>
            <w:tcBorders>
              <w:top w:val="nil"/>
              <w:left w:val="nil"/>
              <w:bottom w:val="single" w:sz="4" w:space="0" w:color="auto"/>
              <w:right w:val="single" w:sz="4" w:space="0" w:color="auto"/>
            </w:tcBorders>
            <w:vAlign w:val="center"/>
            <w:hideMark/>
          </w:tcPr>
          <w:p w14:paraId="68782630"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2013</w:t>
            </w:r>
          </w:p>
        </w:tc>
        <w:tc>
          <w:tcPr>
            <w:tcW w:w="706" w:type="dxa"/>
            <w:tcBorders>
              <w:top w:val="nil"/>
              <w:left w:val="nil"/>
              <w:bottom w:val="single" w:sz="4" w:space="0" w:color="auto"/>
              <w:right w:val="single" w:sz="4" w:space="0" w:color="auto"/>
            </w:tcBorders>
            <w:vAlign w:val="center"/>
            <w:hideMark/>
          </w:tcPr>
          <w:p w14:paraId="645DE0E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2010-2013</w:t>
            </w:r>
          </w:p>
        </w:tc>
        <w:tc>
          <w:tcPr>
            <w:tcW w:w="1019" w:type="dxa"/>
            <w:tcBorders>
              <w:top w:val="nil"/>
              <w:left w:val="nil"/>
              <w:bottom w:val="single" w:sz="4" w:space="0" w:color="auto"/>
              <w:right w:val="single" w:sz="4" w:space="0" w:color="auto"/>
            </w:tcBorders>
            <w:vAlign w:val="center"/>
            <w:hideMark/>
          </w:tcPr>
          <w:p w14:paraId="008A7D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Spatial Planning and Energy (MAOTE)</w:t>
            </w:r>
          </w:p>
        </w:tc>
        <w:tc>
          <w:tcPr>
            <w:tcW w:w="1019" w:type="dxa"/>
            <w:tcBorders>
              <w:top w:val="nil"/>
              <w:left w:val="nil"/>
              <w:bottom w:val="single" w:sz="4" w:space="0" w:color="auto"/>
              <w:right w:val="single" w:sz="4" w:space="0" w:color="auto"/>
            </w:tcBorders>
            <w:vAlign w:val="center"/>
            <w:hideMark/>
          </w:tcPr>
          <w:p w14:paraId="5BF4C17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Portuguese Environment Agency Department of Climate Change/Adaptation and Monitoring Division</w:t>
            </w:r>
          </w:p>
        </w:tc>
        <w:tc>
          <w:tcPr>
            <w:tcW w:w="1032" w:type="dxa"/>
            <w:tcBorders>
              <w:top w:val="nil"/>
              <w:left w:val="nil"/>
              <w:bottom w:val="single" w:sz="4" w:space="0" w:color="auto"/>
              <w:right w:val="single" w:sz="4" w:space="0" w:color="auto"/>
            </w:tcBorders>
            <w:shd w:val="clear" w:color="000000" w:fill="D0CECE"/>
            <w:vAlign w:val="center"/>
            <w:hideMark/>
          </w:tcPr>
          <w:p w14:paraId="57AEE6A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BD41DC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386B46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21C3C9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F0D9E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EDFB0AA" w14:textId="77777777" w:rsidTr="007B0C07">
        <w:trPr>
          <w:trHeight w:val="700"/>
        </w:trPr>
        <w:tc>
          <w:tcPr>
            <w:tcW w:w="636" w:type="dxa"/>
            <w:vMerge/>
            <w:tcBorders>
              <w:top w:val="nil"/>
              <w:left w:val="single" w:sz="8" w:space="0" w:color="auto"/>
              <w:bottom w:val="single" w:sz="4" w:space="0" w:color="auto"/>
              <w:right w:val="single" w:sz="4" w:space="0" w:color="auto"/>
            </w:tcBorders>
            <w:vAlign w:val="center"/>
            <w:hideMark/>
          </w:tcPr>
          <w:p w14:paraId="153E59CD"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1407D389"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B4ADBE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1E2078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67488AA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4FB3D9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1576DAC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change adaptation planning and strategies</w:t>
            </w:r>
          </w:p>
        </w:tc>
        <w:tc>
          <w:tcPr>
            <w:tcW w:w="633" w:type="dxa"/>
            <w:tcBorders>
              <w:top w:val="nil"/>
              <w:left w:val="nil"/>
              <w:bottom w:val="single" w:sz="4" w:space="0" w:color="auto"/>
              <w:right w:val="single" w:sz="4" w:space="0" w:color="auto"/>
            </w:tcBorders>
            <w:vAlign w:val="center"/>
            <w:hideMark/>
          </w:tcPr>
          <w:p w14:paraId="0BB3764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06" w:type="dxa"/>
            <w:tcBorders>
              <w:top w:val="nil"/>
              <w:left w:val="nil"/>
              <w:bottom w:val="single" w:sz="4" w:space="0" w:color="auto"/>
              <w:right w:val="single" w:sz="4" w:space="0" w:color="auto"/>
            </w:tcBorders>
            <w:vAlign w:val="center"/>
            <w:hideMark/>
          </w:tcPr>
          <w:p w14:paraId="7ECD834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2D31C3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European Comission / EEA</w:t>
            </w:r>
          </w:p>
        </w:tc>
        <w:tc>
          <w:tcPr>
            <w:tcW w:w="1019" w:type="dxa"/>
            <w:tcBorders>
              <w:top w:val="nil"/>
              <w:left w:val="nil"/>
              <w:bottom w:val="single" w:sz="4" w:space="0" w:color="auto"/>
              <w:right w:val="single" w:sz="4" w:space="0" w:color="auto"/>
            </w:tcBorders>
            <w:vAlign w:val="center"/>
            <w:hideMark/>
          </w:tcPr>
          <w:p w14:paraId="6916E94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Spatial Planning and Energy (MAOTE)</w:t>
            </w:r>
          </w:p>
        </w:tc>
        <w:tc>
          <w:tcPr>
            <w:tcW w:w="1032" w:type="dxa"/>
            <w:tcBorders>
              <w:top w:val="nil"/>
              <w:left w:val="nil"/>
              <w:bottom w:val="single" w:sz="4" w:space="0" w:color="auto"/>
              <w:right w:val="single" w:sz="4" w:space="0" w:color="auto"/>
            </w:tcBorders>
            <w:shd w:val="clear" w:color="000000" w:fill="D0CECE"/>
            <w:vAlign w:val="center"/>
            <w:hideMark/>
          </w:tcPr>
          <w:p w14:paraId="2F0130E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BBDC0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97D53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80084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6DA46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8CEE600" w14:textId="77777777" w:rsidTr="007B0C07">
        <w:trPr>
          <w:trHeight w:val="700"/>
        </w:trPr>
        <w:tc>
          <w:tcPr>
            <w:tcW w:w="636" w:type="dxa"/>
            <w:vMerge/>
            <w:tcBorders>
              <w:top w:val="nil"/>
              <w:left w:val="single" w:sz="8" w:space="0" w:color="auto"/>
              <w:bottom w:val="single" w:sz="4" w:space="0" w:color="auto"/>
              <w:right w:val="single" w:sz="4" w:space="0" w:color="auto"/>
            </w:tcBorders>
            <w:vAlign w:val="center"/>
            <w:hideMark/>
          </w:tcPr>
          <w:p w14:paraId="268936F0"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790D4C1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E2DAD7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0965235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808E04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578FBA7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3FF1181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climate change adaptation planning and strategies</w:t>
            </w:r>
          </w:p>
        </w:tc>
        <w:tc>
          <w:tcPr>
            <w:tcW w:w="633" w:type="dxa"/>
            <w:tcBorders>
              <w:top w:val="nil"/>
              <w:left w:val="nil"/>
              <w:bottom w:val="single" w:sz="4" w:space="0" w:color="auto"/>
              <w:right w:val="single" w:sz="4" w:space="0" w:color="auto"/>
            </w:tcBorders>
            <w:vAlign w:val="center"/>
            <w:hideMark/>
          </w:tcPr>
          <w:p w14:paraId="1F35C7F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6D44ABD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7E8032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European Comission / EEA</w:t>
            </w:r>
          </w:p>
        </w:tc>
        <w:tc>
          <w:tcPr>
            <w:tcW w:w="1019" w:type="dxa"/>
            <w:tcBorders>
              <w:top w:val="nil"/>
              <w:left w:val="nil"/>
              <w:bottom w:val="single" w:sz="4" w:space="0" w:color="auto"/>
              <w:right w:val="single" w:sz="4" w:space="0" w:color="auto"/>
            </w:tcBorders>
            <w:vAlign w:val="center"/>
            <w:hideMark/>
          </w:tcPr>
          <w:p w14:paraId="170C7DA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the Environment, Spatial Planning and Energy (MAOTE)</w:t>
            </w:r>
          </w:p>
        </w:tc>
        <w:tc>
          <w:tcPr>
            <w:tcW w:w="1032" w:type="dxa"/>
            <w:tcBorders>
              <w:top w:val="nil"/>
              <w:left w:val="nil"/>
              <w:bottom w:val="single" w:sz="4" w:space="0" w:color="auto"/>
              <w:right w:val="single" w:sz="4" w:space="0" w:color="auto"/>
            </w:tcBorders>
            <w:shd w:val="clear" w:color="000000" w:fill="D0CECE"/>
            <w:vAlign w:val="center"/>
            <w:hideMark/>
          </w:tcPr>
          <w:p w14:paraId="553C54C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68DB8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05E34F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C5C04E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134FC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ACCBB5C"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545A3D6E"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ROM</w:t>
            </w:r>
          </w:p>
        </w:tc>
        <w:tc>
          <w:tcPr>
            <w:tcW w:w="1327" w:type="dxa"/>
            <w:tcBorders>
              <w:top w:val="nil"/>
              <w:left w:val="nil"/>
              <w:bottom w:val="single" w:sz="4" w:space="0" w:color="auto"/>
              <w:right w:val="single" w:sz="4" w:space="0" w:color="auto"/>
            </w:tcBorders>
            <w:shd w:val="clear" w:color="000000" w:fill="D0CECE"/>
            <w:vAlign w:val="center"/>
            <w:hideMark/>
          </w:tcPr>
          <w:p w14:paraId="24F37DF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2C34B19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C8CE80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4AE6B6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25A0E1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03DAE4B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7F84227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0B2AB9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112731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BD6303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2303A4C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DD5A84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8A5B6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84DF5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1D3861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010CFE3" w14:textId="77777777" w:rsidTr="007B0C07">
        <w:trPr>
          <w:trHeight w:val="1320"/>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2B3C946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SCO</w:t>
            </w:r>
          </w:p>
        </w:tc>
        <w:tc>
          <w:tcPr>
            <w:tcW w:w="1327" w:type="dxa"/>
            <w:tcBorders>
              <w:top w:val="nil"/>
              <w:left w:val="nil"/>
              <w:bottom w:val="single" w:sz="4" w:space="0" w:color="auto"/>
              <w:right w:val="single" w:sz="4" w:space="0" w:color="auto"/>
            </w:tcBorders>
            <w:vAlign w:val="center"/>
            <w:hideMark/>
          </w:tcPr>
          <w:p w14:paraId="4E17424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Developing Indicators of Climate Change Adaptation for Scotland: A summary of the ClimateXChange adaptation indicator framework</w:t>
            </w:r>
          </w:p>
        </w:tc>
        <w:tc>
          <w:tcPr>
            <w:tcW w:w="548" w:type="dxa"/>
            <w:tcBorders>
              <w:top w:val="nil"/>
              <w:left w:val="nil"/>
              <w:bottom w:val="single" w:sz="4" w:space="0" w:color="auto"/>
              <w:right w:val="single" w:sz="4" w:space="0" w:color="auto"/>
            </w:tcBorders>
            <w:vAlign w:val="center"/>
            <w:hideMark/>
          </w:tcPr>
          <w:p w14:paraId="6D55D94E"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18" w:type="dxa"/>
            <w:tcBorders>
              <w:top w:val="nil"/>
              <w:left w:val="nil"/>
              <w:bottom w:val="single" w:sz="4" w:space="0" w:color="auto"/>
              <w:right w:val="single" w:sz="4" w:space="0" w:color="auto"/>
            </w:tcBorders>
            <w:vAlign w:val="center"/>
            <w:hideMark/>
          </w:tcPr>
          <w:p w14:paraId="117E84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3DB912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ClimateXChange</w:t>
            </w:r>
          </w:p>
        </w:tc>
        <w:tc>
          <w:tcPr>
            <w:tcW w:w="955" w:type="dxa"/>
            <w:tcBorders>
              <w:top w:val="nil"/>
              <w:left w:val="nil"/>
              <w:bottom w:val="single" w:sz="4" w:space="0" w:color="auto"/>
              <w:right w:val="single" w:sz="4" w:space="0" w:color="auto"/>
            </w:tcBorders>
            <w:vAlign w:val="center"/>
            <w:hideMark/>
          </w:tcPr>
          <w:p w14:paraId="7FFB053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Anna Moss, University of Dundee and Suzanne Martin, RBGE.</w:t>
            </w:r>
          </w:p>
        </w:tc>
        <w:tc>
          <w:tcPr>
            <w:tcW w:w="1466" w:type="dxa"/>
            <w:tcBorders>
              <w:top w:val="nil"/>
              <w:left w:val="nil"/>
              <w:bottom w:val="single" w:sz="4" w:space="0" w:color="auto"/>
              <w:right w:val="single" w:sz="4" w:space="0" w:color="auto"/>
            </w:tcBorders>
            <w:vAlign w:val="center"/>
            <w:hideMark/>
          </w:tcPr>
          <w:p w14:paraId="5C02EF2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Evidence for the third UK Climate Change Risk Assessment (CCRA3) Summary for</w:t>
            </w:r>
            <w:r w:rsidRPr="0002056A">
              <w:rPr>
                <w:rFonts w:ascii="Georgia" w:eastAsia="Times New Roman" w:hAnsi="Georgia" w:cs="Calibri"/>
                <w:b/>
                <w:bCs/>
                <w:color w:val="000000"/>
                <w:sz w:val="10"/>
                <w:szCs w:val="10"/>
                <w:lang w:val="en-GB" w:eastAsia="hu-HU"/>
              </w:rPr>
              <w:br/>
              <w:t>Scotland</w:t>
            </w:r>
          </w:p>
        </w:tc>
        <w:tc>
          <w:tcPr>
            <w:tcW w:w="633" w:type="dxa"/>
            <w:tcBorders>
              <w:top w:val="nil"/>
              <w:left w:val="nil"/>
              <w:bottom w:val="single" w:sz="4" w:space="0" w:color="auto"/>
              <w:right w:val="single" w:sz="4" w:space="0" w:color="auto"/>
            </w:tcBorders>
            <w:vAlign w:val="center"/>
            <w:hideMark/>
          </w:tcPr>
          <w:p w14:paraId="779DC0F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7A0007E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E3D5E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UK Government</w:t>
            </w:r>
          </w:p>
        </w:tc>
        <w:tc>
          <w:tcPr>
            <w:tcW w:w="1019" w:type="dxa"/>
            <w:tcBorders>
              <w:top w:val="nil"/>
              <w:left w:val="nil"/>
              <w:bottom w:val="single" w:sz="4" w:space="0" w:color="auto"/>
              <w:right w:val="single" w:sz="4" w:space="0" w:color="auto"/>
            </w:tcBorders>
            <w:vAlign w:val="center"/>
            <w:hideMark/>
          </w:tcPr>
          <w:p w14:paraId="4350C6A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Environment, Climate Change and Land Reform</w:t>
            </w:r>
          </w:p>
        </w:tc>
        <w:tc>
          <w:tcPr>
            <w:tcW w:w="1032" w:type="dxa"/>
            <w:tcBorders>
              <w:top w:val="nil"/>
              <w:left w:val="nil"/>
              <w:bottom w:val="single" w:sz="4" w:space="0" w:color="auto"/>
              <w:right w:val="single" w:sz="4" w:space="0" w:color="auto"/>
            </w:tcBorders>
            <w:shd w:val="clear" w:color="000000" w:fill="D0CECE"/>
            <w:vAlign w:val="center"/>
            <w:hideMark/>
          </w:tcPr>
          <w:p w14:paraId="0CE26E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5AC8F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27FD89D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49DC47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385D38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C2434F0" w14:textId="77777777" w:rsidTr="007B0C07">
        <w:trPr>
          <w:trHeight w:val="1355"/>
        </w:trPr>
        <w:tc>
          <w:tcPr>
            <w:tcW w:w="636" w:type="dxa"/>
            <w:vMerge/>
            <w:tcBorders>
              <w:top w:val="nil"/>
              <w:left w:val="single" w:sz="8" w:space="0" w:color="auto"/>
              <w:bottom w:val="single" w:sz="4" w:space="0" w:color="auto"/>
              <w:right w:val="single" w:sz="4" w:space="0" w:color="auto"/>
            </w:tcBorders>
            <w:vAlign w:val="center"/>
            <w:hideMark/>
          </w:tcPr>
          <w:p w14:paraId="50041C65"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48C21BF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59B6D0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55754A0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FA5A43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098C7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03372A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Scottish climate change adaptation programme: progress report 2022 Third annual progress report on the “Climate Ready Scotland: </w:t>
            </w:r>
            <w:r w:rsidRPr="0002056A">
              <w:rPr>
                <w:rFonts w:ascii="Georgia" w:eastAsia="Times New Roman" w:hAnsi="Georgia" w:cs="Calibri"/>
                <w:b/>
                <w:bCs/>
                <w:color w:val="000000"/>
                <w:sz w:val="10"/>
                <w:szCs w:val="10"/>
                <w:lang w:val="en-GB" w:eastAsia="hu-HU"/>
              </w:rPr>
              <w:br/>
              <w:t xml:space="preserve">Scotland’s Climate Change Adaptation Programme 2019 </w:t>
            </w:r>
            <w:r w:rsidRPr="0002056A">
              <w:rPr>
                <w:rFonts w:ascii="Georgia" w:eastAsia="Times New Roman" w:hAnsi="Georgia" w:cs="Calibri"/>
                <w:b/>
                <w:bCs/>
                <w:color w:val="000000"/>
                <w:sz w:val="10"/>
                <w:szCs w:val="10"/>
                <w:lang w:val="en-GB" w:eastAsia="hu-HU"/>
              </w:rPr>
              <w:br/>
              <w:t>to 2024”</w:t>
            </w:r>
          </w:p>
        </w:tc>
        <w:tc>
          <w:tcPr>
            <w:tcW w:w="633" w:type="dxa"/>
            <w:tcBorders>
              <w:top w:val="nil"/>
              <w:left w:val="nil"/>
              <w:bottom w:val="single" w:sz="4" w:space="0" w:color="auto"/>
              <w:right w:val="single" w:sz="4" w:space="0" w:color="auto"/>
            </w:tcBorders>
            <w:vAlign w:val="center"/>
            <w:hideMark/>
          </w:tcPr>
          <w:p w14:paraId="30C1639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0615FD7C"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1019" w:type="dxa"/>
            <w:tcBorders>
              <w:top w:val="nil"/>
              <w:left w:val="nil"/>
              <w:bottom w:val="single" w:sz="4" w:space="0" w:color="auto"/>
              <w:right w:val="single" w:sz="4" w:space="0" w:color="auto"/>
            </w:tcBorders>
            <w:vAlign w:val="center"/>
            <w:hideMark/>
          </w:tcPr>
          <w:p w14:paraId="14AA33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Scottish Government</w:t>
            </w:r>
          </w:p>
        </w:tc>
        <w:tc>
          <w:tcPr>
            <w:tcW w:w="1019" w:type="dxa"/>
            <w:tcBorders>
              <w:top w:val="nil"/>
              <w:left w:val="nil"/>
              <w:bottom w:val="single" w:sz="4" w:space="0" w:color="auto"/>
              <w:right w:val="single" w:sz="4" w:space="0" w:color="auto"/>
            </w:tcBorders>
            <w:vAlign w:val="center"/>
            <w:hideMark/>
          </w:tcPr>
          <w:p w14:paraId="6096AF3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Environment, Climate Change and Land Reform</w:t>
            </w:r>
          </w:p>
        </w:tc>
        <w:tc>
          <w:tcPr>
            <w:tcW w:w="1032" w:type="dxa"/>
            <w:tcBorders>
              <w:top w:val="nil"/>
              <w:left w:val="nil"/>
              <w:bottom w:val="single" w:sz="4" w:space="0" w:color="auto"/>
              <w:right w:val="single" w:sz="4" w:space="0" w:color="auto"/>
            </w:tcBorders>
            <w:shd w:val="clear" w:color="000000" w:fill="D0CECE"/>
            <w:vAlign w:val="center"/>
            <w:hideMark/>
          </w:tcPr>
          <w:p w14:paraId="0FCC99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72CE9B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510E92E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726931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5DE4C34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270EAB1" w14:textId="77777777" w:rsidTr="007B0C07">
        <w:trPr>
          <w:trHeight w:val="646"/>
        </w:trPr>
        <w:tc>
          <w:tcPr>
            <w:tcW w:w="636" w:type="dxa"/>
            <w:vMerge/>
            <w:tcBorders>
              <w:top w:val="nil"/>
              <w:left w:val="single" w:sz="8" w:space="0" w:color="auto"/>
              <w:bottom w:val="single" w:sz="4" w:space="0" w:color="auto"/>
              <w:right w:val="single" w:sz="4" w:space="0" w:color="auto"/>
            </w:tcBorders>
            <w:vAlign w:val="center"/>
            <w:hideMark/>
          </w:tcPr>
          <w:p w14:paraId="040FB33B"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695BA251"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7B6EECF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986B7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7048B98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1036AB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6B22625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Final assessment: The first Scottish Climate Change Adaptation Programme</w:t>
            </w:r>
          </w:p>
        </w:tc>
        <w:tc>
          <w:tcPr>
            <w:tcW w:w="633" w:type="dxa"/>
            <w:tcBorders>
              <w:top w:val="nil"/>
              <w:left w:val="nil"/>
              <w:bottom w:val="single" w:sz="4" w:space="0" w:color="auto"/>
              <w:right w:val="single" w:sz="4" w:space="0" w:color="auto"/>
            </w:tcBorders>
            <w:vAlign w:val="center"/>
            <w:hideMark/>
          </w:tcPr>
          <w:p w14:paraId="2124B992"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18EFCE9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2016-2019</w:t>
            </w:r>
          </w:p>
        </w:tc>
        <w:tc>
          <w:tcPr>
            <w:tcW w:w="1019" w:type="dxa"/>
            <w:tcBorders>
              <w:top w:val="nil"/>
              <w:left w:val="nil"/>
              <w:bottom w:val="single" w:sz="4" w:space="0" w:color="auto"/>
              <w:right w:val="single" w:sz="4" w:space="0" w:color="auto"/>
            </w:tcBorders>
            <w:vAlign w:val="center"/>
            <w:hideMark/>
          </w:tcPr>
          <w:p w14:paraId="42D615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Committee on Climate Change</w:t>
            </w:r>
          </w:p>
        </w:tc>
        <w:tc>
          <w:tcPr>
            <w:tcW w:w="1019" w:type="dxa"/>
            <w:tcBorders>
              <w:top w:val="nil"/>
              <w:left w:val="nil"/>
              <w:bottom w:val="single" w:sz="4" w:space="0" w:color="auto"/>
              <w:right w:val="single" w:sz="4" w:space="0" w:color="auto"/>
            </w:tcBorders>
            <w:vAlign w:val="center"/>
            <w:hideMark/>
          </w:tcPr>
          <w:p w14:paraId="2A105A1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Environment, Climate Change and Land Reform</w:t>
            </w:r>
          </w:p>
        </w:tc>
        <w:tc>
          <w:tcPr>
            <w:tcW w:w="1032" w:type="dxa"/>
            <w:tcBorders>
              <w:top w:val="nil"/>
              <w:left w:val="nil"/>
              <w:bottom w:val="single" w:sz="4" w:space="0" w:color="auto"/>
              <w:right w:val="single" w:sz="4" w:space="0" w:color="auto"/>
            </w:tcBorders>
            <w:shd w:val="clear" w:color="000000" w:fill="D0CECE"/>
            <w:vAlign w:val="center"/>
            <w:hideMark/>
          </w:tcPr>
          <w:p w14:paraId="505C98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B65248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23839D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21000A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AF5600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0656DA8" w14:textId="77777777" w:rsidTr="007B0C07">
        <w:trPr>
          <w:trHeight w:val="840"/>
        </w:trPr>
        <w:tc>
          <w:tcPr>
            <w:tcW w:w="636" w:type="dxa"/>
            <w:vMerge/>
            <w:tcBorders>
              <w:top w:val="nil"/>
              <w:left w:val="single" w:sz="8" w:space="0" w:color="auto"/>
              <w:bottom w:val="single" w:sz="4" w:space="0" w:color="auto"/>
              <w:right w:val="single" w:sz="4" w:space="0" w:color="auto"/>
            </w:tcBorders>
            <w:vAlign w:val="center"/>
            <w:hideMark/>
          </w:tcPr>
          <w:p w14:paraId="70E88175"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2BB5AC5"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895F56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BF384D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483B4C6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5EFA6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75E1987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Scottish climate change adaptation programme: progress report 2023-24 Fifth annual progress report on the “Climate Ready Scotland: Scotland’s Climate Change Adaptation Programme 2019 to 2024”</w:t>
            </w:r>
          </w:p>
        </w:tc>
        <w:tc>
          <w:tcPr>
            <w:tcW w:w="633" w:type="dxa"/>
            <w:tcBorders>
              <w:top w:val="nil"/>
              <w:left w:val="nil"/>
              <w:bottom w:val="single" w:sz="4" w:space="0" w:color="auto"/>
              <w:right w:val="single" w:sz="4" w:space="0" w:color="auto"/>
            </w:tcBorders>
            <w:vAlign w:val="center"/>
            <w:hideMark/>
          </w:tcPr>
          <w:p w14:paraId="6AA31D2A"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706" w:type="dxa"/>
            <w:tcBorders>
              <w:top w:val="nil"/>
              <w:left w:val="nil"/>
              <w:bottom w:val="single" w:sz="4" w:space="0" w:color="auto"/>
              <w:right w:val="single" w:sz="4" w:space="0" w:color="auto"/>
            </w:tcBorders>
            <w:vAlign w:val="center"/>
            <w:hideMark/>
          </w:tcPr>
          <w:p w14:paraId="0EA2D1EA"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1019" w:type="dxa"/>
            <w:tcBorders>
              <w:top w:val="nil"/>
              <w:left w:val="nil"/>
              <w:bottom w:val="single" w:sz="4" w:space="0" w:color="auto"/>
              <w:right w:val="single" w:sz="4" w:space="0" w:color="auto"/>
            </w:tcBorders>
            <w:vAlign w:val="center"/>
            <w:hideMark/>
          </w:tcPr>
          <w:p w14:paraId="175BC8F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Scottish Government</w:t>
            </w:r>
          </w:p>
        </w:tc>
        <w:tc>
          <w:tcPr>
            <w:tcW w:w="1019" w:type="dxa"/>
            <w:tcBorders>
              <w:top w:val="nil"/>
              <w:left w:val="nil"/>
              <w:bottom w:val="single" w:sz="4" w:space="0" w:color="auto"/>
              <w:right w:val="single" w:sz="4" w:space="0" w:color="auto"/>
            </w:tcBorders>
            <w:vAlign w:val="center"/>
            <w:hideMark/>
          </w:tcPr>
          <w:p w14:paraId="37386B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Environment, Climate Change and Land Reform</w:t>
            </w:r>
          </w:p>
        </w:tc>
        <w:tc>
          <w:tcPr>
            <w:tcW w:w="1032" w:type="dxa"/>
            <w:tcBorders>
              <w:top w:val="nil"/>
              <w:left w:val="nil"/>
              <w:bottom w:val="single" w:sz="4" w:space="0" w:color="auto"/>
              <w:right w:val="single" w:sz="4" w:space="0" w:color="auto"/>
            </w:tcBorders>
            <w:shd w:val="clear" w:color="000000" w:fill="D0CECE"/>
            <w:vAlign w:val="center"/>
            <w:hideMark/>
          </w:tcPr>
          <w:p w14:paraId="0A76EB0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0F22A2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EC06B6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6E6228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5C70DB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476FEF0" w14:textId="77777777" w:rsidTr="007B0C07">
        <w:trPr>
          <w:trHeight w:val="685"/>
        </w:trPr>
        <w:tc>
          <w:tcPr>
            <w:tcW w:w="636" w:type="dxa"/>
            <w:vMerge/>
            <w:tcBorders>
              <w:top w:val="nil"/>
              <w:left w:val="single" w:sz="8" w:space="0" w:color="auto"/>
              <w:bottom w:val="single" w:sz="4" w:space="0" w:color="auto"/>
              <w:right w:val="single" w:sz="4" w:space="0" w:color="auto"/>
            </w:tcBorders>
            <w:vAlign w:val="center"/>
            <w:hideMark/>
          </w:tcPr>
          <w:p w14:paraId="7E2CB9F1"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14E652C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30187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CC5E3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EAD0B4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F95D57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22B250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Scottish climate change adaptation programme: progress report 2023 Fourth annual progress report on the “Climate Ready Scotland: Scotland’s Climate Change Adaptation Programme 2019 to 2024”</w:t>
            </w:r>
          </w:p>
        </w:tc>
        <w:tc>
          <w:tcPr>
            <w:tcW w:w="633" w:type="dxa"/>
            <w:tcBorders>
              <w:top w:val="nil"/>
              <w:left w:val="nil"/>
              <w:bottom w:val="single" w:sz="4" w:space="0" w:color="auto"/>
              <w:right w:val="single" w:sz="4" w:space="0" w:color="auto"/>
            </w:tcBorders>
            <w:vAlign w:val="center"/>
            <w:hideMark/>
          </w:tcPr>
          <w:p w14:paraId="6C392FFF"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68F34664"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1019" w:type="dxa"/>
            <w:tcBorders>
              <w:top w:val="nil"/>
              <w:left w:val="nil"/>
              <w:bottom w:val="single" w:sz="4" w:space="0" w:color="auto"/>
              <w:right w:val="single" w:sz="4" w:space="0" w:color="auto"/>
            </w:tcBorders>
            <w:vAlign w:val="center"/>
            <w:hideMark/>
          </w:tcPr>
          <w:p w14:paraId="57E054C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Scottish Government</w:t>
            </w:r>
          </w:p>
        </w:tc>
        <w:tc>
          <w:tcPr>
            <w:tcW w:w="1019" w:type="dxa"/>
            <w:tcBorders>
              <w:top w:val="nil"/>
              <w:left w:val="nil"/>
              <w:bottom w:val="single" w:sz="4" w:space="0" w:color="auto"/>
              <w:right w:val="single" w:sz="4" w:space="0" w:color="auto"/>
            </w:tcBorders>
            <w:vAlign w:val="center"/>
            <w:hideMark/>
          </w:tcPr>
          <w:p w14:paraId="54221A9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for Environment, Climate Change and Land Reform</w:t>
            </w:r>
          </w:p>
        </w:tc>
        <w:tc>
          <w:tcPr>
            <w:tcW w:w="1032" w:type="dxa"/>
            <w:tcBorders>
              <w:top w:val="nil"/>
              <w:left w:val="nil"/>
              <w:bottom w:val="single" w:sz="4" w:space="0" w:color="auto"/>
              <w:right w:val="single" w:sz="4" w:space="0" w:color="auto"/>
            </w:tcBorders>
            <w:shd w:val="clear" w:color="000000" w:fill="D0CECE"/>
            <w:vAlign w:val="center"/>
            <w:hideMark/>
          </w:tcPr>
          <w:p w14:paraId="3B62A55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26EB57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C3406B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2F2AA0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27242B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C6A0783" w14:textId="77777777" w:rsidTr="00EA79C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741F1274"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SRB</w:t>
            </w:r>
          </w:p>
        </w:tc>
        <w:tc>
          <w:tcPr>
            <w:tcW w:w="1327" w:type="dxa"/>
            <w:tcBorders>
              <w:top w:val="nil"/>
              <w:left w:val="nil"/>
              <w:bottom w:val="single" w:sz="4" w:space="0" w:color="auto"/>
              <w:right w:val="single" w:sz="4" w:space="0" w:color="auto"/>
            </w:tcBorders>
            <w:shd w:val="clear" w:color="000000" w:fill="D0CECE"/>
            <w:vAlign w:val="center"/>
            <w:hideMark/>
          </w:tcPr>
          <w:p w14:paraId="6713E11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0AF911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A5EEA3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64D04C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63BDD4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auto" w:fill="D9D9D9" w:themeFill="background1" w:themeFillShade="D9"/>
            <w:vAlign w:val="center"/>
            <w:hideMark/>
          </w:tcPr>
          <w:p w14:paraId="049BD21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auto" w:fill="D9D9D9" w:themeFill="background1" w:themeFillShade="D9"/>
            <w:vAlign w:val="center"/>
            <w:hideMark/>
          </w:tcPr>
          <w:p w14:paraId="68D791D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auto" w:fill="D9D9D9" w:themeFill="background1" w:themeFillShade="D9"/>
            <w:vAlign w:val="center"/>
            <w:hideMark/>
          </w:tcPr>
          <w:p w14:paraId="3103155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5E5666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33A60ED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049340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200F90B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02FCA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46BBF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04B059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82BD57B" w14:textId="77777777" w:rsidTr="007B0C07">
        <w:trPr>
          <w:trHeight w:val="1584"/>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0AAF30FE"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SLK</w:t>
            </w:r>
          </w:p>
        </w:tc>
        <w:tc>
          <w:tcPr>
            <w:tcW w:w="1327" w:type="dxa"/>
            <w:tcBorders>
              <w:top w:val="nil"/>
              <w:left w:val="nil"/>
              <w:bottom w:val="single" w:sz="4" w:space="0" w:color="auto"/>
              <w:right w:val="single" w:sz="4" w:space="0" w:color="auto"/>
            </w:tcBorders>
            <w:shd w:val="clear" w:color="000000" w:fill="D0CECE"/>
            <w:vAlign w:val="center"/>
            <w:hideMark/>
          </w:tcPr>
          <w:p w14:paraId="7DF7323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F4FA1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CE0A8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1BEBA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1CF3CF0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505903C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Revision and update of the national strategy on adaptation to climate change in Slovakia</w:t>
            </w:r>
            <w:r w:rsidRPr="0002056A">
              <w:rPr>
                <w:rFonts w:ascii="Georgia" w:eastAsia="Times New Roman" w:hAnsi="Georgia" w:cs="Calibri"/>
                <w:b/>
                <w:bCs/>
                <w:color w:val="000000"/>
                <w:sz w:val="10"/>
                <w:szCs w:val="10"/>
                <w:lang w:val="en-GB" w:eastAsia="hu-HU"/>
              </w:rPr>
              <w:br/>
              <w:t>Deliverable 2.2: Report on the state of play of the climate adaptation policies and governance framework and proposal for a stakeholder engagement plan - Final Report</w:t>
            </w:r>
          </w:p>
        </w:tc>
        <w:tc>
          <w:tcPr>
            <w:tcW w:w="633" w:type="dxa"/>
            <w:tcBorders>
              <w:top w:val="nil"/>
              <w:left w:val="nil"/>
              <w:bottom w:val="single" w:sz="4" w:space="0" w:color="auto"/>
              <w:right w:val="single" w:sz="4" w:space="0" w:color="auto"/>
            </w:tcBorders>
            <w:vAlign w:val="center"/>
            <w:hideMark/>
          </w:tcPr>
          <w:p w14:paraId="01F2956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2024</w:t>
            </w:r>
          </w:p>
        </w:tc>
        <w:tc>
          <w:tcPr>
            <w:tcW w:w="706" w:type="dxa"/>
            <w:tcBorders>
              <w:top w:val="nil"/>
              <w:left w:val="nil"/>
              <w:bottom w:val="single" w:sz="4" w:space="0" w:color="auto"/>
              <w:right w:val="single" w:sz="4" w:space="0" w:color="auto"/>
            </w:tcBorders>
            <w:vAlign w:val="center"/>
            <w:hideMark/>
          </w:tcPr>
          <w:p w14:paraId="525B4FE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2018-2024</w:t>
            </w:r>
          </w:p>
        </w:tc>
        <w:tc>
          <w:tcPr>
            <w:tcW w:w="1019" w:type="dxa"/>
            <w:tcBorders>
              <w:top w:val="nil"/>
              <w:left w:val="nil"/>
              <w:bottom w:val="single" w:sz="4" w:space="0" w:color="auto"/>
              <w:right w:val="single" w:sz="4" w:space="0" w:color="auto"/>
            </w:tcBorders>
            <w:vAlign w:val="center"/>
            <w:hideMark/>
          </w:tcPr>
          <w:p w14:paraId="14158B4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Ministry of Environment of Slovakia</w:t>
            </w:r>
          </w:p>
        </w:tc>
        <w:tc>
          <w:tcPr>
            <w:tcW w:w="1019" w:type="dxa"/>
            <w:tcBorders>
              <w:top w:val="nil"/>
              <w:left w:val="nil"/>
              <w:bottom w:val="single" w:sz="4" w:space="0" w:color="auto"/>
              <w:right w:val="single" w:sz="4" w:space="0" w:color="auto"/>
            </w:tcBorders>
            <w:vAlign w:val="center"/>
            <w:hideMark/>
          </w:tcPr>
          <w:p w14:paraId="198C969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Trinomics and KRI</w:t>
            </w:r>
          </w:p>
        </w:tc>
        <w:tc>
          <w:tcPr>
            <w:tcW w:w="1032" w:type="dxa"/>
            <w:tcBorders>
              <w:top w:val="nil"/>
              <w:left w:val="nil"/>
              <w:bottom w:val="single" w:sz="4" w:space="0" w:color="auto"/>
              <w:right w:val="single" w:sz="4" w:space="0" w:color="auto"/>
            </w:tcBorders>
            <w:shd w:val="clear" w:color="000000" w:fill="D0CECE"/>
            <w:vAlign w:val="center"/>
            <w:hideMark/>
          </w:tcPr>
          <w:p w14:paraId="417994A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04922F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0D006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0799E88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67A982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6713850" w14:textId="77777777" w:rsidTr="00EA79C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64A983D5"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SLN</w:t>
            </w:r>
          </w:p>
        </w:tc>
        <w:tc>
          <w:tcPr>
            <w:tcW w:w="1327" w:type="dxa"/>
            <w:tcBorders>
              <w:top w:val="nil"/>
              <w:left w:val="nil"/>
              <w:bottom w:val="single" w:sz="4" w:space="0" w:color="auto"/>
              <w:right w:val="single" w:sz="4" w:space="0" w:color="auto"/>
            </w:tcBorders>
            <w:shd w:val="clear" w:color="000000" w:fill="D0CECE"/>
            <w:vAlign w:val="center"/>
            <w:hideMark/>
          </w:tcPr>
          <w:p w14:paraId="56336C67"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0DD286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606EA53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0FC5747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2512D81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auto" w:fill="D9D9D9" w:themeFill="background1" w:themeFillShade="D9"/>
            <w:vAlign w:val="center"/>
            <w:hideMark/>
          </w:tcPr>
          <w:p w14:paraId="5EF9E8A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auto" w:fill="D9D9D9" w:themeFill="background1" w:themeFillShade="D9"/>
            <w:vAlign w:val="center"/>
            <w:hideMark/>
          </w:tcPr>
          <w:p w14:paraId="345EAB1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auto" w:fill="D9D9D9" w:themeFill="background1" w:themeFillShade="D9"/>
            <w:vAlign w:val="center"/>
            <w:hideMark/>
          </w:tcPr>
          <w:p w14:paraId="2ED5ED6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6000E7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auto" w:fill="D9D9D9" w:themeFill="background1" w:themeFillShade="D9"/>
            <w:vAlign w:val="center"/>
            <w:hideMark/>
          </w:tcPr>
          <w:p w14:paraId="1DD022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54D05F2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8DE6BF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7E11A6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41BDDCC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BCC449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6158E8B3" w14:textId="77777777" w:rsidTr="007B0C07">
        <w:trPr>
          <w:trHeight w:val="84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508A49E0"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SPA</w:t>
            </w:r>
          </w:p>
        </w:tc>
        <w:tc>
          <w:tcPr>
            <w:tcW w:w="1327" w:type="dxa"/>
            <w:tcBorders>
              <w:top w:val="nil"/>
              <w:left w:val="nil"/>
              <w:bottom w:val="single" w:sz="4" w:space="0" w:color="auto"/>
              <w:right w:val="single" w:sz="4" w:space="0" w:color="auto"/>
            </w:tcBorders>
            <w:vAlign w:val="center"/>
            <w:hideMark/>
          </w:tcPr>
          <w:p w14:paraId="6440F70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National plan for climate change adaptation v 2018-2020 monitoring report</w:t>
            </w:r>
          </w:p>
        </w:tc>
        <w:tc>
          <w:tcPr>
            <w:tcW w:w="548" w:type="dxa"/>
            <w:tcBorders>
              <w:top w:val="nil"/>
              <w:left w:val="nil"/>
              <w:bottom w:val="single" w:sz="4" w:space="0" w:color="auto"/>
              <w:right w:val="single" w:sz="4" w:space="0" w:color="auto"/>
            </w:tcBorders>
            <w:vAlign w:val="center"/>
            <w:hideMark/>
          </w:tcPr>
          <w:p w14:paraId="2B51D3E3"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18" w:type="dxa"/>
            <w:tcBorders>
              <w:top w:val="nil"/>
              <w:left w:val="nil"/>
              <w:bottom w:val="single" w:sz="4" w:space="0" w:color="auto"/>
              <w:right w:val="single" w:sz="4" w:space="0" w:color="auto"/>
            </w:tcBorders>
            <w:vAlign w:val="center"/>
            <w:hideMark/>
          </w:tcPr>
          <w:p w14:paraId="7D3A67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2018-2020</w:t>
            </w:r>
          </w:p>
        </w:tc>
        <w:tc>
          <w:tcPr>
            <w:tcW w:w="1019" w:type="dxa"/>
            <w:tcBorders>
              <w:top w:val="nil"/>
              <w:left w:val="nil"/>
              <w:bottom w:val="single" w:sz="4" w:space="0" w:color="auto"/>
              <w:right w:val="single" w:sz="4" w:space="0" w:color="auto"/>
            </w:tcBorders>
            <w:vAlign w:val="center"/>
            <w:hideMark/>
          </w:tcPr>
          <w:p w14:paraId="449267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955" w:type="dxa"/>
            <w:tcBorders>
              <w:top w:val="nil"/>
              <w:left w:val="nil"/>
              <w:bottom w:val="single" w:sz="4" w:space="0" w:color="auto"/>
              <w:right w:val="single" w:sz="4" w:space="0" w:color="auto"/>
            </w:tcBorders>
            <w:vAlign w:val="center"/>
            <w:hideMark/>
          </w:tcPr>
          <w:p w14:paraId="3F8B1B4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Ministerio para la Transición Ecológica y el Reto Demográfico</w:t>
            </w:r>
          </w:p>
        </w:tc>
        <w:tc>
          <w:tcPr>
            <w:tcW w:w="1466" w:type="dxa"/>
            <w:tcBorders>
              <w:top w:val="nil"/>
              <w:left w:val="nil"/>
              <w:bottom w:val="single" w:sz="4" w:space="0" w:color="auto"/>
              <w:right w:val="single" w:sz="4" w:space="0" w:color="auto"/>
            </w:tcBorders>
            <w:vAlign w:val="center"/>
            <w:hideMark/>
          </w:tcPr>
          <w:p w14:paraId="56A16447" w14:textId="70CE7C66"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xml:space="preserve">Evaluation report of the </w:t>
            </w:r>
            <w:r w:rsidR="00962E9B" w:rsidRPr="0002056A">
              <w:rPr>
                <w:rFonts w:ascii="Georgia" w:eastAsia="Times New Roman" w:hAnsi="Georgia" w:cs="Calibri"/>
                <w:b/>
                <w:bCs/>
                <w:color w:val="000000"/>
                <w:sz w:val="10"/>
                <w:szCs w:val="10"/>
                <w:lang w:val="en-GB" w:eastAsia="hu-HU"/>
              </w:rPr>
              <w:t>Spanish</w:t>
            </w:r>
            <w:r w:rsidRPr="0002056A">
              <w:rPr>
                <w:rFonts w:ascii="Georgia" w:eastAsia="Times New Roman" w:hAnsi="Georgia" w:cs="Calibri"/>
                <w:b/>
                <w:bCs/>
                <w:color w:val="000000"/>
                <w:sz w:val="10"/>
                <w:szCs w:val="10"/>
                <w:lang w:val="en-GB" w:eastAsia="hu-HU"/>
              </w:rPr>
              <w:t xml:space="preserve"> national climate </w:t>
            </w:r>
            <w:r w:rsidR="00066AA8" w:rsidRPr="0002056A">
              <w:rPr>
                <w:rFonts w:ascii="Georgia" w:eastAsia="Times New Roman" w:hAnsi="Georgia" w:cs="Calibri"/>
                <w:b/>
                <w:bCs/>
                <w:color w:val="000000"/>
                <w:sz w:val="10"/>
                <w:szCs w:val="10"/>
                <w:lang w:val="en-GB" w:eastAsia="hu-HU"/>
              </w:rPr>
              <w:t>change adaptation</w:t>
            </w:r>
            <w:r w:rsidRPr="0002056A">
              <w:rPr>
                <w:rFonts w:ascii="Georgia" w:eastAsia="Times New Roman" w:hAnsi="Georgia" w:cs="Calibri"/>
                <w:b/>
                <w:bCs/>
                <w:color w:val="000000"/>
                <w:sz w:val="10"/>
                <w:szCs w:val="10"/>
                <w:lang w:val="en-GB" w:eastAsia="hu-HU"/>
              </w:rPr>
              <w:t xml:space="preserve"> plan</w:t>
            </w:r>
          </w:p>
        </w:tc>
        <w:tc>
          <w:tcPr>
            <w:tcW w:w="633" w:type="dxa"/>
            <w:tcBorders>
              <w:top w:val="nil"/>
              <w:left w:val="nil"/>
              <w:bottom w:val="single" w:sz="4" w:space="0" w:color="auto"/>
              <w:right w:val="single" w:sz="4" w:space="0" w:color="auto"/>
            </w:tcBorders>
            <w:vAlign w:val="center"/>
            <w:hideMark/>
          </w:tcPr>
          <w:p w14:paraId="0890E591"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w:t>
            </w:r>
          </w:p>
        </w:tc>
        <w:tc>
          <w:tcPr>
            <w:tcW w:w="706" w:type="dxa"/>
            <w:tcBorders>
              <w:top w:val="nil"/>
              <w:left w:val="nil"/>
              <w:bottom w:val="single" w:sz="4" w:space="0" w:color="auto"/>
              <w:right w:val="single" w:sz="4" w:space="0" w:color="auto"/>
            </w:tcBorders>
            <w:vAlign w:val="center"/>
            <w:hideMark/>
          </w:tcPr>
          <w:p w14:paraId="39C3A3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2006-19</w:t>
            </w:r>
          </w:p>
        </w:tc>
        <w:tc>
          <w:tcPr>
            <w:tcW w:w="1019" w:type="dxa"/>
            <w:tcBorders>
              <w:top w:val="nil"/>
              <w:left w:val="nil"/>
              <w:bottom w:val="single" w:sz="4" w:space="0" w:color="auto"/>
              <w:right w:val="single" w:sz="4" w:space="0" w:color="auto"/>
            </w:tcBorders>
            <w:vAlign w:val="center"/>
            <w:hideMark/>
          </w:tcPr>
          <w:p w14:paraId="2155C5F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729939B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Ministerio para la Transición Ecológica y el Reto Demográfico</w:t>
            </w:r>
          </w:p>
        </w:tc>
        <w:tc>
          <w:tcPr>
            <w:tcW w:w="1032" w:type="dxa"/>
            <w:tcBorders>
              <w:top w:val="nil"/>
              <w:left w:val="nil"/>
              <w:bottom w:val="single" w:sz="4" w:space="0" w:color="auto"/>
              <w:right w:val="single" w:sz="4" w:space="0" w:color="auto"/>
            </w:tcBorders>
            <w:shd w:val="clear" w:color="000000" w:fill="D0CECE"/>
            <w:vAlign w:val="center"/>
            <w:hideMark/>
          </w:tcPr>
          <w:p w14:paraId="7B476A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7DBE852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1107AA1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E15551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36DAB7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06DA8B97" w14:textId="77777777" w:rsidTr="007B0C07">
        <w:trPr>
          <w:trHeight w:val="56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2AE3F265"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SWE</w:t>
            </w:r>
          </w:p>
        </w:tc>
        <w:tc>
          <w:tcPr>
            <w:tcW w:w="1327" w:type="dxa"/>
            <w:tcBorders>
              <w:top w:val="nil"/>
              <w:left w:val="nil"/>
              <w:bottom w:val="single" w:sz="4" w:space="0" w:color="auto"/>
              <w:right w:val="single" w:sz="4" w:space="0" w:color="auto"/>
            </w:tcBorders>
            <w:shd w:val="clear" w:color="000000" w:fill="D0CECE"/>
            <w:vAlign w:val="center"/>
            <w:hideMark/>
          </w:tcPr>
          <w:p w14:paraId="05D6DE9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F260EC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12121D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BF8C6C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71EE0E9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54B38CD4"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The first report from the National Expert Council for Climate Adaptation</w:t>
            </w:r>
          </w:p>
        </w:tc>
        <w:tc>
          <w:tcPr>
            <w:tcW w:w="633" w:type="dxa"/>
            <w:tcBorders>
              <w:top w:val="nil"/>
              <w:left w:val="nil"/>
              <w:bottom w:val="single" w:sz="4" w:space="0" w:color="auto"/>
              <w:right w:val="single" w:sz="4" w:space="0" w:color="auto"/>
            </w:tcBorders>
            <w:vAlign w:val="center"/>
            <w:hideMark/>
          </w:tcPr>
          <w:p w14:paraId="072E7B28"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1D3774B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2018-2022</w:t>
            </w:r>
          </w:p>
        </w:tc>
        <w:tc>
          <w:tcPr>
            <w:tcW w:w="1019" w:type="dxa"/>
            <w:tcBorders>
              <w:top w:val="nil"/>
              <w:left w:val="nil"/>
              <w:bottom w:val="single" w:sz="4" w:space="0" w:color="auto"/>
              <w:right w:val="single" w:sz="4" w:space="0" w:color="auto"/>
            </w:tcBorders>
            <w:noWrap/>
            <w:vAlign w:val="bottom"/>
            <w:hideMark/>
          </w:tcPr>
          <w:p w14:paraId="7385596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Government</w:t>
            </w:r>
          </w:p>
        </w:tc>
        <w:tc>
          <w:tcPr>
            <w:tcW w:w="1019" w:type="dxa"/>
            <w:tcBorders>
              <w:top w:val="nil"/>
              <w:left w:val="nil"/>
              <w:bottom w:val="single" w:sz="4" w:space="0" w:color="auto"/>
              <w:right w:val="single" w:sz="4" w:space="0" w:color="auto"/>
            </w:tcBorders>
            <w:vAlign w:val="center"/>
            <w:hideMark/>
          </w:tcPr>
          <w:p w14:paraId="5DC2FAB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National Expert Council for Climate Adaptation</w:t>
            </w:r>
          </w:p>
        </w:tc>
        <w:tc>
          <w:tcPr>
            <w:tcW w:w="1032" w:type="dxa"/>
            <w:tcBorders>
              <w:top w:val="nil"/>
              <w:left w:val="nil"/>
              <w:bottom w:val="single" w:sz="4" w:space="0" w:color="auto"/>
              <w:right w:val="single" w:sz="4" w:space="0" w:color="auto"/>
            </w:tcBorders>
            <w:shd w:val="clear" w:color="000000" w:fill="D0CECE"/>
            <w:vAlign w:val="center"/>
            <w:hideMark/>
          </w:tcPr>
          <w:p w14:paraId="1C1815F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30F916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748F83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5688A0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4685675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3798B361" w14:textId="77777777" w:rsidTr="007B0C07">
        <w:trPr>
          <w:trHeight w:val="1400"/>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0929D38F"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lastRenderedPageBreak/>
              <w:t>SWI</w:t>
            </w:r>
          </w:p>
        </w:tc>
        <w:tc>
          <w:tcPr>
            <w:tcW w:w="1327" w:type="dxa"/>
            <w:tcBorders>
              <w:top w:val="nil"/>
              <w:left w:val="nil"/>
              <w:bottom w:val="single" w:sz="4" w:space="0" w:color="auto"/>
              <w:right w:val="single" w:sz="4" w:space="0" w:color="auto"/>
            </w:tcBorders>
            <w:vAlign w:val="center"/>
            <w:hideMark/>
          </w:tcPr>
          <w:p w14:paraId="24A5D52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Anpassung an den Klimawandel in der Schweiz: Screening der Forschungs- und Umsetzungsaktivitäten sowie bestehender Monitoringsysteme</w:t>
            </w:r>
          </w:p>
        </w:tc>
        <w:tc>
          <w:tcPr>
            <w:tcW w:w="548" w:type="dxa"/>
            <w:tcBorders>
              <w:top w:val="nil"/>
              <w:left w:val="nil"/>
              <w:bottom w:val="single" w:sz="4" w:space="0" w:color="auto"/>
              <w:right w:val="single" w:sz="4" w:space="0" w:color="auto"/>
            </w:tcBorders>
            <w:vAlign w:val="center"/>
            <w:hideMark/>
          </w:tcPr>
          <w:p w14:paraId="08EF794A"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2015</w:t>
            </w:r>
          </w:p>
        </w:tc>
        <w:tc>
          <w:tcPr>
            <w:tcW w:w="718" w:type="dxa"/>
            <w:tcBorders>
              <w:top w:val="nil"/>
              <w:left w:val="nil"/>
              <w:bottom w:val="single" w:sz="4" w:space="0" w:color="auto"/>
              <w:right w:val="single" w:sz="4" w:space="0" w:color="auto"/>
            </w:tcBorders>
            <w:vAlign w:val="center"/>
            <w:hideMark/>
          </w:tcPr>
          <w:p w14:paraId="660CB4D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108390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Bundesamt für Umwelt (BAFU)</w:t>
            </w:r>
          </w:p>
        </w:tc>
        <w:tc>
          <w:tcPr>
            <w:tcW w:w="955" w:type="dxa"/>
            <w:tcBorders>
              <w:top w:val="nil"/>
              <w:left w:val="nil"/>
              <w:bottom w:val="single" w:sz="4" w:space="0" w:color="auto"/>
              <w:right w:val="single" w:sz="4" w:space="0" w:color="auto"/>
            </w:tcBorders>
            <w:vAlign w:val="center"/>
            <w:hideMark/>
          </w:tcPr>
          <w:p w14:paraId="223FCF6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ProClim-</w:t>
            </w:r>
            <w:r w:rsidRPr="0002056A">
              <w:rPr>
                <w:rFonts w:ascii="Georgia" w:eastAsia="Times New Roman" w:hAnsi="Georgia" w:cs="Calibri"/>
                <w:color w:val="000000"/>
                <w:sz w:val="10"/>
                <w:szCs w:val="10"/>
                <w:lang w:val="en-GB" w:eastAsia="hu-HU"/>
              </w:rPr>
              <w:br/>
              <w:t>Forum for Climate and Global Change</w:t>
            </w:r>
          </w:p>
        </w:tc>
        <w:tc>
          <w:tcPr>
            <w:tcW w:w="1466" w:type="dxa"/>
            <w:tcBorders>
              <w:top w:val="nil"/>
              <w:left w:val="nil"/>
              <w:bottom w:val="single" w:sz="4" w:space="0" w:color="auto"/>
              <w:right w:val="single" w:sz="4" w:space="0" w:color="auto"/>
            </w:tcBorders>
            <w:vAlign w:val="center"/>
            <w:hideMark/>
          </w:tcPr>
          <w:p w14:paraId="0504FC0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in Switzerland Indicators of driving forces, impact and response</w:t>
            </w:r>
          </w:p>
        </w:tc>
        <w:tc>
          <w:tcPr>
            <w:tcW w:w="633" w:type="dxa"/>
            <w:tcBorders>
              <w:top w:val="nil"/>
              <w:left w:val="nil"/>
              <w:bottom w:val="single" w:sz="4" w:space="0" w:color="auto"/>
              <w:right w:val="single" w:sz="4" w:space="0" w:color="auto"/>
            </w:tcBorders>
            <w:vAlign w:val="center"/>
            <w:hideMark/>
          </w:tcPr>
          <w:p w14:paraId="2B44C52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2013</w:t>
            </w:r>
          </w:p>
        </w:tc>
        <w:tc>
          <w:tcPr>
            <w:tcW w:w="706" w:type="dxa"/>
            <w:tcBorders>
              <w:top w:val="nil"/>
              <w:left w:val="nil"/>
              <w:bottom w:val="single" w:sz="4" w:space="0" w:color="auto"/>
              <w:right w:val="single" w:sz="4" w:space="0" w:color="auto"/>
            </w:tcBorders>
            <w:vAlign w:val="center"/>
            <w:hideMark/>
          </w:tcPr>
          <w:p w14:paraId="084C164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69FF629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responsible ministry</w:t>
            </w:r>
          </w:p>
        </w:tc>
        <w:tc>
          <w:tcPr>
            <w:tcW w:w="1019" w:type="dxa"/>
            <w:tcBorders>
              <w:top w:val="nil"/>
              <w:left w:val="nil"/>
              <w:bottom w:val="single" w:sz="4" w:space="0" w:color="auto"/>
              <w:right w:val="single" w:sz="4" w:space="0" w:color="auto"/>
            </w:tcBorders>
            <w:vAlign w:val="center"/>
            <w:hideMark/>
          </w:tcPr>
          <w:p w14:paraId="0576B2B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FOEN</w:t>
            </w:r>
          </w:p>
        </w:tc>
        <w:tc>
          <w:tcPr>
            <w:tcW w:w="1032" w:type="dxa"/>
            <w:tcBorders>
              <w:top w:val="nil"/>
              <w:left w:val="nil"/>
              <w:bottom w:val="single" w:sz="4" w:space="0" w:color="auto"/>
              <w:right w:val="single" w:sz="4" w:space="0" w:color="auto"/>
            </w:tcBorders>
            <w:shd w:val="clear" w:color="000000" w:fill="D0CECE"/>
            <w:vAlign w:val="center"/>
            <w:hideMark/>
          </w:tcPr>
          <w:p w14:paraId="35B3119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1B6920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40D6EB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25D173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5851077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9E14D3D" w14:textId="77777777" w:rsidTr="007B0C07">
        <w:trPr>
          <w:trHeight w:val="646"/>
        </w:trPr>
        <w:tc>
          <w:tcPr>
            <w:tcW w:w="636" w:type="dxa"/>
            <w:vMerge/>
            <w:tcBorders>
              <w:top w:val="nil"/>
              <w:left w:val="single" w:sz="8" w:space="0" w:color="auto"/>
              <w:bottom w:val="single" w:sz="4" w:space="0" w:color="auto"/>
              <w:right w:val="single" w:sz="4" w:space="0" w:color="auto"/>
            </w:tcBorders>
            <w:vAlign w:val="center"/>
            <w:hideMark/>
          </w:tcPr>
          <w:p w14:paraId="782664D4"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vAlign w:val="center"/>
            <w:hideMark/>
          </w:tcPr>
          <w:p w14:paraId="73F71BFD"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Climate change in Switzerland Indicators of driving forces, impact and response</w:t>
            </w:r>
          </w:p>
        </w:tc>
        <w:tc>
          <w:tcPr>
            <w:tcW w:w="548" w:type="dxa"/>
            <w:tcBorders>
              <w:top w:val="nil"/>
              <w:left w:val="nil"/>
              <w:bottom w:val="single" w:sz="4" w:space="0" w:color="auto"/>
              <w:right w:val="single" w:sz="4" w:space="0" w:color="auto"/>
            </w:tcBorders>
            <w:vAlign w:val="center"/>
            <w:hideMark/>
          </w:tcPr>
          <w:p w14:paraId="69F9A63A"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18" w:type="dxa"/>
            <w:tcBorders>
              <w:top w:val="nil"/>
              <w:left w:val="nil"/>
              <w:bottom w:val="single" w:sz="4" w:space="0" w:color="auto"/>
              <w:right w:val="single" w:sz="4" w:space="0" w:color="auto"/>
            </w:tcBorders>
            <w:vAlign w:val="center"/>
            <w:hideMark/>
          </w:tcPr>
          <w:p w14:paraId="296AFF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08E6F11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responsible ministry</w:t>
            </w:r>
          </w:p>
        </w:tc>
        <w:tc>
          <w:tcPr>
            <w:tcW w:w="955" w:type="dxa"/>
            <w:tcBorders>
              <w:top w:val="nil"/>
              <w:left w:val="nil"/>
              <w:bottom w:val="single" w:sz="4" w:space="0" w:color="auto"/>
              <w:right w:val="single" w:sz="4" w:space="0" w:color="auto"/>
            </w:tcBorders>
            <w:vAlign w:val="center"/>
            <w:hideMark/>
          </w:tcPr>
          <w:p w14:paraId="1EBAF7F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FOEN</w:t>
            </w:r>
          </w:p>
        </w:tc>
        <w:tc>
          <w:tcPr>
            <w:tcW w:w="1466" w:type="dxa"/>
            <w:tcBorders>
              <w:top w:val="nil"/>
              <w:left w:val="nil"/>
              <w:bottom w:val="single" w:sz="4" w:space="0" w:color="auto"/>
              <w:right w:val="single" w:sz="4" w:space="0" w:color="auto"/>
            </w:tcBorders>
            <w:vAlign w:val="center"/>
            <w:hideMark/>
          </w:tcPr>
          <w:p w14:paraId="05C7699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Evaluation of the Strategy for Adapting to Climate Change: Module A Final Report on behalf of the Federal Office for the Environment (FOEN)</w:t>
            </w:r>
          </w:p>
        </w:tc>
        <w:tc>
          <w:tcPr>
            <w:tcW w:w="633" w:type="dxa"/>
            <w:tcBorders>
              <w:top w:val="nil"/>
              <w:left w:val="nil"/>
              <w:bottom w:val="single" w:sz="4" w:space="0" w:color="auto"/>
              <w:right w:val="single" w:sz="4" w:space="0" w:color="auto"/>
            </w:tcBorders>
            <w:vAlign w:val="center"/>
            <w:hideMark/>
          </w:tcPr>
          <w:p w14:paraId="4E2A9BCC"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w:t>
            </w:r>
          </w:p>
        </w:tc>
        <w:tc>
          <w:tcPr>
            <w:tcW w:w="706" w:type="dxa"/>
            <w:tcBorders>
              <w:top w:val="nil"/>
              <w:left w:val="nil"/>
              <w:bottom w:val="single" w:sz="4" w:space="0" w:color="auto"/>
              <w:right w:val="single" w:sz="4" w:space="0" w:color="auto"/>
            </w:tcBorders>
            <w:vAlign w:val="center"/>
            <w:hideMark/>
          </w:tcPr>
          <w:p w14:paraId="53A7C80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2012-2017</w:t>
            </w:r>
          </w:p>
        </w:tc>
        <w:tc>
          <w:tcPr>
            <w:tcW w:w="1019" w:type="dxa"/>
            <w:tcBorders>
              <w:top w:val="nil"/>
              <w:left w:val="nil"/>
              <w:bottom w:val="single" w:sz="4" w:space="0" w:color="auto"/>
              <w:right w:val="single" w:sz="4" w:space="0" w:color="auto"/>
            </w:tcBorders>
            <w:vAlign w:val="center"/>
            <w:hideMark/>
          </w:tcPr>
          <w:p w14:paraId="66B2D75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FOEN</w:t>
            </w:r>
          </w:p>
        </w:tc>
        <w:tc>
          <w:tcPr>
            <w:tcW w:w="1019" w:type="dxa"/>
            <w:tcBorders>
              <w:top w:val="nil"/>
              <w:left w:val="nil"/>
              <w:bottom w:val="single" w:sz="4" w:space="0" w:color="auto"/>
              <w:right w:val="single" w:sz="4" w:space="0" w:color="auto"/>
            </w:tcBorders>
            <w:vAlign w:val="center"/>
            <w:hideMark/>
          </w:tcPr>
          <w:p w14:paraId="75FB1F8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Interface Politikstudien Forschung Beratung, Luzern</w:t>
            </w:r>
          </w:p>
        </w:tc>
        <w:tc>
          <w:tcPr>
            <w:tcW w:w="1032" w:type="dxa"/>
            <w:tcBorders>
              <w:top w:val="nil"/>
              <w:left w:val="nil"/>
              <w:bottom w:val="single" w:sz="4" w:space="0" w:color="auto"/>
              <w:right w:val="single" w:sz="4" w:space="0" w:color="auto"/>
            </w:tcBorders>
            <w:shd w:val="clear" w:color="000000" w:fill="D0CECE"/>
            <w:vAlign w:val="center"/>
            <w:hideMark/>
          </w:tcPr>
          <w:p w14:paraId="3DF58DD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104EEDB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3F03187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74CE7EE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30E706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D2A95DA" w14:textId="77777777" w:rsidTr="007B0C07">
        <w:trPr>
          <w:trHeight w:val="1081"/>
        </w:trPr>
        <w:tc>
          <w:tcPr>
            <w:tcW w:w="636" w:type="dxa"/>
            <w:vMerge w:val="restart"/>
            <w:tcBorders>
              <w:top w:val="nil"/>
              <w:left w:val="single" w:sz="8" w:space="0" w:color="auto"/>
              <w:bottom w:val="single" w:sz="4" w:space="0" w:color="auto"/>
              <w:right w:val="single" w:sz="4" w:space="0" w:color="auto"/>
            </w:tcBorders>
            <w:shd w:val="clear" w:color="000000" w:fill="C6E0B4"/>
            <w:vAlign w:val="center"/>
            <w:hideMark/>
          </w:tcPr>
          <w:p w14:paraId="435CEF6E"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NRL</w:t>
            </w:r>
          </w:p>
        </w:tc>
        <w:tc>
          <w:tcPr>
            <w:tcW w:w="1327" w:type="dxa"/>
            <w:tcBorders>
              <w:top w:val="nil"/>
              <w:left w:val="nil"/>
              <w:bottom w:val="single" w:sz="4" w:space="0" w:color="auto"/>
              <w:right w:val="single" w:sz="4" w:space="0" w:color="auto"/>
            </w:tcBorders>
            <w:vAlign w:val="center"/>
            <w:hideMark/>
          </w:tcPr>
          <w:p w14:paraId="5F5A39BB"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Navigeren naar een klimaatbestendig nederland (navigating towards a climate-resilient netherlands)</w:t>
            </w:r>
          </w:p>
        </w:tc>
        <w:tc>
          <w:tcPr>
            <w:tcW w:w="548" w:type="dxa"/>
            <w:tcBorders>
              <w:top w:val="nil"/>
              <w:left w:val="nil"/>
              <w:bottom w:val="single" w:sz="4" w:space="0" w:color="auto"/>
              <w:right w:val="single" w:sz="4" w:space="0" w:color="auto"/>
            </w:tcBorders>
            <w:vAlign w:val="center"/>
            <w:hideMark/>
          </w:tcPr>
          <w:p w14:paraId="2365B4EB"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2021</w:t>
            </w:r>
          </w:p>
        </w:tc>
        <w:tc>
          <w:tcPr>
            <w:tcW w:w="718" w:type="dxa"/>
            <w:tcBorders>
              <w:top w:val="nil"/>
              <w:left w:val="nil"/>
              <w:bottom w:val="single" w:sz="4" w:space="0" w:color="auto"/>
              <w:right w:val="single" w:sz="4" w:space="0" w:color="auto"/>
            </w:tcBorders>
            <w:vAlign w:val="center"/>
            <w:hideMark/>
          </w:tcPr>
          <w:p w14:paraId="0FDA6A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4925FD6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955" w:type="dxa"/>
            <w:tcBorders>
              <w:top w:val="nil"/>
              <w:left w:val="nil"/>
              <w:bottom w:val="single" w:sz="4" w:space="0" w:color="auto"/>
              <w:right w:val="single" w:sz="4" w:space="0" w:color="auto"/>
            </w:tcBorders>
            <w:vAlign w:val="center"/>
            <w:hideMark/>
          </w:tcPr>
          <w:p w14:paraId="51783A7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Netherlands Environmental Assessment Agency</w:t>
            </w:r>
          </w:p>
        </w:tc>
        <w:tc>
          <w:tcPr>
            <w:tcW w:w="1466" w:type="dxa"/>
            <w:tcBorders>
              <w:top w:val="nil"/>
              <w:left w:val="nil"/>
              <w:bottom w:val="single" w:sz="4" w:space="0" w:color="auto"/>
              <w:right w:val="single" w:sz="4" w:space="0" w:color="auto"/>
            </w:tcBorders>
            <w:vAlign w:val="center"/>
            <w:hideMark/>
          </w:tcPr>
          <w:p w14:paraId="0C6757A6"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Aanbevelingen voor versnelde uitvoering van de Nationale klimaatadaptatiestrategie (Recommendations for accelerated implementation of the National Climate Adaptation Strategy)</w:t>
            </w:r>
          </w:p>
        </w:tc>
        <w:tc>
          <w:tcPr>
            <w:tcW w:w="633" w:type="dxa"/>
            <w:tcBorders>
              <w:top w:val="nil"/>
              <w:left w:val="nil"/>
              <w:bottom w:val="single" w:sz="4" w:space="0" w:color="auto"/>
              <w:right w:val="single" w:sz="4" w:space="0" w:color="auto"/>
            </w:tcBorders>
            <w:vAlign w:val="center"/>
            <w:hideMark/>
          </w:tcPr>
          <w:p w14:paraId="739A372B"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7E4371D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7C7343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technical report</w:t>
            </w:r>
          </w:p>
        </w:tc>
        <w:tc>
          <w:tcPr>
            <w:tcW w:w="1019" w:type="dxa"/>
            <w:tcBorders>
              <w:top w:val="nil"/>
              <w:left w:val="nil"/>
              <w:bottom w:val="single" w:sz="4" w:space="0" w:color="auto"/>
              <w:right w:val="single" w:sz="4" w:space="0" w:color="auto"/>
            </w:tcBorders>
            <w:vAlign w:val="center"/>
            <w:hideMark/>
          </w:tcPr>
          <w:p w14:paraId="6CFD3C0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of Infrastructure and Water Management </w:t>
            </w:r>
          </w:p>
        </w:tc>
        <w:tc>
          <w:tcPr>
            <w:tcW w:w="1032" w:type="dxa"/>
            <w:tcBorders>
              <w:top w:val="nil"/>
              <w:left w:val="nil"/>
              <w:bottom w:val="single" w:sz="4" w:space="0" w:color="auto"/>
              <w:right w:val="single" w:sz="4" w:space="0" w:color="auto"/>
            </w:tcBorders>
            <w:shd w:val="clear" w:color="000000" w:fill="D0CECE"/>
            <w:vAlign w:val="center"/>
            <w:hideMark/>
          </w:tcPr>
          <w:p w14:paraId="49F4E50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530353E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41B773C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35E17A7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62464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789E4AE1" w14:textId="77777777" w:rsidTr="007B0C07">
        <w:trPr>
          <w:trHeight w:val="699"/>
        </w:trPr>
        <w:tc>
          <w:tcPr>
            <w:tcW w:w="636" w:type="dxa"/>
            <w:vMerge/>
            <w:tcBorders>
              <w:top w:val="nil"/>
              <w:left w:val="single" w:sz="8" w:space="0" w:color="auto"/>
              <w:bottom w:val="single" w:sz="4" w:space="0" w:color="auto"/>
              <w:right w:val="single" w:sz="4" w:space="0" w:color="auto"/>
            </w:tcBorders>
            <w:vAlign w:val="center"/>
            <w:hideMark/>
          </w:tcPr>
          <w:p w14:paraId="45C3BF23"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01886D9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69E2204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22FE75B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6F65B2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412A13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59BF4C2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Nationaal perspectief klimaatadaptatie Groeiende opgave in een snel veranderende omgeving</w:t>
            </w:r>
          </w:p>
        </w:tc>
        <w:tc>
          <w:tcPr>
            <w:tcW w:w="633" w:type="dxa"/>
            <w:tcBorders>
              <w:top w:val="nil"/>
              <w:left w:val="nil"/>
              <w:bottom w:val="single" w:sz="4" w:space="0" w:color="auto"/>
              <w:right w:val="single" w:sz="4" w:space="0" w:color="auto"/>
            </w:tcBorders>
            <w:vAlign w:val="center"/>
            <w:hideMark/>
          </w:tcPr>
          <w:p w14:paraId="1AD8CB69"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06" w:type="dxa"/>
            <w:tcBorders>
              <w:top w:val="nil"/>
              <w:left w:val="nil"/>
              <w:bottom w:val="single" w:sz="4" w:space="0" w:color="auto"/>
              <w:right w:val="single" w:sz="4" w:space="0" w:color="auto"/>
            </w:tcBorders>
            <w:vAlign w:val="center"/>
            <w:hideMark/>
          </w:tcPr>
          <w:p w14:paraId="0A0035D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2017-2019</w:t>
            </w:r>
          </w:p>
        </w:tc>
        <w:tc>
          <w:tcPr>
            <w:tcW w:w="1019" w:type="dxa"/>
            <w:tcBorders>
              <w:top w:val="nil"/>
              <w:left w:val="nil"/>
              <w:bottom w:val="single" w:sz="4" w:space="0" w:color="auto"/>
              <w:right w:val="single" w:sz="4" w:space="0" w:color="auto"/>
            </w:tcBorders>
            <w:vAlign w:val="center"/>
            <w:hideMark/>
          </w:tcPr>
          <w:p w14:paraId="451D4F0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vAlign w:val="center"/>
            <w:hideMark/>
          </w:tcPr>
          <w:p w14:paraId="106D40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xml:space="preserve">Ministry of Infrastructure and Water Management </w:t>
            </w:r>
          </w:p>
        </w:tc>
        <w:tc>
          <w:tcPr>
            <w:tcW w:w="1032" w:type="dxa"/>
            <w:tcBorders>
              <w:top w:val="nil"/>
              <w:left w:val="nil"/>
              <w:bottom w:val="single" w:sz="4" w:space="0" w:color="auto"/>
              <w:right w:val="single" w:sz="4" w:space="0" w:color="auto"/>
            </w:tcBorders>
            <w:shd w:val="clear" w:color="000000" w:fill="D0CECE"/>
            <w:vAlign w:val="center"/>
            <w:hideMark/>
          </w:tcPr>
          <w:p w14:paraId="4A45702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4ED1AE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72EF93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601BD49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26B7EA2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449542A1" w14:textId="77777777" w:rsidTr="007B0C07">
        <w:trPr>
          <w:trHeight w:val="200"/>
        </w:trPr>
        <w:tc>
          <w:tcPr>
            <w:tcW w:w="636" w:type="dxa"/>
            <w:tcBorders>
              <w:top w:val="nil"/>
              <w:left w:val="single" w:sz="8" w:space="0" w:color="auto"/>
              <w:bottom w:val="single" w:sz="4" w:space="0" w:color="auto"/>
              <w:right w:val="single" w:sz="4" w:space="0" w:color="auto"/>
            </w:tcBorders>
            <w:shd w:val="clear" w:color="000000" w:fill="C6E0B4"/>
            <w:vAlign w:val="center"/>
            <w:hideMark/>
          </w:tcPr>
          <w:p w14:paraId="6BAB97D7"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TUR</w:t>
            </w:r>
          </w:p>
        </w:tc>
        <w:tc>
          <w:tcPr>
            <w:tcW w:w="1327" w:type="dxa"/>
            <w:tcBorders>
              <w:top w:val="nil"/>
              <w:left w:val="nil"/>
              <w:bottom w:val="single" w:sz="4" w:space="0" w:color="auto"/>
              <w:right w:val="single" w:sz="4" w:space="0" w:color="auto"/>
            </w:tcBorders>
            <w:shd w:val="clear" w:color="000000" w:fill="D0CECE"/>
            <w:vAlign w:val="center"/>
            <w:hideMark/>
          </w:tcPr>
          <w:p w14:paraId="30ED07EC"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1055A31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405F096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18F81F3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01D24B5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shd w:val="clear" w:color="000000" w:fill="D0CECE"/>
            <w:vAlign w:val="center"/>
            <w:hideMark/>
          </w:tcPr>
          <w:p w14:paraId="7B9FF6BA"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633" w:type="dxa"/>
            <w:tcBorders>
              <w:top w:val="nil"/>
              <w:left w:val="nil"/>
              <w:bottom w:val="single" w:sz="4" w:space="0" w:color="auto"/>
              <w:right w:val="single" w:sz="4" w:space="0" w:color="auto"/>
            </w:tcBorders>
            <w:shd w:val="clear" w:color="000000" w:fill="D0CECE"/>
            <w:vAlign w:val="center"/>
            <w:hideMark/>
          </w:tcPr>
          <w:p w14:paraId="42C94664"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06" w:type="dxa"/>
            <w:tcBorders>
              <w:top w:val="nil"/>
              <w:left w:val="nil"/>
              <w:bottom w:val="single" w:sz="4" w:space="0" w:color="auto"/>
              <w:right w:val="single" w:sz="4" w:space="0" w:color="auto"/>
            </w:tcBorders>
            <w:shd w:val="clear" w:color="000000" w:fill="D0CECE"/>
            <w:vAlign w:val="center"/>
            <w:hideMark/>
          </w:tcPr>
          <w:p w14:paraId="3E9E4EC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5A4224E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368F8E1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32" w:type="dxa"/>
            <w:tcBorders>
              <w:top w:val="nil"/>
              <w:left w:val="nil"/>
              <w:bottom w:val="single" w:sz="4" w:space="0" w:color="auto"/>
              <w:right w:val="single" w:sz="4" w:space="0" w:color="auto"/>
            </w:tcBorders>
            <w:shd w:val="clear" w:color="000000" w:fill="D0CECE"/>
            <w:vAlign w:val="center"/>
            <w:hideMark/>
          </w:tcPr>
          <w:p w14:paraId="3C4BA5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3D0EB9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78E3C18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5484366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6F26F51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110A9C4D" w14:textId="77777777" w:rsidTr="007B0C07">
        <w:trPr>
          <w:trHeight w:val="769"/>
        </w:trPr>
        <w:tc>
          <w:tcPr>
            <w:tcW w:w="636" w:type="dxa"/>
            <w:vMerge w:val="restart"/>
            <w:tcBorders>
              <w:top w:val="nil"/>
              <w:left w:val="single" w:sz="8" w:space="0" w:color="auto"/>
              <w:bottom w:val="single" w:sz="8" w:space="0" w:color="000000"/>
              <w:right w:val="single" w:sz="4" w:space="0" w:color="auto"/>
            </w:tcBorders>
            <w:shd w:val="clear" w:color="000000" w:fill="C6E0B4"/>
            <w:vAlign w:val="center"/>
            <w:hideMark/>
          </w:tcPr>
          <w:p w14:paraId="2D29FB3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r w:rsidRPr="0002056A">
              <w:rPr>
                <w:rFonts w:ascii="Georgia" w:eastAsia="Times New Roman" w:hAnsi="Georgia" w:cs="Calibri"/>
                <w:b/>
                <w:bCs/>
                <w:color w:val="000000"/>
                <w:sz w:val="14"/>
                <w:szCs w:val="14"/>
                <w:lang w:val="en-GB" w:eastAsia="hu-HU"/>
              </w:rPr>
              <w:t>WAL</w:t>
            </w:r>
          </w:p>
        </w:tc>
        <w:tc>
          <w:tcPr>
            <w:tcW w:w="1327" w:type="dxa"/>
            <w:tcBorders>
              <w:top w:val="nil"/>
              <w:left w:val="nil"/>
              <w:bottom w:val="single" w:sz="4" w:space="0" w:color="auto"/>
              <w:right w:val="single" w:sz="4" w:space="0" w:color="auto"/>
            </w:tcBorders>
            <w:vAlign w:val="center"/>
            <w:hideMark/>
          </w:tcPr>
          <w:p w14:paraId="3E97804A" w14:textId="052F492E" w:rsidR="00DC2C1E" w:rsidRPr="0002056A" w:rsidRDefault="00066AA8"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Prosperity for</w:t>
            </w:r>
            <w:r w:rsidR="00DC2C1E" w:rsidRPr="0002056A">
              <w:rPr>
                <w:rFonts w:ascii="Georgia" w:eastAsia="Times New Roman" w:hAnsi="Georgia" w:cs="Calibri"/>
                <w:b/>
                <w:bCs/>
                <w:color w:val="000000"/>
                <w:sz w:val="10"/>
                <w:szCs w:val="10"/>
                <w:lang w:val="en-GB" w:eastAsia="hu-HU"/>
              </w:rPr>
              <w:t xml:space="preserve"> All: A </w:t>
            </w:r>
            <w:r w:rsidRPr="0002056A">
              <w:rPr>
                <w:rFonts w:ascii="Georgia" w:eastAsia="Times New Roman" w:hAnsi="Georgia" w:cs="Calibri"/>
                <w:b/>
                <w:bCs/>
                <w:color w:val="000000"/>
                <w:sz w:val="10"/>
                <w:szCs w:val="10"/>
                <w:lang w:val="en-GB" w:eastAsia="hu-HU"/>
              </w:rPr>
              <w:t>Climate Conscious</w:t>
            </w:r>
            <w:r w:rsidR="00DC2C1E" w:rsidRPr="0002056A">
              <w:rPr>
                <w:rFonts w:ascii="Georgia" w:eastAsia="Times New Roman" w:hAnsi="Georgia" w:cs="Calibri"/>
                <w:b/>
                <w:bCs/>
                <w:color w:val="000000"/>
                <w:sz w:val="10"/>
                <w:szCs w:val="10"/>
                <w:lang w:val="en-GB" w:eastAsia="hu-HU"/>
              </w:rPr>
              <w:t xml:space="preserve"> Wales A climate </w:t>
            </w:r>
            <w:r w:rsidRPr="0002056A">
              <w:rPr>
                <w:rFonts w:ascii="Georgia" w:eastAsia="Times New Roman" w:hAnsi="Georgia" w:cs="Calibri"/>
                <w:b/>
                <w:bCs/>
                <w:color w:val="000000"/>
                <w:sz w:val="10"/>
                <w:szCs w:val="10"/>
                <w:lang w:val="en-GB" w:eastAsia="hu-HU"/>
              </w:rPr>
              <w:t>change adaptation</w:t>
            </w:r>
            <w:r w:rsidR="00DC2C1E" w:rsidRPr="0002056A">
              <w:rPr>
                <w:rFonts w:ascii="Georgia" w:eastAsia="Times New Roman" w:hAnsi="Georgia" w:cs="Calibri"/>
                <w:b/>
                <w:bCs/>
                <w:color w:val="000000"/>
                <w:sz w:val="10"/>
                <w:szCs w:val="10"/>
                <w:lang w:val="en-GB" w:eastAsia="hu-HU"/>
              </w:rPr>
              <w:t xml:space="preserve"> plan for Wales; Monitoring </w:t>
            </w:r>
            <w:r w:rsidRPr="0002056A">
              <w:rPr>
                <w:rFonts w:ascii="Georgia" w:eastAsia="Times New Roman" w:hAnsi="Georgia" w:cs="Calibri"/>
                <w:b/>
                <w:bCs/>
                <w:color w:val="000000"/>
                <w:sz w:val="10"/>
                <w:szCs w:val="10"/>
                <w:lang w:val="en-GB" w:eastAsia="hu-HU"/>
              </w:rPr>
              <w:t>and Evaluation</w:t>
            </w:r>
            <w:r w:rsidR="00DC2C1E" w:rsidRPr="0002056A">
              <w:rPr>
                <w:rFonts w:ascii="Georgia" w:eastAsia="Times New Roman" w:hAnsi="Georgia" w:cs="Calibri"/>
                <w:b/>
                <w:bCs/>
                <w:color w:val="000000"/>
                <w:sz w:val="10"/>
                <w:szCs w:val="10"/>
                <w:lang w:val="en-GB" w:eastAsia="hu-HU"/>
              </w:rPr>
              <w:t xml:space="preserve"> Framework</w:t>
            </w:r>
          </w:p>
        </w:tc>
        <w:tc>
          <w:tcPr>
            <w:tcW w:w="548" w:type="dxa"/>
            <w:tcBorders>
              <w:top w:val="nil"/>
              <w:left w:val="nil"/>
              <w:bottom w:val="single" w:sz="4" w:space="0" w:color="auto"/>
              <w:right w:val="single" w:sz="4" w:space="0" w:color="auto"/>
            </w:tcBorders>
            <w:vAlign w:val="center"/>
            <w:hideMark/>
          </w:tcPr>
          <w:p w14:paraId="552174C4" w14:textId="77777777" w:rsidR="00DC2C1E" w:rsidRPr="0002056A" w:rsidRDefault="00DC2C1E" w:rsidP="007B0C07">
            <w:pPr>
              <w:spacing w:after="0" w:line="240" w:lineRule="auto"/>
              <w:jc w:val="right"/>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2020</w:t>
            </w:r>
          </w:p>
        </w:tc>
        <w:tc>
          <w:tcPr>
            <w:tcW w:w="718" w:type="dxa"/>
            <w:tcBorders>
              <w:top w:val="nil"/>
              <w:left w:val="nil"/>
              <w:bottom w:val="single" w:sz="4" w:space="0" w:color="auto"/>
              <w:right w:val="single" w:sz="4" w:space="0" w:color="auto"/>
            </w:tcBorders>
            <w:vAlign w:val="center"/>
            <w:hideMark/>
          </w:tcPr>
          <w:p w14:paraId="7F8973E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572FF93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Welsh Government</w:t>
            </w:r>
          </w:p>
        </w:tc>
        <w:tc>
          <w:tcPr>
            <w:tcW w:w="955" w:type="dxa"/>
            <w:tcBorders>
              <w:top w:val="nil"/>
              <w:left w:val="nil"/>
              <w:bottom w:val="single" w:sz="4" w:space="0" w:color="auto"/>
              <w:right w:val="single" w:sz="4" w:space="0" w:color="auto"/>
            </w:tcBorders>
            <w:vAlign w:val="center"/>
            <w:hideMark/>
          </w:tcPr>
          <w:p w14:paraId="6678E23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Natural Resources Wales</w:t>
            </w:r>
          </w:p>
        </w:tc>
        <w:tc>
          <w:tcPr>
            <w:tcW w:w="1466" w:type="dxa"/>
            <w:tcBorders>
              <w:top w:val="nil"/>
              <w:left w:val="nil"/>
              <w:bottom w:val="single" w:sz="4" w:space="0" w:color="auto"/>
              <w:right w:val="single" w:sz="4" w:space="0" w:color="auto"/>
            </w:tcBorders>
            <w:vAlign w:val="center"/>
            <w:hideMark/>
          </w:tcPr>
          <w:p w14:paraId="468C1288"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Adapting to climate change Progress in Wales</w:t>
            </w:r>
          </w:p>
        </w:tc>
        <w:tc>
          <w:tcPr>
            <w:tcW w:w="633" w:type="dxa"/>
            <w:tcBorders>
              <w:top w:val="nil"/>
              <w:left w:val="nil"/>
              <w:bottom w:val="single" w:sz="4" w:space="0" w:color="auto"/>
              <w:right w:val="single" w:sz="4" w:space="0" w:color="auto"/>
            </w:tcBorders>
            <w:vAlign w:val="center"/>
            <w:hideMark/>
          </w:tcPr>
          <w:p w14:paraId="06AFB31E"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4" w:space="0" w:color="auto"/>
              <w:right w:val="single" w:sz="4" w:space="0" w:color="auto"/>
            </w:tcBorders>
            <w:vAlign w:val="center"/>
            <w:hideMark/>
          </w:tcPr>
          <w:p w14:paraId="1D7732D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4" w:space="0" w:color="auto"/>
              <w:right w:val="single" w:sz="4" w:space="0" w:color="auto"/>
            </w:tcBorders>
            <w:vAlign w:val="center"/>
            <w:hideMark/>
          </w:tcPr>
          <w:p w14:paraId="00E6D4C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Welsh Government</w:t>
            </w:r>
          </w:p>
        </w:tc>
        <w:tc>
          <w:tcPr>
            <w:tcW w:w="1019" w:type="dxa"/>
            <w:tcBorders>
              <w:top w:val="nil"/>
              <w:left w:val="nil"/>
              <w:bottom w:val="single" w:sz="4" w:space="0" w:color="auto"/>
              <w:right w:val="single" w:sz="4" w:space="0" w:color="auto"/>
            </w:tcBorders>
            <w:vAlign w:val="center"/>
            <w:hideMark/>
          </w:tcPr>
          <w:p w14:paraId="327E7CC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Climate Change Committee</w:t>
            </w:r>
          </w:p>
        </w:tc>
        <w:tc>
          <w:tcPr>
            <w:tcW w:w="1032" w:type="dxa"/>
            <w:tcBorders>
              <w:top w:val="nil"/>
              <w:left w:val="nil"/>
              <w:bottom w:val="single" w:sz="4" w:space="0" w:color="auto"/>
              <w:right w:val="single" w:sz="4" w:space="0" w:color="auto"/>
            </w:tcBorders>
            <w:shd w:val="clear" w:color="000000" w:fill="D0CECE"/>
            <w:noWrap/>
            <w:vAlign w:val="bottom"/>
            <w:hideMark/>
          </w:tcPr>
          <w:p w14:paraId="398518D6"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noWrap/>
            <w:vAlign w:val="bottom"/>
            <w:hideMark/>
          </w:tcPr>
          <w:p w14:paraId="4216A079"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noWrap/>
            <w:vAlign w:val="bottom"/>
            <w:hideMark/>
          </w:tcPr>
          <w:p w14:paraId="7917122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noWrap/>
            <w:vAlign w:val="bottom"/>
            <w:hideMark/>
          </w:tcPr>
          <w:p w14:paraId="051F637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noWrap/>
            <w:vAlign w:val="bottom"/>
            <w:hideMark/>
          </w:tcPr>
          <w:p w14:paraId="2037A03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5923EB06" w14:textId="77777777" w:rsidTr="007B0C07">
        <w:trPr>
          <w:trHeight w:val="560"/>
        </w:trPr>
        <w:tc>
          <w:tcPr>
            <w:tcW w:w="636" w:type="dxa"/>
            <w:vMerge/>
            <w:tcBorders>
              <w:top w:val="nil"/>
              <w:left w:val="single" w:sz="8" w:space="0" w:color="auto"/>
              <w:bottom w:val="single" w:sz="8" w:space="0" w:color="000000"/>
              <w:right w:val="single" w:sz="4" w:space="0" w:color="auto"/>
            </w:tcBorders>
            <w:vAlign w:val="center"/>
            <w:hideMark/>
          </w:tcPr>
          <w:p w14:paraId="5F1AF789"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4" w:space="0" w:color="auto"/>
              <w:right w:val="single" w:sz="4" w:space="0" w:color="auto"/>
            </w:tcBorders>
            <w:shd w:val="clear" w:color="000000" w:fill="D0CECE"/>
            <w:vAlign w:val="center"/>
            <w:hideMark/>
          </w:tcPr>
          <w:p w14:paraId="28971A2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4" w:space="0" w:color="auto"/>
              <w:right w:val="single" w:sz="4" w:space="0" w:color="auto"/>
            </w:tcBorders>
            <w:shd w:val="clear" w:color="000000" w:fill="D0CECE"/>
            <w:vAlign w:val="center"/>
            <w:hideMark/>
          </w:tcPr>
          <w:p w14:paraId="47D2829C"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4" w:space="0" w:color="auto"/>
              <w:right w:val="single" w:sz="4" w:space="0" w:color="auto"/>
            </w:tcBorders>
            <w:shd w:val="clear" w:color="000000" w:fill="D0CECE"/>
            <w:vAlign w:val="center"/>
            <w:hideMark/>
          </w:tcPr>
          <w:p w14:paraId="71E988F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4" w:space="0" w:color="auto"/>
              <w:right w:val="single" w:sz="4" w:space="0" w:color="auto"/>
            </w:tcBorders>
            <w:shd w:val="clear" w:color="000000" w:fill="D0CECE"/>
            <w:vAlign w:val="center"/>
            <w:hideMark/>
          </w:tcPr>
          <w:p w14:paraId="273853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4" w:space="0" w:color="auto"/>
              <w:right w:val="single" w:sz="4" w:space="0" w:color="auto"/>
            </w:tcBorders>
            <w:shd w:val="clear" w:color="000000" w:fill="D0CECE"/>
            <w:vAlign w:val="center"/>
            <w:hideMark/>
          </w:tcPr>
          <w:p w14:paraId="36F9AA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4" w:space="0" w:color="auto"/>
              <w:right w:val="single" w:sz="4" w:space="0" w:color="auto"/>
            </w:tcBorders>
            <w:vAlign w:val="center"/>
            <w:hideMark/>
          </w:tcPr>
          <w:p w14:paraId="23204163"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Prosperity for All: A Climate Conscious Wales Progress Report</w:t>
            </w:r>
            <w:r w:rsidRPr="0002056A">
              <w:rPr>
                <w:rFonts w:ascii="Georgia" w:eastAsia="Times New Roman" w:hAnsi="Georgia" w:cs="Calibri"/>
                <w:b/>
                <w:bCs/>
                <w:color w:val="000000"/>
                <w:sz w:val="10"/>
                <w:szCs w:val="10"/>
                <w:lang w:val="en-GB" w:eastAsia="hu-HU"/>
              </w:rPr>
              <w:br/>
              <w:t>December 2022</w:t>
            </w:r>
          </w:p>
        </w:tc>
        <w:tc>
          <w:tcPr>
            <w:tcW w:w="633" w:type="dxa"/>
            <w:tcBorders>
              <w:top w:val="nil"/>
              <w:left w:val="nil"/>
              <w:bottom w:val="single" w:sz="4" w:space="0" w:color="auto"/>
              <w:right w:val="single" w:sz="4" w:space="0" w:color="auto"/>
            </w:tcBorders>
            <w:vAlign w:val="center"/>
            <w:hideMark/>
          </w:tcPr>
          <w:p w14:paraId="27793846"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2022</w:t>
            </w:r>
          </w:p>
        </w:tc>
        <w:tc>
          <w:tcPr>
            <w:tcW w:w="706" w:type="dxa"/>
            <w:tcBorders>
              <w:top w:val="nil"/>
              <w:left w:val="nil"/>
              <w:bottom w:val="single" w:sz="4" w:space="0" w:color="auto"/>
              <w:right w:val="single" w:sz="4" w:space="0" w:color="auto"/>
            </w:tcBorders>
            <w:vAlign w:val="center"/>
            <w:hideMark/>
          </w:tcPr>
          <w:p w14:paraId="7070AFF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2019-2022</w:t>
            </w:r>
          </w:p>
        </w:tc>
        <w:tc>
          <w:tcPr>
            <w:tcW w:w="1019" w:type="dxa"/>
            <w:tcBorders>
              <w:top w:val="nil"/>
              <w:left w:val="nil"/>
              <w:bottom w:val="single" w:sz="4" w:space="0" w:color="auto"/>
              <w:right w:val="single" w:sz="4" w:space="0" w:color="auto"/>
            </w:tcBorders>
            <w:vAlign w:val="center"/>
            <w:hideMark/>
          </w:tcPr>
          <w:p w14:paraId="2E1A9A9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Welsh Government</w:t>
            </w:r>
          </w:p>
        </w:tc>
        <w:tc>
          <w:tcPr>
            <w:tcW w:w="1019" w:type="dxa"/>
            <w:tcBorders>
              <w:top w:val="nil"/>
              <w:left w:val="nil"/>
              <w:bottom w:val="single" w:sz="4" w:space="0" w:color="auto"/>
              <w:right w:val="single" w:sz="4" w:space="0" w:color="auto"/>
            </w:tcBorders>
            <w:vAlign w:val="center"/>
            <w:hideMark/>
          </w:tcPr>
          <w:p w14:paraId="4DA8D42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Natural Resources Wales</w:t>
            </w:r>
          </w:p>
        </w:tc>
        <w:tc>
          <w:tcPr>
            <w:tcW w:w="1032" w:type="dxa"/>
            <w:tcBorders>
              <w:top w:val="nil"/>
              <w:left w:val="nil"/>
              <w:bottom w:val="single" w:sz="4" w:space="0" w:color="auto"/>
              <w:right w:val="single" w:sz="4" w:space="0" w:color="auto"/>
            </w:tcBorders>
            <w:shd w:val="clear" w:color="000000" w:fill="D0CECE"/>
            <w:vAlign w:val="center"/>
            <w:hideMark/>
          </w:tcPr>
          <w:p w14:paraId="60DF41A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4" w:space="0" w:color="auto"/>
              <w:right w:val="single" w:sz="4" w:space="0" w:color="auto"/>
            </w:tcBorders>
            <w:shd w:val="clear" w:color="000000" w:fill="D0CECE"/>
            <w:vAlign w:val="center"/>
            <w:hideMark/>
          </w:tcPr>
          <w:p w14:paraId="6FE6253D"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4" w:space="0" w:color="auto"/>
              <w:right w:val="single" w:sz="4" w:space="0" w:color="auto"/>
            </w:tcBorders>
            <w:shd w:val="clear" w:color="000000" w:fill="D0CECE"/>
            <w:vAlign w:val="center"/>
            <w:hideMark/>
          </w:tcPr>
          <w:p w14:paraId="6B2F8E3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4" w:space="0" w:color="auto"/>
              <w:right w:val="single" w:sz="4" w:space="0" w:color="auto"/>
            </w:tcBorders>
            <w:shd w:val="clear" w:color="000000" w:fill="D0CECE"/>
            <w:vAlign w:val="center"/>
            <w:hideMark/>
          </w:tcPr>
          <w:p w14:paraId="1A70CEBF"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4" w:space="0" w:color="auto"/>
              <w:right w:val="single" w:sz="8" w:space="0" w:color="auto"/>
            </w:tcBorders>
            <w:shd w:val="clear" w:color="000000" w:fill="D0CECE"/>
            <w:vAlign w:val="center"/>
            <w:hideMark/>
          </w:tcPr>
          <w:p w14:paraId="74B8305A"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r w:rsidR="00DC2C1E" w:rsidRPr="0002056A" w14:paraId="24E030D9" w14:textId="77777777" w:rsidTr="007B0C07">
        <w:trPr>
          <w:trHeight w:val="850"/>
        </w:trPr>
        <w:tc>
          <w:tcPr>
            <w:tcW w:w="636" w:type="dxa"/>
            <w:vMerge/>
            <w:tcBorders>
              <w:top w:val="nil"/>
              <w:left w:val="single" w:sz="8" w:space="0" w:color="auto"/>
              <w:bottom w:val="single" w:sz="8" w:space="0" w:color="000000"/>
              <w:right w:val="single" w:sz="4" w:space="0" w:color="auto"/>
            </w:tcBorders>
            <w:vAlign w:val="center"/>
            <w:hideMark/>
          </w:tcPr>
          <w:p w14:paraId="51FC289C" w14:textId="77777777" w:rsidR="00DC2C1E" w:rsidRPr="0002056A" w:rsidRDefault="00DC2C1E" w:rsidP="007B0C07">
            <w:pPr>
              <w:spacing w:after="0" w:line="240" w:lineRule="auto"/>
              <w:rPr>
                <w:rFonts w:ascii="Georgia" w:eastAsia="Times New Roman" w:hAnsi="Georgia" w:cs="Calibri"/>
                <w:b/>
                <w:bCs/>
                <w:color w:val="000000"/>
                <w:sz w:val="14"/>
                <w:szCs w:val="14"/>
                <w:lang w:val="en-GB" w:eastAsia="hu-HU"/>
              </w:rPr>
            </w:pPr>
          </w:p>
        </w:tc>
        <w:tc>
          <w:tcPr>
            <w:tcW w:w="1327" w:type="dxa"/>
            <w:tcBorders>
              <w:top w:val="nil"/>
              <w:left w:val="nil"/>
              <w:bottom w:val="single" w:sz="8" w:space="0" w:color="auto"/>
              <w:right w:val="single" w:sz="4" w:space="0" w:color="auto"/>
            </w:tcBorders>
            <w:shd w:val="clear" w:color="000000" w:fill="D0CECE"/>
            <w:vAlign w:val="center"/>
            <w:hideMark/>
          </w:tcPr>
          <w:p w14:paraId="51AEC3EF"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 </w:t>
            </w:r>
          </w:p>
        </w:tc>
        <w:tc>
          <w:tcPr>
            <w:tcW w:w="548" w:type="dxa"/>
            <w:tcBorders>
              <w:top w:val="nil"/>
              <w:left w:val="nil"/>
              <w:bottom w:val="single" w:sz="8" w:space="0" w:color="auto"/>
              <w:right w:val="single" w:sz="4" w:space="0" w:color="auto"/>
            </w:tcBorders>
            <w:shd w:val="clear" w:color="000000" w:fill="D0CECE"/>
            <w:vAlign w:val="center"/>
            <w:hideMark/>
          </w:tcPr>
          <w:p w14:paraId="389F8ACE"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718" w:type="dxa"/>
            <w:tcBorders>
              <w:top w:val="nil"/>
              <w:left w:val="nil"/>
              <w:bottom w:val="single" w:sz="8" w:space="0" w:color="auto"/>
              <w:right w:val="single" w:sz="4" w:space="0" w:color="auto"/>
            </w:tcBorders>
            <w:shd w:val="clear" w:color="000000" w:fill="D0CECE"/>
            <w:vAlign w:val="center"/>
            <w:hideMark/>
          </w:tcPr>
          <w:p w14:paraId="5B9CD8A7"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019" w:type="dxa"/>
            <w:tcBorders>
              <w:top w:val="nil"/>
              <w:left w:val="nil"/>
              <w:bottom w:val="single" w:sz="8" w:space="0" w:color="auto"/>
              <w:right w:val="single" w:sz="4" w:space="0" w:color="auto"/>
            </w:tcBorders>
            <w:shd w:val="clear" w:color="000000" w:fill="D0CECE"/>
            <w:vAlign w:val="center"/>
            <w:hideMark/>
          </w:tcPr>
          <w:p w14:paraId="2B305403"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55" w:type="dxa"/>
            <w:tcBorders>
              <w:top w:val="nil"/>
              <w:left w:val="nil"/>
              <w:bottom w:val="single" w:sz="8" w:space="0" w:color="auto"/>
              <w:right w:val="single" w:sz="4" w:space="0" w:color="auto"/>
            </w:tcBorders>
            <w:shd w:val="clear" w:color="000000" w:fill="D0CECE"/>
            <w:vAlign w:val="center"/>
            <w:hideMark/>
          </w:tcPr>
          <w:p w14:paraId="7813CCA8"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1466" w:type="dxa"/>
            <w:tcBorders>
              <w:top w:val="nil"/>
              <w:left w:val="nil"/>
              <w:bottom w:val="single" w:sz="8" w:space="0" w:color="auto"/>
              <w:right w:val="single" w:sz="4" w:space="0" w:color="auto"/>
            </w:tcBorders>
            <w:vAlign w:val="center"/>
            <w:hideMark/>
          </w:tcPr>
          <w:p w14:paraId="2A9F3382" w14:textId="77777777" w:rsidR="00DC2C1E" w:rsidRPr="0002056A" w:rsidRDefault="00DC2C1E" w:rsidP="007B0C07">
            <w:pPr>
              <w:spacing w:after="0" w:line="240" w:lineRule="auto"/>
              <w:rPr>
                <w:rFonts w:ascii="Georgia" w:eastAsia="Times New Roman" w:hAnsi="Georgia" w:cs="Calibri"/>
                <w:b/>
                <w:bCs/>
                <w:color w:val="000000"/>
                <w:sz w:val="10"/>
                <w:szCs w:val="10"/>
                <w:lang w:val="en-GB" w:eastAsia="hu-HU"/>
              </w:rPr>
            </w:pPr>
            <w:r w:rsidRPr="0002056A">
              <w:rPr>
                <w:rFonts w:ascii="Georgia" w:eastAsia="Times New Roman" w:hAnsi="Georgia" w:cs="Calibri"/>
                <w:b/>
                <w:bCs/>
                <w:color w:val="000000"/>
                <w:sz w:val="10"/>
                <w:szCs w:val="10"/>
                <w:lang w:val="en-GB" w:eastAsia="hu-HU"/>
              </w:rPr>
              <w:t>Evidence for the third UK Climate Change Risk Assessment (CCRA3)</w:t>
            </w:r>
            <w:r w:rsidRPr="0002056A">
              <w:rPr>
                <w:rFonts w:ascii="Georgia" w:eastAsia="Times New Roman" w:hAnsi="Georgia" w:cs="Calibri"/>
                <w:b/>
                <w:bCs/>
                <w:color w:val="000000"/>
                <w:sz w:val="10"/>
                <w:szCs w:val="10"/>
                <w:lang w:val="en-GB" w:eastAsia="hu-HU"/>
              </w:rPr>
              <w:br/>
              <w:t>Summary for</w:t>
            </w:r>
            <w:r w:rsidRPr="0002056A">
              <w:rPr>
                <w:rFonts w:ascii="Georgia" w:eastAsia="Times New Roman" w:hAnsi="Georgia" w:cs="Calibri"/>
                <w:b/>
                <w:bCs/>
                <w:color w:val="000000"/>
                <w:sz w:val="10"/>
                <w:szCs w:val="10"/>
                <w:lang w:val="en-GB" w:eastAsia="hu-HU"/>
              </w:rPr>
              <w:br/>
              <w:t>Wales</w:t>
            </w:r>
          </w:p>
        </w:tc>
        <w:tc>
          <w:tcPr>
            <w:tcW w:w="633" w:type="dxa"/>
            <w:tcBorders>
              <w:top w:val="nil"/>
              <w:left w:val="nil"/>
              <w:bottom w:val="single" w:sz="8" w:space="0" w:color="auto"/>
              <w:right w:val="single" w:sz="4" w:space="0" w:color="auto"/>
            </w:tcBorders>
            <w:vAlign w:val="center"/>
            <w:hideMark/>
          </w:tcPr>
          <w:p w14:paraId="3887BA0D" w14:textId="77777777" w:rsidR="00DC2C1E" w:rsidRPr="0002056A" w:rsidRDefault="00DC2C1E" w:rsidP="007B0C07">
            <w:pPr>
              <w:spacing w:after="0" w:line="240" w:lineRule="auto"/>
              <w:jc w:val="center"/>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2023</w:t>
            </w:r>
          </w:p>
        </w:tc>
        <w:tc>
          <w:tcPr>
            <w:tcW w:w="706" w:type="dxa"/>
            <w:tcBorders>
              <w:top w:val="nil"/>
              <w:left w:val="nil"/>
              <w:bottom w:val="single" w:sz="8" w:space="0" w:color="auto"/>
              <w:right w:val="single" w:sz="4" w:space="0" w:color="auto"/>
            </w:tcBorders>
            <w:vAlign w:val="center"/>
            <w:hideMark/>
          </w:tcPr>
          <w:p w14:paraId="49F9449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w:t>
            </w:r>
          </w:p>
        </w:tc>
        <w:tc>
          <w:tcPr>
            <w:tcW w:w="1019" w:type="dxa"/>
            <w:tcBorders>
              <w:top w:val="nil"/>
              <w:left w:val="nil"/>
              <w:bottom w:val="single" w:sz="8" w:space="0" w:color="auto"/>
              <w:right w:val="single" w:sz="4" w:space="0" w:color="auto"/>
            </w:tcBorders>
            <w:vAlign w:val="center"/>
            <w:hideMark/>
          </w:tcPr>
          <w:p w14:paraId="7AC818DB"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report</w:t>
            </w:r>
          </w:p>
        </w:tc>
        <w:tc>
          <w:tcPr>
            <w:tcW w:w="1019" w:type="dxa"/>
            <w:tcBorders>
              <w:top w:val="nil"/>
              <w:left w:val="nil"/>
              <w:bottom w:val="single" w:sz="8" w:space="0" w:color="auto"/>
              <w:right w:val="single" w:sz="4" w:space="0" w:color="auto"/>
            </w:tcBorders>
            <w:vAlign w:val="center"/>
            <w:hideMark/>
          </w:tcPr>
          <w:p w14:paraId="696E93E0"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Netherwood Sustainable Futures</w:t>
            </w:r>
          </w:p>
        </w:tc>
        <w:tc>
          <w:tcPr>
            <w:tcW w:w="1032" w:type="dxa"/>
            <w:tcBorders>
              <w:top w:val="nil"/>
              <w:left w:val="nil"/>
              <w:bottom w:val="single" w:sz="8" w:space="0" w:color="auto"/>
              <w:right w:val="single" w:sz="4" w:space="0" w:color="auto"/>
            </w:tcBorders>
            <w:shd w:val="clear" w:color="000000" w:fill="D0CECE"/>
            <w:vAlign w:val="center"/>
            <w:hideMark/>
          </w:tcPr>
          <w:p w14:paraId="522BDE3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871" w:type="dxa"/>
            <w:tcBorders>
              <w:top w:val="nil"/>
              <w:left w:val="nil"/>
              <w:bottom w:val="single" w:sz="8" w:space="0" w:color="auto"/>
              <w:right w:val="single" w:sz="4" w:space="0" w:color="auto"/>
            </w:tcBorders>
            <w:shd w:val="clear" w:color="000000" w:fill="D0CECE"/>
            <w:vAlign w:val="center"/>
            <w:hideMark/>
          </w:tcPr>
          <w:p w14:paraId="77F844F5"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06" w:type="dxa"/>
            <w:tcBorders>
              <w:top w:val="nil"/>
              <w:left w:val="nil"/>
              <w:bottom w:val="single" w:sz="8" w:space="0" w:color="auto"/>
              <w:right w:val="single" w:sz="4" w:space="0" w:color="auto"/>
            </w:tcBorders>
            <w:shd w:val="clear" w:color="000000" w:fill="D0CECE"/>
            <w:vAlign w:val="center"/>
            <w:hideMark/>
          </w:tcPr>
          <w:p w14:paraId="0A7A6391"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12" w:type="dxa"/>
            <w:tcBorders>
              <w:top w:val="nil"/>
              <w:left w:val="nil"/>
              <w:bottom w:val="single" w:sz="8" w:space="0" w:color="auto"/>
              <w:right w:val="single" w:sz="4" w:space="0" w:color="auto"/>
            </w:tcBorders>
            <w:shd w:val="clear" w:color="000000" w:fill="D0CECE"/>
            <w:vAlign w:val="center"/>
            <w:hideMark/>
          </w:tcPr>
          <w:p w14:paraId="144A6F32"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c>
          <w:tcPr>
            <w:tcW w:w="940" w:type="dxa"/>
            <w:tcBorders>
              <w:top w:val="nil"/>
              <w:left w:val="nil"/>
              <w:bottom w:val="single" w:sz="8" w:space="0" w:color="auto"/>
              <w:right w:val="single" w:sz="8" w:space="0" w:color="auto"/>
            </w:tcBorders>
            <w:shd w:val="clear" w:color="000000" w:fill="D0CECE"/>
            <w:vAlign w:val="center"/>
            <w:hideMark/>
          </w:tcPr>
          <w:p w14:paraId="06988984" w14:textId="77777777" w:rsidR="00DC2C1E" w:rsidRPr="0002056A" w:rsidRDefault="00DC2C1E" w:rsidP="007B0C07">
            <w:pPr>
              <w:spacing w:after="0" w:line="240" w:lineRule="auto"/>
              <w:rPr>
                <w:rFonts w:ascii="Georgia" w:eastAsia="Times New Roman" w:hAnsi="Georgia" w:cs="Calibri"/>
                <w:color w:val="000000"/>
                <w:sz w:val="10"/>
                <w:szCs w:val="10"/>
                <w:lang w:val="en-GB" w:eastAsia="hu-HU"/>
              </w:rPr>
            </w:pPr>
            <w:r w:rsidRPr="0002056A">
              <w:rPr>
                <w:rFonts w:ascii="Georgia" w:eastAsia="Times New Roman" w:hAnsi="Georgia" w:cs="Calibri"/>
                <w:color w:val="000000"/>
                <w:sz w:val="10"/>
                <w:szCs w:val="10"/>
                <w:lang w:val="en-GB" w:eastAsia="hu-HU"/>
              </w:rPr>
              <w:t> </w:t>
            </w:r>
          </w:p>
        </w:tc>
      </w:tr>
    </w:tbl>
    <w:p w14:paraId="31D879DA" w14:textId="77777777" w:rsidR="001470D9" w:rsidRPr="0002056A" w:rsidRDefault="001470D9" w:rsidP="00DC2C1E">
      <w:pPr>
        <w:rPr>
          <w:lang w:val="en-GB"/>
        </w:rPr>
        <w:sectPr w:rsidR="001470D9" w:rsidRPr="0002056A" w:rsidSect="00775D26">
          <w:pgSz w:w="16838" w:h="11906" w:orient="landscape"/>
          <w:pgMar w:top="1417" w:right="1417" w:bottom="1417" w:left="1417" w:header="708" w:footer="708" w:gutter="0"/>
          <w:cols w:space="708"/>
          <w:docGrid w:linePitch="360"/>
        </w:sectPr>
      </w:pPr>
    </w:p>
    <w:p w14:paraId="47BEA888" w14:textId="50A25D9C" w:rsidR="00DC2C1E" w:rsidRPr="0002056A" w:rsidRDefault="00137018" w:rsidP="00137018">
      <w:pPr>
        <w:pStyle w:val="Cmsor2"/>
        <w:rPr>
          <w:lang w:val="en-GB"/>
        </w:rPr>
      </w:pPr>
      <w:bookmarkStart w:id="80" w:name="_Toc225578892"/>
      <w:r w:rsidRPr="0002056A">
        <w:rPr>
          <w:lang w:val="en-GB"/>
        </w:rPr>
        <w:lastRenderedPageBreak/>
        <w:t xml:space="preserve">Annex </w:t>
      </w:r>
      <w:r w:rsidR="00EA2724" w:rsidRPr="0002056A">
        <w:rPr>
          <w:lang w:val="en-GB"/>
        </w:rPr>
        <w:t>4</w:t>
      </w:r>
      <w:r w:rsidRPr="0002056A">
        <w:rPr>
          <w:lang w:val="en-GB"/>
        </w:rPr>
        <w:t xml:space="preserve"> – </w:t>
      </w:r>
      <w:r w:rsidR="00716706" w:rsidRPr="0002056A">
        <w:rPr>
          <w:lang w:val="en-GB"/>
        </w:rPr>
        <w:t>B</w:t>
      </w:r>
      <w:r w:rsidRPr="0002056A">
        <w:rPr>
          <w:lang w:val="en-GB"/>
        </w:rPr>
        <w:t>est practices of adaptation planning and MRE’s spatial performances by European macro regions</w:t>
      </w:r>
      <w:bookmarkEnd w:id="80"/>
    </w:p>
    <w:p w14:paraId="2C865649" w14:textId="52EA6100" w:rsidR="00137018" w:rsidRPr="0002056A" w:rsidRDefault="00137018" w:rsidP="00137018">
      <w:pPr>
        <w:pStyle w:val="Cmsor3"/>
        <w:rPr>
          <w:lang w:val="en-GB"/>
        </w:rPr>
      </w:pPr>
      <w:bookmarkStart w:id="81" w:name="_Toc225578893"/>
      <w:r w:rsidRPr="0002056A">
        <w:rPr>
          <w:lang w:val="en-GB"/>
        </w:rPr>
        <w:t xml:space="preserve">Annex </w:t>
      </w:r>
      <w:r w:rsidR="00EA2724" w:rsidRPr="0002056A">
        <w:rPr>
          <w:lang w:val="en-GB"/>
        </w:rPr>
        <w:t>4</w:t>
      </w:r>
      <w:r w:rsidRPr="0002056A">
        <w:rPr>
          <w:lang w:val="en-GB"/>
        </w:rPr>
        <w:t>a) Western Europe – excellent results in MRE; spatial development objective-coherence and international spatial dimension</w:t>
      </w:r>
      <w:bookmarkEnd w:id="81"/>
    </w:p>
    <w:p w14:paraId="38A8F793" w14:textId="4D480191"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Western-European countries showed summarily the best performances in our analysis. The final ranking of spatial sensitivity of climate policy planning and MRE comprises westerners in the first 7 positions. These countries basically perform well in the MRE-related aspects, show very strong coherence with both European and their own national level spatial policy objectives, and international spatial aspects are also strong in their policy approach. Four of them (Austria, the Netherlands, Germany, Scotland) is worth even for a detailed introduction. Switzerland show</w:t>
      </w:r>
      <w:r w:rsidR="008F0D60" w:rsidRPr="0002056A">
        <w:rPr>
          <w:rFonts w:ascii="Georgia" w:hAnsi="Georgia" w:cs="Calibri"/>
          <w:lang w:val="en-GB"/>
        </w:rPr>
        <w:t>s</w:t>
      </w:r>
      <w:r w:rsidRPr="0002056A">
        <w:rPr>
          <w:rFonts w:ascii="Georgia" w:hAnsi="Georgia" w:cs="Calibri"/>
          <w:lang w:val="en-GB"/>
        </w:rPr>
        <w:t xml:space="preserve"> very similar features to Austria and Germany, meanwhile England to Scotland, meanwhile France is the mixture of the others, so due to limitations of the dissertation’s extent, we concentrate only to the first four countries. </w:t>
      </w:r>
    </w:p>
    <w:p w14:paraId="452EA010" w14:textId="77777777" w:rsidR="00137018" w:rsidRPr="0002056A" w:rsidRDefault="00137018" w:rsidP="00137018">
      <w:pPr>
        <w:pStyle w:val="Cmsor4"/>
        <w:rPr>
          <w:lang w:val="en-GB"/>
        </w:rPr>
      </w:pPr>
      <w:r w:rsidRPr="0002056A">
        <w:rPr>
          <w:lang w:val="en-GB"/>
        </w:rPr>
        <w:t>Austria – generally good performance in each aspect as a federal state</w:t>
      </w:r>
    </w:p>
    <w:p w14:paraId="28BF619A" w14:textId="77777777" w:rsidR="00137018" w:rsidRPr="0002056A" w:rsidRDefault="00137018" w:rsidP="00137018">
      <w:pPr>
        <w:spacing w:before="120" w:after="120" w:line="240" w:lineRule="auto"/>
        <w:jc w:val="both"/>
        <w:rPr>
          <w:rFonts w:ascii="Georgia" w:eastAsia="Times New Roman" w:hAnsi="Georgia" w:cs="Times New Roman"/>
          <w:lang w:val="en-GB" w:eastAsia="hu-HU"/>
        </w:rPr>
      </w:pPr>
      <w:r w:rsidRPr="0002056A">
        <w:rPr>
          <w:rFonts w:ascii="Georgia" w:hAnsi="Georgia" w:cs="Calibri"/>
          <w:lang w:val="en-GB"/>
        </w:rPr>
        <w:t xml:space="preserve">Austria has almost the whole spectrum of national level adaptation policy documents [national strategy (NAS), action plan (NAP), climate change risk and vulnerability assessments (CCRA, CVA)] exists in the country. Furthermore, </w:t>
      </w:r>
      <w:r w:rsidRPr="0002056A">
        <w:rPr>
          <w:rFonts w:ascii="Georgia" w:hAnsi="Georgia" w:cs="Times New Roman"/>
          <w:lang w:val="en-GB"/>
        </w:rPr>
        <w:t>beyond the national documents there are also regional adaptation strategies (RAPs) for special regions/spatial units, being also</w:t>
      </w:r>
      <w:r w:rsidRPr="0002056A">
        <w:rPr>
          <w:rFonts w:ascii="Georgia" w:hAnsi="Georgia" w:cs="Calibri"/>
          <w:lang w:val="en-GB"/>
        </w:rPr>
        <w:t xml:space="preserve"> part of the canon. All nine federal states view climate change adaptation as part of an integrated climate protection policy and all of them has their Land-specific adaptation strategies. These latter ones are partly strategies, partly action plans supporting adaptation. Due to the responsibilities such as spatial planning, nature conservation and civil protection, regions (Länders, nine in total) have different adaptation strategies and plans, related to the respective priorities.</w:t>
      </w:r>
      <w:r w:rsidRPr="0002056A">
        <w:rPr>
          <w:rFonts w:ascii="Georgia" w:hAnsi="Georgia"/>
          <w:lang w:val="en-GB"/>
        </w:rPr>
        <w:t xml:space="preserve"> </w:t>
      </w:r>
      <w:r w:rsidRPr="0002056A">
        <w:rPr>
          <w:rFonts w:ascii="Georgia" w:hAnsi="Georgia" w:cs="Calibri"/>
          <w:lang w:val="en-GB"/>
        </w:rPr>
        <w:t>Austria’s NAS Chapter 4 (Activities and implementation of the NAS) mentions 2 main levels in 3 dedicated subchapters (one about activities of the national, state level; one about activities of the province level and one about joint activities of the two levels). Regional focus is everywhere. The national portal “klimawandelanpassung.at” even offers an overview of adaptation activities in the federal states. KLAR! Regions also were launched in 2016, as a model project in 89 Austrian regions to mitigate regional damage caused by climate impacts and to exploit resulting opportunities, led by KLAR managers promoting adaptation to the consequences of climate change. Moreover, in some sectors (agriculture, forestry and water) adaptation strategies were elaborated, mostly within ministries in charge of these themes.</w:t>
      </w:r>
      <w:r w:rsidRPr="0002056A">
        <w:rPr>
          <w:rFonts w:ascii="Georgia" w:eastAsia="Times New Roman" w:hAnsi="Georgia" w:cs="Times New Roman"/>
          <w:lang w:val="en-GB" w:eastAsia="hu-HU"/>
        </w:rPr>
        <w:t xml:space="preserve"> </w:t>
      </w:r>
    </w:p>
    <w:p w14:paraId="511017FA" w14:textId="2F60F5F1"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 xml:space="preserve">Considering the space phraseology of the document, Austria with </w:t>
      </w:r>
      <w:r w:rsidRPr="0002056A">
        <w:rPr>
          <w:rFonts w:ascii="Georgia" w:hAnsi="Georgia" w:cs="Times New Roman"/>
          <w:lang w:val="en-GB"/>
        </w:rPr>
        <w:t xml:space="preserve">more than 800 mentionings in its NAS and NAP document is uniformly strong in using each </w:t>
      </w:r>
      <w:r w:rsidR="008F0D60" w:rsidRPr="0002056A">
        <w:rPr>
          <w:rFonts w:ascii="Georgia" w:hAnsi="Georgia" w:cs="Times New Roman"/>
          <w:lang w:val="en-GB"/>
        </w:rPr>
        <w:t>concept</w:t>
      </w:r>
      <w:r w:rsidRPr="0002056A">
        <w:rPr>
          <w:rFonts w:ascii="Georgia" w:hAnsi="Georgia" w:cs="Times New Roman"/>
          <w:lang w:val="en-GB"/>
        </w:rPr>
        <w:t xml:space="preserve">. In the NAS, 3-3 map and regional diagrams emerge. Beyond this, as another spatial emphasis, Austria made some short mentionings about its own Alpine area location within Europe in some parts of the NAS (the Introduction and the Research chapters). Moreover, spatial planning’s role is also underlined: Austria’s NAS in its Chapter 5 introduces impacts of climate change through 13 field-like subchapters and one of them is Raumordnung [spatial (physical) planning]. </w:t>
      </w:r>
    </w:p>
    <w:p w14:paraId="7174B326" w14:textId="54517D56"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 xml:space="preserve">As for the spatial content of the whole objective system, the overall objective in Austria’s NAS is general but mentions the levels of “Bund” und “Ländern”. The strategic objective level is basically thematic, going through 6 thematic paragraphs (quasi specific objectives) and 15 thematic (sectoral) fields, only the latter contain 1 settlement/settlement network element-related and one spatial planning related sectoral field. Only 1-2 </w:t>
      </w:r>
      <w:r w:rsidR="008F0D60" w:rsidRPr="0002056A">
        <w:rPr>
          <w:rFonts w:ascii="Georgia" w:eastAsia="Times New Roman" w:hAnsi="Georgia" w:cs="Times New Roman"/>
          <w:lang w:val="en-GB" w:eastAsia="hu-HU"/>
        </w:rPr>
        <w:t>lower-level</w:t>
      </w:r>
      <w:r w:rsidRPr="0002056A">
        <w:rPr>
          <w:rFonts w:ascii="Georgia" w:eastAsia="Times New Roman" w:hAnsi="Georgia" w:cs="Times New Roman"/>
          <w:lang w:val="en-GB" w:eastAsia="hu-HU"/>
        </w:rPr>
        <w:t xml:space="preserve"> objectives focus on given territorial unit / regional type or generally deals with spatial differences/structures even in their title. </w:t>
      </w:r>
    </w:p>
    <w:p w14:paraId="2509B723" w14:textId="77777777" w:rsidR="00137018" w:rsidRPr="0002056A" w:rsidRDefault="00137018" w:rsidP="00137018">
      <w:pPr>
        <w:spacing w:before="120" w:after="120" w:line="240" w:lineRule="auto"/>
        <w:jc w:val="both"/>
        <w:rPr>
          <w:rFonts w:ascii="Georgia" w:hAnsi="Georgia" w:cs="Calibri"/>
          <w:lang w:val="en-GB"/>
        </w:rPr>
      </w:pPr>
    </w:p>
    <w:p w14:paraId="00C376C9" w14:textId="77777777" w:rsidR="00137018" w:rsidRPr="0002056A" w:rsidRDefault="00137018" w:rsidP="00137018">
      <w:pPr>
        <w:spacing w:before="120" w:after="120" w:line="240" w:lineRule="auto"/>
        <w:jc w:val="center"/>
        <w:rPr>
          <w:rFonts w:ascii="Georgia" w:hAnsi="Georgia" w:cs="Calibri"/>
          <w:lang w:val="en-GB"/>
        </w:rPr>
      </w:pPr>
      <w:r w:rsidRPr="0002056A">
        <w:rPr>
          <w:rFonts w:ascii="Georgia" w:hAnsi="Georgia" w:cs="Calibri"/>
          <w:noProof/>
          <w:lang w:val="en-GB"/>
        </w:rPr>
        <w:lastRenderedPageBreak/>
        <w:drawing>
          <wp:inline distT="0" distB="0" distL="0" distR="0" wp14:anchorId="29FFE72B" wp14:editId="595423A7">
            <wp:extent cx="2515149" cy="3822700"/>
            <wp:effectExtent l="0" t="0" r="0" b="6350"/>
            <wp:docPr id="763078230" name="Kép 1" descr="A képen szöveg, képernyőkép, dokumentum, szám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81222" name="Kép 1" descr="A képen szöveg, képernyőkép, dokumentum, szám látható&#10;&#10;Előfordulhat, hogy az AI által létrehozott tartalom helytelen."/>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26044" cy="3839260"/>
                    </a:xfrm>
                    <a:prstGeom prst="rect">
                      <a:avLst/>
                    </a:prstGeom>
                  </pic:spPr>
                </pic:pic>
              </a:graphicData>
            </a:graphic>
          </wp:inline>
        </w:drawing>
      </w:r>
    </w:p>
    <w:p w14:paraId="65B0B1EB" w14:textId="77777777" w:rsidR="00137018" w:rsidRPr="0002056A" w:rsidRDefault="00137018" w:rsidP="00137018">
      <w:pPr>
        <w:spacing w:before="120" w:after="120" w:line="240" w:lineRule="auto"/>
        <w:jc w:val="center"/>
        <w:rPr>
          <w:rFonts w:ascii="Georgia" w:hAnsi="Georgia" w:cs="Calibri"/>
          <w:i/>
          <w:iCs/>
          <w:sz w:val="18"/>
          <w:szCs w:val="18"/>
          <w:lang w:val="en-GB"/>
        </w:rPr>
      </w:pPr>
      <w:r w:rsidRPr="0002056A">
        <w:rPr>
          <w:rFonts w:ascii="Georgia" w:hAnsi="Georgia" w:cs="Calibri"/>
          <w:b/>
          <w:bCs/>
          <w:sz w:val="18"/>
          <w:szCs w:val="18"/>
          <w:lang w:val="en-GB"/>
        </w:rPr>
        <w:t xml:space="preserve">A dedicated main chapter to spatial levels in the Austrian NAS. </w:t>
      </w:r>
      <w:r w:rsidRPr="0002056A">
        <w:rPr>
          <w:rFonts w:ascii="Georgia" w:hAnsi="Georgia" w:cs="Calibri"/>
          <w:i/>
          <w:iCs/>
          <w:sz w:val="18"/>
          <w:szCs w:val="18"/>
          <w:lang w:val="en-GB"/>
        </w:rPr>
        <w:t>Source: Austrian NAS, 2025.</w:t>
      </w:r>
    </w:p>
    <w:p w14:paraId="46A6675A"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In the NAP part of the strategy proportion of measures with spatial content is quite high: more than 40% of measures (exactly 45,16 %) show spatial characteristics. In the aspect of “proportion of spatial planning-related measures”,</w:t>
      </w:r>
      <w:r w:rsidRPr="0002056A">
        <w:rPr>
          <w:rFonts w:ascii="Georgia" w:hAnsi="Georgia" w:cs="Times New Roman"/>
          <w:lang w:val="en-GB"/>
        </w:rPr>
        <w:t xml:space="preserve"> Austria is again in the best category, composed only by itself, where more than 10% of the NAP measures are dealing with spatial planning.</w:t>
      </w:r>
    </w:p>
    <w:p w14:paraId="78D7CAF9"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 xml:space="preserve">The international content is also strong in the NAS. As for the “emergence of geographically climate related risks” Austria’s NAS subchapter 6.5."Security policy dimensions of climate change" deals directly, nominally with these issues and talks about regionally different worldwide challenges and global climate risks in general. Chapter 11 "Globaler Kontext" is a special, dedicated chapter to international risks mentioning that globally vulnerable populations and countries in the global South and small island states, in the Arctic, South Asia, Central and South America, and large parts of sub-Saharan Africa have special challenges, insufficient financing options, and spatially determined greater vulnerability. Subchapter 11.4. about the climate change-related natural resource vulnerability, several times mentions the affectedness of the global South. The emergence of strengthening macro regional / international co-operations show strong signs in NAS, too. Austria uses explicit reference for these issues in the document in the description of objectives/measures’ or in title of several individual measures or in the situation analysis’ texts. </w:t>
      </w:r>
    </w:p>
    <w:p w14:paraId="0992A626" w14:textId="64883323" w:rsidR="00137018" w:rsidRPr="0002056A" w:rsidRDefault="00137018" w:rsidP="00137018">
      <w:pPr>
        <w:spacing w:before="120" w:after="120" w:line="240" w:lineRule="auto"/>
        <w:jc w:val="both"/>
        <w:rPr>
          <w:rFonts w:ascii="Georgia" w:eastAsia="Times New Roman" w:hAnsi="Georgia" w:cs="Calibri"/>
          <w:lang w:val="en-GB" w:eastAsia="hu-HU"/>
        </w:rPr>
      </w:pPr>
      <w:r w:rsidRPr="0002056A">
        <w:rPr>
          <w:rFonts w:ascii="Georgia" w:eastAsia="Times New Roman" w:hAnsi="Georgia" w:cs="Calibri"/>
          <w:lang w:val="en-GB" w:eastAsia="hu-HU"/>
        </w:rPr>
        <w:t xml:space="preserve">The existing adaptation MRE system concentrates mostly on existing hazards, such as hail, wind/storm, flood (30, 100, </w:t>
      </w:r>
      <w:r w:rsidR="008F0D60" w:rsidRPr="0002056A">
        <w:rPr>
          <w:rFonts w:ascii="Georgia" w:eastAsia="Times New Roman" w:hAnsi="Georgia" w:cs="Calibri"/>
          <w:lang w:val="en-GB" w:eastAsia="hu-HU"/>
        </w:rPr>
        <w:t>300-year</w:t>
      </w:r>
      <w:r w:rsidRPr="0002056A">
        <w:rPr>
          <w:rFonts w:ascii="Georgia" w:eastAsia="Times New Roman" w:hAnsi="Georgia" w:cs="Calibri"/>
          <w:lang w:val="en-GB" w:eastAsia="hu-HU"/>
        </w:rPr>
        <w:t xml:space="preserve"> events), etc. Spatial differences in the effectiveness of climate actions emerges only partly. MRE systems</w:t>
      </w:r>
      <w:r w:rsidRPr="0002056A">
        <w:rPr>
          <w:rFonts w:ascii="Georgia" w:hAnsi="Georgia" w:cs="Calibri"/>
          <w:lang w:val="en-GB"/>
        </w:rPr>
        <w:t xml:space="preserve"> even have applied indicator sets in adaptation, collected and organised by </w:t>
      </w:r>
      <w:r w:rsidRPr="0002056A">
        <w:rPr>
          <w:rFonts w:ascii="Georgia" w:eastAsia="Times New Roman" w:hAnsi="Georgia" w:cs="Calibri"/>
          <w:lang w:val="en-GB" w:eastAsia="hu-HU"/>
        </w:rPr>
        <w:t>the Ministry in charge of adaptation and the Environment Agency Austria. Indicators are from partly all spatial levels, depending on the hazard and territory. They consist of indices measuring changes in climate, loss and damage, changes over time (e.g. tree species changes, changes in pests, etc.).</w:t>
      </w:r>
    </w:p>
    <w:p w14:paraId="59FCC4AA" w14:textId="588DD45C"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Calibri"/>
          <w:lang w:val="en-GB" w:eastAsia="hu-HU"/>
        </w:rPr>
        <w:t xml:space="preserve">Regarding adaptation evaluations, stakeholder workshops and indicators/criteria were combined that provide a picture of the progress in adaptation and its implementation over time. The spatial levels of evaluations are national and subnational, partly with municipal </w:t>
      </w:r>
      <w:r w:rsidRPr="0002056A">
        <w:rPr>
          <w:rFonts w:ascii="Georgia" w:eastAsia="Times New Roman" w:hAnsi="Georgia" w:cs="Calibri"/>
          <w:lang w:val="en-GB" w:eastAsia="hu-HU"/>
        </w:rPr>
        <w:lastRenderedPageBreak/>
        <w:t>examples.</w:t>
      </w:r>
      <w:r w:rsidRPr="0002056A">
        <w:rPr>
          <w:rFonts w:ascii="Georgia" w:eastAsia="Times New Roman" w:hAnsi="Georgia" w:cs="Times New Roman"/>
          <w:lang w:val="en-GB" w:eastAsia="hu-HU"/>
        </w:rPr>
        <w:t xml:space="preserve"> The degree of spatial content in adaptation </w:t>
      </w:r>
      <w:r w:rsidR="008F0D60" w:rsidRPr="0002056A">
        <w:rPr>
          <w:rFonts w:ascii="Georgia" w:eastAsia="Times New Roman" w:hAnsi="Georgia" w:cs="Times New Roman"/>
          <w:lang w:val="en-GB" w:eastAsia="hu-HU"/>
        </w:rPr>
        <w:t>evaluations is</w:t>
      </w:r>
      <w:r w:rsidRPr="0002056A">
        <w:rPr>
          <w:rFonts w:ascii="Georgia" w:hAnsi="Georgia" w:cs="Times New Roman"/>
          <w:lang w:val="en-GB"/>
        </w:rPr>
        <w:t xml:space="preserve"> beyond average, too. S</w:t>
      </w:r>
      <w:r w:rsidRPr="0002056A">
        <w:rPr>
          <w:rFonts w:ascii="Georgia" w:eastAsia="Times New Roman" w:hAnsi="Georgia" w:cs="Times New Roman"/>
          <w:lang w:val="en-GB" w:eastAsia="hu-HU"/>
        </w:rPr>
        <w:t>erious evaluation background has been built up during the last decade in the field of adaptation, though spatial products are explicitly lacking. National documents, like the Climate Status Report contain spatial elements. Existing evaluation products and monitoring reports show only scarce use of geographically oriented maps or diagrams or info graphs (but at least a modest number of these emerge is the documents).</w:t>
      </w:r>
    </w:p>
    <w:p w14:paraId="511184D3"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As for adaptation-oriented decision supporting, i</w:t>
      </w:r>
      <w:r w:rsidRPr="0002056A">
        <w:rPr>
          <w:rFonts w:ascii="Georgia" w:hAnsi="Georgia"/>
          <w:lang w:val="en-GB"/>
        </w:rPr>
        <w:t>n Austria among the several knowledge-collector and climate data-oriented websites HORA can be particularly mentioned as one of the best practices (the NAS also introduces it). The project was initiated in 2002, following the severe flood events of recent decades, aiming at setting up a nationwide risk zoning system for natural hazards with a special focus on floods. In 2011, the platform was updated and expanded with a new version of the digital application (hora.gv.at), offering all citizens the possibility to obtain a first-hand risk assessment for various natural hazards and weather events (such as flooding, earthquakes, storms, hail, lightning, and snow load). Its visualization of hazardous areas serves as an important basis for the optimization and prioritization efforts of municipalities, states, and the federal government in flood protection and spatial planning</w:t>
      </w:r>
      <w:r w:rsidRPr="0002056A">
        <w:rPr>
          <w:rStyle w:val="Lbjegyzet-hivatkozs"/>
          <w:rFonts w:ascii="Georgia" w:hAnsi="Georgia"/>
          <w:lang w:val="en-GB"/>
        </w:rPr>
        <w:footnoteReference w:id="124"/>
      </w:r>
      <w:r w:rsidRPr="0002056A">
        <w:rPr>
          <w:rFonts w:ascii="Georgia" w:hAnsi="Georgia"/>
          <w:lang w:val="en-GB"/>
        </w:rPr>
        <w:t>.</w:t>
      </w:r>
    </w:p>
    <w:p w14:paraId="28216F0A" w14:textId="77777777" w:rsidR="00137018" w:rsidRPr="0002056A" w:rsidRDefault="00137018" w:rsidP="00137018">
      <w:pPr>
        <w:spacing w:before="120" w:after="120" w:line="240" w:lineRule="auto"/>
        <w:jc w:val="both"/>
        <w:rPr>
          <w:rFonts w:ascii="Georgia" w:hAnsi="Georgia"/>
          <w:lang w:val="en-GB"/>
        </w:rPr>
      </w:pPr>
      <w:r w:rsidRPr="0002056A">
        <w:rPr>
          <w:noProof/>
          <w:lang w:val="en-GB"/>
        </w:rPr>
        <w:drawing>
          <wp:inline distT="0" distB="0" distL="0" distR="0" wp14:anchorId="0BE89F01" wp14:editId="76289AF6">
            <wp:extent cx="5759579" cy="2483004"/>
            <wp:effectExtent l="19050" t="19050" r="12700" b="12700"/>
            <wp:docPr id="1454311935" name="Kép 1" descr="A képen szöveg, térkép, képernyőkép, szoftve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90548" name="Kép 1" descr="A képen szöveg, térkép, képernyőkép, szoftver látható&#10;&#10;Előfordulhat, hogy az AI által létrehozott tartalom helytelen."/>
                    <pic:cNvPicPr/>
                  </pic:nvPicPr>
                  <pic:blipFill rotWithShape="1">
                    <a:blip r:embed="rId206"/>
                    <a:srcRect t="17894" b="5464"/>
                    <a:stretch>
                      <a:fillRect/>
                    </a:stretch>
                  </pic:blipFill>
                  <pic:spPr bwMode="auto">
                    <a:xfrm>
                      <a:off x="0" y="0"/>
                      <a:ext cx="5760720" cy="2483496"/>
                    </a:xfrm>
                    <a:prstGeom prst="rect">
                      <a:avLst/>
                    </a:prstGeom>
                    <a:ln w="15875">
                      <a:solidFill>
                        <a:schemeClr val="bg2">
                          <a:lumMod val="75000"/>
                        </a:schemeClr>
                      </a:solidFill>
                    </a:ln>
                    <a:extLst>
                      <a:ext uri="{53640926-AAD7-44D8-BBD7-CCE9431645EC}">
                        <a14:shadowObscured xmlns:a14="http://schemas.microsoft.com/office/drawing/2010/main"/>
                      </a:ext>
                    </a:extLst>
                  </pic:spPr>
                </pic:pic>
              </a:graphicData>
            </a:graphic>
          </wp:inline>
        </w:drawing>
      </w:r>
    </w:p>
    <w:p w14:paraId="25ADAB0D" w14:textId="77777777" w:rsidR="00137018" w:rsidRPr="0002056A" w:rsidRDefault="00137018" w:rsidP="00137018">
      <w:pPr>
        <w:spacing w:before="120" w:after="120" w:line="240" w:lineRule="auto"/>
        <w:jc w:val="center"/>
        <w:rPr>
          <w:rFonts w:ascii="Georgia" w:hAnsi="Georgia"/>
          <w:i/>
          <w:iCs/>
          <w:sz w:val="18"/>
          <w:szCs w:val="18"/>
          <w:lang w:val="en-GB"/>
        </w:rPr>
      </w:pPr>
      <w:r w:rsidRPr="0002056A">
        <w:rPr>
          <w:rFonts w:ascii="Georgia" w:hAnsi="Georgia"/>
          <w:b/>
          <w:bCs/>
          <w:sz w:val="18"/>
          <w:szCs w:val="18"/>
          <w:lang w:val="en-GB"/>
        </w:rPr>
        <w:t xml:space="preserve">Heatwave episodes displayed in one of HORA’s thematic maps. </w:t>
      </w:r>
      <w:r w:rsidRPr="0002056A">
        <w:rPr>
          <w:rFonts w:ascii="Georgia" w:hAnsi="Georgia"/>
          <w:i/>
          <w:iCs/>
          <w:sz w:val="18"/>
          <w:szCs w:val="18"/>
          <w:lang w:val="en-GB"/>
        </w:rPr>
        <w:t>Source: hora.gv.at</w:t>
      </w:r>
    </w:p>
    <w:p w14:paraId="1287D217"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Territorial cohesion concepts and sub-concepts are also present in the NAS. The vision and the objective system’s text mention 5 out of the 6 concepts: social (actually strongly territorial) cohesion, territorial integration, territorial optimum, multilevel governance and place-based approach appear implicitly in recurrent form throughout the NAS.</w:t>
      </w:r>
    </w:p>
    <w:p w14:paraId="7F9370F4" w14:textId="77777777" w:rsidR="00137018" w:rsidRPr="0002056A" w:rsidRDefault="00137018" w:rsidP="00137018">
      <w:pPr>
        <w:pStyle w:val="Cmsor4"/>
        <w:rPr>
          <w:lang w:val="en-GB"/>
        </w:rPr>
      </w:pPr>
      <w:r w:rsidRPr="0002056A">
        <w:rPr>
          <w:lang w:val="en-GB"/>
        </w:rPr>
        <w:t>The Netherlands – regional level planning and MRE best practice</w:t>
      </w:r>
    </w:p>
    <w:p w14:paraId="56612E1C" w14:textId="7B108DF8"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Netherlands are one of the most </w:t>
      </w:r>
      <w:r w:rsidR="008F0D60" w:rsidRPr="0002056A">
        <w:rPr>
          <w:rFonts w:ascii="Georgia" w:hAnsi="Georgia"/>
          <w:lang w:val="en-GB"/>
        </w:rPr>
        <w:t xml:space="preserve">exciting </w:t>
      </w:r>
      <w:r w:rsidR="00810E31" w:rsidRPr="0002056A">
        <w:rPr>
          <w:rFonts w:ascii="Georgia" w:hAnsi="Georgia"/>
          <w:lang w:val="en-GB"/>
        </w:rPr>
        <w:t>examples</w:t>
      </w:r>
      <w:r w:rsidRPr="0002056A">
        <w:rPr>
          <w:rFonts w:ascii="Georgia" w:hAnsi="Georgia"/>
          <w:lang w:val="en-GB"/>
        </w:rPr>
        <w:t xml:space="preserve"> of analysis with its spatial adaptation programme and several spatial decision support systems. In the country, mitigation and adaptation pillars of climate policy are strongly separated institutionally. The legal basis for climate protection objectives is provided by the Climate Act adopted in 2019. The National Adaptation Strategy (NAS) describes the main climate risks the Netherlands facing and sets the course for addressing these risks. The first NAS was adopted in 2007 and the current, second one in 2016, with a NAP for 2018-19. The NAS and its NAP cover all aspects of adaptation policy, aim at raising awareness and promoting conscious action. Using a visual approach, the NAS uses four diagrams (heat/humidity/drought/sea level rise) to describe the nine sectors examined (water management and spatial planning; nature conservation and agriculture; horticulture and fisheries; health and welfare; recreation and tourism; transport infrastructure; energy; IT and telecommunications; public safety and the built environment). </w:t>
      </w:r>
      <w:r w:rsidRPr="0002056A">
        <w:rPr>
          <w:rFonts w:ascii="Georgia" w:hAnsi="Georgia"/>
          <w:lang w:val="en-GB"/>
        </w:rPr>
        <w:lastRenderedPageBreak/>
        <w:t>The structure of the strategy is based on the different adverse effects of climate change, six of which are considered to be particularly important and relevant</w:t>
      </w:r>
      <w:r w:rsidRPr="0002056A">
        <w:rPr>
          <w:rStyle w:val="Lbjegyzet-hivatkozs"/>
          <w:rFonts w:ascii="Georgia" w:hAnsi="Georgia"/>
          <w:lang w:val="en-GB"/>
        </w:rPr>
        <w:footnoteReference w:id="125"/>
      </w:r>
      <w:r w:rsidRPr="0002056A">
        <w:rPr>
          <w:rFonts w:ascii="Georgia" w:hAnsi="Georgia"/>
          <w:lang w:val="en-GB"/>
        </w:rPr>
        <w:t xml:space="preserve"> (NAS, 2016). </w:t>
      </w:r>
    </w:p>
    <w:p w14:paraId="6932D08B"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Under the NAS, actions have been identified in the form of the NAS Implementation Programme. This Programme is the NAS's operational programme currently. It identified measures for 2018-19 and concerns activities that are supplementary to the Delta Programme. The Program also sets the goal of preparing annual internal reports on the implementation of the interventions identified in the program</w:t>
      </w:r>
      <w:r w:rsidRPr="0002056A">
        <w:rPr>
          <w:rStyle w:val="Lbjegyzet-hivatkozs"/>
          <w:rFonts w:ascii="Georgia" w:hAnsi="Georgia"/>
          <w:lang w:val="en-GB"/>
        </w:rPr>
        <w:footnoteReference w:id="126"/>
      </w:r>
      <w:r w:rsidRPr="0002056A">
        <w:rPr>
          <w:rFonts w:ascii="Georgia" w:hAnsi="Georgia"/>
          <w:lang w:val="en-GB"/>
        </w:rPr>
        <w:t>.</w:t>
      </w:r>
    </w:p>
    <w:p w14:paraId="5D7765AC" w14:textId="77777777" w:rsidR="00137018" w:rsidRPr="0002056A" w:rsidRDefault="00137018" w:rsidP="00137018">
      <w:pPr>
        <w:keepNext/>
        <w:spacing w:before="120" w:after="120" w:line="240" w:lineRule="auto"/>
        <w:jc w:val="center"/>
        <w:rPr>
          <w:rFonts w:ascii="Calibri" w:hAnsi="Calibri"/>
          <w:lang w:val="en-GB"/>
        </w:rPr>
      </w:pPr>
      <w:r w:rsidRPr="0002056A">
        <w:rPr>
          <w:rFonts w:ascii="Calibri" w:hAnsi="Calibri"/>
          <w:noProof/>
          <w:lang w:val="en-GB" w:eastAsia="hu-HU"/>
        </w:rPr>
        <w:drawing>
          <wp:inline distT="0" distB="0" distL="0" distR="0" wp14:anchorId="0ECDD904" wp14:editId="0A0B157F">
            <wp:extent cx="4838700" cy="3354716"/>
            <wp:effectExtent l="0" t="0" r="0" b="0"/>
            <wp:docPr id="862079296" name="Kép 862079296" descr="A képen szöveg, képernyőkép, szoftver, számítógép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ép 21" descr="A képen szöveg, képernyőkép, szoftver, számítógép látható&#10;&#10;Előfordulhat, hogy az AI által létrehozott tartalom helytelen."/>
                    <pic:cNvPicPr/>
                  </pic:nvPicPr>
                  <pic:blipFill rotWithShape="1">
                    <a:blip r:embed="rId207"/>
                    <a:srcRect l="34854" t="24967" r="43087" b="47843"/>
                    <a:stretch/>
                  </pic:blipFill>
                  <pic:spPr bwMode="auto">
                    <a:xfrm>
                      <a:off x="0" y="0"/>
                      <a:ext cx="4865570" cy="3373345"/>
                    </a:xfrm>
                    <a:prstGeom prst="rect">
                      <a:avLst/>
                    </a:prstGeom>
                    <a:ln>
                      <a:noFill/>
                    </a:ln>
                    <a:extLst>
                      <a:ext uri="{53640926-AAD7-44D8-BBD7-CCE9431645EC}">
                        <a14:shadowObscured xmlns:a14="http://schemas.microsoft.com/office/drawing/2010/main"/>
                      </a:ext>
                    </a:extLst>
                  </pic:spPr>
                </pic:pic>
              </a:graphicData>
            </a:graphic>
          </wp:inline>
        </w:drawing>
      </w:r>
    </w:p>
    <w:p w14:paraId="48845705" w14:textId="4DE5E47A" w:rsidR="00137018" w:rsidRPr="0002056A" w:rsidRDefault="00137018" w:rsidP="00C9168E">
      <w:pPr>
        <w:spacing w:before="120" w:after="120" w:line="240" w:lineRule="auto"/>
        <w:jc w:val="center"/>
        <w:rPr>
          <w:rFonts w:ascii="Georgia" w:hAnsi="Georgia"/>
          <w:i/>
          <w:iCs/>
          <w:sz w:val="18"/>
          <w:szCs w:val="18"/>
          <w:lang w:val="en-GB"/>
        </w:rPr>
      </w:pPr>
      <w:r w:rsidRPr="0002056A">
        <w:rPr>
          <w:rFonts w:ascii="Georgia" w:hAnsi="Georgia"/>
          <w:b/>
          <w:bCs/>
          <w:sz w:val="18"/>
          <w:szCs w:val="18"/>
          <w:lang w:val="en-GB"/>
        </w:rPr>
        <w:t xml:space="preserve">Structure of the Delta Programme. </w:t>
      </w:r>
      <w:r w:rsidRPr="0002056A">
        <w:rPr>
          <w:rFonts w:ascii="Georgia" w:hAnsi="Georgia"/>
          <w:i/>
          <w:iCs/>
          <w:sz w:val="18"/>
          <w:szCs w:val="18"/>
          <w:lang w:val="en-GB"/>
        </w:rPr>
        <w:t>Source: PBL, 2016.</w:t>
      </w:r>
    </w:p>
    <w:p w14:paraId="180B2500"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Moreover, there is the Delta Programme for a special territory and 3 special topics. It is an essential national adaptation initiative and document, targeting the Ems-Meuse-Rhein-Scheldt delta area, focusing on flood protection, water supply provision and climate resilient spatial planning, with a vision of a region with climate-safe and resilient water systems by 2050, which can withstand the negative effects of increasingly frequent and intense weather extremes. Its activities are coordinated as supplementary elements of the NAS. The NAS and the Delta Programme will join forces where topics or networks overlap. The Plan is one of Europe’s best examples of (functional) territory-oriented adaptation plans/implementation frameworks. As it is collective plan of the municipalities, district water boards, provinces and the central government (representing a real multi-level approach), the Programme runs under the joint ownership of the central government, the regions, water management bodies, local authorities, enterprises and NGOs. The Delta Programme 2015 (and its successors) contained five Delta Decisions and preferential strategies for each of the topics and regions. </w:t>
      </w:r>
      <w:r w:rsidRPr="0002056A">
        <w:rPr>
          <w:rFonts w:ascii="Georgia" w:hAnsi="Georgia"/>
          <w:bCs/>
          <w:lang w:val="en-GB"/>
        </w:rPr>
        <w:t xml:space="preserve">Its </w:t>
      </w:r>
      <w:r w:rsidRPr="0002056A">
        <w:rPr>
          <w:rFonts w:ascii="Georgia" w:hAnsi="Georgia"/>
          <w:lang w:val="en-GB"/>
        </w:rPr>
        <w:t>spatial planning measures to mitigate the impact of water problems, heat stress, drought and flooding. It even puts emphasis on monitoring, reporting and evaluating the Delta decisions and the related strategies and the actions addressed in its three Delta Plans</w:t>
      </w:r>
      <w:r w:rsidRPr="0002056A">
        <w:rPr>
          <w:rStyle w:val="Lbjegyzet-hivatkozs"/>
          <w:rFonts w:ascii="Georgia" w:hAnsi="Georgia"/>
          <w:lang w:val="en-GB"/>
        </w:rPr>
        <w:footnoteReference w:id="127"/>
      </w:r>
      <w:r w:rsidRPr="0002056A">
        <w:rPr>
          <w:rFonts w:ascii="Georgia" w:hAnsi="Georgia"/>
          <w:lang w:val="en-GB"/>
        </w:rPr>
        <w:t xml:space="preserve">. An updated version of </w:t>
      </w:r>
      <w:r w:rsidRPr="0002056A">
        <w:rPr>
          <w:rFonts w:ascii="Georgia" w:hAnsi="Georgia"/>
          <w:lang w:val="en-GB"/>
        </w:rPr>
        <w:lastRenderedPageBreak/>
        <w:t xml:space="preserve">the Programme arrived in 2021). Since the Programme came into force, the related plans (Delta Plan) have been published annually. </w:t>
      </w:r>
    </w:p>
    <w:p w14:paraId="7E971DBB"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two projects (Delta and NAS) have been complementing each other since 2017. The NAS in various ways includes the production of the Delta Plan for Spatial Adaptation. However, it focuses primarily on sectors, supply chains, themes and climate risks that are not addressed in the Delta Programme or the Delta Plan for Spatial Adaptation, while additionally covering a number of themes that are parts of the Delta Programme. The Delta Programme in itself is the manifestation of a region (estuary area) oriented adaptation planning and activities. </w:t>
      </w:r>
    </w:p>
    <w:p w14:paraId="065C79A3" w14:textId="58BB8419"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Besides this spatial adaptation pilot activity, sectoral adaptation is strong</w:t>
      </w:r>
      <w:r w:rsidRPr="0002056A">
        <w:rPr>
          <w:rStyle w:val="Lbjegyzet-hivatkozs"/>
          <w:rFonts w:ascii="Georgia" w:hAnsi="Georgia"/>
          <w:lang w:val="en-GB"/>
        </w:rPr>
        <w:footnoteReference w:id="128"/>
      </w:r>
      <w:r w:rsidRPr="0002056A">
        <w:rPr>
          <w:rFonts w:ascii="Georgia" w:hAnsi="Georgia"/>
          <w:lang w:val="en-GB"/>
        </w:rPr>
        <w:t xml:space="preserve">: the relevant sectors’ adaptation capacity is </w:t>
      </w:r>
      <w:r w:rsidR="00810E31" w:rsidRPr="0002056A">
        <w:rPr>
          <w:rFonts w:ascii="Georgia" w:hAnsi="Georgia"/>
          <w:lang w:val="en-GB"/>
        </w:rPr>
        <w:t>high,</w:t>
      </w:r>
      <w:r w:rsidRPr="0002056A">
        <w:rPr>
          <w:rFonts w:ascii="Georgia" w:hAnsi="Georgia"/>
          <w:lang w:val="en-GB"/>
        </w:rPr>
        <w:t xml:space="preserve"> and measures have been incorporated into policy and implementation programmes. For this reason, the NAS does not devote special attention to aspects such as water management and flood safety in the urban area. Several sectoral action programs are put up under the NAS, partly based in the NAS implementation programme 2018-2019</w:t>
      </w:r>
      <w:r w:rsidRPr="0002056A">
        <w:rPr>
          <w:rStyle w:val="Lbjegyzet-hivatkozs"/>
          <w:rFonts w:ascii="Georgia" w:hAnsi="Georgia"/>
          <w:lang w:val="en-GB"/>
        </w:rPr>
        <w:footnoteReference w:id="129"/>
      </w:r>
      <w:r w:rsidRPr="0002056A">
        <w:rPr>
          <w:rFonts w:ascii="Georgia" w:hAnsi="Georgia"/>
          <w:lang w:val="en-GB"/>
        </w:rPr>
        <w:t xml:space="preserve">. </w:t>
      </w:r>
    </w:p>
    <w:p w14:paraId="24B30881" w14:textId="011C6CE4"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NAS especially emphasises the role and tasks of different spatial levels (e.g., provincial and municipal authorities). NAS specific objective 5’s subgoal 2 says that Central government works alongside provincial and municipal authorities on spatial projects and programmes in all regions. The NAS itself also says that the government invites local and provincial authorities, private sector companies, water authorities and societal organizations to contribute </w:t>
      </w:r>
      <w:r w:rsidR="00810E31" w:rsidRPr="0002056A">
        <w:rPr>
          <w:rFonts w:ascii="Georgia" w:hAnsi="Georgia"/>
          <w:lang w:val="en-GB"/>
        </w:rPr>
        <w:t>to</w:t>
      </w:r>
      <w:r w:rsidRPr="0002056A">
        <w:rPr>
          <w:rFonts w:ascii="Georgia" w:hAnsi="Georgia"/>
          <w:lang w:val="en-GB"/>
        </w:rPr>
        <w:t xml:space="preserve"> its implementation.</w:t>
      </w:r>
    </w:p>
    <w:p w14:paraId="035A0FBD"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Based on the Delta Programme on Spatial Adaptation, national, regional and local risk dialogues were held as a follow up to stress tests, addressing given area’s vulnerabilities to waterlogging, heat stress, drought, and flood risks. Local authorities are encouraged to devote attention to heat stress as part of a local climate scan. As a follow-up to the stress test Risk Dialogues are held with all stakeholders to evaluate the outcome of the risk analysis and to see which measures needs to be taken. Even the NAP is actively urging multilevel governance. NAP Chapter #3 (Ambitions and approach) introduces tasks of different spatial levels. NAP priority #4 emphasizes collaboration between provincial authorities.</w:t>
      </w:r>
    </w:p>
    <w:p w14:paraId="311A7517"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 NAS 2016, the central government asked provincial authorities to take the lead in drawing up regional climate adaptation strategies. The Implementation Programme also supports the regional climate adaptation strategies and implementation plans, with due attention to the role of provincial authorities and partnerships in ensuring the manageability of climate risks</w:t>
      </w:r>
      <w:r w:rsidRPr="0002056A">
        <w:rPr>
          <w:rStyle w:val="Lbjegyzet-hivatkozs"/>
          <w:rFonts w:ascii="Georgia" w:hAnsi="Georgia"/>
          <w:lang w:val="en-GB"/>
        </w:rPr>
        <w:footnoteReference w:id="130"/>
      </w:r>
      <w:r w:rsidRPr="0002056A">
        <w:rPr>
          <w:rFonts w:ascii="Georgia" w:hAnsi="Georgia"/>
          <w:lang w:val="en-GB"/>
        </w:rPr>
        <w:t>. The approaches of the provincial authorities of North Brabant, Gelderland, South Holland and Overijssel are good examples: they vary widely but are all inspiring in their own way.</w:t>
      </w:r>
    </w:p>
    <w:p w14:paraId="5F0ACC5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 adaptation policy the Rijkswaterstaat carries out monitoring activities related to drinking water bases, PBL to climate adaptation issues, and the latter also coordinates the monitoring system related to the indicators of the adaptation strategy (NAS). As for plans to set up a comprehensive adaptation MRE system, specific objective #6 of the NAS says that the Ministry of Infrastructure and the Environment, assisted by the knowledge institutes, is to implement a basic monitoring system which allows central government, provincial authorities, local authorities, water management and other stakeholders to monitor climate adaptation progress. The intention is not to create an entirely new monitoring system but to adapt existing methodologies. NAP priority #5 also urges the monitoring of NAP implementation. The system essentially builds on the results and methodology of previously established monitoring systems, e.g. an MRE system has already been established in connection with the Delta Programme. It is based on the Measure, Know, Act (MWH) principle-triangle and the impact-</w:t>
      </w:r>
      <w:r w:rsidRPr="0002056A">
        <w:rPr>
          <w:rFonts w:ascii="Georgia" w:hAnsi="Georgia"/>
          <w:lang w:val="en-GB"/>
        </w:rPr>
        <w:lastRenderedPageBreak/>
        <w:t>and-risk assessments used by the PBL based on the best practices developed by provincial and local authorities. Several actors are involved in the monitoring activity, including the national government, provincial and local authorities, water management and other bodies (NAS, 2016). The adaptation monitoring activity is financed from the budget of Rijkswaterstaat – in addition to the budget of the regional water authorities. In addition, the Delta Decisions and Preferential Strategies are subjected to a systematic review every six years. The result of the first six-year review was presented in the Delta Programme 2021.</w:t>
      </w:r>
    </w:p>
    <w:p w14:paraId="3C4F2A42" w14:textId="0F052A8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NAS Implementation Report 2017-19 also introduces the Dutch MRE logic. According to this, climate adaptation MRE includes three components: 1) process monitoring of the agreed activities of the Implementation Programme; 2) output monitoring of climate risks (which are visualized in the NAS bubble diagrams); 3) outcome monitoring of actions and measures to promote climate resilience. The Delta Programme (DP) plays also an important role in monitoring of climate adaptation via its subprogramme “Monitoring, Analysing, Acting”</w:t>
      </w:r>
      <w:r w:rsidRPr="0002056A">
        <w:rPr>
          <w:rStyle w:val="Lbjegyzet-hivatkozs"/>
          <w:rFonts w:ascii="Georgia" w:hAnsi="Georgia"/>
          <w:lang w:val="en-GB"/>
        </w:rPr>
        <w:footnoteReference w:id="131"/>
      </w:r>
      <w:r w:rsidRPr="0002056A">
        <w:rPr>
          <w:rFonts w:ascii="Georgia" w:hAnsi="Georgia"/>
          <w:lang w:val="en-GB"/>
        </w:rPr>
        <w:t xml:space="preserve">. In 2024 and 2022 one-one spatial adaptation reports were published, but these are lacking maps - however, does have provincial subchapters. Within the Delta Programme on Spatial Adaptation, a Dutch Urban climate adaptation MRE system is also planned to be set up. Altogether, several </w:t>
      </w:r>
      <w:r w:rsidR="008F0D60" w:rsidRPr="0002056A">
        <w:rPr>
          <w:rFonts w:ascii="Georgia" w:hAnsi="Georgia"/>
          <w:lang w:val="en-GB"/>
        </w:rPr>
        <w:t>databases</w:t>
      </w:r>
      <w:r w:rsidRPr="0002056A">
        <w:rPr>
          <w:rFonts w:ascii="Georgia" w:hAnsi="Georgia"/>
          <w:lang w:val="en-GB"/>
        </w:rPr>
        <w:t xml:space="preserve"> are operating in the country.</w:t>
      </w:r>
      <w:r w:rsidRPr="0002056A">
        <w:rPr>
          <w:rStyle w:val="Lbjegyzet-hivatkozs"/>
          <w:rFonts w:ascii="Georgia" w:hAnsi="Georgia"/>
          <w:lang w:val="en-GB"/>
        </w:rPr>
        <w:footnoteReference w:id="132"/>
      </w:r>
      <w:r w:rsidRPr="0002056A">
        <w:rPr>
          <w:rFonts w:ascii="Georgia" w:hAnsi="Georgia"/>
          <w:lang w:val="en-GB"/>
        </w:rPr>
        <w:t xml:space="preserve"> Local and regional monitoring activities are also vivid</w:t>
      </w:r>
      <w:r w:rsidRPr="0002056A">
        <w:rPr>
          <w:rStyle w:val="Lbjegyzet-hivatkozs"/>
          <w:rFonts w:ascii="Georgia" w:hAnsi="Georgia"/>
          <w:lang w:val="en-GB"/>
        </w:rPr>
        <w:footnoteReference w:id="133"/>
      </w:r>
      <w:r w:rsidRPr="0002056A">
        <w:rPr>
          <w:rFonts w:ascii="Georgia" w:hAnsi="Georgia"/>
          <w:lang w:val="en-GB"/>
        </w:rPr>
        <w:t>.</w:t>
      </w:r>
    </w:p>
    <w:p w14:paraId="4415065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Indicators were developed for sectors and climate impacts that are not addressed by the Delta Programme. The Netherlands Environmental Agency (PBL) published a preliminary design for monitoring of adaptation already in 2015. NAP priority #5 says that a number of key indicators must be defined to enable measurement of progress in risk reduction, in coordination with the Delta Plan for Spatial Adaptation."</w:t>
      </w:r>
    </w:p>
    <w:p w14:paraId="75A0DB58"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Dutch Environmental Agency (PBL) actually started the work on structural monitoring and evaluation system for climate adaptation at national level. The first step was the assessment of the risks, impacts and vulnerabilities to climate change. Based on the assessments, PBL will design the Monitoring &amp; Evaluation system as an integrated part of the policy cycle on climate adaptation, to follow the efficiency of policies, improvement of future policies, and assessing the extent to which implemented adaptation policies and measures reduced climate risks, impacts and vulnerabilities. Stakeholders will be involved in setting up the system. However, no words of spatial aspects can be detected.</w:t>
      </w:r>
    </w:p>
    <w:p w14:paraId="370BB17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Several adaptation-oriented GIS-based or decision supporting sites operate in the country. </w:t>
      </w:r>
    </w:p>
    <w:p w14:paraId="56A3C452" w14:textId="70A89AEA" w:rsidR="00137018" w:rsidRPr="0002056A" w:rsidRDefault="00137018" w:rsidP="00137018">
      <w:pPr>
        <w:pStyle w:val="Listaszerbekezds"/>
        <w:numPr>
          <w:ilvl w:val="0"/>
          <w:numId w:val="9"/>
        </w:numPr>
        <w:spacing w:before="120" w:after="120" w:line="240" w:lineRule="auto"/>
        <w:contextualSpacing w:val="0"/>
        <w:jc w:val="both"/>
        <w:rPr>
          <w:rFonts w:ascii="Georgia" w:hAnsi="Georgia"/>
          <w:lang w:val="en-GB"/>
        </w:rPr>
      </w:pPr>
      <w:r w:rsidRPr="0002056A">
        <w:rPr>
          <w:rFonts w:ascii="Georgia" w:hAnsi="Georgia"/>
          <w:lang w:val="en-GB"/>
        </w:rPr>
        <w:t xml:space="preserve">The Climate Impact Atlas (https://www.klimaateffectatlas.nl/en) has already been mentioned by the NAS and is updated regularly. It disseminates knowledge and best practices in adaptation, provides an initial impression of the (future) threats of flooding, waterlogging, drought and heat. It has a zoom function and includes several </w:t>
      </w:r>
      <w:r w:rsidRPr="0002056A">
        <w:rPr>
          <w:rFonts w:ascii="Georgia" w:hAnsi="Georgia"/>
          <w:lang w:val="en-GB"/>
        </w:rPr>
        <w:lastRenderedPageBreak/>
        <w:t>indicators for each threat. Several map layers are available for each of the topics. The Atlas is based on national data and is among others connected to the KNMI’14-scenarios. Use of the atlas is free. One of the portal’s key features is the digital versions of the diagrams presented by the NAS. It is very similar, regarding its logic, to the Hungarian NAGiS, being an excellent tool, containing a lot of explanations and rich map content.</w:t>
      </w:r>
    </w:p>
    <w:p w14:paraId="63AF706D" w14:textId="77777777" w:rsidR="00137018" w:rsidRPr="0002056A" w:rsidRDefault="00137018" w:rsidP="00137018">
      <w:pPr>
        <w:pStyle w:val="Listaszerbekezds"/>
        <w:numPr>
          <w:ilvl w:val="0"/>
          <w:numId w:val="9"/>
        </w:numPr>
        <w:spacing w:before="120" w:after="120" w:line="240" w:lineRule="auto"/>
        <w:contextualSpacing w:val="0"/>
        <w:jc w:val="both"/>
        <w:rPr>
          <w:rFonts w:ascii="Georgia" w:hAnsi="Georgia"/>
          <w:lang w:val="en-GB"/>
        </w:rPr>
      </w:pPr>
      <w:r w:rsidRPr="0002056A">
        <w:rPr>
          <w:rFonts w:ascii="Georgia" w:hAnsi="Georgia"/>
          <w:lang w:val="en-GB"/>
        </w:rPr>
        <w:t>The Climate Damage Atlas (climatedamageatlas.com) is similar to the previous tool, only concentrates on damages (urban flooding, coastal flooding, heat waves, droughts)</w:t>
      </w:r>
    </w:p>
    <w:p w14:paraId="5C79025A" w14:textId="77777777" w:rsidR="00137018" w:rsidRPr="0002056A" w:rsidRDefault="00137018" w:rsidP="00137018">
      <w:pPr>
        <w:pStyle w:val="Listaszerbekezds"/>
        <w:numPr>
          <w:ilvl w:val="0"/>
          <w:numId w:val="9"/>
        </w:numPr>
        <w:spacing w:before="120" w:after="120" w:line="240" w:lineRule="auto"/>
        <w:contextualSpacing w:val="0"/>
        <w:jc w:val="both"/>
        <w:rPr>
          <w:rFonts w:ascii="Georgia" w:hAnsi="Georgia"/>
          <w:lang w:val="en-GB"/>
        </w:rPr>
      </w:pPr>
      <w:r w:rsidRPr="0002056A">
        <w:rPr>
          <w:rFonts w:ascii="Georgia" w:hAnsi="Georgia"/>
          <w:lang w:val="en-GB"/>
        </w:rPr>
        <w:t>The Dutch Adaptation Portal (https://klimaatadaptatienederland.nl/en) is a knowledge-gathering site in climate adaptation. NAP priority #5 targeted its establishment. The central government, provincial, municipal and water authorities and other parties use this workspace to monitor their progress climate adaptation. In the medium to long term, it may provide guidance even for monitoring activities (</w:t>
      </w:r>
      <w:r w:rsidRPr="0002056A">
        <w:rPr>
          <w:rFonts w:ascii="Georgia" w:hAnsi="Georgia" w:cstheme="minorHAnsi"/>
          <w:smallCaps/>
          <w:lang w:val="en-GB"/>
        </w:rPr>
        <w:t>Laudien et al., 2019</w:t>
      </w:r>
      <w:r w:rsidRPr="0002056A">
        <w:rPr>
          <w:rFonts w:ascii="Georgia" w:hAnsi="Georgia"/>
          <w:lang w:val="en-GB"/>
        </w:rPr>
        <w:t xml:space="preserve">). </w:t>
      </w:r>
    </w:p>
    <w:p w14:paraId="295C2118" w14:textId="77777777" w:rsidR="00137018" w:rsidRPr="0002056A" w:rsidRDefault="00137018" w:rsidP="00137018">
      <w:pPr>
        <w:pStyle w:val="Listaszerbekezds"/>
        <w:numPr>
          <w:ilvl w:val="0"/>
          <w:numId w:val="9"/>
        </w:numPr>
        <w:spacing w:before="120" w:after="120" w:line="240" w:lineRule="auto"/>
        <w:contextualSpacing w:val="0"/>
        <w:jc w:val="both"/>
        <w:rPr>
          <w:rFonts w:ascii="Georgia" w:hAnsi="Georgia"/>
          <w:lang w:val="en-GB"/>
        </w:rPr>
      </w:pPr>
      <w:r w:rsidRPr="0002056A">
        <w:rPr>
          <w:rFonts w:ascii="Georgia" w:hAnsi="Georgia"/>
          <w:lang w:val="en-GB"/>
        </w:rPr>
        <w:t xml:space="preserve">The Climate Proof Together Platform (Platform Samen Klimaatbestendig) was set up under the Delta Plan for Spatial Adaptation for the purpose of sharing experiential knowledge. </w:t>
      </w:r>
    </w:p>
    <w:p w14:paraId="4E6E6CDC"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Adaptation evaluation processes in the Netherlands are fundamentally based on the traditional context-objectives-input-output-outcome system, which forms the basis of internal dynamics and runs through the entire planning-implementation chain. According to the NAS regular progress reports are issued in the Netherlands about the NAS. Based on these, if necessary, a revised and updated version of the strategy can also be produced. In the Delta Program evaluation system, the logical chain is concentrating on effectiveness (achievement of requirements set analysing the way the results resulting from the interventions regarding social and environmental problems) and efficiency (appropriateness of resource use by assessing the consequences of the responses and inputs taken to meet the policy objectives, measured by various indicators).</w:t>
      </w:r>
    </w:p>
    <w:p w14:paraId="7D53174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 2020 The National Perspectief klimatadaptatie - Groeinde opgave in een snel veranderde omgeving " document was published, as a Report about the NAS implementation 2017-19. The document dealt with implementation processes and does not show any special emphasis on spatiality, only scattered references when it goes through the NAS' and NAP's preferential sectors (agriculture, nature, critical infrastructure, physical environment, regional planning insurances)</w:t>
      </w:r>
      <w:r w:rsidRPr="0002056A">
        <w:rPr>
          <w:rStyle w:val="Lbjegyzet-hivatkozs"/>
          <w:rFonts w:ascii="Georgia" w:hAnsi="Georgia"/>
          <w:lang w:val="en-GB"/>
        </w:rPr>
        <w:footnoteReference w:id="134"/>
      </w:r>
      <w:r w:rsidRPr="0002056A">
        <w:rPr>
          <w:rFonts w:ascii="Georgia" w:hAnsi="Georgia"/>
          <w:lang w:val="en-GB"/>
        </w:rPr>
        <w:t xml:space="preserve">. The document contains two spatial-like info graphs: one for main climate effect, one for heat stress in cities. Its NAS-based climate impact-table mentions areas with insufficient water supplies, the Delta-territory and the spatial cross-effects of climate change. Regional planning, process of National Heat Plan implementation and Local Heat Plan elaborations gets bigger emphasis in more points of the document. In the report Bulb diagrams are included from the NAS/NAP. These are visualizations of the consequences of climate change, as identified in the first national climate risk analysis and assessment of 2015. Provinces and regions use these bulb diagrams, too, via a tool when preparing adaptation or risk dialogues and when creating regional adaptation strategies. The tool is used frequently: about 40 to 50 times a week. </w:t>
      </w:r>
    </w:p>
    <w:p w14:paraId="77B0D316" w14:textId="0F4BE671"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National Adaptation Strategy was evaluated in 2022. The Evaluatie NAS (AAnbevelingen voor versnelde uitvoering van de NAS) document does not reflect any special spatial logic, only scattered references</w:t>
      </w:r>
      <w:r w:rsidRPr="0002056A">
        <w:rPr>
          <w:rStyle w:val="Lbjegyzet-hivatkozs"/>
          <w:rFonts w:ascii="Georgia" w:hAnsi="Georgia"/>
          <w:lang w:val="en-GB"/>
        </w:rPr>
        <w:footnoteReference w:id="135"/>
      </w:r>
      <w:r w:rsidRPr="0002056A">
        <w:rPr>
          <w:rFonts w:ascii="Georgia" w:hAnsi="Georgia"/>
          <w:lang w:val="en-GB"/>
        </w:rPr>
        <w:t xml:space="preserve">. MRE is continuously urged, even in sectors, but without spatial hints. Each year the Delta Programme reports on the implementation of its decisions and strategies </w:t>
      </w:r>
      <w:r w:rsidRPr="0002056A">
        <w:rPr>
          <w:rFonts w:ascii="Georgia" w:hAnsi="Georgia"/>
          <w:lang w:val="en-GB"/>
        </w:rPr>
        <w:lastRenderedPageBreak/>
        <w:t>(Delta Plan on Flood Risk Management; Delta Plan on Fresh Water Supply; Delta Plan on Spatial Adaptation). A Summary Report is prepared annually for the parliament on the progress of the Delta Programme and the implementation of the measures taking place within its framework. Delta Programme reports have sometimes provincial subchapters.</w:t>
      </w:r>
    </w:p>
    <w:p w14:paraId="559EDA2B"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 the country, the traditional Dutch way can be highlighted in the fields of strategic planning and MRE, i.e. the pursuit of consensus between different professional and political trends, during the drafting of the documents. They also strive to ensure that the participation of the parties involved in the process continues during the implementation, since the sectors responsible for the individual measures will be the same as those who participated in the development. These involvements and consensus seeking permeate all spatial levels and support the involvement of regional/local knowledge/interest.</w:t>
      </w:r>
    </w:p>
    <w:p w14:paraId="4A24821B" w14:textId="77777777" w:rsidR="00137018" w:rsidRPr="0002056A" w:rsidRDefault="00137018" w:rsidP="00137018">
      <w:pPr>
        <w:pStyle w:val="Cmsor4"/>
        <w:rPr>
          <w:lang w:val="en-GB"/>
        </w:rPr>
      </w:pPr>
      <w:r w:rsidRPr="0002056A">
        <w:rPr>
          <w:lang w:val="en-GB"/>
        </w:rPr>
        <w:t>Germany – systematic approach to adaptation MRE</w:t>
      </w:r>
    </w:p>
    <w:p w14:paraId="75A02185" w14:textId="008FFA22"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lang w:val="en-GB"/>
        </w:rPr>
        <w:t xml:space="preserve">Climate adaptation in Germany is a long-term endeavour that is guided by a politically agreed legal, institutional and methodological framework, involving all sectoral policies and therefore every federal ministry. </w:t>
      </w:r>
      <w:r w:rsidRPr="0002056A">
        <w:rPr>
          <w:rFonts w:ascii="Georgia" w:hAnsi="Georgia" w:cs="Calibri"/>
          <w:lang w:val="en-GB"/>
        </w:rPr>
        <w:t>Similarly to Austria, in Germany the whole spectrum of adaptation planning and MRE documents exist at national level: Climate Law (KAnG, Klimaanpassungsgesetz), National Adaptation Strategy (DAS, Deutsche Anpassungsstrategie), National Adaptation Plan (APA, Aktionsplan Anpassung), climate change risk assessment (KWRA, Klimawirkungs- und Risikoanalyse) and the Monitoring Report. Furthermore, all federal states (Länder) have their own adaptation strategies, some even have risk assessments and monitoring reports, some also have climate adaptation acts. In some sectors sectoral adaptation plans (SAPs) are also applied (agriculture, forestry, health, transport), additional to the cross sectoral national adaptation documents mentioned above.</w:t>
      </w:r>
    </w:p>
    <w:p w14:paraId="1B32D1BF"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In December 2023, the first Federal Climate Adaptation Act (Klimaanpassungsgesetz, KAnG) was adopted in Germany, establishing a binding framework for climate adaptation at different spatial levels. The Act requires the Federal Government, federal states and municipalities to address the impacts of climate change and identify adaptation measures. </w:t>
      </w:r>
    </w:p>
    <w:p w14:paraId="07A54B8E" w14:textId="77777777"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As for the logic in adaptation, sectoral approach is prevailing with some spatial information (cross sectoral national assessments also include spatial information in the form of maps). Our interviewee personally also prefers sectoral information at the different spatial levels (national, regional, local).</w:t>
      </w:r>
      <w:r w:rsidRPr="0002056A">
        <w:rPr>
          <w:rFonts w:ascii="Georgia" w:hAnsi="Georgia"/>
          <w:lang w:val="en-GB"/>
        </w:rPr>
        <w:t xml:space="preserve"> According to Inke Schauser, </w:t>
      </w:r>
      <w:r w:rsidRPr="0002056A">
        <w:rPr>
          <w:rFonts w:ascii="Georgia" w:hAnsi="Georgia" w:cs="Calibri"/>
          <w:lang w:val="en-GB"/>
        </w:rPr>
        <w:t>Germany has a federal structure, so spatial analysis are difficult, spatial issues are mostly present in the climate risk assessment.</w:t>
      </w:r>
      <w:r w:rsidRPr="0002056A">
        <w:rPr>
          <w:rFonts w:ascii="Georgia" w:hAnsi="Georgia"/>
          <w:lang w:val="en-GB"/>
        </w:rPr>
        <w:t xml:space="preserve"> </w:t>
      </w:r>
      <w:r w:rsidRPr="0002056A">
        <w:rPr>
          <w:rFonts w:ascii="Georgia" w:hAnsi="Georgia" w:cs="Calibri"/>
          <w:lang w:val="en-GB"/>
        </w:rPr>
        <w:t>At the provincial level, the coordination of adaptation activities is the responsibility of the regional governments, even a committee was established to channel regional aspects into the federal state level planning (Standing Committee for Adaptation to Climate Change Impacts). The Conference of Environmental Ministers was established in June 2009 to coordinate adaptation activities in the provinces. The local level plays also an important role, e.g.  in the implementation of the NAS, ensuring that subsidiarity is upheld.</w:t>
      </w:r>
    </w:p>
    <w:p w14:paraId="6B503EC8"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Similarly to the Netherlands, mitigation and adaptation policies form separate subsystems, with each area having its own institutional framework. In addition to the country's climate protection plan, a federal adaptation strategy (German Adaptation Strategy – DAS) was also adopted in 2008, reviewing the potential risks and opportunities in 15 areas and laying down the main principles of climate adaptation. Thirteen of these areas</w:t>
      </w:r>
      <w:r w:rsidRPr="0002056A">
        <w:rPr>
          <w:rStyle w:val="Lbjegyzet-hivatkozs"/>
          <w:rFonts w:ascii="Georgia" w:hAnsi="Georgia"/>
          <w:lang w:val="en-GB"/>
        </w:rPr>
        <w:footnoteReference w:id="136"/>
      </w:r>
      <w:r w:rsidRPr="0002056A">
        <w:rPr>
          <w:rFonts w:ascii="Georgia" w:hAnsi="Georgia"/>
          <w:lang w:val="en-GB"/>
        </w:rPr>
        <w:t xml:space="preserve"> are classic sectors; while two are horizontal themes (spatial development and planning; civil protection). Based on the aspects of the strategy, action plans containing the operational details of the implementation of adaptation are prepared every five years (the first was adopted in 2011).</w:t>
      </w:r>
    </w:p>
    <w:p w14:paraId="00856157"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DAS creates the frameworks of the adaptation to climate change impacts, orienting the stakeholders. The new strategy builds on the broad scientific foundations of the 2008 German Strategy for Adaptation. Functions of the NAS comprises identification and specification of possible long-term climate consequences for Germany and its regions; naming and </w:t>
      </w:r>
      <w:r w:rsidRPr="0002056A">
        <w:rPr>
          <w:rFonts w:ascii="Georgia" w:hAnsi="Georgia"/>
          <w:lang w:val="en-GB"/>
        </w:rPr>
        <w:lastRenderedPageBreak/>
        <w:t xml:space="preserve">communicating dangers and risks; quantifying and making transparent the probabilities of occurrence and damage potential as well as the uncertainties of climate impacts; sensitize stakeholders; providing basis for decision-making; showing options for action; formulate and implement measures with clear responsibilities. The action plan under the DAS underpins those directions mentioned in DAS focusing on actions with specific federal activities in the coming years. </w:t>
      </w:r>
    </w:p>
    <w:p w14:paraId="17F402A0"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concrete spatial content in the DAS is not so much but references to general importance of the spatial approach emerge in several points of the strategy. E.g.: the Executive Summary says that "This basis can be used to assess the consequences for sectors and regions and to derive the need for action.” It also mentions different spatial levels' role in MRE. Chapter 1 (Ziele und Rahmen) underlines that states must develop, implement and regularly update national and, if necessary, regional programs that facilitate appropriate adaptation to climate change." Chapter 2 is especially about federal states' recent related activities as good examples (in Germany the ever-actual adaptation strategy aims at delineating the responsibilities and competences between the federal government, the federal states, the regions and the local level). Chapter 3.1. about general climate change impacts, trends, time horizon emphasises that regional differences in the endowment and use of natural resources also can regionally and locally influence the ability to adapt and thus the extent of the effects of climate change. Regional differences can also arise in terms of positive or negative consequences. Situation analysis chapters “Construction”, “Agriculture”, “Forestry”, “Fishery”, “Transport” and “Industry” mention several spatial references/information. DAS Chapter 3.5. about R&amp;D also expresses that questions about adaptation to climate change can be viewed and addressed on the one hand on a sectoral basis and on the other hand on a spatial (regional) basis. Among the horizontal principles of DAS "Subsidiarity, self-provision, adaptive capacity and proportionality"; "Integral approach and consideration of climate impacts in planning and Decisions" and "Acting under uncertainty" contain general regional/territorial references. </w:t>
      </w:r>
    </w:p>
    <w:p w14:paraId="07157A90" w14:textId="77777777"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As for data background of MRE activities, Chapter 3.8.3. of the new DAS mentions: "at the federal, federal state and municipal levels, nationwide standardised basic data sets on climate trends will ensure coherent basic data and enable comparability of the adaptation strategies and plans developed at different levels</w:t>
      </w:r>
      <w:r w:rsidRPr="0002056A">
        <w:rPr>
          <w:rStyle w:val="Lbjegyzet-hivatkozs"/>
          <w:rFonts w:ascii="Georgia" w:hAnsi="Georgia"/>
          <w:bCs/>
          <w:lang w:val="en-GB"/>
        </w:rPr>
        <w:footnoteReference w:id="137"/>
      </w:r>
      <w:r w:rsidRPr="0002056A">
        <w:rPr>
          <w:rFonts w:ascii="Georgia" w:hAnsi="Georgia"/>
          <w:bCs/>
          <w:lang w:val="en-GB"/>
        </w:rPr>
        <w:t>. Following the adoption of the Federal Climate Adaptation Act, it is expected that all public authorities (Federal Government, federal states and municipalities, as well as bodies discharging public functions) will need more climatological, hydrological and oceanographic basic data sets and portfolios that can be used to tailor adaptation measures. To provide data quickly and in the required spatial and temporal resolution, it will be necessary to carry out specialised development work and set up a data delivery system that is also geared to the requirements of the regional and municipal levels.</w:t>
      </w:r>
    </w:p>
    <w:p w14:paraId="5E0B9B66" w14:textId="45E612C9"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Similarly to its Northwestern neighbour, several adaptation-oriented decision</w:t>
      </w:r>
      <w:r w:rsidR="002E5300" w:rsidRPr="0002056A">
        <w:rPr>
          <w:rFonts w:ascii="Georgia" w:hAnsi="Georgia"/>
          <w:bCs/>
          <w:lang w:val="en-GB"/>
        </w:rPr>
        <w:t>-</w:t>
      </w:r>
      <w:r w:rsidRPr="0002056A">
        <w:rPr>
          <w:rFonts w:ascii="Georgia" w:hAnsi="Georgia"/>
          <w:bCs/>
          <w:lang w:val="en-GB"/>
        </w:rPr>
        <w:t xml:space="preserve">supporting tools are functioning in Germany. </w:t>
      </w:r>
    </w:p>
    <w:p w14:paraId="7E557945" w14:textId="77777777" w:rsidR="00137018" w:rsidRPr="0002056A" w:rsidRDefault="00137018" w:rsidP="00137018">
      <w:pPr>
        <w:pStyle w:val="Listaszerbekezds"/>
        <w:numPr>
          <w:ilvl w:val="0"/>
          <w:numId w:val="8"/>
        </w:numPr>
        <w:spacing w:before="120" w:after="120" w:line="240" w:lineRule="auto"/>
        <w:ind w:left="360"/>
        <w:contextualSpacing w:val="0"/>
        <w:jc w:val="both"/>
        <w:rPr>
          <w:rFonts w:ascii="Georgia" w:hAnsi="Georgia"/>
          <w:bCs/>
          <w:lang w:val="en-GB"/>
        </w:rPr>
      </w:pPr>
      <w:r w:rsidRPr="0002056A">
        <w:rPr>
          <w:rFonts w:ascii="Georgia" w:hAnsi="Georgia"/>
          <w:bCs/>
          <w:lang w:val="en-GB"/>
        </w:rPr>
        <w:t>The German Climate Preparedness Portal (klivoportal.de) provides quality approved services and offers guidance in taking precautionary measures against the effects of climate change. It is rather a link collection of other services,</w:t>
      </w:r>
      <w:r w:rsidRPr="0002056A">
        <w:rPr>
          <w:rFonts w:ascii="Georgia" w:eastAsia="Times New Roman" w:hAnsi="Georgia" w:cs="Calibri"/>
          <w:lang w:val="en-GB" w:eastAsia="hu-HU"/>
        </w:rPr>
        <w:t xml:space="preserve"> serving basically as a knowledge gathering and dissemination tool.</w:t>
      </w:r>
    </w:p>
    <w:p w14:paraId="301A5317" w14:textId="77777777" w:rsidR="00137018" w:rsidRPr="0002056A" w:rsidRDefault="00137018" w:rsidP="00137018">
      <w:pPr>
        <w:pStyle w:val="Listaszerbekezds"/>
        <w:numPr>
          <w:ilvl w:val="0"/>
          <w:numId w:val="8"/>
        </w:numPr>
        <w:spacing w:before="120" w:after="120" w:line="240" w:lineRule="auto"/>
        <w:ind w:left="360"/>
        <w:contextualSpacing w:val="0"/>
        <w:jc w:val="both"/>
        <w:rPr>
          <w:rFonts w:ascii="Georgia" w:hAnsi="Georgia"/>
          <w:bCs/>
          <w:lang w:val="en-GB"/>
        </w:rPr>
      </w:pPr>
      <w:r w:rsidRPr="0002056A">
        <w:rPr>
          <w:rFonts w:ascii="Georgia" w:hAnsi="Georgia"/>
          <w:bCs/>
          <w:lang w:val="en-GB"/>
        </w:rPr>
        <w:t>The website of the Federal Environmental Office (</w:t>
      </w:r>
      <w:hyperlink r:id="rId208" w:history="1">
        <w:r w:rsidRPr="0002056A">
          <w:rPr>
            <w:rFonts w:ascii="Georgia" w:hAnsi="Georgia"/>
            <w:lang w:val="en-GB"/>
          </w:rPr>
          <w:t>https://www.umweltbundesamt.de/themen/klima-energie/klimafolgen-anpassung</w:t>
        </w:r>
      </w:hyperlink>
      <w:r w:rsidRPr="0002056A">
        <w:rPr>
          <w:rFonts w:ascii="Georgia" w:hAnsi="Georgia"/>
          <w:bCs/>
          <w:lang w:val="en-GB"/>
        </w:rPr>
        <w:t>) comprises links to regional sites (Länder level) with several maps about present situation and future.</w:t>
      </w:r>
    </w:p>
    <w:p w14:paraId="7CF2591E" w14:textId="77777777" w:rsidR="00137018" w:rsidRPr="0002056A" w:rsidRDefault="00137018" w:rsidP="00137018">
      <w:pPr>
        <w:pStyle w:val="Listaszerbekezds"/>
        <w:numPr>
          <w:ilvl w:val="0"/>
          <w:numId w:val="8"/>
        </w:numPr>
        <w:spacing w:before="120" w:after="120" w:line="240" w:lineRule="auto"/>
        <w:ind w:left="360"/>
        <w:contextualSpacing w:val="0"/>
        <w:jc w:val="both"/>
        <w:rPr>
          <w:rFonts w:ascii="Georgia" w:hAnsi="Georgia"/>
          <w:bCs/>
          <w:lang w:val="en-GB"/>
        </w:rPr>
      </w:pPr>
      <w:r w:rsidRPr="0002056A">
        <w:rPr>
          <w:rFonts w:ascii="Georgia" w:hAnsi="Georgia"/>
          <w:bCs/>
          <w:lang w:val="en-GB"/>
        </w:rPr>
        <w:t>The zentrum-klimaanpassung.de is another information and knowledge portal.</w:t>
      </w:r>
    </w:p>
    <w:p w14:paraId="7851C3D7" w14:textId="266B7E11" w:rsidR="00137018" w:rsidRPr="0002056A" w:rsidRDefault="00137018" w:rsidP="00137018">
      <w:pPr>
        <w:pStyle w:val="Listaszerbekezds"/>
        <w:numPr>
          <w:ilvl w:val="0"/>
          <w:numId w:val="8"/>
        </w:numPr>
        <w:spacing w:before="120" w:after="120" w:line="240" w:lineRule="auto"/>
        <w:ind w:left="360"/>
        <w:contextualSpacing w:val="0"/>
        <w:jc w:val="both"/>
        <w:rPr>
          <w:rFonts w:ascii="Georgia" w:hAnsi="Georgia"/>
          <w:bCs/>
          <w:lang w:val="en-GB"/>
        </w:rPr>
      </w:pPr>
      <w:r w:rsidRPr="0002056A">
        <w:rPr>
          <w:rFonts w:ascii="Georgia" w:hAnsi="Georgia"/>
          <w:bCs/>
          <w:lang w:val="en-GB"/>
        </w:rPr>
        <w:lastRenderedPageBreak/>
        <w:t xml:space="preserve">The website of the German Meteorological Service </w:t>
      </w:r>
      <w:r w:rsidRPr="0002056A">
        <w:rPr>
          <w:rFonts w:ascii="Georgia" w:eastAsia="Times New Roman" w:hAnsi="Georgia" w:cs="Calibri"/>
          <w:lang w:val="en-GB" w:eastAsia="hu-HU"/>
        </w:rPr>
        <w:t xml:space="preserve">(Deutsche Wetter Dienst, DWD - </w:t>
      </w:r>
      <w:r w:rsidRPr="0002056A">
        <w:rPr>
          <w:rFonts w:ascii="Georgia" w:hAnsi="Georgia"/>
          <w:bCs/>
          <w:lang w:val="en-GB"/>
        </w:rPr>
        <w:t xml:space="preserve">deutschesklimaportal.de/DE/Home/home_node.html) is the meteorological service's official web portal with several climatic data presented. It also shows </w:t>
      </w:r>
      <w:r w:rsidRPr="0002056A">
        <w:rPr>
          <w:rFonts w:ascii="Georgia" w:eastAsia="Times New Roman" w:hAnsi="Georgia" w:cs="Calibri"/>
          <w:lang w:val="en-GB" w:eastAsia="hu-HU"/>
        </w:rPr>
        <w:t>results of impact models. The Climate Atlas of the DWD</w:t>
      </w:r>
      <w:r w:rsidRPr="0002056A">
        <w:rPr>
          <w:rStyle w:val="Lbjegyzet-hivatkozs"/>
          <w:rFonts w:ascii="Georgia" w:hAnsi="Georgia" w:cs="Calibri"/>
          <w:lang w:val="en-GB"/>
        </w:rPr>
        <w:footnoteReference w:id="138"/>
      </w:r>
      <w:r w:rsidRPr="0002056A">
        <w:rPr>
          <w:rFonts w:ascii="Georgia" w:eastAsia="Times New Roman" w:hAnsi="Georgia" w:cs="Calibri"/>
          <w:lang w:val="en-GB" w:eastAsia="hu-HU"/>
        </w:rPr>
        <w:t xml:space="preserve"> also provides data from Länder (regional level). This knowledge, as information basis and as overview is utilised in adaptation planning and MRE, but for more adequate planning, more detailed (local) data is needed.</w:t>
      </w:r>
    </w:p>
    <w:p w14:paraId="73D2F754"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Monitoring Report, published every four years as one of the most important parts of the Progress Report, provides an overview of monitoring activities. It forms the scientific basis for evaluating progress towards achieving the targets and for updating the climate adaptation strategy. The report is based on a system of indicators developed to track the achievement of DAS targets. The Federal Environment Agency (UBA) is responsible for coordinating and organizing monitoring activities, and almost all federal authorities participate by sharing their experiences and providing regular data.</w:t>
      </w:r>
      <w:r w:rsidRPr="0002056A">
        <w:rPr>
          <w:rStyle w:val="Lbjegyzet-hivatkozs"/>
          <w:rFonts w:ascii="Georgia" w:hAnsi="Georgia"/>
          <w:lang w:val="en-GB"/>
        </w:rPr>
        <w:footnoteReference w:id="139"/>
      </w:r>
      <w:r w:rsidRPr="0002056A">
        <w:rPr>
          <w:rFonts w:ascii="Georgia" w:hAnsi="Georgia"/>
          <w:lang w:val="en-GB"/>
        </w:rPr>
        <w:t xml:space="preserve"> Although in the Monitoring Reports even if map content is not so strong, there are a plenty of narrative references to spatial issues in the documents</w:t>
      </w:r>
      <w:r w:rsidRPr="0002056A">
        <w:rPr>
          <w:rStyle w:val="Lbjegyzet-hivatkozs"/>
          <w:rFonts w:ascii="Georgia" w:hAnsi="Georgia"/>
          <w:lang w:val="en-GB"/>
        </w:rPr>
        <w:footnoteReference w:id="140"/>
      </w:r>
      <w:r w:rsidRPr="0002056A">
        <w:rPr>
          <w:rFonts w:ascii="Georgia" w:hAnsi="Georgia"/>
          <w:lang w:val="en-GB"/>
        </w:rPr>
        <w:t>.</w:t>
      </w:r>
    </w:p>
    <w:p w14:paraId="7F6744D4" w14:textId="5D094C10"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Progress towards the targets is measured by an indicator-based monitoring system, that</w:t>
      </w:r>
      <w:r w:rsidRPr="0002056A">
        <w:rPr>
          <w:rFonts w:ascii="Georgia" w:hAnsi="Georgia"/>
          <w:bCs/>
          <w:lang w:val="en-GB"/>
        </w:rPr>
        <w:t xml:space="preserve"> covers major areas of expertise that appear as areas of intervention in the DAS. Already the DAS</w:t>
      </w:r>
      <w:r w:rsidRPr="0002056A">
        <w:rPr>
          <w:rFonts w:ascii="Georgia" w:hAnsi="Georgia"/>
          <w:b/>
          <w:bCs/>
          <w:lang w:val="en-GB"/>
        </w:rPr>
        <w:t xml:space="preserve"> </w:t>
      </w:r>
      <w:r w:rsidRPr="0002056A">
        <w:rPr>
          <w:rFonts w:ascii="Georgia" w:hAnsi="Georgia"/>
          <w:lang w:val="en-GB"/>
        </w:rPr>
        <w:t>Chapter 5.2. mentions that "</w:t>
      </w:r>
      <w:r w:rsidRPr="0002056A">
        <w:rPr>
          <w:rFonts w:ascii="Georgia" w:hAnsi="Georgia"/>
          <w:i/>
          <w:iCs/>
          <w:lang w:val="en-GB"/>
        </w:rPr>
        <w:t>The Federal Government will therefore develop proposals for a methodical approach to vulnerability assessment and suitable indicator systems. Through a concept study on indicators and monitoring for the German Adaptation Strategy, the indicator system can also be expanded and used in a later step for monitoring and evaluating adaptation</w:t>
      </w:r>
      <w:r w:rsidRPr="0002056A">
        <w:rPr>
          <w:rFonts w:ascii="Georgia" w:hAnsi="Georgia"/>
          <w:lang w:val="en-GB"/>
        </w:rPr>
        <w:t xml:space="preserve">”. In the Interministerial Working Group on Adaptation to Climate Change (IMAA) 28 higher federal authorities work together on climate adaptation, in particular on monitoring climate impacts and adaptation, as well as on the assessment of risks, policy instruments and measures. </w:t>
      </w:r>
      <w:r w:rsidRPr="0002056A">
        <w:rPr>
          <w:rFonts w:ascii="Georgia" w:eastAsia="Times New Roman" w:hAnsi="Georgia" w:cs="Calibri"/>
          <w:lang w:val="en-GB" w:eastAsia="hu-HU"/>
        </w:rPr>
        <w:t xml:space="preserve">Data collection responsibilities are distributed between different authorities. All information come together at the Umweltbundesamt based on established process (started already 2008). </w:t>
      </w:r>
      <w:r w:rsidRPr="0002056A">
        <w:rPr>
          <w:rFonts w:ascii="Georgia" w:hAnsi="Georgia"/>
          <w:lang w:val="en-GB"/>
        </w:rPr>
        <w:t xml:space="preserve">Germany, moreover, intends to develop </w:t>
      </w:r>
      <w:r w:rsidR="00810E31" w:rsidRPr="0002056A">
        <w:rPr>
          <w:rFonts w:ascii="Georgia" w:hAnsi="Georgia"/>
          <w:lang w:val="en-GB"/>
        </w:rPr>
        <w:t>a</w:t>
      </w:r>
      <w:r w:rsidRPr="0002056A">
        <w:rPr>
          <w:rFonts w:ascii="Georgia" w:hAnsi="Georgia"/>
          <w:lang w:val="en-GB"/>
        </w:rPr>
        <w:t xml:space="preserve"> new MERL Framework starting from 2025.</w:t>
      </w:r>
    </w:p>
    <w:p w14:paraId="37C867D6" w14:textId="3C643E9B"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general responsibility for developing, collecting and updating the indicators measuring progress towards achieving the targets lies with the ministries with lead responsibility for each target. To measure the extent to which the targets of DAS have been achieved, indicators are applied, some of which already exist and some of which still need to be developed or further refined, as part of the Federal Government’s monitoring system, which has been in place since 2009. This is in line with the requirement in section 5 of the Federal Climate Adaptation Act, which stipulates that the Federal Government produces a monitoring report based on state-of-the-art methods about the observed impacts of climate change and progress towards achieving policy targets. </w:t>
      </w:r>
      <w:r w:rsidRPr="0002056A">
        <w:rPr>
          <w:rFonts w:ascii="Georgia" w:eastAsia="Times New Roman" w:hAnsi="Georgia" w:cs="Calibri"/>
          <w:lang w:val="en-GB" w:eastAsia="hu-HU"/>
        </w:rPr>
        <w:t xml:space="preserve">Indicators are collected mainly at national </w:t>
      </w:r>
      <w:r w:rsidR="002E5300" w:rsidRPr="0002056A">
        <w:rPr>
          <w:rFonts w:ascii="Georgia" w:eastAsia="Times New Roman" w:hAnsi="Georgia" w:cs="Calibri"/>
          <w:lang w:val="en-GB" w:eastAsia="hu-HU"/>
        </w:rPr>
        <w:t>level;</w:t>
      </w:r>
      <w:r w:rsidRPr="0002056A">
        <w:rPr>
          <w:rFonts w:ascii="Georgia" w:eastAsia="Times New Roman" w:hAnsi="Georgia" w:cs="Calibri"/>
          <w:lang w:val="en-GB" w:eastAsia="hu-HU"/>
        </w:rPr>
        <w:t xml:space="preserve"> however, some regional </w:t>
      </w:r>
      <w:r w:rsidRPr="0002056A">
        <w:rPr>
          <w:rFonts w:ascii="Georgia" w:eastAsia="Times New Roman" w:hAnsi="Georgia" w:cs="Calibri"/>
          <w:lang w:val="en-GB" w:eastAsia="hu-HU"/>
        </w:rPr>
        <w:lastRenderedPageBreak/>
        <w:t>examples also exist, and spatial aggregation from lower levels also occurs</w:t>
      </w:r>
      <w:r w:rsidRPr="0002056A">
        <w:rPr>
          <w:rStyle w:val="Lbjegyzet-hivatkozs"/>
          <w:rFonts w:ascii="Georgia" w:hAnsi="Georgia" w:cs="Calibri"/>
          <w:lang w:val="en-GB"/>
        </w:rPr>
        <w:footnoteReference w:id="141"/>
      </w:r>
      <w:r w:rsidRPr="0002056A">
        <w:rPr>
          <w:rFonts w:ascii="Georgia" w:eastAsia="Times New Roman" w:hAnsi="Georgia" w:cs="Calibri"/>
          <w:lang w:val="en-GB" w:eastAsia="hu-HU"/>
        </w:rPr>
        <w:t xml:space="preserve">. </w:t>
      </w:r>
      <w:r w:rsidRPr="0002056A">
        <w:rPr>
          <w:rFonts w:ascii="Georgia" w:hAnsi="Georgia"/>
          <w:lang w:val="en-GB"/>
        </w:rPr>
        <w:t>The report presents the indicators in a way that clearly shows which indicators are used to measure progress towards the strategy’s targets and which – mostly existing impact indicators – are used to provide general information on the impacts of climate change.</w:t>
      </w:r>
    </w:p>
    <w:p w14:paraId="1E444919" w14:textId="77777777"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 xml:space="preserve">A standardized summary of each indicator was prepared in the form of data sheets and fact sheets (one for each indicator developed!), which are regularly updated; a background study on the development process of the indicators was also prepared. The purpose of the fact sheets is to summarize the characteristics of each indicator, </w:t>
      </w:r>
      <w:r w:rsidRPr="0002056A">
        <w:rPr>
          <w:rFonts w:ascii="Georgia" w:hAnsi="Georgia"/>
          <w:lang w:val="en-GB"/>
        </w:rPr>
        <w:t>including why it was selected, how it can be measured, what sources it can be obtained from, where it fits into the monitoring system, how useful it is, and what its weaknesses are (how interpretable, accessible, and understandable it is)</w:t>
      </w:r>
      <w:r w:rsidRPr="0002056A">
        <w:rPr>
          <w:rFonts w:ascii="Georgia" w:hAnsi="Georgia"/>
          <w:bCs/>
          <w:lang w:val="en-GB"/>
        </w:rPr>
        <w:t xml:space="preserve">. The indicator system is expected to be updatable while maintaining its original structure and consistency, even if individual indicators are deleted or new ones are added. </w:t>
      </w:r>
      <w:r w:rsidRPr="0002056A">
        <w:rPr>
          <w:rFonts w:ascii="Georgia" w:hAnsi="Georgia"/>
          <w:lang w:val="en-GB"/>
        </w:rPr>
        <w:t xml:space="preserve">The data sheets are supplemented with graphs and figures, the purpose of which is to illustrate the indicators in the Monitoring Report, but the Excel format data sheets also contain metadata about the data, thus ensuring that the calculation of a given indicator can be repeated and reproduced at any time. </w:t>
      </w:r>
      <w:r w:rsidRPr="0002056A">
        <w:rPr>
          <w:rFonts w:ascii="Georgia" w:hAnsi="Georgia"/>
          <w:bCs/>
          <w:lang w:val="en-GB"/>
        </w:rPr>
        <w:t xml:space="preserve">In addition, guidelines were also elaborated for the preparation of monitoring reports: what chapters, illustrations, and trend analyses they should contain. The original indicator system was developed through interministerial cooperation, involving numerous experts, state and regional agencies, and private organizations. In the first step, a total of 102 indicators were defined. Of these, 55 were climate impact indicators, 42 response indicators, while 5 comprehensive indicators monitoring adaptation activities at the federal government level. </w:t>
      </w:r>
      <w:r w:rsidRPr="0002056A">
        <w:rPr>
          <w:rFonts w:ascii="Georgia" w:hAnsi="Georgia"/>
          <w:lang w:val="en-GB"/>
        </w:rPr>
        <w:t>Several indicators are clearly spatial</w:t>
      </w:r>
      <w:r w:rsidRPr="0002056A">
        <w:rPr>
          <w:rFonts w:ascii="Georgia" w:hAnsi="Georgia"/>
          <w:bCs/>
          <w:lang w:val="en-GB"/>
        </w:rPr>
        <w:t xml:space="preserve"> (</w:t>
      </w:r>
      <w:r w:rsidRPr="0002056A">
        <w:rPr>
          <w:rFonts w:ascii="Georgia" w:hAnsi="Georgia" w:cstheme="minorHAnsi"/>
          <w:bCs/>
          <w:smallCaps/>
          <w:lang w:val="en-GB"/>
        </w:rPr>
        <w:t>Schöntaler &amp; von Andrian-Werburg, 2015</w:t>
      </w:r>
      <w:r w:rsidRPr="0002056A">
        <w:rPr>
          <w:rFonts w:ascii="Georgia" w:hAnsi="Georgia"/>
          <w:bCs/>
          <w:lang w:val="en-GB"/>
        </w:rPr>
        <w:t>)</w:t>
      </w:r>
      <w:r w:rsidRPr="0002056A">
        <w:rPr>
          <w:rStyle w:val="Lbjegyzet-hivatkozs"/>
          <w:rFonts w:ascii="Georgia" w:hAnsi="Georgia"/>
          <w:bCs/>
          <w:lang w:val="en-GB"/>
        </w:rPr>
        <w:footnoteReference w:id="142"/>
      </w:r>
      <w:r w:rsidRPr="0002056A">
        <w:rPr>
          <w:rFonts w:ascii="Georgia" w:hAnsi="Georgia"/>
          <w:bCs/>
          <w:lang w:val="en-GB"/>
        </w:rPr>
        <w:t xml:space="preserve">. </w:t>
      </w:r>
    </w:p>
    <w:p w14:paraId="3CB4FB14" w14:textId="010AD0B2"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Regarding adaptation evaluations, an actual s</w:t>
      </w:r>
      <w:r w:rsidRPr="0002056A">
        <w:rPr>
          <w:rFonts w:ascii="Georgia" w:eastAsia="Times New Roman" w:hAnsi="Georgia" w:cs="Calibri"/>
          <w:lang w:val="en-GB" w:eastAsia="hu-HU"/>
        </w:rPr>
        <w:t>ystem of assessments exists, too.</w:t>
      </w:r>
      <w:r w:rsidRPr="0002056A">
        <w:rPr>
          <w:rFonts w:ascii="Georgia" w:hAnsi="Georgia"/>
          <w:bCs/>
          <w:lang w:val="en-GB"/>
        </w:rPr>
        <w:t xml:space="preserve"> The Interministerial Adaptation Working Group (IMAA) decides on the evaluation of the implementation of the DAS, and the Working Group also adopts the most important aspects and methods of the evaluation. The evaluations and reports focus on the achievement of climate adaptation goals.  At the end of the assessment process, the results and recommendations are formulated in a manner relevant to the federal government (</w:t>
      </w:r>
      <w:r w:rsidRPr="0002056A">
        <w:rPr>
          <w:rFonts w:ascii="Georgia" w:hAnsi="Georgia" w:cstheme="minorHAnsi"/>
          <w:bCs/>
          <w:smallCaps/>
          <w:lang w:val="en-GB"/>
        </w:rPr>
        <w:t>Kind et al., 201</w:t>
      </w:r>
      <w:r w:rsidRPr="0002056A">
        <w:rPr>
          <w:rFonts w:ascii="Georgia" w:hAnsi="Georgia"/>
          <w:bCs/>
          <w:lang w:val="en-GB"/>
        </w:rPr>
        <w:t>9).</w:t>
      </w:r>
      <w:r w:rsidRPr="0002056A">
        <w:rPr>
          <w:rFonts w:ascii="Georgia" w:eastAsia="Times New Roman" w:hAnsi="Georgia" w:cs="Calibri"/>
          <w:lang w:val="en-GB" w:eastAsia="hu-HU"/>
        </w:rPr>
        <w:t xml:space="preserve"> The current comprehensive assessment is still in </w:t>
      </w:r>
      <w:r w:rsidR="002E5300" w:rsidRPr="0002056A">
        <w:rPr>
          <w:rFonts w:ascii="Georgia" w:eastAsia="Times New Roman" w:hAnsi="Georgia" w:cs="Calibri"/>
          <w:lang w:val="en-GB" w:eastAsia="hu-HU"/>
        </w:rPr>
        <w:t>progress;</w:t>
      </w:r>
      <w:r w:rsidRPr="0002056A">
        <w:rPr>
          <w:rFonts w:ascii="Georgia" w:eastAsia="Times New Roman" w:hAnsi="Georgia" w:cs="Calibri"/>
          <w:lang w:val="en-GB" w:eastAsia="hu-HU"/>
        </w:rPr>
        <w:t xml:space="preserve"> the former one did not contain spatially oriented products. The Climate Law is calling mainly the responsible ministries to measure their own progress in adaptation. </w:t>
      </w:r>
    </w:p>
    <w:p w14:paraId="0611148C" w14:textId="77777777"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 xml:space="preserve">The main objectives of the evaluation are to create knowledge base for the further evaluation process; to monitor the implementation of specific measures, identify success factors and challenges in implementation, and document the achievement of objectives. The model has two layers, strategic and operational, covering both levels in terms of the input-implementation-output-result-impact phases. The strategic level analyses the planning and further development of the DAS, while the operational level analyses the implementation of the strategy. </w:t>
      </w:r>
      <w:r w:rsidRPr="0002056A">
        <w:rPr>
          <w:rFonts w:ascii="Georgia" w:hAnsi="Georgia"/>
          <w:lang w:val="en-GB"/>
        </w:rPr>
        <w:t>The evaluation process thus provides an opportunity for parallel analysis of the adaptation strategy and action programs, followed by a summary of the impacts. The main difficulties are the lack of data availability and the absence of quantitatively assessable phenomena</w:t>
      </w:r>
      <w:r w:rsidRPr="0002056A">
        <w:rPr>
          <w:rStyle w:val="Lbjegyzet-hivatkozs"/>
          <w:rFonts w:ascii="Georgia" w:hAnsi="Georgia"/>
          <w:bCs/>
          <w:lang w:val="en-GB"/>
        </w:rPr>
        <w:footnoteReference w:id="143"/>
      </w:r>
      <w:r w:rsidRPr="0002056A">
        <w:rPr>
          <w:rFonts w:ascii="Georgia" w:hAnsi="Georgia"/>
          <w:bCs/>
          <w:lang w:val="en-GB"/>
        </w:rPr>
        <w:t xml:space="preserve"> </w:t>
      </w:r>
      <w:r w:rsidRPr="0002056A">
        <w:rPr>
          <w:rFonts w:ascii="Georgia" w:hAnsi="Georgia"/>
          <w:lang w:val="en-GB"/>
        </w:rPr>
        <w:t>(</w:t>
      </w:r>
      <w:r w:rsidRPr="0002056A">
        <w:rPr>
          <w:rFonts w:ascii="Georgia" w:hAnsi="Georgia" w:cstheme="minorHAnsi"/>
          <w:smallCaps/>
          <w:lang w:val="en-GB"/>
        </w:rPr>
        <w:t>Kind et al., 2019, p. 13</w:t>
      </w:r>
      <w:r w:rsidRPr="0002056A">
        <w:rPr>
          <w:rFonts w:ascii="Georgia" w:hAnsi="Georgia"/>
          <w:lang w:val="en-GB"/>
        </w:rPr>
        <w:t>).</w:t>
      </w:r>
    </w:p>
    <w:p w14:paraId="584DF003" w14:textId="77777777" w:rsidR="00137018" w:rsidRPr="0002056A" w:rsidRDefault="00137018" w:rsidP="00137018">
      <w:pPr>
        <w:keepNext/>
        <w:spacing w:before="120" w:after="120" w:line="240" w:lineRule="auto"/>
        <w:jc w:val="center"/>
        <w:rPr>
          <w:rFonts w:ascii="Calibri" w:hAnsi="Calibri"/>
          <w:lang w:val="en-GB"/>
        </w:rPr>
      </w:pPr>
      <w:r w:rsidRPr="0002056A">
        <w:rPr>
          <w:rFonts w:ascii="Calibri" w:hAnsi="Calibri"/>
          <w:noProof/>
          <w:lang w:val="en-GB" w:eastAsia="hu-HU"/>
        </w:rPr>
        <w:lastRenderedPageBreak/>
        <w:drawing>
          <wp:inline distT="0" distB="0" distL="0" distR="0" wp14:anchorId="66444E99" wp14:editId="65883CE4">
            <wp:extent cx="4737100" cy="2406246"/>
            <wp:effectExtent l="0" t="0" r="6350" b="0"/>
            <wp:docPr id="1362745057" name="Kép 1362745057" descr="loki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kikai"/>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36053" cy="2405714"/>
                    </a:xfrm>
                    <a:prstGeom prst="rect">
                      <a:avLst/>
                    </a:prstGeom>
                    <a:noFill/>
                    <a:ln>
                      <a:noFill/>
                    </a:ln>
                  </pic:spPr>
                </pic:pic>
              </a:graphicData>
            </a:graphic>
          </wp:inline>
        </w:drawing>
      </w:r>
    </w:p>
    <w:p w14:paraId="40FD82EC" w14:textId="79CBCAB9" w:rsidR="00137018" w:rsidRPr="0002056A" w:rsidRDefault="00137018" w:rsidP="00480151">
      <w:pPr>
        <w:pStyle w:val="Kpalrs"/>
        <w:spacing w:before="120" w:after="120"/>
        <w:jc w:val="center"/>
        <w:rPr>
          <w:rFonts w:ascii="Georgia" w:hAnsi="Georgia"/>
          <w:b w:val="0"/>
          <w:bCs w:val="0"/>
          <w:i/>
          <w:iCs/>
          <w:color w:val="auto"/>
          <w:lang w:val="en-GB"/>
        </w:rPr>
      </w:pPr>
      <w:r w:rsidRPr="0002056A">
        <w:rPr>
          <w:rFonts w:ascii="Georgia" w:hAnsi="Georgia"/>
          <w:color w:val="auto"/>
          <w:lang w:val="en-GB"/>
        </w:rPr>
        <w:t xml:space="preserve">The structure of the Germany climate adaptation evaluation system. </w:t>
      </w:r>
      <w:r w:rsidRPr="0002056A">
        <w:rPr>
          <w:rFonts w:ascii="Georgia" w:hAnsi="Georgia"/>
          <w:b w:val="0"/>
          <w:bCs w:val="0"/>
          <w:i/>
          <w:iCs/>
          <w:color w:val="auto"/>
          <w:lang w:val="en-GB"/>
        </w:rPr>
        <w:t xml:space="preserve">Source: </w:t>
      </w:r>
      <w:r w:rsidRPr="0002056A">
        <w:rPr>
          <w:rFonts w:ascii="Georgia" w:hAnsi="Georgia"/>
          <w:b w:val="0"/>
          <w:bCs w:val="0"/>
          <w:i/>
          <w:iCs/>
          <w:color w:val="auto"/>
          <w:szCs w:val="20"/>
          <w:lang w:val="en-GB"/>
        </w:rPr>
        <w:t>Kind et al, 2019.</w:t>
      </w:r>
    </w:p>
    <w:p w14:paraId="58947DC9" w14:textId="77777777"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 xml:space="preserve">The DAS action plan is updated every five years. As part of the review process, additional "progress reports" are prepared for the Government, which contain specific steps for the further development and implementation of the DAS, compiling the current knowledge base on the impacts of climate change and the evolution of vulnerability. As part of the current (and ongoing) update of the DAS, four documents are prepared: </w:t>
      </w:r>
    </w:p>
    <w:p w14:paraId="53AA70FE" w14:textId="77777777" w:rsidR="00137018" w:rsidRPr="0002056A" w:rsidRDefault="00137018" w:rsidP="00137018">
      <w:pPr>
        <w:pStyle w:val="Listaszerbekezds"/>
        <w:numPr>
          <w:ilvl w:val="0"/>
          <w:numId w:val="7"/>
        </w:numPr>
        <w:spacing w:before="120" w:after="120" w:line="240" w:lineRule="auto"/>
        <w:contextualSpacing w:val="0"/>
        <w:jc w:val="both"/>
        <w:rPr>
          <w:rFonts w:ascii="Georgia" w:hAnsi="Georgia"/>
          <w:bCs/>
          <w:lang w:val="en-GB"/>
        </w:rPr>
      </w:pPr>
      <w:r w:rsidRPr="0002056A">
        <w:rPr>
          <w:rFonts w:ascii="Georgia" w:hAnsi="Georgia"/>
          <w:bCs/>
          <w:lang w:val="en-GB"/>
        </w:rPr>
        <w:t>the Monitoring Report (MR), based on a defined set of indicators, tracks past and current climate trends, impacts, and adaptation activities in the country. Its purpose is to provide a comprehensive picture at the national level rather than detailed analyses. The material is approved by the IMAA. The report also forms the scientific basis for evaluating progress in achieving the targets and for updating the climate adaptation strategy in accordance with the provisions of the Federal Climate Adaptation Act;</w:t>
      </w:r>
    </w:p>
    <w:p w14:paraId="4CBDAC78" w14:textId="77777777" w:rsidR="00137018" w:rsidRPr="0002056A" w:rsidRDefault="00137018" w:rsidP="00137018">
      <w:pPr>
        <w:pStyle w:val="Listaszerbekezds"/>
        <w:numPr>
          <w:ilvl w:val="0"/>
          <w:numId w:val="7"/>
        </w:numPr>
        <w:spacing w:before="120" w:after="120" w:line="240" w:lineRule="auto"/>
        <w:contextualSpacing w:val="0"/>
        <w:jc w:val="both"/>
        <w:rPr>
          <w:rFonts w:ascii="Georgia" w:hAnsi="Georgia"/>
          <w:bCs/>
          <w:lang w:val="en-GB"/>
        </w:rPr>
      </w:pPr>
      <w:r w:rsidRPr="0002056A">
        <w:rPr>
          <w:rFonts w:ascii="Georgia" w:hAnsi="Georgia"/>
          <w:bCs/>
          <w:lang w:val="en-GB"/>
        </w:rPr>
        <w:t>the current Adaptation Action Plan as a measure-oriented operative document of the NAS;</w:t>
      </w:r>
    </w:p>
    <w:p w14:paraId="238E5C86" w14:textId="77777777" w:rsidR="00137018" w:rsidRPr="0002056A" w:rsidRDefault="00137018" w:rsidP="00137018">
      <w:pPr>
        <w:pStyle w:val="Listaszerbekezds"/>
        <w:numPr>
          <w:ilvl w:val="0"/>
          <w:numId w:val="7"/>
        </w:numPr>
        <w:spacing w:before="120" w:after="120" w:line="240" w:lineRule="auto"/>
        <w:contextualSpacing w:val="0"/>
        <w:jc w:val="both"/>
        <w:rPr>
          <w:rFonts w:ascii="Georgia" w:hAnsi="Georgia"/>
          <w:bCs/>
          <w:lang w:val="en-GB"/>
        </w:rPr>
      </w:pPr>
      <w:r w:rsidRPr="0002056A">
        <w:rPr>
          <w:rFonts w:ascii="Georgia" w:hAnsi="Georgia"/>
          <w:bCs/>
          <w:lang w:val="en-GB"/>
        </w:rPr>
        <w:t>the evaluation of the then-current NAS;</w:t>
      </w:r>
    </w:p>
    <w:p w14:paraId="27804DDC" w14:textId="77777777" w:rsidR="00137018" w:rsidRPr="0002056A" w:rsidRDefault="00137018" w:rsidP="00137018">
      <w:pPr>
        <w:pStyle w:val="Listaszerbekezds"/>
        <w:numPr>
          <w:ilvl w:val="0"/>
          <w:numId w:val="7"/>
        </w:numPr>
        <w:spacing w:before="120" w:after="120" w:line="240" w:lineRule="auto"/>
        <w:contextualSpacing w:val="0"/>
        <w:jc w:val="both"/>
        <w:rPr>
          <w:rFonts w:ascii="Georgia" w:hAnsi="Georgia"/>
          <w:bCs/>
          <w:lang w:val="en-GB"/>
        </w:rPr>
      </w:pPr>
      <w:r w:rsidRPr="0002056A">
        <w:rPr>
          <w:rFonts w:ascii="Georgia" w:hAnsi="Georgia"/>
          <w:bCs/>
          <w:lang w:val="en-GB"/>
        </w:rPr>
        <w:t>Vulnerability Assessments, which assess the risks arising from climate change and identify the most vulnerable regions. The current version was compiled in 2021. The Vulnerability Assessment is prepared by the Vulnerability Network, which brings together representatives of federal authorities. In addition to geographically delineating the areas most at risk and most vulnerable to climate change, the Network also contributes to the development of future intervention options.</w:t>
      </w:r>
    </w:p>
    <w:p w14:paraId="0037A7D9"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2015 and 2020 progress reports focused on specific, measurable targets, including the associated indicators, instruments and measures, dividing them into seven clusters: infrastructure; land and land use; human health and care provision; urban development, spatial planning and civil protection; water; economy; and a cluster with cross-sectoral action areas including municipal climate adaptation planning, expenditure and damage assessment, research on climate adaptation, cultural and natural heritage and climate-adapted federal properties. Clusters identified in the Climate Impact and Risk Assessment 2021 for Germany (Klimawirkungs- und Risikoanalyse für Deutschland 2021, KWRA 2021) require particularly urgent action. Progress towards the targets is measured by an indicator-based monitoring system. The fourth Adaptation Action Plan (APA IV), as part of the climate adaptation strategy, summarises further climate adaptation instruments and measures of the Federal Government that go beyond the specific targets. The Federal Government already reported on the activities </w:t>
      </w:r>
      <w:r w:rsidRPr="0002056A">
        <w:rPr>
          <w:rFonts w:ascii="Georgia" w:hAnsi="Georgia"/>
          <w:lang w:val="en-GB"/>
        </w:rPr>
        <w:lastRenderedPageBreak/>
        <w:t>of the ministries in 2011 and in the 2015 and 2020 progress reports concentrating on the content of the Adaptation Action Plans I-III (APA I-III). The new APA IV follows this format.</w:t>
      </w:r>
    </w:p>
    <w:p w14:paraId="722EE8C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outcome of this climate adaptation assessment process is a report of almost 100 pages. The first report on the implementation and further development directions of the DAS was prepared in 2015, based on the first Monitoring Report published in May of that year, which focused on describing the consequences of climate change in individual sectors, offsetting these effects, and on the results and responses of recent related developments, informing decision-makers and shaping broader perspectives. The more recent DAS assessments are similar in their approaches.</w:t>
      </w:r>
    </w:p>
    <w:p w14:paraId="0CA4F5EF" w14:textId="77777777" w:rsidR="00137018" w:rsidRPr="0002056A" w:rsidRDefault="00137018" w:rsidP="00137018">
      <w:pPr>
        <w:spacing w:before="120" w:after="120" w:line="240" w:lineRule="auto"/>
        <w:jc w:val="both"/>
        <w:rPr>
          <w:rFonts w:ascii="Georgia" w:hAnsi="Georgia"/>
          <w:bCs/>
          <w:lang w:val="en-GB"/>
        </w:rPr>
      </w:pPr>
      <w:r w:rsidRPr="0002056A">
        <w:rPr>
          <w:rFonts w:ascii="Georgia" w:hAnsi="Georgia"/>
          <w:bCs/>
          <w:lang w:val="en-GB"/>
        </w:rPr>
        <w:t xml:space="preserve">Together, the enlisted documents </w:t>
      </w:r>
      <w:r w:rsidRPr="0002056A">
        <w:rPr>
          <w:rFonts w:ascii="Georgia" w:hAnsi="Georgia"/>
          <w:lang w:val="en-GB"/>
        </w:rPr>
        <w:t xml:space="preserve">of climate adaptation evaluation set out by law in the Federal Climate Adaptation Act </w:t>
      </w:r>
      <w:r w:rsidRPr="0002056A">
        <w:rPr>
          <w:rFonts w:ascii="Georgia" w:hAnsi="Georgia"/>
          <w:bCs/>
          <w:lang w:val="en-GB"/>
        </w:rPr>
        <w:t xml:space="preserve">(Monitoring Report, current NAP, NAS evaluation, CVA) form the 4 pillars of the German climate </w:t>
      </w:r>
      <w:r w:rsidRPr="0002056A">
        <w:rPr>
          <w:rFonts w:ascii="Georgia" w:hAnsi="Georgia"/>
          <w:b/>
          <w:lang w:val="en-GB"/>
        </w:rPr>
        <w:t>adaptation reporting system</w:t>
      </w:r>
      <w:r w:rsidRPr="0002056A">
        <w:rPr>
          <w:rFonts w:ascii="Georgia" w:hAnsi="Georgia"/>
          <w:bCs/>
          <w:lang w:val="en-GB"/>
        </w:rPr>
        <w:t xml:space="preserve">. Among them, the Monitoring Report (the latest: </w:t>
      </w:r>
      <w:r w:rsidRPr="0002056A">
        <w:rPr>
          <w:rFonts w:ascii="Georgia" w:hAnsi="Georgia" w:cstheme="minorHAnsi"/>
          <w:bCs/>
          <w:smallCaps/>
          <w:lang w:val="en-GB"/>
        </w:rPr>
        <w:t>van Rüth et al., 2019</w:t>
      </w:r>
      <w:r w:rsidRPr="0002056A">
        <w:rPr>
          <w:rFonts w:ascii="Georgia" w:hAnsi="Georgia"/>
          <w:bCs/>
          <w:lang w:val="en-GB"/>
        </w:rPr>
        <w:t>) stands out in terms of its scope and content, which aims to reach as many citizens as possible in addition to political decision-makers, as a broad description of climate adaptation goals and adaptation strategies significantly increases the acceptance of the DAS. (Schönthaler, von Andrian-Werburg 2015). It is richly illustrated, and the most important results and conclusions are summarized in an easily understandable form at the end of each smaller structural unit. Its main chapters are built around the intervention areas defined in the DAS, and it also contains a comprehensive methodological overview of the operation of the monitoring system.</w:t>
      </w:r>
    </w:p>
    <w:p w14:paraId="2F7B9962" w14:textId="51FC359F"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Federal Government produces a climate risk assessment as well at least every eight years. It is another type of evaluation, that analyses the possible future impacts of climate change in Germany, assesses the associated climate risks and evaluates the need for action and the effectiveness of potential adaptation measures to mitigate risk. Section 4 of the Federal Climate Adaptation Act sets out the central role of the climate risk analysis as the scientific basis for climate adaptation planning at federal level and for the derivation and further development of adaptation targets for climate adaptation planning in Germany. In the recent KWRA 2021, over 100 climate-related impacts – categorised into 13 action fields of the German Strategy for Adaptation to Climate Change – were analysed and assessed in terms of level of the associated risk. For selected impacts, the study considered the extent to which and how quickly adaptation can mitigate climate risk. The KWRA even identifies clusters that requiring urgent action during the NAS/NAP updates. The next strategy monitoring report is scheduled for publication in </w:t>
      </w:r>
      <w:r w:rsidR="00810E31" w:rsidRPr="0002056A">
        <w:rPr>
          <w:rFonts w:ascii="Georgia" w:hAnsi="Georgia"/>
          <w:lang w:val="en-GB"/>
        </w:rPr>
        <w:t>2027 and</w:t>
      </w:r>
      <w:r w:rsidRPr="0002056A">
        <w:rPr>
          <w:rFonts w:ascii="Georgia" w:hAnsi="Georgia"/>
          <w:lang w:val="en-GB"/>
        </w:rPr>
        <w:t xml:space="preserve"> will serve as the basis for the Federal Government’s first assessment of progress towards the targets. In 2028, an updated climate risk analysis will also be presented as a basis for further strategy development. </w:t>
      </w:r>
    </w:p>
    <w:p w14:paraId="33B809FC"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Calibri"/>
          <w:lang w:val="en-GB"/>
        </w:rPr>
        <w:t>Germany also sees potential in climate adaptation to improve cooperation with other countries in the field of adaptation through learning by exchange of experience and trying to find harmonised guidelines with enough flexibility to be transferred to different regions and levels. Dissemination of own good practise is part of the international cooperations.</w:t>
      </w:r>
    </w:p>
    <w:p w14:paraId="3663EA08" w14:textId="77777777" w:rsidR="00137018" w:rsidRPr="0002056A" w:rsidRDefault="00137018" w:rsidP="00137018">
      <w:pPr>
        <w:pStyle w:val="Cmsor4"/>
        <w:rPr>
          <w:lang w:val="en-GB"/>
        </w:rPr>
      </w:pPr>
      <w:r w:rsidRPr="0002056A">
        <w:rPr>
          <w:lang w:val="en-GB"/>
        </w:rPr>
        <w:t>Scotland – objective system and international considerations rich in spatial hints</w:t>
      </w:r>
    </w:p>
    <w:p w14:paraId="3215F472" w14:textId="5AF53F7F" w:rsidR="00137018" w:rsidRPr="0002056A" w:rsidRDefault="00137018" w:rsidP="00137018">
      <w:pPr>
        <w:spacing w:before="120" w:after="120" w:line="240" w:lineRule="auto"/>
        <w:jc w:val="both"/>
        <w:rPr>
          <w:rFonts w:ascii="Georgia" w:hAnsi="Georgia"/>
          <w:bCs/>
          <w:iCs/>
          <w:lang w:val="en-GB"/>
        </w:rPr>
      </w:pPr>
      <w:r w:rsidRPr="0002056A">
        <w:rPr>
          <w:rFonts w:ascii="Georgia" w:eastAsia="Times New Roman" w:hAnsi="Georgia" w:cs="Times New Roman"/>
          <w:bCs/>
          <w:iCs/>
          <w:lang w:val="en-GB" w:eastAsia="hu-HU"/>
        </w:rPr>
        <w:t xml:space="preserve">Scotland, similar to Wales and Northen-Ireland were handled besides England as individual country(parts) in the comparative analysis, because of the administrational devolution processes progressed significantly in the UK. Among the analysed parts of the Kingdom, Scotland performed the best. In the country, similarly to other outstanding West- and North-European countries, international spatial dimensions of adaptation and spatial references in the objective system show the best performances. The NAS’s space phraseology is excellent, </w:t>
      </w:r>
      <w:r w:rsidRPr="0002056A">
        <w:rPr>
          <w:rFonts w:ascii="Georgia" w:hAnsi="Georgia" w:cs="Times New Roman"/>
          <w:bCs/>
          <w:iCs/>
          <w:lang w:val="en-GB"/>
        </w:rPr>
        <w:t xml:space="preserve">more than 400 mentionings emerge in the document, in a country where administration is strongly </w:t>
      </w:r>
      <w:r w:rsidR="00810E31" w:rsidRPr="0002056A">
        <w:rPr>
          <w:rFonts w:ascii="Georgia" w:hAnsi="Georgia" w:cs="Times New Roman"/>
          <w:bCs/>
          <w:iCs/>
          <w:lang w:val="en-GB"/>
        </w:rPr>
        <w:t>local level</w:t>
      </w:r>
      <w:r w:rsidRPr="0002056A">
        <w:rPr>
          <w:rFonts w:ascii="Georgia" w:hAnsi="Georgia" w:cs="Times New Roman"/>
          <w:bCs/>
          <w:iCs/>
          <w:lang w:val="en-GB"/>
        </w:rPr>
        <w:t xml:space="preserve"> focussed. Consequently, the word “local” shows particularly frequent mentionings. But all in all, majority of the analysed space-related concepts are present.</w:t>
      </w:r>
    </w:p>
    <w:p w14:paraId="0F4F9475" w14:textId="77777777" w:rsidR="00137018" w:rsidRPr="0002056A" w:rsidRDefault="00137018" w:rsidP="00137018">
      <w:pPr>
        <w:spacing w:before="120" w:after="120" w:line="240" w:lineRule="auto"/>
        <w:jc w:val="both"/>
        <w:rPr>
          <w:rFonts w:ascii="Georgia" w:hAnsi="Georgia"/>
          <w:bCs/>
          <w:iCs/>
          <w:lang w:val="en-GB"/>
        </w:rPr>
      </w:pPr>
      <w:r w:rsidRPr="0002056A">
        <w:rPr>
          <w:rFonts w:ascii="Georgia" w:eastAsia="Times New Roman" w:hAnsi="Georgia" w:cs="Times New Roman"/>
          <w:bCs/>
          <w:iCs/>
          <w:lang w:val="en-GB" w:eastAsia="hu-HU"/>
        </w:rPr>
        <w:t xml:space="preserve">Within the objective system planning-related parts of the NAS, </w:t>
      </w:r>
      <w:r w:rsidRPr="0002056A">
        <w:rPr>
          <w:rFonts w:ascii="Georgia" w:hAnsi="Georgia" w:cs="Times New Roman"/>
          <w:bCs/>
          <w:iCs/>
          <w:lang w:val="en-GB"/>
        </w:rPr>
        <w:t>Scotland’s Vision (that is almost identical in its structure with the objective system) is basically sectoral, but it organised into 5 main pillars, among which one is directly spatial ("</w:t>
      </w:r>
      <w:r w:rsidRPr="0002056A">
        <w:rPr>
          <w:rFonts w:ascii="Georgia" w:hAnsi="Georgia" w:cs="Times New Roman"/>
          <w:bCs/>
          <w:i/>
          <w:lang w:val="en-GB"/>
        </w:rPr>
        <w:t xml:space="preserve">Nature connects across our land, </w:t>
      </w:r>
      <w:r w:rsidRPr="0002056A">
        <w:rPr>
          <w:rFonts w:ascii="Georgia" w:hAnsi="Georgia" w:cs="Times New Roman"/>
          <w:bCs/>
          <w:i/>
          <w:lang w:val="en-GB"/>
        </w:rPr>
        <w:lastRenderedPageBreak/>
        <w:t>settlements, coasts and seas</w:t>
      </w:r>
      <w:r w:rsidRPr="0002056A">
        <w:rPr>
          <w:rFonts w:ascii="Georgia" w:hAnsi="Georgia" w:cs="Times New Roman"/>
          <w:bCs/>
          <w:iCs/>
          <w:lang w:val="en-GB"/>
        </w:rPr>
        <w:t>"), one indirectly ("</w:t>
      </w:r>
      <w:r w:rsidRPr="0002056A">
        <w:rPr>
          <w:rFonts w:ascii="Georgia" w:hAnsi="Georgia" w:cs="Times New Roman"/>
          <w:bCs/>
          <w:i/>
          <w:lang w:val="en-GB"/>
        </w:rPr>
        <w:t>Communities are creating climate-resilient, healthy and equitable places</w:t>
      </w:r>
      <w:r w:rsidRPr="0002056A">
        <w:rPr>
          <w:rFonts w:ascii="Georgia" w:hAnsi="Georgia" w:cs="Times New Roman"/>
          <w:bCs/>
          <w:iCs/>
          <w:lang w:val="en-GB"/>
        </w:rPr>
        <w:t>", mentioning settlements and coast in general), and one is international connections-related ("</w:t>
      </w:r>
      <w:r w:rsidRPr="0002056A">
        <w:rPr>
          <w:rFonts w:ascii="Georgia" w:hAnsi="Georgia" w:cs="Times New Roman"/>
          <w:bCs/>
          <w:i/>
          <w:lang w:val="en-GB"/>
        </w:rPr>
        <w:t>Scotland’s international role supports climate justice and enhanced global action on adaptation</w:t>
      </w:r>
      <w:r w:rsidRPr="0002056A">
        <w:rPr>
          <w:rFonts w:ascii="Georgia" w:hAnsi="Georgia" w:cs="Times New Roman"/>
          <w:bCs/>
          <w:iCs/>
          <w:lang w:val="en-GB"/>
        </w:rPr>
        <w:t xml:space="preserve">"). Further two subchapters are of "Just Transition" and "Public engagement", the first mentions place-based adaptation, and the different impacts on different communities within Scotland. </w:t>
      </w:r>
    </w:p>
    <w:p w14:paraId="7AFEF436" w14:textId="381D00CA" w:rsidR="00137018" w:rsidRPr="0002056A" w:rsidRDefault="00137018" w:rsidP="00137018">
      <w:pPr>
        <w:spacing w:before="120" w:after="120" w:line="240" w:lineRule="auto"/>
        <w:jc w:val="both"/>
        <w:rPr>
          <w:rFonts w:ascii="Georgia" w:eastAsia="Times New Roman" w:hAnsi="Georgia" w:cs="Times New Roman"/>
          <w:bCs/>
          <w:iCs/>
          <w:lang w:val="en-GB" w:eastAsia="hu-HU"/>
        </w:rPr>
      </w:pPr>
      <w:r w:rsidRPr="0002056A">
        <w:rPr>
          <w:rFonts w:ascii="Georgia" w:eastAsia="Times New Roman" w:hAnsi="Georgia" w:cs="Times New Roman"/>
          <w:bCs/>
          <w:iCs/>
          <w:lang w:val="en-GB" w:eastAsia="hu-HU"/>
        </w:rPr>
        <w:t>The NAS’s specific objective #2 (Communities) and its C1 and C2 subobjectives (Regional and place</w:t>
      </w:r>
      <w:r w:rsidR="00124AF7" w:rsidRPr="0002056A">
        <w:rPr>
          <w:rFonts w:ascii="Georgia" w:eastAsia="Times New Roman" w:hAnsi="Georgia" w:cs="Times New Roman"/>
          <w:bCs/>
          <w:iCs/>
          <w:lang w:val="en-GB" w:eastAsia="hu-HU"/>
        </w:rPr>
        <w:t>-</w:t>
      </w:r>
      <w:r w:rsidRPr="0002056A">
        <w:rPr>
          <w:rFonts w:ascii="Georgia" w:eastAsia="Times New Roman" w:hAnsi="Georgia" w:cs="Times New Roman"/>
          <w:bCs/>
          <w:iCs/>
          <w:lang w:val="en-GB" w:eastAsia="hu-HU"/>
        </w:rPr>
        <w:t xml:space="preserve">based collaborations; </w:t>
      </w:r>
      <w:r w:rsidR="00810E31" w:rsidRPr="0002056A">
        <w:rPr>
          <w:rFonts w:ascii="Georgia" w:eastAsia="Times New Roman" w:hAnsi="Georgia" w:cs="Times New Roman"/>
          <w:bCs/>
          <w:iCs/>
          <w:lang w:val="en-GB" w:eastAsia="hu-HU"/>
        </w:rPr>
        <w:t>Locally led</w:t>
      </w:r>
      <w:r w:rsidRPr="0002056A">
        <w:rPr>
          <w:rFonts w:ascii="Georgia" w:eastAsia="Times New Roman" w:hAnsi="Georgia" w:cs="Times New Roman"/>
          <w:bCs/>
          <w:iCs/>
          <w:lang w:val="en-GB" w:eastAsia="hu-HU"/>
        </w:rPr>
        <w:t xml:space="preserve"> adaptation) concentrate directly on regional and local level adaptation activities, mentioning several related projects, programmes, initiatives. The different levels of the objective system explicitly mention spatial vulnerability characteristics of special geographic areas; settlement network elements; region types; functional areas; general spatial logic (spatial mapping of spatial differences). The proportion of lower</w:t>
      </w:r>
      <w:r w:rsidR="00124AF7" w:rsidRPr="0002056A">
        <w:rPr>
          <w:rFonts w:ascii="Georgia" w:eastAsia="Times New Roman" w:hAnsi="Georgia" w:cs="Times New Roman"/>
          <w:bCs/>
          <w:iCs/>
          <w:lang w:val="en-GB" w:eastAsia="hu-HU"/>
        </w:rPr>
        <w:t>-</w:t>
      </w:r>
      <w:r w:rsidRPr="0002056A">
        <w:rPr>
          <w:rFonts w:ascii="Georgia" w:eastAsia="Times New Roman" w:hAnsi="Georgia" w:cs="Times New Roman"/>
          <w:bCs/>
          <w:iCs/>
          <w:lang w:val="en-GB" w:eastAsia="hu-HU"/>
        </w:rPr>
        <w:t xml:space="preserve">level objectives with spatial content is 26,08% - it means almost third of the objectives comprises spatial references in their title or in their detailed description. Scotland is among the countries where spatial planning has great traditions and adaptation planning has seen 2-3 cycles so far, so based on their experiences we could expect already before the analysis that the country may put great emphasis on spatial issues when designing their adaptation objectives - and evidence show that the situation is exactly that. </w:t>
      </w:r>
      <w:r w:rsidRPr="0002056A">
        <w:rPr>
          <w:rFonts w:ascii="Georgia" w:hAnsi="Georgia"/>
          <w:bCs/>
          <w:iCs/>
          <w:lang w:val="en-GB"/>
        </w:rPr>
        <w:t xml:space="preserve">In </w:t>
      </w:r>
      <w:r w:rsidRPr="0002056A">
        <w:rPr>
          <w:rFonts w:ascii="Georgia" w:eastAsia="Times New Roman" w:hAnsi="Georgia" w:cs="Times New Roman"/>
          <w:bCs/>
          <w:iCs/>
          <w:lang w:val="en-GB" w:eastAsia="hu-HU"/>
        </w:rPr>
        <w:t>Scotland, adaptation MRE system is also planned, in the form of an intervention of the NAS, with hints for spatial data use. Similarly, an adaptation-oriented thematic, GIS-based decision supporting tool’s establishment is planned currently in the form of a NAS intervention, too.</w:t>
      </w:r>
    </w:p>
    <w:p w14:paraId="21EBC629" w14:textId="77777777" w:rsidR="00137018" w:rsidRPr="0002056A" w:rsidRDefault="00137018" w:rsidP="00137018">
      <w:pPr>
        <w:spacing w:before="120" w:after="120" w:line="240" w:lineRule="auto"/>
        <w:jc w:val="center"/>
        <w:rPr>
          <w:rFonts w:ascii="Georgia" w:eastAsia="Times New Roman" w:hAnsi="Georgia" w:cs="Times New Roman"/>
          <w:bCs/>
          <w:iCs/>
          <w:lang w:val="en-GB" w:eastAsia="hu-HU"/>
        </w:rPr>
      </w:pPr>
      <w:r w:rsidRPr="0002056A">
        <w:rPr>
          <w:noProof/>
          <w:lang w:val="en-GB"/>
        </w:rPr>
        <w:drawing>
          <wp:inline distT="0" distB="0" distL="0" distR="0" wp14:anchorId="3694D397" wp14:editId="06861CC1">
            <wp:extent cx="3041015" cy="3189249"/>
            <wp:effectExtent l="0" t="0" r="6985" b="0"/>
            <wp:docPr id="1860633621" name="Kép 1" descr="A képen szöveg, képernyőkép, szoftver, Számítógépes ikon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54307" name="Kép 1" descr="A képen szöveg, képernyőkép, szoftver, Számítógépes ikon látható&#10;&#10;Előfordulhat, hogy az AI által létrehozott tartalom helytelen."/>
                    <pic:cNvPicPr/>
                  </pic:nvPicPr>
                  <pic:blipFill rotWithShape="1">
                    <a:blip r:embed="rId210"/>
                    <a:srcRect l="46443" t="22664" r="30235" b="33853"/>
                    <a:stretch>
                      <a:fillRect/>
                    </a:stretch>
                  </pic:blipFill>
                  <pic:spPr bwMode="auto">
                    <a:xfrm>
                      <a:off x="0" y="0"/>
                      <a:ext cx="3061482" cy="3210714"/>
                    </a:xfrm>
                    <a:prstGeom prst="rect">
                      <a:avLst/>
                    </a:prstGeom>
                    <a:ln>
                      <a:noFill/>
                    </a:ln>
                    <a:extLst>
                      <a:ext uri="{53640926-AAD7-44D8-BBD7-CCE9431645EC}">
                        <a14:shadowObscured xmlns:a14="http://schemas.microsoft.com/office/drawing/2010/main"/>
                      </a:ext>
                    </a:extLst>
                  </pic:spPr>
                </pic:pic>
              </a:graphicData>
            </a:graphic>
          </wp:inline>
        </w:drawing>
      </w:r>
    </w:p>
    <w:p w14:paraId="6D1DE730" w14:textId="77777777" w:rsidR="00137018" w:rsidRPr="0002056A" w:rsidRDefault="00137018" w:rsidP="00137018">
      <w:pPr>
        <w:spacing w:before="120" w:after="120" w:line="240" w:lineRule="auto"/>
        <w:jc w:val="center"/>
        <w:rPr>
          <w:rFonts w:ascii="Georgia" w:hAnsi="Georgia" w:cs="Calibri"/>
          <w:i/>
          <w:iCs/>
          <w:sz w:val="18"/>
          <w:szCs w:val="18"/>
          <w:lang w:val="en-GB"/>
        </w:rPr>
      </w:pPr>
      <w:r w:rsidRPr="0002056A">
        <w:rPr>
          <w:rFonts w:ascii="Georgia" w:hAnsi="Georgia" w:cs="Calibri"/>
          <w:b/>
          <w:bCs/>
          <w:sz w:val="18"/>
          <w:szCs w:val="18"/>
          <w:lang w:val="en-GB"/>
        </w:rPr>
        <w:t xml:space="preserve">Objective system of the Scottish NAS. </w:t>
      </w:r>
      <w:r w:rsidRPr="0002056A">
        <w:rPr>
          <w:rFonts w:ascii="Georgia" w:hAnsi="Georgia" w:cs="Calibri"/>
          <w:i/>
          <w:iCs/>
          <w:sz w:val="18"/>
          <w:szCs w:val="18"/>
          <w:lang w:val="en-GB"/>
        </w:rPr>
        <w:t>Source: Scotland’s NAS, 2022.</w:t>
      </w:r>
    </w:p>
    <w:p w14:paraId="06039C94" w14:textId="590D34A5" w:rsidR="00137018" w:rsidRPr="0002056A" w:rsidRDefault="00137018" w:rsidP="00137018">
      <w:pPr>
        <w:spacing w:before="120" w:after="120" w:line="240" w:lineRule="auto"/>
        <w:jc w:val="both"/>
        <w:rPr>
          <w:rFonts w:ascii="Georgia" w:hAnsi="Georgia"/>
          <w:bCs/>
          <w:iCs/>
          <w:lang w:val="en-GB"/>
        </w:rPr>
      </w:pPr>
      <w:r w:rsidRPr="0002056A">
        <w:rPr>
          <w:rFonts w:ascii="Georgia" w:eastAsia="Times New Roman" w:hAnsi="Georgia" w:cs="Times New Roman"/>
          <w:bCs/>
          <w:iCs/>
          <w:lang w:val="en-GB" w:eastAsia="hu-HU"/>
        </w:rPr>
        <w:t xml:space="preserve">As for the international dimensions of adaptation policy, results are outstanding. The emergence of geographically climate-related risks is strong – Scotland’s NAS contains explicit references for the issue in the description of objectives/measures. The emergence of strengthening macro regional / international co-operations is shown by </w:t>
      </w:r>
      <w:r w:rsidRPr="0002056A">
        <w:rPr>
          <w:rFonts w:ascii="Georgia" w:hAnsi="Georgia"/>
          <w:bCs/>
          <w:iCs/>
          <w:lang w:val="en-GB" w:eastAsia="hu-HU"/>
        </w:rPr>
        <w:t xml:space="preserve">IA objective’s general introduction Sub-objective B4 (National economic development point) mentions international </w:t>
      </w:r>
      <w:r w:rsidR="00810E31" w:rsidRPr="0002056A">
        <w:rPr>
          <w:rFonts w:ascii="Georgia" w:hAnsi="Georgia"/>
          <w:bCs/>
          <w:iCs/>
          <w:lang w:val="en-GB" w:eastAsia="hu-HU"/>
        </w:rPr>
        <w:t>trade,</w:t>
      </w:r>
      <w:r w:rsidRPr="0002056A">
        <w:rPr>
          <w:rFonts w:ascii="Georgia" w:hAnsi="Georgia"/>
          <w:bCs/>
          <w:iCs/>
          <w:lang w:val="en-GB" w:eastAsia="hu-HU"/>
        </w:rPr>
        <w:t xml:space="preserve"> its Food security point talks about international cooperation. IA2 sub-objective’s </w:t>
      </w:r>
      <w:r w:rsidR="00124AF7" w:rsidRPr="0002056A">
        <w:rPr>
          <w:rFonts w:ascii="Georgia" w:hAnsi="Georgia"/>
          <w:bCs/>
          <w:iCs/>
          <w:lang w:val="en-GB" w:eastAsia="hu-HU"/>
        </w:rPr>
        <w:t>international</w:t>
      </w:r>
      <w:r w:rsidRPr="0002056A">
        <w:rPr>
          <w:rFonts w:ascii="Georgia" w:hAnsi="Georgia"/>
          <w:bCs/>
          <w:iCs/>
          <w:lang w:val="en-GB" w:eastAsia="hu-HU"/>
        </w:rPr>
        <w:t xml:space="preserve"> engagement-related points and IA3 sub-objective (Knowledge advocacy - international cooperation) in its entirety can be mentioned. The </w:t>
      </w:r>
      <w:r w:rsidRPr="0002056A">
        <w:rPr>
          <w:rFonts w:ascii="Georgia" w:eastAsia="Times New Roman" w:hAnsi="Georgia" w:cs="Times New Roman"/>
          <w:bCs/>
          <w:iCs/>
          <w:lang w:val="en-GB" w:eastAsia="hu-HU"/>
        </w:rPr>
        <w:t>emergence of strengthening macro regional / international influence can be observed in in IA objective’s general introduction; IA1 sub-objective concentrates on financing foreign vulnerable communities; IA2 sub-objective (International Advocacy) on influencing developing countries’ adaptation activities.</w:t>
      </w:r>
    </w:p>
    <w:p w14:paraId="539A8C44" w14:textId="77777777" w:rsidR="00137018" w:rsidRPr="0002056A" w:rsidRDefault="00137018" w:rsidP="00137018">
      <w:pPr>
        <w:spacing w:before="120" w:after="120" w:line="240" w:lineRule="auto"/>
        <w:jc w:val="both"/>
        <w:rPr>
          <w:rFonts w:ascii="Georgia" w:hAnsi="Georgia"/>
          <w:bCs/>
          <w:iCs/>
          <w:lang w:val="en-GB"/>
        </w:rPr>
      </w:pPr>
      <w:r w:rsidRPr="0002056A">
        <w:rPr>
          <w:rFonts w:ascii="Georgia" w:eastAsia="Times New Roman" w:hAnsi="Georgia" w:cs="Times New Roman"/>
          <w:bCs/>
          <w:iCs/>
          <w:lang w:val="en-GB" w:eastAsia="hu-HU"/>
        </w:rPr>
        <w:lastRenderedPageBreak/>
        <w:t>The degree of spatial content in adaptation evaluations shows above-average results, too. In the UK’s parts (so in Scotland as well) the UK Climate Change Risk Assessment (currently the UKCCRA3)'s country-part-related Executive Versions contain several spatial references (mentioning of region types, concrete places, settlement network elements,) but mostly follow a basic sectoral logic. Even the spatial visualization in adaptation evaluation aspect brought upper-middle category result in Scotland, where though the existing evaluation products and monitoring reports show only scarce use of geographically oriented maps or diagrams or info graphs, but at least a minimal number of these emerge is the documents.</w:t>
      </w:r>
    </w:p>
    <w:p w14:paraId="6B03F6E0" w14:textId="77777777" w:rsidR="00137018" w:rsidRPr="0002056A" w:rsidRDefault="00137018" w:rsidP="00137018">
      <w:pPr>
        <w:spacing w:before="120" w:after="120" w:line="240" w:lineRule="auto"/>
        <w:jc w:val="both"/>
        <w:rPr>
          <w:rFonts w:ascii="Georgia" w:eastAsia="Times New Roman" w:hAnsi="Georgia" w:cs="Times New Roman"/>
          <w:bCs/>
          <w:iCs/>
          <w:lang w:val="en-GB" w:eastAsia="hu-HU"/>
        </w:rPr>
      </w:pPr>
      <w:r w:rsidRPr="0002056A">
        <w:rPr>
          <w:rFonts w:ascii="Georgia" w:eastAsia="Times New Roman" w:hAnsi="Georgia" w:cs="Times New Roman"/>
          <w:bCs/>
          <w:iCs/>
          <w:lang w:val="en-GB" w:eastAsia="hu-HU"/>
        </w:rPr>
        <w:t>Coherence with EU spatial planning is outstanding: Scotland represent all priorities of the then-actual Territorial Agenda of the Union (the TA2030). Similarly, the basic territorial concepts’ emergence is strong. The vision and the objective system’s text mention numerous concepts. The Scottish NAS mentions multilevel governance mostly implicitly (urging regional partnerships and local actions</w:t>
      </w:r>
      <w:r w:rsidRPr="0002056A">
        <w:rPr>
          <w:rStyle w:val="Lbjegyzet-hivatkozs"/>
          <w:rFonts w:ascii="Georgia" w:hAnsi="Georgia" w:cs="Times New Roman"/>
          <w:bCs/>
          <w:iCs/>
          <w:lang w:val="en-GB"/>
        </w:rPr>
        <w:footnoteReference w:id="144"/>
      </w:r>
      <w:r w:rsidRPr="0002056A">
        <w:rPr>
          <w:rFonts w:ascii="Georgia" w:eastAsia="Times New Roman" w:hAnsi="Georgia" w:cs="Times New Roman"/>
          <w:bCs/>
          <w:iCs/>
          <w:lang w:val="en-GB" w:eastAsia="hu-HU"/>
        </w:rPr>
        <w:t>. The Vision's Just Transition subchapter especially mentions place-based adaptation. This latter is emphasised throughout the whole document. Natural capital as a close relative to territorial capital emerging in several places in the strategy. There are references to territorial cohesion in the vision chapter and also during the objectives, which is a rare case in European NASs. Spatially balanced development is also emerging in the form of “</w:t>
      </w:r>
      <w:r w:rsidRPr="0002056A">
        <w:rPr>
          <w:rFonts w:ascii="Georgia" w:eastAsia="Times New Roman" w:hAnsi="Georgia" w:cs="Times New Roman"/>
          <w:bCs/>
          <w:i/>
          <w:lang w:val="en-GB" w:eastAsia="hu-HU"/>
        </w:rPr>
        <w:t>equality in development, the reduction of urban-rural division and the support for people and communities most vulnerable to climate change</w:t>
      </w:r>
      <w:r w:rsidRPr="0002056A">
        <w:rPr>
          <w:rFonts w:ascii="Georgia" w:eastAsia="Times New Roman" w:hAnsi="Georgia" w:cs="Times New Roman"/>
          <w:bCs/>
          <w:iCs/>
          <w:lang w:val="en-GB" w:eastAsia="hu-HU"/>
        </w:rPr>
        <w:t xml:space="preserve">”, that are explicit goals of the NAS. </w:t>
      </w:r>
    </w:p>
    <w:p w14:paraId="1222D7FA" w14:textId="4DC465B7" w:rsidR="00137018" w:rsidRPr="0002056A" w:rsidRDefault="00137018" w:rsidP="00137018">
      <w:pPr>
        <w:pStyle w:val="Cmsor3"/>
        <w:rPr>
          <w:lang w:val="en-GB"/>
        </w:rPr>
      </w:pPr>
      <w:bookmarkStart w:id="82" w:name="_Toc225578894"/>
      <w:r w:rsidRPr="0002056A">
        <w:rPr>
          <w:lang w:val="en-GB"/>
        </w:rPr>
        <w:t xml:space="preserve">Annex </w:t>
      </w:r>
      <w:r w:rsidR="00EA2724" w:rsidRPr="0002056A">
        <w:rPr>
          <w:lang w:val="en-GB"/>
        </w:rPr>
        <w:t>4</w:t>
      </w:r>
      <w:r w:rsidRPr="0002056A">
        <w:rPr>
          <w:lang w:val="en-GB"/>
        </w:rPr>
        <w:t xml:space="preserve">b) Northern Europe </w:t>
      </w:r>
      <w:r w:rsidR="002E5300" w:rsidRPr="0002056A">
        <w:rPr>
          <w:lang w:val="en-GB"/>
        </w:rPr>
        <w:t>- special</w:t>
      </w:r>
      <w:r w:rsidRPr="0002056A">
        <w:rPr>
          <w:lang w:val="en-GB"/>
        </w:rPr>
        <w:t xml:space="preserve"> attention on international and geopolitical perspectives</w:t>
      </w:r>
      <w:bookmarkEnd w:id="82"/>
    </w:p>
    <w:p w14:paraId="5DC45B2C" w14:textId="77777777"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 xml:space="preserve">Almost all of the Northern European countries (with the exclusion of Iceland) performed well in the comparative analysis, positioning themselves in the upper ranks of the final spatial sensitivity list, showing good results particularly in international spatial perspectives and coherence with regional development priorities as well as in their objective system’s spatiality. </w:t>
      </w:r>
    </w:p>
    <w:p w14:paraId="50EAA084" w14:textId="77777777" w:rsidR="00137018" w:rsidRPr="0002056A" w:rsidRDefault="00137018" w:rsidP="00137018">
      <w:pPr>
        <w:pStyle w:val="Cmsor4"/>
        <w:rPr>
          <w:lang w:val="en-GB"/>
        </w:rPr>
      </w:pPr>
      <w:r w:rsidRPr="0002056A">
        <w:rPr>
          <w:lang w:val="en-GB"/>
        </w:rPr>
        <w:t>Sweden</w:t>
      </w:r>
    </w:p>
    <w:p w14:paraId="541CD99E" w14:textId="5E59CA1C"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 xml:space="preserve">Regarding the main logic of adaptation </w:t>
      </w:r>
      <w:r w:rsidR="002E5300" w:rsidRPr="0002056A">
        <w:rPr>
          <w:rFonts w:ascii="Georgia" w:hAnsi="Georgia" w:cs="Calibri"/>
          <w:lang w:val="en-GB"/>
        </w:rPr>
        <w:t>policy,</w:t>
      </w:r>
      <w:r w:rsidRPr="0002056A">
        <w:rPr>
          <w:rFonts w:ascii="Georgia" w:hAnsi="Georgia" w:cs="Calibri"/>
          <w:lang w:val="en-GB"/>
        </w:rPr>
        <w:t xml:space="preserve"> the chain of command is that the NAS sets out the governments’ directions and goals for adaptation which sets the course for all adaptation work in Sweden from national to regional and local level. Sectoral Agencies have their own adaptation plans and goals set out by themselves and so do the County Administrative Boards.</w:t>
      </w:r>
    </w:p>
    <w:p w14:paraId="71D5714A" w14:textId="68B78EDC"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 xml:space="preserve"> Sweden’s NAS and NAP are parts of the same document, called the National Strategy and the Government’s Action Plan for Climate Change Adaptation (Skr. 2023/24:97). B</w:t>
      </w:r>
      <w:r w:rsidRPr="0002056A">
        <w:rPr>
          <w:rFonts w:ascii="Georgia" w:hAnsi="Georgia" w:cs="Times New Roman"/>
          <w:bCs/>
          <w:lang w:val="en-GB"/>
        </w:rPr>
        <w:t>eyond the national documents there are also regional adaptation strategies for special regions/spatial units</w:t>
      </w:r>
      <w:r w:rsidRPr="0002056A">
        <w:rPr>
          <w:rStyle w:val="Lbjegyzet-hivatkozs"/>
          <w:rFonts w:ascii="Georgia" w:hAnsi="Georgia" w:cs="Times New Roman"/>
          <w:bCs/>
          <w:lang w:val="en-GB"/>
        </w:rPr>
        <w:footnoteReference w:id="145"/>
      </w:r>
      <w:r w:rsidRPr="0002056A">
        <w:rPr>
          <w:rFonts w:ascii="Georgia" w:hAnsi="Georgia" w:cs="Times New Roman"/>
          <w:bCs/>
          <w:lang w:val="en-GB"/>
        </w:rPr>
        <w:t>. All</w:t>
      </w:r>
      <w:r w:rsidRPr="0002056A">
        <w:rPr>
          <w:rFonts w:ascii="Georgia" w:hAnsi="Georgia" w:cs="Calibri"/>
          <w:lang w:val="en-GB"/>
        </w:rPr>
        <w:t xml:space="preserve"> County Administrative Boards are tasked with having </w:t>
      </w:r>
      <w:r w:rsidR="00810E31" w:rsidRPr="0002056A">
        <w:rPr>
          <w:rFonts w:ascii="Georgia" w:hAnsi="Georgia" w:cs="Calibri"/>
          <w:lang w:val="en-GB"/>
        </w:rPr>
        <w:t>an</w:t>
      </w:r>
      <w:r w:rsidRPr="0002056A">
        <w:rPr>
          <w:rFonts w:ascii="Georgia" w:hAnsi="Georgia" w:cs="Calibri"/>
          <w:lang w:val="en-GB"/>
        </w:rPr>
        <w:t xml:space="preserve"> updated climate adaptation plan for their region. A lot of municipalities in Sweden also have local adaptation plans. Some regions also have regional development plans which highlights adaptation needs. Moreover, all sectoral National Agencies answering to the Swedish Decree on adaptation (Förordning (2018:1428) om myndigheters klimatanpassningsarbete) have their own action plans for adaptation within their sector (such as housing, environment, infrastructure, health and so on).</w:t>
      </w:r>
    </w:p>
    <w:p w14:paraId="24681D7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lastRenderedPageBreak/>
        <w:t>As for active spatial levels from adaptation policy point of view, the NAS is full of related content. Chapter 2.3.2. about sectoral climate change consequences mentions that risks that can be managed through climate adaptation are often local and specific. Consequently. responsibility for climate adaptation lies primarily at the local level, where land and property owners are responsible for protecting property and municipalities are responsible for physical planning. The NAS also talks about the Ordinance (2022:1395) on Government Grants to Municipalities for preventive measures against natural disasters (flooding, landslides, landslides or erosion). Chapter 2.3.3. mentions that under the Act (2003:778) on protection against accidents (LSO), municipalities are expected to build the capacity required based on local risk profiles.</w:t>
      </w:r>
    </w:p>
    <w:p w14:paraId="49403D1F" w14:textId="3C60DCFF"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NAS chapter 3.1.; 4.4.1. and 4.1.6.  say that climate risks and vulnerabilities differ across Sweden. Many municipalities have a strategy for their work on climate adaptation. The regions have an important role in strengthening the coordination of climate adaptation and crisis preparedness. The County Administrative Boards have a central role in evaluation work on climate adaptation, supporting municipalities, coordinating regional climate adaptation work; initiating and following up the municipalities' climate adaptation works. </w:t>
      </w:r>
      <w:r w:rsidR="00810E31" w:rsidRPr="0002056A">
        <w:rPr>
          <w:rFonts w:ascii="Georgia" w:hAnsi="Georgia"/>
          <w:lang w:val="en-GB"/>
        </w:rPr>
        <w:t>Moreover,</w:t>
      </w:r>
      <w:r w:rsidRPr="0002056A">
        <w:rPr>
          <w:rFonts w:ascii="Georgia" w:hAnsi="Georgia"/>
          <w:lang w:val="en-GB"/>
        </w:rPr>
        <w:t xml:space="preserve"> they analyse how the county and, if necessary, neighbouring counties are affected by climate change; contributing to and develop data for increased knowledge and planning and support work in river catchment areas. NAS chapter 4.5.1. (Physical community planning) is especially mentions local and regional climate adaptation tasks.</w:t>
      </w:r>
    </w:p>
    <w:p w14:paraId="407599A4" w14:textId="77777777" w:rsidR="00137018" w:rsidRPr="0002056A" w:rsidRDefault="00137018" w:rsidP="00137018">
      <w:pPr>
        <w:spacing w:before="120" w:after="120" w:line="240" w:lineRule="auto"/>
        <w:jc w:val="both"/>
        <w:rPr>
          <w:rFonts w:ascii="Georgia" w:hAnsi="Georgia" w:cs="Times New Roman"/>
          <w:bCs/>
          <w:lang w:val="en-GB"/>
        </w:rPr>
      </w:pPr>
      <w:r w:rsidRPr="0002056A">
        <w:rPr>
          <w:rFonts w:ascii="Georgia" w:hAnsi="Georgia"/>
          <w:lang w:val="en-GB"/>
        </w:rPr>
        <w:t>Lower-level adaptation planning is urged also by several points of the NAS: Chapter 2.3.3. mentions that municipalities and regions are expected to build the capacity required based on the local risk profile. NAS chapter 3.1. says that responsibility for climate adaptation lies primarily at the local level, where land and property owners are responsible for protecting their property and municipalities are responsible for physical planning. Risks and vulnerabilities are therefore best assessed at the local level. Municipalities, have a central role through their planning monopoly. Many municipalities have a strategy for their work on climate adaptation. NAS point 4.5.7 (Reindeer husbandry) mentions that "</w:t>
      </w:r>
      <w:r w:rsidRPr="0002056A">
        <w:rPr>
          <w:rFonts w:ascii="Georgia" w:hAnsi="Georgia"/>
          <w:i/>
          <w:iCs/>
          <w:lang w:val="en-GB"/>
        </w:rPr>
        <w:t>during 2018–2023, 12 Sami villages have developed their own climate and vulnerability analyses and action plans for climate adaptation</w:t>
      </w:r>
      <w:r w:rsidRPr="0002056A">
        <w:rPr>
          <w:rFonts w:ascii="Georgia" w:hAnsi="Georgia"/>
          <w:lang w:val="en-GB"/>
        </w:rPr>
        <w:t>." NAP’s 4.1.9. "Knowledge and research" point mentions that "</w:t>
      </w:r>
      <w:r w:rsidRPr="0002056A">
        <w:rPr>
          <w:rFonts w:ascii="Georgia" w:hAnsi="Georgia"/>
          <w:i/>
          <w:iCs/>
          <w:lang w:val="en-GB"/>
        </w:rPr>
        <w:t>Municipalities are requesting climate-related planning documents at the local level</w:t>
      </w:r>
      <w:r w:rsidRPr="0002056A">
        <w:rPr>
          <w:rFonts w:ascii="Georgia" w:hAnsi="Georgia"/>
          <w:lang w:val="en-GB"/>
        </w:rPr>
        <w:t>."</w:t>
      </w:r>
      <w:r w:rsidRPr="0002056A">
        <w:rPr>
          <w:rFonts w:ascii="Georgia" w:hAnsi="Georgia" w:cs="Times New Roman"/>
          <w:bCs/>
          <w:i/>
          <w:lang w:val="en-GB"/>
        </w:rPr>
        <w:t xml:space="preserve"> </w:t>
      </w:r>
      <w:r w:rsidRPr="0002056A">
        <w:rPr>
          <w:rFonts w:ascii="Georgia" w:hAnsi="Georgia" w:cs="Times New Roman"/>
          <w:bCs/>
          <w:iCs/>
          <w:lang w:val="en-GB"/>
        </w:rPr>
        <w:t>Furthermore, situation analyses mention spatial planning in one or more subchapters as an important</w:t>
      </w:r>
      <w:r w:rsidRPr="0002056A">
        <w:rPr>
          <w:rFonts w:ascii="Georgia" w:hAnsi="Georgia" w:cs="Times New Roman"/>
          <w:bCs/>
          <w:lang w:val="en-GB"/>
        </w:rPr>
        <w:t xml:space="preserve"> activity. </w:t>
      </w:r>
    </w:p>
    <w:p w14:paraId="7A93F813"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bCs/>
          <w:i/>
          <w:lang w:val="en-GB"/>
        </w:rPr>
        <w:t>Despite these spatial contents, Sweden</w:t>
      </w:r>
      <w:r w:rsidRPr="0002056A">
        <w:rPr>
          <w:rFonts w:ascii="Georgia" w:hAnsi="Georgia" w:cs="Times New Roman"/>
          <w:bCs/>
          <w:lang w:val="en-GB"/>
        </w:rPr>
        <w:t>’s NAS shows basically thematic logic along the description of climate impacts/consequences and sectors (as opposed to the previous NAS, whose 6.2.3. chapter "</w:t>
      </w:r>
      <w:r w:rsidRPr="0002056A">
        <w:rPr>
          <w:rFonts w:ascii="Georgia" w:hAnsi="Georgia" w:cs="Times New Roman"/>
          <w:bCs/>
          <w:i/>
          <w:iCs/>
          <w:lang w:val="en-GB"/>
        </w:rPr>
        <w:t>Effects and consequences at different parts of Sweden</w:t>
      </w:r>
      <w:r w:rsidRPr="0002056A">
        <w:rPr>
          <w:rFonts w:ascii="Georgia" w:hAnsi="Georgia" w:cs="Times New Roman"/>
          <w:bCs/>
          <w:lang w:val="en-GB"/>
        </w:rPr>
        <w:t xml:space="preserve">” was a directly spatial subchapter focusing on Swedish regions; such chapter is lacking from the current material). </w:t>
      </w:r>
    </w:p>
    <w:p w14:paraId="19A0E664" w14:textId="35AB8132"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bCs/>
          <w:lang w:val="en-GB"/>
        </w:rPr>
        <w:t>Chapter 2.3.1. mentions Sweden’s global and macro regional situation briefly; chapter 2.3.2. refers to Northern Europe as a climate-effected macro region. Chapter 3's introduction can be considered as Vision. It mentions that "</w:t>
      </w:r>
      <w:r w:rsidRPr="0002056A">
        <w:rPr>
          <w:rFonts w:ascii="Georgia" w:hAnsi="Georgia" w:cs="Times New Roman"/>
          <w:bCs/>
          <w:i/>
          <w:iCs/>
          <w:lang w:val="en-GB"/>
        </w:rPr>
        <w:t>As an import and export-dependent country, Sweden needs to have a global analysis and value chain perspective. Vulnerabilities and inadequate climate adaptation in other countries can also contribute to increased migration and refugee flows</w:t>
      </w:r>
      <w:r w:rsidRPr="0002056A">
        <w:rPr>
          <w:rFonts w:ascii="Georgia" w:hAnsi="Georgia" w:cs="Times New Roman"/>
          <w:bCs/>
          <w:lang w:val="en-GB"/>
        </w:rPr>
        <w:t>" – this statement shows clear macro regional aspects. NAP 4.7."International work on climate adaptation" chapter dedicates a given point to the topic of "Cooperation in the Nordic Region and the Arctic", which is particularly for macroregional cooperation!</w:t>
      </w:r>
    </w:p>
    <w:p w14:paraId="4CB35CF9" w14:textId="76BF8088"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Within the objective system, Sweden is in the second-best category regarding the proportion of lower-level objectives with spatial content aspect (30,3% of the lower</w:t>
      </w:r>
      <w:r w:rsidR="002E5300" w:rsidRPr="0002056A">
        <w:rPr>
          <w:rFonts w:ascii="Georgia" w:hAnsi="Georgia"/>
          <w:lang w:val="en-GB"/>
        </w:rPr>
        <w:t>-</w:t>
      </w:r>
      <w:r w:rsidRPr="0002056A">
        <w:rPr>
          <w:rFonts w:ascii="Georgia" w:hAnsi="Georgia"/>
          <w:lang w:val="en-GB"/>
        </w:rPr>
        <w:t>level priorities contain spatial content either in its title or detailed description). Another spatial strength of the NAS is that it refers to all 3 main challenges and to the 4 priority fields of the Swedish national regional development concept.</w:t>
      </w:r>
    </w:p>
    <w:p w14:paraId="1802A3B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other spatially strong parts of the Swedish NAS-NAP are the international perspective-oriented chapters. All 3 analytical sub-aspects performed very well in this category.  In the</w:t>
      </w:r>
      <w:r w:rsidRPr="0002056A">
        <w:rPr>
          <w:rFonts w:ascii="Georgia" w:eastAsia="Times New Roman" w:hAnsi="Georgia" w:cs="Times New Roman"/>
          <w:color w:val="000000"/>
          <w:lang w:val="en-GB" w:eastAsia="hu-HU"/>
        </w:rPr>
        <w:t xml:space="preserve"> situation analysis a dedicated subchapter (2.3.2. - Geopolitical aspects and effects on energy </w:t>
      </w:r>
      <w:r w:rsidRPr="0002056A">
        <w:rPr>
          <w:rFonts w:ascii="Georgia" w:eastAsia="Times New Roman" w:hAnsi="Georgia" w:cs="Times New Roman"/>
          <w:color w:val="000000"/>
          <w:lang w:val="en-GB" w:eastAsia="hu-HU"/>
        </w:rPr>
        <w:lastRenderedPageBreak/>
        <w:t>and food supply) deals directly with global spatial climate risks and consequences (border-transcending issues, prolonged conflicts, uncertain food supply lines, migration pressure on southern Europe, cross-border risks) and the Nordic macroregional position. Chapter 3's Vision urges a global analysis and value chain perspective</w:t>
      </w:r>
      <w:r w:rsidRPr="0002056A">
        <w:rPr>
          <w:rStyle w:val="Lbjegyzet-hivatkozs"/>
          <w:rFonts w:ascii="Georgia" w:hAnsi="Georgia" w:cs="Times New Roman"/>
          <w:color w:val="000000"/>
          <w:lang w:val="en-GB"/>
        </w:rPr>
        <w:footnoteReference w:id="146"/>
      </w:r>
      <w:r w:rsidRPr="0002056A">
        <w:rPr>
          <w:rFonts w:ascii="Georgia" w:eastAsia="Times New Roman" w:hAnsi="Georgia" w:cs="Times New Roman"/>
          <w:color w:val="000000"/>
          <w:lang w:val="en-GB" w:eastAsia="hu-HU"/>
        </w:rPr>
        <w:t xml:space="preserve">. NAP specific objective 1’s lower-level objective 8 is directly about geopolitical risks ("Climate adaptation, disaster risk reduction, crisis preparedness and civil defiance"), mentioning several global climate-related and geopolitical risks, emphasising among other things importance of coordination between adaptation- and risk management autorities, organisations. Specific objective 4’s lower-level objective 7 "International work on climate adaptation" is directly about international cooperation and influence exertion in its entirety but talks also about global climate risks, too, especially in its "Security, conflict and migration" subpoint. </w:t>
      </w:r>
      <w:r w:rsidRPr="0002056A">
        <w:rPr>
          <w:rFonts w:ascii="Georgia" w:eastAsia="Times New Roman" w:hAnsi="Georgia" w:cs="Times New Roman"/>
          <w:bCs/>
          <w:iCs/>
          <w:lang w:val="en-GB" w:eastAsia="hu-HU"/>
        </w:rPr>
        <w:t xml:space="preserve">International cooperation also gets strong emphasis. </w:t>
      </w:r>
      <w:r w:rsidRPr="0002056A">
        <w:rPr>
          <w:rFonts w:ascii="Georgia" w:hAnsi="Georgia"/>
          <w:bCs/>
          <w:iCs/>
          <w:lang w:val="en-GB"/>
        </w:rPr>
        <w:t>Sweden’s NAS Vision</w:t>
      </w:r>
      <w:r w:rsidRPr="0002056A">
        <w:rPr>
          <w:rFonts w:ascii="Georgia" w:hAnsi="Georgia"/>
          <w:lang w:val="en-GB"/>
        </w:rPr>
        <w:t xml:space="preserve"> mentions that "</w:t>
      </w:r>
      <w:r w:rsidRPr="0002056A">
        <w:rPr>
          <w:rFonts w:ascii="Georgia" w:hAnsi="Georgia"/>
          <w:i/>
          <w:iCs/>
          <w:lang w:val="en-GB"/>
        </w:rPr>
        <w:t>Climate adaptation work in Sweden needs to be developed and knowledge of how other countries' vulnerabilities and climate adaptation affect Sweden needs to be strengthened</w:t>
      </w:r>
      <w:r w:rsidRPr="0002056A">
        <w:rPr>
          <w:rFonts w:ascii="Georgia" w:hAnsi="Georgia"/>
          <w:lang w:val="en-GB"/>
        </w:rPr>
        <w:t>", clearly indicating the need for cooperation. Specific objective 2’s lower-level objective 5 “Resilience of the Oceans” says that "</w:t>
      </w:r>
      <w:r w:rsidRPr="0002056A">
        <w:rPr>
          <w:rFonts w:ascii="Georgia" w:hAnsi="Georgia"/>
          <w:i/>
          <w:iCs/>
          <w:lang w:val="en-GB"/>
        </w:rPr>
        <w:t>Active regional cooperation, not least through the regional sea conventions, as well as within the EU and internationally, is central to strengthening the protection of the sea, reversing the loss of biodiversity and managing the impact of climate change on the sea</w:t>
      </w:r>
      <w:r w:rsidRPr="0002056A">
        <w:rPr>
          <w:rFonts w:ascii="Georgia" w:hAnsi="Georgia"/>
          <w:lang w:val="en-GB"/>
        </w:rPr>
        <w:t xml:space="preserve">." Specific objective 5’s lower-level objective 6 „Cultural heritage and environments” mentions the newly developed Nordic and international cooperation on cultural heritage and climate change in which Sweden is part of a working group on </w:t>
      </w:r>
      <w:r w:rsidRPr="0002056A">
        <w:rPr>
          <w:rFonts w:ascii="Georgia" w:hAnsi="Georgia"/>
          <w:i/>
          <w:iCs/>
          <w:lang w:val="en-GB"/>
        </w:rPr>
        <w:t>Strengthening</w:t>
      </w:r>
      <w:r w:rsidRPr="0002056A">
        <w:rPr>
          <w:rFonts w:ascii="Georgia" w:hAnsi="Georgia"/>
          <w:lang w:val="en-GB"/>
        </w:rPr>
        <w:t xml:space="preserve"> </w:t>
      </w:r>
      <w:r w:rsidRPr="0002056A">
        <w:rPr>
          <w:rFonts w:ascii="Georgia" w:hAnsi="Georgia"/>
          <w:i/>
          <w:iCs/>
          <w:lang w:val="en-GB"/>
        </w:rPr>
        <w:t>Cultural Heritage Resilience from Climate Change</w:t>
      </w:r>
      <w:r w:rsidRPr="0002056A">
        <w:rPr>
          <w:rFonts w:ascii="Georgia" w:hAnsi="Georgia"/>
          <w:lang w:val="en-GB"/>
        </w:rPr>
        <w:t>." Specific objective 4’s lower-level objective 6 “Human Health” mentions the need for cooperation with other countries regarding transboundary risks, too. Specific objective 4’s lower-level objective 7 "</w:t>
      </w:r>
      <w:r w:rsidRPr="0002056A">
        <w:rPr>
          <w:rFonts w:ascii="Georgia" w:hAnsi="Georgia"/>
          <w:i/>
          <w:iCs/>
          <w:lang w:val="en-GB"/>
        </w:rPr>
        <w:t>International work on climate adaptation</w:t>
      </w:r>
      <w:r w:rsidRPr="0002056A">
        <w:rPr>
          <w:rFonts w:ascii="Georgia" w:hAnsi="Georgia"/>
          <w:lang w:val="en-GB"/>
        </w:rPr>
        <w:t>" is directly about international cooperation and influence exertion in its entirety. Its subpoints "</w:t>
      </w:r>
      <w:r w:rsidRPr="0002056A">
        <w:rPr>
          <w:rFonts w:ascii="Georgia" w:hAnsi="Georgia"/>
          <w:i/>
          <w:iCs/>
          <w:lang w:val="en-GB"/>
        </w:rPr>
        <w:t>Biodiversity on land and in the sea</w:t>
      </w:r>
      <w:r w:rsidRPr="0002056A">
        <w:rPr>
          <w:rFonts w:ascii="Georgia" w:hAnsi="Georgia"/>
          <w:lang w:val="en-GB"/>
        </w:rPr>
        <w:t>", "</w:t>
      </w:r>
      <w:r w:rsidRPr="0002056A">
        <w:rPr>
          <w:rFonts w:ascii="Georgia" w:hAnsi="Georgia"/>
          <w:i/>
          <w:iCs/>
          <w:lang w:val="en-GB"/>
        </w:rPr>
        <w:t>Secure food supply and sustainable food systems</w:t>
      </w:r>
      <w:r w:rsidRPr="0002056A">
        <w:rPr>
          <w:rFonts w:ascii="Georgia" w:hAnsi="Georgia"/>
          <w:lang w:val="en-GB"/>
        </w:rPr>
        <w:t>" and "</w:t>
      </w:r>
      <w:r w:rsidRPr="0002056A">
        <w:rPr>
          <w:rFonts w:ascii="Georgia" w:hAnsi="Georgia"/>
          <w:i/>
          <w:iCs/>
          <w:lang w:val="en-GB"/>
        </w:rPr>
        <w:t>Water</w:t>
      </w:r>
      <w:r w:rsidRPr="0002056A">
        <w:rPr>
          <w:rFonts w:ascii="Georgia" w:hAnsi="Georgia"/>
          <w:lang w:val="en-GB"/>
        </w:rPr>
        <w:t>" are not directly territorial cooperation-oriented ones, but implicitly, you can read the importance of the topic between the lines. "</w:t>
      </w:r>
      <w:r w:rsidRPr="0002056A">
        <w:rPr>
          <w:rFonts w:ascii="Georgia" w:hAnsi="Georgia"/>
          <w:i/>
          <w:iCs/>
          <w:lang w:val="en-GB"/>
        </w:rPr>
        <w:t>Health</w:t>
      </w:r>
      <w:r w:rsidRPr="0002056A">
        <w:rPr>
          <w:rFonts w:ascii="Georgia" w:hAnsi="Georgia"/>
          <w:lang w:val="en-GB"/>
        </w:rPr>
        <w:t>" subpoint explicitly mentions the need for international cooperation and coordination to prevent disease spreading related problems. "</w:t>
      </w:r>
      <w:r w:rsidRPr="0002056A">
        <w:rPr>
          <w:rFonts w:ascii="Georgia" w:hAnsi="Georgia"/>
          <w:i/>
          <w:iCs/>
          <w:lang w:val="en-GB"/>
        </w:rPr>
        <w:t>Cooperation in the Nordic Region and the Arctic</w:t>
      </w:r>
      <w:r w:rsidRPr="0002056A">
        <w:rPr>
          <w:rFonts w:ascii="Georgia" w:hAnsi="Georgia"/>
          <w:lang w:val="en-GB"/>
        </w:rPr>
        <w:t>" subpoint is particularly dedicated for macroregional cooperation. Also dedicated subpoints deal with "</w:t>
      </w:r>
      <w:r w:rsidRPr="0002056A">
        <w:rPr>
          <w:rFonts w:ascii="Georgia" w:hAnsi="Georgia"/>
          <w:i/>
          <w:iCs/>
          <w:lang w:val="en-GB"/>
        </w:rPr>
        <w:t>Cooperation with the EU</w:t>
      </w:r>
      <w:r w:rsidRPr="0002056A">
        <w:rPr>
          <w:rFonts w:ascii="Georgia" w:hAnsi="Georgia"/>
          <w:lang w:val="en-GB"/>
        </w:rPr>
        <w:t>" and "</w:t>
      </w:r>
      <w:r w:rsidRPr="0002056A">
        <w:rPr>
          <w:rFonts w:ascii="Georgia" w:hAnsi="Georgia"/>
          <w:i/>
          <w:iCs/>
          <w:lang w:val="en-GB"/>
        </w:rPr>
        <w:t>Cooperation with the UN</w:t>
      </w:r>
      <w:r w:rsidRPr="0002056A">
        <w:rPr>
          <w:rFonts w:ascii="Georgia" w:hAnsi="Georgia"/>
          <w:lang w:val="en-GB"/>
        </w:rPr>
        <w:t>".</w:t>
      </w:r>
    </w:p>
    <w:p w14:paraId="384F3C22"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lang w:val="en-GB" w:eastAsia="hu-HU"/>
        </w:rPr>
        <w:t xml:space="preserve">International influence exertion also emerges in the NAS/NAP: Sweden has a leading role in international climate finance. Its NAP lower-level objective 4.7."International ork on climate adaptation" is directly about </w:t>
      </w:r>
      <w:r w:rsidRPr="0002056A">
        <w:rPr>
          <w:rFonts w:ascii="Georgia" w:eastAsia="Times New Roman" w:hAnsi="Georgia" w:cs="Times New Roman"/>
          <w:color w:val="000000"/>
          <w:lang w:val="en-GB" w:eastAsia="hu-HU"/>
        </w:rPr>
        <w:t>international cooperation and influence exertion in its entirety, especially the point "</w:t>
      </w:r>
      <w:r w:rsidRPr="0002056A">
        <w:rPr>
          <w:rFonts w:ascii="Georgia" w:eastAsia="Times New Roman" w:hAnsi="Georgia" w:cs="Times New Roman"/>
          <w:i/>
          <w:iCs/>
          <w:color w:val="000000"/>
          <w:lang w:val="en-GB" w:eastAsia="hu-HU"/>
        </w:rPr>
        <w:t>International financing and global resilience to climate risks</w:t>
      </w:r>
      <w:r w:rsidRPr="0002056A">
        <w:rPr>
          <w:rFonts w:ascii="Georgia" w:eastAsia="Times New Roman" w:hAnsi="Georgia" w:cs="Times New Roman"/>
          <w:color w:val="000000"/>
          <w:lang w:val="en-GB" w:eastAsia="hu-HU"/>
        </w:rPr>
        <w:t>” subpoint deals with the latter. “</w:t>
      </w:r>
      <w:r w:rsidRPr="0002056A">
        <w:rPr>
          <w:rFonts w:ascii="Georgia" w:eastAsia="Times New Roman" w:hAnsi="Georgia" w:cs="Times New Roman"/>
          <w:i/>
          <w:iCs/>
          <w:color w:val="000000"/>
          <w:lang w:val="en-GB" w:eastAsia="hu-HU"/>
        </w:rPr>
        <w:t>Sweden as an international actor</w:t>
      </w:r>
      <w:r w:rsidRPr="0002056A">
        <w:rPr>
          <w:rFonts w:ascii="Georgia" w:eastAsia="Times New Roman" w:hAnsi="Georgia" w:cs="Times New Roman"/>
          <w:color w:val="000000"/>
          <w:lang w:val="en-GB" w:eastAsia="hu-HU"/>
        </w:rPr>
        <w:t xml:space="preserve">" point says that the Government intends to continue to have an ambitious global commitment to adaptation and intends to expand and make Swedish climate assistance more efficient and, in addition, to a greater extent mobilise private capital and technological innovation, concentrating on major investments and local capacity developments in developing countries. The government intends to continue to push for ambitious and effective climate adaptation work within the frameworks of regional, EU and UN level cooperations. </w:t>
      </w:r>
    </w:p>
    <w:p w14:paraId="52C2B4F9" w14:textId="77777777" w:rsidR="00137018" w:rsidRPr="0002056A" w:rsidRDefault="00137018" w:rsidP="00137018">
      <w:pPr>
        <w:spacing w:before="120" w:after="120" w:line="240" w:lineRule="auto"/>
        <w:jc w:val="both"/>
        <w:rPr>
          <w:rFonts w:ascii="Georgia" w:eastAsia="Times New Roman" w:hAnsi="Georgia" w:cs="Calibri"/>
          <w:highlight w:val="yellow"/>
          <w:lang w:val="en-GB" w:eastAsia="hu-HU"/>
        </w:rPr>
      </w:pPr>
      <w:r w:rsidRPr="0002056A">
        <w:rPr>
          <w:rFonts w:ascii="Georgia" w:hAnsi="Georgia" w:cs="Calibri"/>
          <w:lang w:val="en-GB"/>
        </w:rPr>
        <w:t xml:space="preserve">According to our interviewee, there is a </w:t>
      </w:r>
      <w:r w:rsidRPr="0002056A">
        <w:rPr>
          <w:rFonts w:ascii="Georgia" w:eastAsia="Times New Roman" w:hAnsi="Georgia" w:cs="Calibri"/>
          <w:lang w:val="en-GB" w:eastAsia="hu-HU"/>
        </w:rPr>
        <w:t>functioning adaptation-related monitoring system</w:t>
      </w:r>
      <w:r w:rsidRPr="0002056A">
        <w:rPr>
          <w:rFonts w:ascii="Georgia" w:hAnsi="Georgia" w:cs="Calibri"/>
          <w:lang w:val="en-GB"/>
        </w:rPr>
        <w:t xml:space="preserve"> in Sweden</w:t>
      </w:r>
      <w:r w:rsidRPr="0002056A">
        <w:rPr>
          <w:rFonts w:ascii="Georgia" w:eastAsia="Times New Roman" w:hAnsi="Georgia" w:cs="Calibri"/>
          <w:lang w:val="en-GB" w:eastAsia="hu-HU"/>
        </w:rPr>
        <w:t>. All national agencies and County Administrative Boards are tasked with reporting their annual work to the government, to indicate progression. The Swedish Expert Council of Adaptation is also tasked with evaluating the adaptation work and the vulnerability status trough a climate and vulnerability analysis. However, a new comprehensive monitoring system for Sweden with a broader scope is under implementation. To date no indicator set has been established. However, GIS-data sets and climate analysis for different climatic indicators are readily available down to regional and even municipal level from different databases.</w:t>
      </w:r>
    </w:p>
    <w:p w14:paraId="12A59F62" w14:textId="77777777" w:rsidR="00137018" w:rsidRPr="0002056A" w:rsidRDefault="00137018" w:rsidP="00137018">
      <w:pPr>
        <w:spacing w:before="120" w:after="120" w:line="240" w:lineRule="auto"/>
        <w:jc w:val="both"/>
        <w:rPr>
          <w:rFonts w:ascii="Georgia" w:eastAsia="Times New Roman" w:hAnsi="Georgia" w:cs="Calibri"/>
          <w:highlight w:val="yellow"/>
          <w:lang w:val="en-GB" w:eastAsia="hu-HU"/>
        </w:rPr>
      </w:pPr>
      <w:r w:rsidRPr="0002056A">
        <w:rPr>
          <w:rFonts w:ascii="Georgia" w:eastAsia="Times New Roman" w:hAnsi="Georgia" w:cs="Calibri"/>
          <w:lang w:val="en-GB" w:eastAsia="hu-HU"/>
        </w:rPr>
        <w:lastRenderedPageBreak/>
        <w:t>As for GIS based decision support systems in climate (adaptation) policy, in Sweden there is several GIS-based data sets as decision support during planning activities available for actors to use in their evaluation of climate related risks. There are even climate change issue related evaluations, however, they concentrate on sectors rather than geographical regions.</w:t>
      </w:r>
    </w:p>
    <w:p w14:paraId="76E02DCB" w14:textId="77777777" w:rsidR="00137018" w:rsidRPr="0002056A" w:rsidRDefault="00137018" w:rsidP="00137018">
      <w:pPr>
        <w:pStyle w:val="Cmsor4"/>
        <w:rPr>
          <w:lang w:val="en-GB"/>
        </w:rPr>
      </w:pPr>
      <w:r w:rsidRPr="0002056A">
        <w:rPr>
          <w:lang w:val="en-GB"/>
        </w:rPr>
        <w:t>Norway</w:t>
      </w:r>
    </w:p>
    <w:p w14:paraId="1149B19F" w14:textId="5251BE7C"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Norway shows similar characteristics (with significant international spatial dimensions) to other Scandinavian countries. </w:t>
      </w:r>
      <w:r w:rsidR="002E5300" w:rsidRPr="0002056A">
        <w:rPr>
          <w:rFonts w:ascii="Georgia" w:hAnsi="Georgia"/>
          <w:lang w:val="en-GB"/>
        </w:rPr>
        <w:t>Basically,</w:t>
      </w:r>
      <w:r w:rsidRPr="0002056A">
        <w:rPr>
          <w:rFonts w:ascii="Georgia" w:hAnsi="Georgia"/>
          <w:lang w:val="en-GB"/>
        </w:rPr>
        <w:t xml:space="preserve"> in the NAS sectoral logic prevails both in the situation analysis and the description of the objectives of the NAS; only Svalbard and the urban settlements </w:t>
      </w:r>
      <w:r w:rsidR="006143CA" w:rsidRPr="0002056A">
        <w:rPr>
          <w:rFonts w:ascii="Georgia" w:hAnsi="Georgia"/>
          <w:lang w:val="en-GB"/>
        </w:rPr>
        <w:t>get</w:t>
      </w:r>
      <w:r w:rsidRPr="0002056A">
        <w:rPr>
          <w:rFonts w:ascii="Georgia" w:hAnsi="Georgia"/>
          <w:lang w:val="en-GB"/>
        </w:rPr>
        <w:t xml:space="preserve"> one-one special objectives and dedicated situation analysis subchapters.</w:t>
      </w:r>
    </w:p>
    <w:p w14:paraId="532FD164" w14:textId="77777777" w:rsidR="00137018" w:rsidRPr="0002056A" w:rsidRDefault="00137018" w:rsidP="00137018">
      <w:pPr>
        <w:spacing w:before="120" w:after="120" w:line="240" w:lineRule="auto"/>
        <w:jc w:val="both"/>
        <w:rPr>
          <w:rFonts w:ascii="Georgia" w:eastAsia="Times New Roman" w:hAnsi="Georgia" w:cs="Times New Roman"/>
          <w:lang w:val="en-GB" w:eastAsia="hu-HU"/>
        </w:rPr>
      </w:pPr>
      <w:r w:rsidRPr="0002056A">
        <w:rPr>
          <w:rFonts w:ascii="Georgia" w:hAnsi="Georgia"/>
          <w:lang w:val="en-GB"/>
        </w:rPr>
        <w:t>According to the Climate-ADAPT website both sectoral and regional adaptation strategies exist in the country. The latter feature is also underlined by the fact that within the NAS’s generally weaker space phraseology an exceptionally frequent mentioning of “region” is outstanding. B</w:t>
      </w:r>
      <w:r w:rsidRPr="0002056A">
        <w:rPr>
          <w:rFonts w:ascii="Georgia" w:eastAsia="Times New Roman" w:hAnsi="Georgia" w:cs="Times New Roman"/>
          <w:lang w:val="en-GB" w:eastAsia="hu-HU"/>
        </w:rPr>
        <w:t>oth national and lower (regional, local) spatial levels are mentioned by the strategy/legislation as levels of adaptation activities, but no dedicated chapter about spatial levels is part of the NAS.</w:t>
      </w:r>
    </w:p>
    <w:p w14:paraId="6C80BEB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Regarding spatial visualization of the situation analyses</w:t>
      </w:r>
      <w:r w:rsidRPr="0002056A">
        <w:rPr>
          <w:rFonts w:ascii="Georgia" w:eastAsia="Times New Roman" w:hAnsi="Georgia" w:cs="Times New Roman"/>
          <w:b/>
          <w:i/>
          <w:color w:val="4472C4" w:themeColor="accent1"/>
          <w:lang w:val="en-GB" w:eastAsia="hu-HU"/>
        </w:rPr>
        <w:t xml:space="preserve"> </w:t>
      </w:r>
      <w:r w:rsidRPr="0002056A">
        <w:rPr>
          <w:rFonts w:ascii="Georgia" w:hAnsi="Georgia" w:cs="Times New Roman"/>
          <w:bCs/>
          <w:i/>
          <w:lang w:val="en-GB"/>
        </w:rPr>
        <w:t>Denmark and Norway</w:t>
      </w:r>
      <w:r w:rsidRPr="0002056A">
        <w:rPr>
          <w:rFonts w:ascii="Georgia" w:hAnsi="Georgia" w:cs="Times New Roman"/>
          <w:bCs/>
          <w:lang w:val="en-GB"/>
        </w:rPr>
        <w:t xml:space="preserve"> are two interesting examples - using larger number of photographs instead of maps about impacts (8 and 9 respectively). </w:t>
      </w:r>
      <w:r w:rsidRPr="0002056A">
        <w:rPr>
          <w:rFonts w:ascii="Georgia" w:eastAsia="Times New Roman" w:hAnsi="Georgia" w:cs="Times New Roman"/>
          <w:color w:val="000000"/>
          <w:lang w:val="en-GB" w:eastAsia="hu-HU"/>
        </w:rPr>
        <w:t xml:space="preserve">Interestingly, similarly to the NAS situation analyses, in Norway’s adaptation-related evaluations </w:t>
      </w:r>
      <w:r w:rsidRPr="0002056A">
        <w:rPr>
          <w:rFonts w:ascii="Georgia" w:eastAsia="Times New Roman" w:hAnsi="Georgia" w:cs="Times New Roman"/>
          <w:iCs/>
          <w:color w:val="000000"/>
          <w:lang w:val="en-GB" w:eastAsia="hu-HU"/>
        </w:rPr>
        <w:t>only diagrams/photos indicating spatial issues emerge in the documents.</w:t>
      </w:r>
    </w:p>
    <w:p w14:paraId="3A139DC3" w14:textId="77777777" w:rsidR="000F24D1" w:rsidRDefault="00137018" w:rsidP="000F24D1">
      <w:pPr>
        <w:spacing w:before="120" w:after="120" w:line="240" w:lineRule="auto"/>
        <w:jc w:val="both"/>
        <w:rPr>
          <w:rFonts w:ascii="Georgia" w:hAnsi="Georgia" w:cs="Times New Roman"/>
          <w:bCs/>
          <w:lang w:val="en-GB"/>
        </w:rPr>
      </w:pPr>
      <w:r w:rsidRPr="0002056A">
        <w:rPr>
          <w:rFonts w:ascii="Georgia" w:eastAsia="Times New Roman" w:hAnsi="Georgia" w:cs="Times New Roman"/>
          <w:color w:val="000000"/>
          <w:lang w:val="en-GB" w:eastAsia="hu-HU"/>
        </w:rPr>
        <w:t xml:space="preserve">In </w:t>
      </w:r>
      <w:r w:rsidRPr="0002056A">
        <w:rPr>
          <w:rFonts w:ascii="Georgia" w:eastAsia="Times New Roman" w:hAnsi="Georgia" w:cs="Times New Roman"/>
          <w:i/>
          <w:color w:val="000000"/>
          <w:lang w:val="en-GB" w:eastAsia="hu-HU"/>
        </w:rPr>
        <w:t>Norway</w:t>
      </w:r>
      <w:r w:rsidRPr="0002056A">
        <w:rPr>
          <w:rFonts w:ascii="Georgia" w:eastAsia="Times New Roman" w:hAnsi="Georgia" w:cs="Times New Roman"/>
          <w:color w:val="000000"/>
          <w:lang w:val="en-GB" w:eastAsia="hu-HU"/>
        </w:rPr>
        <w:t>’s NAS the overall objective is basically thematic, and it is followed by no specific goals but 8 lower</w:t>
      </w:r>
      <w:r w:rsidR="002E5300" w:rsidRPr="0002056A">
        <w:rPr>
          <w:rFonts w:ascii="Georgia" w:eastAsia="Times New Roman" w:hAnsi="Georgia" w:cs="Times New Roman"/>
          <w:color w:val="000000"/>
          <w:lang w:val="en-GB" w:eastAsia="hu-HU"/>
        </w:rPr>
        <w:t>-</w:t>
      </w:r>
      <w:r w:rsidRPr="0002056A">
        <w:rPr>
          <w:rFonts w:ascii="Georgia" w:eastAsia="Times New Roman" w:hAnsi="Georgia" w:cs="Times New Roman"/>
          <w:color w:val="000000"/>
          <w:lang w:val="en-GB" w:eastAsia="hu-HU"/>
        </w:rPr>
        <w:t>level objectives. Out of these, two ere spatial (one for sea level rise in coastal areas and one for the Sami territories), one is settlement focussed (storm waters in cities and towns) and one deals with the close spatial issue-related land use issue ("</w:t>
      </w:r>
      <w:r w:rsidRPr="0002056A">
        <w:rPr>
          <w:rFonts w:ascii="Georgia" w:eastAsia="Times New Roman" w:hAnsi="Georgia" w:cs="Times New Roman"/>
          <w:i/>
          <w:iCs/>
          <w:color w:val="000000"/>
          <w:lang w:val="en-GB" w:eastAsia="hu-HU"/>
        </w:rPr>
        <w:t>Land use management and climate resilient society</w:t>
      </w:r>
      <w:r w:rsidRPr="0002056A">
        <w:rPr>
          <w:rFonts w:ascii="Georgia" w:eastAsia="Times New Roman" w:hAnsi="Georgia" w:cs="Times New Roman"/>
          <w:color w:val="000000"/>
          <w:lang w:val="en-GB" w:eastAsia="hu-HU"/>
        </w:rPr>
        <w:t xml:space="preserve">"). Altogether more than 50% of the NAS lower-level objectives comprises spatial references in their title or in their detailed description, which is an outstanding proportion. </w:t>
      </w:r>
      <w:r w:rsidRPr="0002056A">
        <w:rPr>
          <w:rFonts w:ascii="Georgia" w:hAnsi="Georgia" w:cs="Times New Roman"/>
          <w:bCs/>
          <w:i/>
          <w:lang w:val="en-GB"/>
        </w:rPr>
        <w:t xml:space="preserve">As for horizontal goals, the </w:t>
      </w:r>
      <w:r w:rsidRPr="0002056A">
        <w:rPr>
          <w:rFonts w:ascii="Georgia" w:hAnsi="Georgia" w:cs="Times New Roman"/>
          <w:bCs/>
          <w:lang w:val="en-GB"/>
        </w:rPr>
        <w:t>NAS Introduction chapter comprises four horizontal principle-like paragraphs (“</w:t>
      </w:r>
      <w:r w:rsidRPr="0002056A">
        <w:rPr>
          <w:rFonts w:ascii="Georgia" w:hAnsi="Georgia" w:cs="Times New Roman"/>
          <w:bCs/>
          <w:i/>
          <w:iCs/>
          <w:lang w:val="en-GB"/>
        </w:rPr>
        <w:t>Government is strengthening efforts in adaptation”; “Nature plays an important role”; “Adaptation works is anchored in global goals”; “Municipalities are important actors in adaptation”</w:t>
      </w:r>
      <w:r w:rsidRPr="0002056A">
        <w:rPr>
          <w:rFonts w:ascii="Georgia" w:hAnsi="Georgia" w:cs="Times New Roman"/>
          <w:bCs/>
          <w:lang w:val="en-GB"/>
        </w:rPr>
        <w:t>) among which the last one has spatial (or territorial level-related) reflections, emphasising the role of local actors, multilevel governance, lower level adaptation work, spatial CVAs and spatial planning's importance.</w:t>
      </w:r>
    </w:p>
    <w:p w14:paraId="4D2F3095" w14:textId="22BCA506" w:rsidR="000F24D1" w:rsidRPr="0002056A" w:rsidRDefault="000F24D1" w:rsidP="000F24D1">
      <w:pPr>
        <w:spacing w:before="120" w:after="120" w:line="240" w:lineRule="auto"/>
        <w:jc w:val="both"/>
        <w:rPr>
          <w:rFonts w:ascii="Georgia" w:hAnsi="Georgia"/>
          <w:lang w:val="en-GB"/>
        </w:rPr>
      </w:pPr>
      <w:r w:rsidRPr="000F24D1">
        <w:rPr>
          <w:rFonts w:ascii="Georgia" w:eastAsia="Times New Roman" w:hAnsi="Georgia" w:cs="Times New Roman"/>
          <w:i/>
          <w:color w:val="000000"/>
          <w:lang w:val="en-GB" w:eastAsia="hu-HU"/>
        </w:rPr>
        <w:t xml:space="preserve"> </w:t>
      </w:r>
      <w:r w:rsidRPr="0002056A">
        <w:rPr>
          <w:rFonts w:ascii="Georgia" w:eastAsia="Times New Roman" w:hAnsi="Georgia" w:cs="Times New Roman"/>
          <w:i/>
          <w:color w:val="000000"/>
          <w:lang w:val="en-GB" w:eastAsia="hu-HU"/>
        </w:rPr>
        <w:t xml:space="preserve">At the level of actions/interventions Norway </w:t>
      </w:r>
      <w:r w:rsidRPr="0002056A">
        <w:rPr>
          <w:rFonts w:ascii="Georgia" w:eastAsia="Times New Roman" w:hAnsi="Georgia" w:cs="Times New Roman"/>
          <w:color w:val="000000"/>
          <w:lang w:val="en-GB" w:eastAsia="hu-HU"/>
        </w:rPr>
        <w:t>dedicates in the NAS one urban or spatial planning-related measure group and several (more than 10) nominally spatial unit-, regional type-related or generally spatial logic-based individual measures to spatial issues.</w:t>
      </w:r>
    </w:p>
    <w:p w14:paraId="2667B100" w14:textId="77777777" w:rsidR="000F24D1" w:rsidRPr="0002056A" w:rsidRDefault="000F24D1" w:rsidP="000F24D1">
      <w:pPr>
        <w:spacing w:before="120" w:after="120" w:line="240" w:lineRule="auto"/>
        <w:jc w:val="both"/>
        <w:rPr>
          <w:rFonts w:ascii="Georgia" w:hAnsi="Georgia"/>
          <w:lang w:val="en-GB"/>
        </w:rPr>
      </w:pPr>
      <w:r w:rsidRPr="0002056A">
        <w:rPr>
          <w:rFonts w:ascii="Georgia" w:eastAsia="Times New Roman" w:hAnsi="Georgia" w:cs="Times New Roman"/>
          <w:color w:val="000000"/>
          <w:lang w:val="en-GB" w:eastAsia="hu-HU"/>
        </w:rPr>
        <w:t xml:space="preserve">In the </w:t>
      </w:r>
      <w:r w:rsidRPr="0002056A">
        <w:rPr>
          <w:rFonts w:ascii="Georgia" w:eastAsia="Times New Roman" w:hAnsi="Georgia" w:cs="Times New Roman"/>
          <w:i/>
          <w:color w:val="000000"/>
          <w:lang w:val="en-GB" w:eastAsia="hu-HU"/>
        </w:rPr>
        <w:t xml:space="preserve">Norwegian NAS </w:t>
      </w:r>
      <w:r w:rsidRPr="0002056A">
        <w:rPr>
          <w:rFonts w:ascii="Georgia" w:eastAsia="Times New Roman" w:hAnsi="Georgia" w:cs="Times New Roman"/>
          <w:color w:val="000000"/>
          <w:lang w:val="en-GB" w:eastAsia="hu-HU"/>
        </w:rPr>
        <w:t>the "</w:t>
      </w:r>
      <w:r w:rsidRPr="0002056A">
        <w:rPr>
          <w:rFonts w:ascii="Georgia" w:eastAsia="Times New Roman" w:hAnsi="Georgia" w:cs="Times New Roman"/>
          <w:i/>
          <w:iCs/>
          <w:color w:val="000000"/>
          <w:lang w:val="en-GB" w:eastAsia="hu-HU"/>
        </w:rPr>
        <w:t>Foreign defence and security policy</w:t>
      </w:r>
      <w:r w:rsidRPr="0002056A">
        <w:rPr>
          <w:rFonts w:ascii="Georgia" w:eastAsia="Times New Roman" w:hAnsi="Georgia" w:cs="Times New Roman"/>
          <w:color w:val="000000"/>
          <w:lang w:val="en-GB" w:eastAsia="hu-HU"/>
        </w:rPr>
        <w:t xml:space="preserve">" measure group is dedicated especially to the issue of global (spatial) climate risks and consequences. Moreover, the issue of geopolitical risks appears in several other parts of the document. The </w:t>
      </w:r>
      <w:r w:rsidRPr="0002056A">
        <w:rPr>
          <w:rFonts w:ascii="Georgia" w:eastAsia="Times New Roman" w:hAnsi="Georgia" w:cs="Times New Roman"/>
          <w:i/>
          <w:color w:val="000000"/>
          <w:lang w:val="en-GB" w:eastAsia="hu-HU"/>
        </w:rPr>
        <w:t>“</w:t>
      </w:r>
      <w:r w:rsidRPr="0002056A">
        <w:rPr>
          <w:rFonts w:ascii="Georgia" w:eastAsia="Times New Roman" w:hAnsi="Georgia" w:cs="Times New Roman"/>
          <w:i/>
          <w:iCs/>
          <w:color w:val="000000"/>
          <w:lang w:val="en-GB" w:eastAsia="hu-HU"/>
        </w:rPr>
        <w:t>Aid and development cooperation</w:t>
      </w:r>
      <w:r w:rsidRPr="0002056A">
        <w:rPr>
          <w:rFonts w:ascii="Georgia" w:eastAsia="Times New Roman" w:hAnsi="Georgia" w:cs="Times New Roman"/>
          <w:color w:val="000000"/>
          <w:lang w:val="en-GB" w:eastAsia="hu-HU"/>
        </w:rPr>
        <w:t>” measure group is dedicated for international cooperation in adaptation. Strengthening international/geopolitical influence already appear in the introduction, in several of the thematic situation analysis chapter's introductory parts and in subchapter #3. Subchapter 10.1. "</w:t>
      </w:r>
      <w:r w:rsidRPr="0002056A">
        <w:rPr>
          <w:rFonts w:ascii="Georgia" w:eastAsia="Times New Roman" w:hAnsi="Georgia" w:cs="Times New Roman"/>
          <w:i/>
          <w:iCs/>
          <w:color w:val="000000"/>
          <w:lang w:val="en-GB" w:eastAsia="hu-HU"/>
        </w:rPr>
        <w:t>Vulnerability is unevenly distributed</w:t>
      </w:r>
      <w:r w:rsidRPr="0002056A">
        <w:rPr>
          <w:rFonts w:ascii="Georgia" w:eastAsia="Times New Roman" w:hAnsi="Georgia" w:cs="Times New Roman"/>
          <w:color w:val="000000"/>
          <w:lang w:val="en-GB" w:eastAsia="hu-HU"/>
        </w:rPr>
        <w:t xml:space="preserve">" mentions the need for help vulnerable regions of the World (East, Central and West Africa, South Asia, Central America, the Caribbean and island states are even nominated). Objective chapter’ subchapter #6.8.3. about climate adaptation and international security and #6.9.1. about reducing climate vulnerability in developing countries also touch the issue. </w:t>
      </w:r>
    </w:p>
    <w:p w14:paraId="222281ED" w14:textId="72FE23EA" w:rsidR="00137018" w:rsidRPr="0002056A" w:rsidRDefault="00137018" w:rsidP="00137018">
      <w:pPr>
        <w:spacing w:before="120" w:after="120" w:line="240" w:lineRule="auto"/>
        <w:jc w:val="both"/>
        <w:rPr>
          <w:rFonts w:ascii="Georgia" w:hAnsi="Georgia"/>
          <w:lang w:val="en-GB"/>
        </w:rPr>
      </w:pPr>
    </w:p>
    <w:p w14:paraId="20DF212A" w14:textId="77777777" w:rsidR="00137018" w:rsidRPr="0002056A" w:rsidRDefault="00137018" w:rsidP="00137018">
      <w:pPr>
        <w:spacing w:before="120" w:after="120" w:line="240" w:lineRule="auto"/>
        <w:jc w:val="center"/>
        <w:rPr>
          <w:rFonts w:ascii="Georgia" w:eastAsia="Times New Roman" w:hAnsi="Georgia" w:cs="Times New Roman"/>
          <w:i/>
          <w:color w:val="000000"/>
          <w:lang w:val="en-GB" w:eastAsia="hu-HU"/>
        </w:rPr>
      </w:pPr>
      <w:r w:rsidRPr="0002056A">
        <w:rPr>
          <w:rFonts w:ascii="Georgia" w:eastAsia="Times New Roman" w:hAnsi="Georgia" w:cs="Times New Roman"/>
          <w:i/>
          <w:noProof/>
          <w:color w:val="000000"/>
          <w:lang w:val="en-GB" w:eastAsia="hu-HU"/>
        </w:rPr>
        <w:lastRenderedPageBreak/>
        <w:drawing>
          <wp:inline distT="0" distB="0" distL="0" distR="0" wp14:anchorId="6209C3DF" wp14:editId="2BAC1ED9">
            <wp:extent cx="3609975" cy="4965539"/>
            <wp:effectExtent l="0" t="0" r="0" b="6985"/>
            <wp:docPr id="1297777078" name="Kép 2" descr="A képen szöveg, menü, dokumentum, képernyőkép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7042" name="Kép 2" descr="A képen szöveg, menü, dokumentum, képernyőkép látható&#10;&#10;Előfordulhat, hogy az AI által létrehozott tartalom helytelen."/>
                    <pic:cNvPicPr/>
                  </pic:nvPicPr>
                  <pic:blipFill rotWithShape="1">
                    <a:blip r:embed="rId211" cstate="print">
                      <a:extLst>
                        <a:ext uri="{28A0092B-C50C-407E-A947-70E740481C1C}">
                          <a14:useLocalDpi xmlns:a14="http://schemas.microsoft.com/office/drawing/2010/main" val="0"/>
                        </a:ext>
                      </a:extLst>
                    </a:blip>
                    <a:srcRect b="7136"/>
                    <a:stretch>
                      <a:fillRect/>
                    </a:stretch>
                  </pic:blipFill>
                  <pic:spPr bwMode="auto">
                    <a:xfrm>
                      <a:off x="0" y="0"/>
                      <a:ext cx="3610495" cy="4966254"/>
                    </a:xfrm>
                    <a:prstGeom prst="rect">
                      <a:avLst/>
                    </a:prstGeom>
                    <a:ln>
                      <a:noFill/>
                    </a:ln>
                    <a:extLst>
                      <a:ext uri="{53640926-AAD7-44D8-BBD7-CCE9431645EC}">
                        <a14:shadowObscured xmlns:a14="http://schemas.microsoft.com/office/drawing/2010/main"/>
                      </a:ext>
                    </a:extLst>
                  </pic:spPr>
                </pic:pic>
              </a:graphicData>
            </a:graphic>
          </wp:inline>
        </w:drawing>
      </w:r>
    </w:p>
    <w:p w14:paraId="2B080759" w14:textId="77777777" w:rsidR="00137018" w:rsidRPr="0002056A" w:rsidRDefault="00137018" w:rsidP="00137018">
      <w:pPr>
        <w:spacing w:before="120" w:after="120" w:line="240" w:lineRule="auto"/>
        <w:jc w:val="center"/>
        <w:rPr>
          <w:rFonts w:ascii="Georgia" w:hAnsi="Georgia" w:cs="Calibri"/>
          <w:i/>
          <w:iCs/>
          <w:sz w:val="18"/>
          <w:szCs w:val="18"/>
          <w:lang w:val="en-GB"/>
        </w:rPr>
      </w:pPr>
      <w:r w:rsidRPr="0002056A">
        <w:rPr>
          <w:rFonts w:ascii="Georgia" w:hAnsi="Georgia" w:cs="Calibri"/>
          <w:b/>
          <w:bCs/>
          <w:sz w:val="18"/>
          <w:szCs w:val="18"/>
          <w:lang w:val="en-GB"/>
        </w:rPr>
        <w:t xml:space="preserve">Structure of the objective system and actions in the Norwegian NAS. </w:t>
      </w:r>
      <w:r w:rsidRPr="0002056A">
        <w:rPr>
          <w:rFonts w:ascii="Georgia" w:hAnsi="Georgia" w:cs="Calibri"/>
          <w:i/>
          <w:iCs/>
          <w:sz w:val="18"/>
          <w:szCs w:val="18"/>
          <w:lang w:val="en-GB"/>
        </w:rPr>
        <w:t>Source: Norway’s NAS, 2021.</w:t>
      </w:r>
    </w:p>
    <w:p w14:paraId="352895B4" w14:textId="77777777" w:rsidR="00137018" w:rsidRPr="0002056A" w:rsidRDefault="00137018" w:rsidP="00137018">
      <w:pPr>
        <w:pStyle w:val="Cmsor4"/>
        <w:rPr>
          <w:lang w:val="en-GB"/>
        </w:rPr>
      </w:pPr>
      <w:r w:rsidRPr="0002056A">
        <w:rPr>
          <w:lang w:val="en-GB"/>
        </w:rPr>
        <w:t xml:space="preserve">Finland </w:t>
      </w:r>
    </w:p>
    <w:p w14:paraId="7103DD60" w14:textId="4C12478E" w:rsidR="00137018" w:rsidRPr="0002056A" w:rsidRDefault="00137018" w:rsidP="00137018">
      <w:pPr>
        <w:spacing w:before="120" w:after="120" w:line="240" w:lineRule="auto"/>
        <w:jc w:val="both"/>
        <w:rPr>
          <w:rFonts w:ascii="Georgia" w:hAnsi="Georgia" w:cs="Times New Roman"/>
          <w:lang w:val="en-GB"/>
        </w:rPr>
      </w:pPr>
      <w:r w:rsidRPr="0002056A">
        <w:rPr>
          <w:rFonts w:ascii="Georgia" w:hAnsi="Georgia" w:cs="Times New Roman"/>
          <w:lang w:val="en-GB"/>
        </w:rPr>
        <w:t xml:space="preserve">In Finland, climate adaptation policy coordination and exchange of relevant good practices/experiences between sectors is provided by an inter-ministerial working group established in 2008 to implement and monitor the NAS adopted in 2005 and to manage a related national research programme. In 2014, a new NAS was finally adopted with a time horizon of </w:t>
      </w:r>
      <w:r w:rsidR="006143CA" w:rsidRPr="0002056A">
        <w:rPr>
          <w:rFonts w:ascii="Georgia" w:hAnsi="Georgia" w:cs="Times New Roman"/>
          <w:lang w:val="en-GB"/>
        </w:rPr>
        <w:t>2022,</w:t>
      </w:r>
      <w:r w:rsidRPr="0002056A">
        <w:rPr>
          <w:rFonts w:ascii="Georgia" w:hAnsi="Georgia" w:cs="Times New Roman"/>
          <w:lang w:val="en-GB"/>
        </w:rPr>
        <w:t xml:space="preserve"> and a new working group was established for the period 2015-2018 to coordinate the document’s implementation, with specific monitoring, reporting and evaluation mandates. The main task of the working group was to set up and maintain a national monitoring system, to monitor the implementation of national adaptation objectives and actions and to continuously report on this to the Parliament.</w:t>
      </w:r>
    </w:p>
    <w:p w14:paraId="3C50948D" w14:textId="77777777" w:rsidR="00137018" w:rsidRPr="0002056A" w:rsidRDefault="00137018" w:rsidP="00137018">
      <w:pPr>
        <w:spacing w:before="120" w:after="120" w:line="240" w:lineRule="auto"/>
        <w:jc w:val="both"/>
        <w:rPr>
          <w:rFonts w:ascii="Georgia" w:hAnsi="Georgia" w:cs="Times New Roman"/>
          <w:lang w:val="en-GB"/>
        </w:rPr>
      </w:pPr>
      <w:r w:rsidRPr="0002056A">
        <w:rPr>
          <w:rFonts w:ascii="Georgia" w:hAnsi="Georgia" w:cs="Times New Roman"/>
          <w:lang w:val="en-GB"/>
        </w:rPr>
        <w:t>The importance of lower-level spatial levels’ involvement has always gotten special emphasis. Since the first convening of the working group in 2008, the Association of Finnish Municipalities had delegated a permanent member to represent local and regional decision-making; however, there have been many criticisms that the representation of sub-national territorial levels had not been resolved. To answer to this problem, during 2010-13, some large cities committed to climate issues formally joined the working group. A representative of the Regional Centres for Economy, Transport and Environment was also included in the working group, fulfilling a special intermediary role towards other regional government agencies. The role of the local/regional level was altogether strengthened by regional meetings organized by the working groups; and by communication and awareness-raising actions focusing on local government issues.</w:t>
      </w:r>
    </w:p>
    <w:p w14:paraId="7A5FB59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lastRenderedPageBreak/>
        <w:t>Beyond the NAS, even sectoral adaptation is also strong: there are significant number of sectoral adaptation strategies in Finland. Some examples are the Action Plan for the Adaptation to Climate Change of the Environmental Administration</w:t>
      </w:r>
      <w:r w:rsidRPr="0002056A">
        <w:rPr>
          <w:rStyle w:val="Lbjegyzet-hivatkozs"/>
          <w:rFonts w:ascii="Georgia" w:hAnsi="Georgia"/>
          <w:lang w:val="en-GB"/>
        </w:rPr>
        <w:footnoteReference w:id="147"/>
      </w:r>
      <w:r w:rsidRPr="0002056A">
        <w:rPr>
          <w:rFonts w:ascii="Georgia" w:hAnsi="Georgia"/>
          <w:lang w:val="en-GB"/>
        </w:rPr>
        <w:t>; the revised Ministry of Agriculture and Forestry’s adaptation plan</w:t>
      </w:r>
      <w:r w:rsidRPr="0002056A">
        <w:rPr>
          <w:rStyle w:val="Lbjegyzet-hivatkozs"/>
          <w:rFonts w:ascii="Georgia" w:hAnsi="Georgia"/>
          <w:lang w:val="en-GB"/>
        </w:rPr>
        <w:footnoteReference w:id="148"/>
      </w:r>
      <w:r w:rsidRPr="0002056A">
        <w:rPr>
          <w:rFonts w:ascii="Georgia" w:hAnsi="Georgia"/>
          <w:lang w:val="en-GB"/>
        </w:rPr>
        <w:t>, adaptation strategies of the Ministry of Social Affairs and Health</w:t>
      </w:r>
      <w:r w:rsidRPr="0002056A">
        <w:rPr>
          <w:rStyle w:val="Lbjegyzet-hivatkozs"/>
          <w:rFonts w:ascii="Georgia" w:hAnsi="Georgia"/>
          <w:lang w:val="en-GB"/>
        </w:rPr>
        <w:footnoteReference w:id="149"/>
      </w:r>
      <w:r w:rsidRPr="0002056A">
        <w:rPr>
          <w:rFonts w:ascii="Georgia" w:hAnsi="Georgia"/>
          <w:lang w:val="en-GB"/>
        </w:rPr>
        <w:t xml:space="preserve"> and the Ministry of Defence</w:t>
      </w:r>
      <w:r w:rsidRPr="0002056A">
        <w:rPr>
          <w:rStyle w:val="Lbjegyzet-hivatkozs"/>
          <w:rFonts w:ascii="Georgia" w:hAnsi="Georgia"/>
          <w:lang w:val="en-GB"/>
        </w:rPr>
        <w:footnoteReference w:id="150"/>
      </w:r>
      <w:r w:rsidRPr="0002056A">
        <w:rPr>
          <w:rFonts w:ascii="Georgia" w:hAnsi="Georgia"/>
          <w:lang w:val="en-GB"/>
        </w:rPr>
        <w:t>. Parallel with these, however, some municipalities (mainly the bigger cities) and regions have their own adaptation plans or strategies, too. They are independent actors and therefore this work is not coordinated nationally. This also indicates the importance of lower spatial levels. Regarding the related content of the NAS, already the Introduction mentions that municipalities undertake the requirement of adaptation planning. Chapter 2.1.3. mentions the important role of regional and local governments beyond the central one. Local/regional planning's propagation is mentioned, too. Sub-objective #8 and measure 8.3. urge the mapping of regionally different land use, subobjective 9. the consideration of climate challenges of energy infrastructure's zone planning, sub-objective #10 and Measure #10.3. mention water catchment area-based planning, sub-objective #13 and #13.1 drought-responding regional planning, Subobjective #16 actually focus on regional planning (point 16.1. propagates regional adaptation strategies; point 16.2. sectoral adaptation strategies; point 16.3. regional CCRAs and CVAs). Altogether 41,6% of lower-level objectives show some sign of spatiality.</w:t>
      </w:r>
    </w:p>
    <w:p w14:paraId="44C76AC8"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Times New Roman"/>
          <w:iCs/>
          <w:lang w:val="en-GB" w:eastAsia="hu-HU"/>
        </w:rPr>
        <w:t>Some spatial content can be found already in Finland’s adaptation vision. It is free of any</w:t>
      </w:r>
      <w:r w:rsidRPr="0002056A">
        <w:rPr>
          <w:rFonts w:ascii="Georgia" w:eastAsia="Times New Roman" w:hAnsi="Georgia" w:cs="Times New Roman"/>
          <w:lang w:val="en-GB" w:eastAsia="hu-HU"/>
        </w:rPr>
        <w:t xml:space="preserve"> territorial/regional/spatial reflections but contains some hints to geopolitics. </w:t>
      </w:r>
      <w:r w:rsidRPr="0002056A">
        <w:rPr>
          <w:rFonts w:ascii="Georgia" w:hAnsi="Georgia"/>
          <w:lang w:val="en-GB"/>
        </w:rPr>
        <w:t>Basically sectoral/thematic approach can be observed in the NAS document. Sub-objectives and measures are organized by sectors, only one sub-objective is nominally spatial.</w:t>
      </w:r>
    </w:p>
    <w:p w14:paraId="31584237" w14:textId="3E031E1E"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International considerations emerge with significant weight. As for global spatial risks, Chapter 2.2.4.7. on international reflections mentions people’s transboundary migration into Finland as an attractive target region for people from harsh-climate-regions. It refers to geopolitical factors (weakening resource availability, increasing exposure of sectors based on value chains outside Finnish borders, food security, wars, conflicts). Even the Vision mentions some global spatial risks (war, covid crises, supply security). Measures 3.1. -3.3 and 4.2. </w:t>
      </w:r>
      <w:r w:rsidR="006143CA" w:rsidRPr="0002056A">
        <w:rPr>
          <w:rFonts w:ascii="Georgia" w:hAnsi="Georgia"/>
          <w:lang w:val="en-GB"/>
        </w:rPr>
        <w:t>again,</w:t>
      </w:r>
      <w:r w:rsidRPr="0002056A">
        <w:rPr>
          <w:rFonts w:ascii="Georgia" w:hAnsi="Georgia"/>
          <w:lang w:val="en-GB"/>
        </w:rPr>
        <w:t xml:space="preserve"> mention climate change's impacts in connection with migration, security and food security</w:t>
      </w:r>
    </w:p>
    <w:p w14:paraId="21F0FD5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International cooperation comes up in our interviewee’s thoughts, who sees potential in cooperation. Learning best practices / experiences and co-creating solutions as well as taking some of the Finnish experience to countries are the main motivations. Chapter 2.2.4.7., about international reflections mentions the need for international cooperation; Subobjective #21 and its actions 21.1.-21.3. focus explicitly on macroregional cooperation. Action 21.1 is about to develop regional and cross-border cooperation on adaptation, e.g. in the Nordic, Arctic and Barents regions; Action 21.2 strengthens Finland's contribution in the negotiation processes for the UN Climate Agreement and the Paris Agreement adaptation, as well as in the work of the IPCC. Action 21.3 concentrates on influencing the implementation of the EU-level adaptation strategy and actively participate in EU-level cooperation to address climate change risks.</w:t>
      </w:r>
    </w:p>
    <w:p w14:paraId="3534BA45"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International influence exertion in adaptation emerges in Chapter 2.2.4.7. on international reflections. Its Objective 19 emphasises the need for increasing promotion of adaptation in international cooperation, especially for the most vulnerable countries. Within the objective, Measure 19.1. focuses on geopolitical influence (support developing countries in adapting to climate change and increase international climate financing). Objective 20 “Developing countries' means and capabilities to adapt to climate change” and its measures 20.1. and 20.3. emphasise influence building towards Africa and island states (the worldwide export of Finnish adaptation solutions).</w:t>
      </w:r>
    </w:p>
    <w:p w14:paraId="42DAA89B" w14:textId="627AD1B4"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Monitoring data that supports adaptation is available, for example, from the databases of Statistics Finland and research institutes. The ICT sector intends to prepare tools that facilitate </w:t>
      </w:r>
      <w:r w:rsidRPr="0002056A">
        <w:rPr>
          <w:rFonts w:ascii="Georgia" w:hAnsi="Georgia"/>
          <w:lang w:val="en-GB"/>
        </w:rPr>
        <w:lastRenderedPageBreak/>
        <w:t xml:space="preserve">monitoring of climate and the environment. Monitoring of adaptation has varied across administrative sectors. Regarding actual Finnish adaptation monitoring activities, the follow-up of adaptation actions </w:t>
      </w:r>
      <w:r w:rsidR="002E5300" w:rsidRPr="0002056A">
        <w:rPr>
          <w:rFonts w:ascii="Georgia" w:hAnsi="Georgia"/>
          <w:lang w:val="en-GB"/>
        </w:rPr>
        <w:t>has</w:t>
      </w:r>
      <w:r w:rsidRPr="0002056A">
        <w:rPr>
          <w:rFonts w:ascii="Georgia" w:hAnsi="Georgia"/>
          <w:lang w:val="en-GB"/>
        </w:rPr>
        <w:t xml:space="preserve"> focused so far mainly on progress made in policy measures, as an important part of the latest national climate change adaptation plan. In 2023, the Finnish Environment Institute (Syke) undertook a project to assess the indicators available for monitoring of the implementation of climate change adaptation actions. The project was the first step in the implementation of the measure “</w:t>
      </w:r>
      <w:r w:rsidRPr="0002056A">
        <w:rPr>
          <w:rFonts w:ascii="Georgia" w:hAnsi="Georgia"/>
          <w:i/>
          <w:iCs/>
          <w:lang w:val="en-GB"/>
        </w:rPr>
        <w:t>Updating the indicator collection supporting adaptation monitoring and expanding the utilisation of indicator data in adaptation monitoring</w:t>
      </w:r>
      <w:r w:rsidRPr="0002056A">
        <w:rPr>
          <w:rFonts w:ascii="Georgia" w:hAnsi="Georgia"/>
          <w:lang w:val="en-GB"/>
        </w:rPr>
        <w:t xml:space="preserve">” outlined in the recent NAS. It outlines that by </w:t>
      </w:r>
      <w:r w:rsidR="006143CA" w:rsidRPr="0002056A">
        <w:rPr>
          <w:rFonts w:ascii="Georgia" w:hAnsi="Georgia"/>
          <w:lang w:val="en-GB"/>
        </w:rPr>
        <w:t>2026;</w:t>
      </w:r>
      <w:r w:rsidRPr="0002056A">
        <w:rPr>
          <w:rFonts w:ascii="Georgia" w:hAnsi="Georgia"/>
          <w:lang w:val="en-GB"/>
        </w:rPr>
        <w:t xml:space="preserve"> Finland must set up a monitoring system for climate change adaptation and ensured the conditions for its implementation. On top of that, several measures of the NAS mention MRE activities, but not from a spatial point of view. Spatial content is touched only slightly sideways, e.g. in the form of regional data collection's mentioning in subobjective #24. </w:t>
      </w:r>
    </w:p>
    <w:p w14:paraId="59831D58" w14:textId="6142F810"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Our interviewee says that for each NAP, a regional vulnerability assessment has to be created. </w:t>
      </w:r>
      <w:r w:rsidR="006143CA" w:rsidRPr="0002056A">
        <w:rPr>
          <w:rFonts w:ascii="Georgia" w:hAnsi="Georgia"/>
          <w:lang w:val="en-GB"/>
        </w:rPr>
        <w:t>So,</w:t>
      </w:r>
      <w:r w:rsidRPr="0002056A">
        <w:rPr>
          <w:rFonts w:ascii="Georgia" w:hAnsi="Georgia"/>
          <w:lang w:val="en-GB"/>
        </w:rPr>
        <w:t xml:space="preserve"> to some extent, they do track risks and vulnerabilities at the regional </w:t>
      </w:r>
      <w:r w:rsidR="006143CA" w:rsidRPr="0002056A">
        <w:rPr>
          <w:rFonts w:ascii="Georgia" w:hAnsi="Georgia"/>
          <w:lang w:val="en-GB"/>
        </w:rPr>
        <w:t>level,</w:t>
      </w:r>
      <w:r w:rsidRPr="0002056A">
        <w:rPr>
          <w:rFonts w:ascii="Georgia" w:hAnsi="Georgia"/>
          <w:lang w:val="en-GB"/>
        </w:rPr>
        <w:t xml:space="preserve"> but it is not systematic and does not have indicators etc. The current risk assessment process will be developed soon. The existing adaptation monitoring system only monitors at the national level and does not disaggregate into smaller regions. Regional adaptation monitoring is actively being developed as part of regional adaptation planning activities. Monitoring data on adaptation at the local level is mainly available from bigger cities (especially members of the Covenant of Mayors network) that have the necessary resources and identified the need for managing key climate and weather risks</w:t>
      </w:r>
      <w:r w:rsidRPr="0002056A">
        <w:rPr>
          <w:rStyle w:val="Lbjegyzet-hivatkozs"/>
          <w:rFonts w:ascii="Georgia" w:hAnsi="Georgia"/>
          <w:lang w:val="en-GB"/>
        </w:rPr>
        <w:footnoteReference w:id="151"/>
      </w:r>
      <w:r w:rsidRPr="0002056A">
        <w:rPr>
          <w:rFonts w:ascii="Georgia" w:hAnsi="Georgia"/>
          <w:lang w:val="en-GB"/>
        </w:rPr>
        <w:t xml:space="preserve">. The regions and municipalities that have adaptation plans may have their own monitoring systems for their regions. They </w:t>
      </w:r>
      <w:r w:rsidR="006143CA" w:rsidRPr="0002056A">
        <w:rPr>
          <w:rFonts w:ascii="Georgia" w:hAnsi="Georgia"/>
          <w:lang w:val="en-GB"/>
        </w:rPr>
        <w:t>hope</w:t>
      </w:r>
      <w:r w:rsidRPr="0002056A">
        <w:rPr>
          <w:rFonts w:ascii="Georgia" w:hAnsi="Georgia"/>
          <w:lang w:val="en-GB"/>
        </w:rPr>
        <w:t xml:space="preserve"> that some developments soon provide more insight into how the national level could learn more about what is done in regions.</w:t>
      </w:r>
    </w:p>
    <w:p w14:paraId="1609AD69"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As for other sectors, existing monitoring activities or intentions to development monitoring have been mentioned in the strategies or adaptation plans of various sectors, either as a goal or as a policy measure. Flood risk management is the most advanced sector in terms of monitoring outcomes and effectiveness of adaptation plans and measures</w:t>
      </w:r>
      <w:r w:rsidRPr="0002056A">
        <w:rPr>
          <w:rStyle w:val="Lbjegyzet-hivatkozs"/>
          <w:rFonts w:ascii="Georgia" w:hAnsi="Georgia"/>
          <w:lang w:val="en-GB"/>
        </w:rPr>
        <w:footnoteReference w:id="152"/>
      </w:r>
      <w:r w:rsidRPr="0002056A">
        <w:rPr>
          <w:rFonts w:ascii="Georgia" w:hAnsi="Georgia"/>
          <w:lang w:val="en-GB"/>
        </w:rPr>
        <w:t>. For other hazards and sectors, systematic monitoring of adaptation action is still evolving. Cross cutting monitoring has been implemented, for example, in monitoring and evaluating the implementation of the Arctic Policy Strategy (PMO 2021) and the Sustainable Development Goals (Agenda 2030).</w:t>
      </w:r>
    </w:p>
    <w:p w14:paraId="0C4E52F7" w14:textId="1938B58B"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So </w:t>
      </w:r>
      <w:r w:rsidR="006143CA" w:rsidRPr="0002056A">
        <w:rPr>
          <w:rFonts w:ascii="Georgia" w:hAnsi="Georgia"/>
          <w:lang w:val="en-GB"/>
        </w:rPr>
        <w:t>far,</w:t>
      </w:r>
      <w:r w:rsidRPr="0002056A">
        <w:rPr>
          <w:rFonts w:ascii="Georgia" w:hAnsi="Georgia"/>
          <w:lang w:val="en-GB"/>
        </w:rPr>
        <w:t xml:space="preserve"> the MRE of adaptation actions has focused on policy monitoring. However, in order to evaluate the development/possible shortcomings of adaptive capacity, scenarios examining the progress of climate change and evaluation of policy effectiveness are needed. So far, only the environmental administration has consistently evaluated the implementation of the adaptation action programme. Based on the evaluation, progress has been made in taking adaptation needs into account in the administrative branch.</w:t>
      </w:r>
    </w:p>
    <w:p w14:paraId="33D17B9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The NAS itself mentions only general structure of evaluation and reporting activities. In connection with adaptation policy evaluation, spatial content is touched only slightly, e.g. in the form of regional data collection's mentioning in subobjective #24. Chapter 7 also says that an improved management system will be introduced for the national climate adaptation work - with the preparation of regular climate vulnerability analyses and routines for updating the climate adaptation policy.</w:t>
      </w:r>
    </w:p>
    <w:p w14:paraId="067F09A1" w14:textId="6DACA85E"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In the last decade, several evaluations were prepared in practice. The </w:t>
      </w:r>
      <w:r w:rsidRPr="0002056A">
        <w:rPr>
          <w:rFonts w:ascii="Georgia" w:hAnsi="Georgia"/>
          <w:i/>
          <w:iCs/>
          <w:lang w:val="en-GB"/>
        </w:rPr>
        <w:t>Regional characteristics and vulnerabilities related to climate change in Finland 2023</w:t>
      </w:r>
      <w:r w:rsidRPr="0002056A">
        <w:rPr>
          <w:rStyle w:val="Lbjegyzet-hivatkozs"/>
          <w:rFonts w:ascii="Georgia" w:hAnsi="Georgia"/>
          <w:i/>
          <w:iCs/>
          <w:lang w:val="en-GB"/>
        </w:rPr>
        <w:footnoteReference w:id="153"/>
      </w:r>
      <w:r w:rsidRPr="0002056A">
        <w:rPr>
          <w:rFonts w:ascii="Georgia" w:hAnsi="Georgia"/>
          <w:lang w:val="en-GB"/>
        </w:rPr>
        <w:t xml:space="preserve"> is spatial even in its title and content; the other three documents [</w:t>
      </w:r>
      <w:r w:rsidRPr="0002056A">
        <w:rPr>
          <w:rFonts w:ascii="Georgia" w:hAnsi="Georgia"/>
          <w:i/>
          <w:iCs/>
          <w:lang w:val="en-GB"/>
        </w:rPr>
        <w:t xml:space="preserve">Evaluation of adaptation to climate change in Finland </w:t>
      </w:r>
      <w:r w:rsidRPr="0002056A">
        <w:rPr>
          <w:rFonts w:ascii="Georgia" w:hAnsi="Georgia"/>
          <w:i/>
          <w:iCs/>
          <w:lang w:val="en-GB"/>
        </w:rPr>
        <w:lastRenderedPageBreak/>
        <w:t>2022</w:t>
      </w:r>
      <w:r w:rsidRPr="0002056A">
        <w:rPr>
          <w:rStyle w:val="Lbjegyzet-hivatkozs"/>
          <w:rFonts w:ascii="Georgia" w:hAnsi="Georgia"/>
          <w:lang w:val="en-GB"/>
        </w:rPr>
        <w:footnoteReference w:id="154"/>
      </w:r>
      <w:r w:rsidRPr="0002056A">
        <w:rPr>
          <w:rFonts w:ascii="Georgia" w:hAnsi="Georgia"/>
          <w:lang w:val="en-GB"/>
        </w:rPr>
        <w:t xml:space="preserve">; </w:t>
      </w:r>
      <w:r w:rsidRPr="0002056A">
        <w:rPr>
          <w:rFonts w:ascii="Georgia" w:hAnsi="Georgia"/>
          <w:i/>
          <w:iCs/>
          <w:lang w:val="en-GB"/>
        </w:rPr>
        <w:t>Climate and socioeconomic scenarios for climate change adaptation planning</w:t>
      </w:r>
      <w:r w:rsidRPr="0002056A">
        <w:rPr>
          <w:rStyle w:val="Lbjegyzet-hivatkozs"/>
          <w:rFonts w:ascii="Georgia" w:hAnsi="Georgia"/>
          <w:lang w:val="en-GB"/>
        </w:rPr>
        <w:footnoteReference w:id="155"/>
      </w:r>
      <w:r w:rsidRPr="0002056A">
        <w:rPr>
          <w:rFonts w:ascii="Georgia" w:hAnsi="Georgia"/>
          <w:lang w:val="en-GB"/>
        </w:rPr>
        <w:t xml:space="preserve">; </w:t>
      </w:r>
      <w:r w:rsidRPr="0002056A">
        <w:rPr>
          <w:rFonts w:ascii="Georgia" w:hAnsi="Georgia"/>
          <w:i/>
          <w:iCs/>
          <w:lang w:val="en-GB"/>
        </w:rPr>
        <w:t>National risk and vulnerability assessment</w:t>
      </w:r>
      <w:r w:rsidRPr="0002056A">
        <w:rPr>
          <w:rStyle w:val="Lbjegyzet-hivatkozs"/>
          <w:rFonts w:ascii="Georgia" w:hAnsi="Georgia"/>
          <w:lang w:val="en-GB"/>
        </w:rPr>
        <w:footnoteReference w:id="156"/>
      </w:r>
      <w:r w:rsidRPr="0002056A">
        <w:rPr>
          <w:rFonts w:ascii="Georgia" w:hAnsi="Georgia"/>
          <w:i/>
          <w:iCs/>
          <w:lang w:val="en-GB"/>
        </w:rPr>
        <w:t xml:space="preserve">] </w:t>
      </w:r>
      <w:r w:rsidRPr="0002056A">
        <w:rPr>
          <w:rFonts w:ascii="Georgia" w:hAnsi="Georgia"/>
          <w:lang w:val="en-GB"/>
        </w:rPr>
        <w:t xml:space="preserve">are rather sectoral-minded. Moreover, each NAP gets a mid-term </w:t>
      </w:r>
      <w:r w:rsidR="00791581" w:rsidRPr="0002056A">
        <w:rPr>
          <w:rFonts w:ascii="Georgia" w:hAnsi="Georgia"/>
          <w:lang w:val="en-GB"/>
        </w:rPr>
        <w:t>evaluation,</w:t>
      </w:r>
      <w:r w:rsidRPr="0002056A">
        <w:rPr>
          <w:rFonts w:ascii="Georgia" w:hAnsi="Georgia"/>
          <w:lang w:val="en-GB"/>
        </w:rPr>
        <w:t xml:space="preserve"> and the last one had a final evaluation. There is no set form for the evaluations, so they could look at regional data. The next NAP will be prepared in 2026 and is planned to have some regional evaluations, but we cannot see it yet, to what extent.</w:t>
      </w:r>
    </w:p>
    <w:p w14:paraId="52A11AB0" w14:textId="661D0977" w:rsidR="00137018" w:rsidRPr="0002056A" w:rsidRDefault="00137018" w:rsidP="00137018">
      <w:pPr>
        <w:pStyle w:val="Cmsor3"/>
        <w:rPr>
          <w:lang w:val="en-GB"/>
        </w:rPr>
      </w:pPr>
      <w:bookmarkStart w:id="83" w:name="_Toc225578895"/>
      <w:r w:rsidRPr="0002056A">
        <w:rPr>
          <w:lang w:val="en-GB"/>
        </w:rPr>
        <w:t xml:space="preserve">Annex </w:t>
      </w:r>
      <w:r w:rsidR="00EA2724" w:rsidRPr="0002056A">
        <w:rPr>
          <w:lang w:val="en-GB"/>
        </w:rPr>
        <w:t>4</w:t>
      </w:r>
      <w:r w:rsidRPr="0002056A">
        <w:rPr>
          <w:lang w:val="en-GB"/>
        </w:rPr>
        <w:t>c) Southerners: strong spatial descriptive and objective system-related content</w:t>
      </w:r>
      <w:bookmarkEnd w:id="83"/>
    </w:p>
    <w:p w14:paraId="0989AA6E"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Mediterranean area’s countries show mixed results in the analysis. The bigger ones (Türkiye, Spain, Greece, Italy, Portugal) present remarkable results in their situation analyses’ spatial approach or in their objective systems’ spatial emphases; meanwhile the smaller ones (Malta, Cyprus or countries from the Southern Balkan) performed rather generally weakly. The next subchapters show two outstanding practices, but we must note, that instead of Spain Italy, Portugal or Greece also could have been a proper example, but due to strict length constraints, we include only Spain beyond Türkiye in the chapter. </w:t>
      </w:r>
    </w:p>
    <w:p w14:paraId="015C054C" w14:textId="541081FD" w:rsidR="00137018" w:rsidRPr="0002056A" w:rsidRDefault="00137018" w:rsidP="00137018">
      <w:pPr>
        <w:pStyle w:val="Cmsor4"/>
        <w:rPr>
          <w:lang w:val="en-GB"/>
        </w:rPr>
      </w:pPr>
      <w:r w:rsidRPr="0002056A">
        <w:rPr>
          <w:lang w:val="en-GB"/>
        </w:rPr>
        <w:t>Türkiye -excellent CVA content in the NAS and newly established DS system</w:t>
      </w:r>
    </w:p>
    <w:p w14:paraId="4243E517"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Calibri"/>
          <w:lang w:val="en-GB"/>
        </w:rPr>
        <w:t>The country has both its own National Adaptation Strategy and Action Plan (integrated into a single document, called NASAP 2024-2030)</w:t>
      </w:r>
      <w:r w:rsidRPr="0002056A">
        <w:rPr>
          <w:rStyle w:val="Lbjegyzet-hivatkozs"/>
          <w:rFonts w:ascii="Georgia" w:hAnsi="Georgia" w:cs="Calibri"/>
          <w:lang w:val="en-GB"/>
        </w:rPr>
        <w:footnoteReference w:id="157"/>
      </w:r>
      <w:r w:rsidRPr="0002056A">
        <w:rPr>
          <w:rFonts w:ascii="Georgia" w:hAnsi="Georgia" w:cs="Calibri"/>
          <w:lang w:val="en-GB"/>
        </w:rPr>
        <w:t xml:space="preserve">. As a preliminary study for the preparation of NASAP, even a vulnerability and risk analysis (VRA) have been conducted, but the detailed report of it has not been published. </w:t>
      </w:r>
      <w:r w:rsidRPr="0002056A">
        <w:rPr>
          <w:rFonts w:ascii="Georgia" w:eastAsia="Times New Roman" w:hAnsi="Georgia" w:cs="Times New Roman"/>
          <w:lang w:val="en-GB" w:eastAsia="hu-HU"/>
        </w:rPr>
        <w:t xml:space="preserve">Considering the NASAP’s space phraseology </w:t>
      </w:r>
      <w:r w:rsidRPr="0002056A">
        <w:rPr>
          <w:rFonts w:ascii="Georgia" w:hAnsi="Georgia" w:cs="Times New Roman"/>
          <w:lang w:val="en-GB"/>
        </w:rPr>
        <w:t>the majority of the analysed concepts are present, showing an outstanding result within Europe in this respect. As for v</w:t>
      </w:r>
      <w:r w:rsidRPr="0002056A">
        <w:rPr>
          <w:rFonts w:ascii="Georgia" w:eastAsia="Times New Roman" w:hAnsi="Georgia" w:cs="Times New Roman"/>
          <w:lang w:val="en-GB" w:eastAsia="hu-HU"/>
        </w:rPr>
        <w:t xml:space="preserve">isualization the Turkish NAS is again the </w:t>
      </w:r>
      <w:r w:rsidRPr="0002056A">
        <w:rPr>
          <w:rFonts w:ascii="Georgia" w:hAnsi="Georgia" w:cs="Times New Roman"/>
          <w:lang w:val="en-GB"/>
        </w:rPr>
        <w:t xml:space="preserve">best practice of the whole research, having 25, mostly vulnerability-, or risk-oriented maps throughout the document. </w:t>
      </w:r>
    </w:p>
    <w:p w14:paraId="41B86AD7" w14:textId="285A5591" w:rsidR="00137018" w:rsidRPr="0002056A" w:rsidRDefault="00137018" w:rsidP="00137018">
      <w:pPr>
        <w:spacing w:before="120" w:after="120" w:line="240" w:lineRule="auto"/>
        <w:jc w:val="both"/>
        <w:rPr>
          <w:rFonts w:ascii="Georgia" w:hAnsi="Georgia"/>
          <w:lang w:val="en-GB"/>
        </w:rPr>
      </w:pPr>
      <w:r w:rsidRPr="0002056A">
        <w:rPr>
          <w:rFonts w:ascii="Georgia" w:hAnsi="Georgia" w:cs="Calibri"/>
          <w:lang w:val="en-GB"/>
        </w:rPr>
        <w:t xml:space="preserve">Regarding the subnational activities, several documents can be mentioned. In response to the needs that emerged following natural disasters such as floods and landslides in 2019, the </w:t>
      </w:r>
      <w:r w:rsidRPr="0002056A">
        <w:rPr>
          <w:rFonts w:ascii="Georgia" w:hAnsi="Georgia" w:cs="Calibri"/>
          <w:i/>
          <w:iCs/>
          <w:lang w:val="en-GB"/>
        </w:rPr>
        <w:t>Black Sea Region Climate Change Action Plan</w:t>
      </w:r>
      <w:r w:rsidRPr="0002056A">
        <w:rPr>
          <w:rFonts w:ascii="Georgia" w:hAnsi="Georgia" w:cs="Calibri"/>
          <w:lang w:val="en-GB"/>
        </w:rPr>
        <w:t xml:space="preserve"> were prepared, with needs and solution proposals identified at the regional level in order to increase the resilience of the Black Sea Region. In 2021, </w:t>
      </w:r>
      <w:r w:rsidRPr="0002056A">
        <w:rPr>
          <w:rFonts w:ascii="Georgia" w:hAnsi="Georgia" w:cs="Calibri"/>
          <w:i/>
          <w:iCs/>
          <w:lang w:val="en-GB"/>
        </w:rPr>
        <w:t>vulnerability and risk analyses were conducted for 4 different provinces</w:t>
      </w:r>
      <w:r w:rsidRPr="0002056A">
        <w:rPr>
          <w:rFonts w:ascii="Georgia" w:hAnsi="Georgia" w:cs="Calibri"/>
          <w:lang w:val="en-GB"/>
        </w:rPr>
        <w:t xml:space="preserve"> as a pilot application, and based on these, local climate change adaptation strategies and action </w:t>
      </w:r>
      <w:r w:rsidR="00791581" w:rsidRPr="0002056A">
        <w:rPr>
          <w:rFonts w:ascii="Georgia" w:hAnsi="Georgia" w:cs="Calibri"/>
          <w:lang w:val="en-GB"/>
        </w:rPr>
        <w:t>plans of</w:t>
      </w:r>
      <w:r w:rsidRPr="0002056A">
        <w:rPr>
          <w:rFonts w:ascii="Georgia" w:hAnsi="Georgia" w:cs="Calibri"/>
          <w:lang w:val="en-GB"/>
        </w:rPr>
        <w:t xml:space="preserve"> </w:t>
      </w:r>
      <w:r w:rsidR="006143CA" w:rsidRPr="0002056A">
        <w:rPr>
          <w:rFonts w:ascii="Georgia" w:hAnsi="Georgia" w:cs="Calibri"/>
          <w:lang w:val="en-GB"/>
        </w:rPr>
        <w:t>their</w:t>
      </w:r>
      <w:r w:rsidRPr="0002056A">
        <w:rPr>
          <w:rFonts w:ascii="Georgia" w:hAnsi="Georgia" w:cs="Calibri"/>
          <w:lang w:val="en-GB"/>
        </w:rPr>
        <w:t xml:space="preserve"> provinces were prepared. As an ongoing study, after the completion of the climate projections being updated according to the IPCC SSP scenarios, </w:t>
      </w:r>
      <w:r w:rsidRPr="0002056A">
        <w:rPr>
          <w:rFonts w:ascii="Georgia" w:hAnsi="Georgia" w:cs="Calibri"/>
          <w:i/>
          <w:iCs/>
          <w:lang w:val="en-GB"/>
        </w:rPr>
        <w:t>vulnerability and risk analyses will be conducted for the priority sectors of all 12 NUTS1 regions of Türkiye</w:t>
      </w:r>
      <w:r w:rsidRPr="0002056A">
        <w:rPr>
          <w:rFonts w:ascii="Georgia" w:hAnsi="Georgia" w:cs="Calibri"/>
          <w:lang w:val="en-GB"/>
        </w:rPr>
        <w:t xml:space="preserve">. Furthermore, the Climate Law was published in July 2025. According to this law, the local governments of all 81 provinces will prepare local climate change action plans defining strategic directions and action lines covering the entire provincial boundaries by 2028. </w:t>
      </w:r>
      <w:r w:rsidRPr="0002056A">
        <w:rPr>
          <w:rFonts w:ascii="Georgia" w:hAnsi="Georgia"/>
          <w:lang w:val="en-GB"/>
        </w:rPr>
        <w:t>The NASAp itself contains 11 sectoral sub-strategies and action plans related to climate change in the so-called "Sectoral Legislative Framework and Responsible Institutions" subsection. There are several examples for sectoral adaptation planning and risk management strategic documents</w:t>
      </w:r>
      <w:r w:rsidRPr="0002056A">
        <w:rPr>
          <w:rStyle w:val="Lbjegyzet-hivatkozs"/>
          <w:rFonts w:ascii="Georgia" w:hAnsi="Georgia"/>
          <w:lang w:val="en-GB"/>
        </w:rPr>
        <w:footnoteReference w:id="158"/>
      </w:r>
      <w:r w:rsidRPr="0002056A">
        <w:rPr>
          <w:rFonts w:ascii="Georgia" w:hAnsi="Georgia"/>
          <w:lang w:val="en-GB"/>
        </w:rPr>
        <w:t>.</w:t>
      </w:r>
    </w:p>
    <w:p w14:paraId="5AE783FC" w14:textId="77777777"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lang w:val="en-GB"/>
        </w:rPr>
        <w:t>The planned local climate change action plans are expected to take local endowments into account. P</w:t>
      </w:r>
      <w:r w:rsidRPr="0002056A">
        <w:rPr>
          <w:rFonts w:ascii="Georgia" w:eastAsia="Times New Roman" w:hAnsi="Georgia" w:cs="Times New Roman"/>
          <w:lang w:val="en-GB" w:eastAsia="hu-HU"/>
        </w:rPr>
        <w:t xml:space="preserve">ropagation of adaptation planning at lower territorial levels emerges in </w:t>
      </w:r>
      <w:r w:rsidRPr="0002056A">
        <w:rPr>
          <w:rFonts w:ascii="Georgia" w:hAnsi="Georgia" w:cs="Times New Roman"/>
          <w:lang w:val="en-GB"/>
        </w:rPr>
        <w:t xml:space="preserve">Türkiye’s NAS Chapter 1.2. that mentions the Regulation on Local Climate Change Action Plan among the primary legislation and policy papers being drafted, with completion planned as soon as possible. A concrete action also can be mentioned from the NASAP: </w:t>
      </w:r>
      <w:r w:rsidRPr="0002056A">
        <w:rPr>
          <w:rFonts w:ascii="Georgia" w:hAnsi="Georgia"/>
          <w:lang w:val="en-GB"/>
        </w:rPr>
        <w:t xml:space="preserve">CCI4 is about setting up a legislative infrastructure to prepare a Local Climate Change Action Plan (LCCAP) and drafting </w:t>
      </w:r>
      <w:r w:rsidRPr="0002056A">
        <w:rPr>
          <w:rFonts w:ascii="Georgia" w:hAnsi="Georgia"/>
          <w:lang w:val="en-GB"/>
        </w:rPr>
        <w:lastRenderedPageBreak/>
        <w:t>LCCAPs for all provinces</w:t>
      </w:r>
      <w:r w:rsidRPr="0002056A">
        <w:rPr>
          <w:rFonts w:ascii="Georgia" w:hAnsi="Georgia" w:cs="Times New Roman"/>
          <w:lang w:val="en-GB"/>
        </w:rPr>
        <w:t xml:space="preserve">. </w:t>
      </w:r>
      <w:r w:rsidRPr="0002056A">
        <w:rPr>
          <w:rFonts w:ascii="Georgia" w:hAnsi="Georgia" w:cs="Calibri"/>
          <w:lang w:val="en-GB"/>
        </w:rPr>
        <w:t>Our interviewee finds it useful to strengthen the spatial focus in adaptation planning in general. For this reason, he considers it necessary, too, to prepare local climate change action plans to further detail adaptation planning.</w:t>
      </w:r>
    </w:p>
    <w:p w14:paraId="7EBF3821" w14:textId="77777777"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lang w:val="en-GB"/>
        </w:rPr>
        <w:t>Although concrete joint situation analysis or assessment are lacking from the NASAP document, but most sectoral chapters comprise a sub-section called "Climate Change Impact", which is basically a territorially oriented climate vulnerability/risk assessment. In other words, a</w:t>
      </w:r>
      <w:r w:rsidRPr="0002056A">
        <w:rPr>
          <w:rFonts w:ascii="Georgia" w:hAnsi="Georgia" w:cs="Calibri"/>
          <w:lang w:val="en-GB"/>
        </w:rPr>
        <w:t xml:space="preserve">ll affected sector has its own dedicated spatial CVA results and </w:t>
      </w:r>
      <w:r w:rsidRPr="0002056A">
        <w:rPr>
          <w:rFonts w:ascii="Georgia" w:hAnsi="Georgia"/>
          <w:lang w:val="en-GB"/>
        </w:rPr>
        <w:t xml:space="preserve">cartograms, with the exclusion of Chapters “CROSS CUTTING ISSUES” and “SOCIAL ISSUES”. Altogether there are 25 provincial level maps in the document, all of them connected to climate change vulnerability, impacts or risks. These vulnerability/risk maps show spatial differences at provincial level in Turkey. Annex 1 directly introduces (spatial) CVA methodology of the sectoral situation assessments parts. Nevertheless, though </w:t>
      </w:r>
      <w:r w:rsidRPr="0002056A">
        <w:rPr>
          <w:rFonts w:ascii="Georgia" w:hAnsi="Georgia" w:cs="Calibri"/>
          <w:lang w:val="en-GB"/>
        </w:rPr>
        <w:t xml:space="preserve">sectoral vulnerability and risk analyses were conducted spatially and provinces were ranked relative to each other, the strategies and actions were written for the entire country: sectoral approach prevails in Türkiye's NASAP. </w:t>
      </w:r>
    </w:p>
    <w:p w14:paraId="08D9452D" w14:textId="77777777" w:rsidR="00137018" w:rsidRPr="0002056A" w:rsidRDefault="00137018" w:rsidP="00137018">
      <w:pPr>
        <w:spacing w:before="120" w:after="120" w:line="240" w:lineRule="auto"/>
        <w:jc w:val="both"/>
        <w:rPr>
          <w:rFonts w:ascii="Georgia" w:hAnsi="Georgia" w:cs="Calibri"/>
          <w:lang w:val="en-GB"/>
        </w:rPr>
      </w:pPr>
      <w:r w:rsidRPr="0002056A">
        <w:rPr>
          <w:rFonts w:ascii="Georgia" w:hAnsi="Georgia" w:cs="Calibri"/>
          <w:noProof/>
          <w:lang w:val="en-GB"/>
        </w:rPr>
        <w:drawing>
          <wp:inline distT="0" distB="0" distL="0" distR="0" wp14:anchorId="052846B3" wp14:editId="752CE8A9">
            <wp:extent cx="5760720" cy="2059305"/>
            <wp:effectExtent l="0" t="0" r="0" b="0"/>
            <wp:docPr id="1805405112" name="Kép 3" descr="A képen szöveg, térkép, diagram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79092" name="Kép 3" descr="A képen szöveg, térkép, diagram látható&#10;&#10;Előfordulhat, hogy az AI által létrehozott tartalom helytelen."/>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60720" cy="2059305"/>
                    </a:xfrm>
                    <a:prstGeom prst="rect">
                      <a:avLst/>
                    </a:prstGeom>
                  </pic:spPr>
                </pic:pic>
              </a:graphicData>
            </a:graphic>
          </wp:inline>
        </w:drawing>
      </w:r>
    </w:p>
    <w:p w14:paraId="123F7424" w14:textId="77777777" w:rsidR="00137018" w:rsidRPr="0002056A" w:rsidRDefault="00137018" w:rsidP="00137018">
      <w:pPr>
        <w:spacing w:before="120" w:after="120" w:line="240" w:lineRule="auto"/>
        <w:jc w:val="center"/>
        <w:rPr>
          <w:rFonts w:ascii="Georgia" w:hAnsi="Georgia" w:cs="Calibri"/>
          <w:b/>
          <w:bCs/>
          <w:sz w:val="18"/>
          <w:szCs w:val="18"/>
          <w:lang w:val="en-GB"/>
        </w:rPr>
      </w:pPr>
      <w:r w:rsidRPr="0002056A">
        <w:rPr>
          <w:rFonts w:ascii="Georgia" w:hAnsi="Georgia" w:cs="Calibri"/>
          <w:b/>
          <w:bCs/>
          <w:sz w:val="18"/>
          <w:szCs w:val="18"/>
          <w:lang w:val="en-GB"/>
        </w:rPr>
        <w:t xml:space="preserve">Two risk maps of the Turkish NASAP from the more than 20 cartograms. </w:t>
      </w:r>
      <w:r w:rsidRPr="0002056A">
        <w:rPr>
          <w:rFonts w:ascii="Georgia" w:hAnsi="Georgia" w:cs="Calibri"/>
          <w:sz w:val="18"/>
          <w:szCs w:val="18"/>
          <w:lang w:val="en-GB"/>
        </w:rPr>
        <w:t>Source: Türkiye’s NASAP, 2024.</w:t>
      </w:r>
    </w:p>
    <w:p w14:paraId="275743AD" w14:textId="1F6F86B0"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lang w:val="en-GB"/>
        </w:rPr>
        <w:t xml:space="preserve">The aforementioned </w:t>
      </w:r>
      <w:r w:rsidRPr="0002056A">
        <w:rPr>
          <w:rFonts w:ascii="Georgia" w:hAnsi="Georgia"/>
          <w:lang w:val="en-GB"/>
        </w:rPr>
        <w:t xml:space="preserve">sectoral chapters’ situation-introductory part has relatively strong spatial content. On top of that, there are also implicit and nominated spatial references in the text of the associated descriptions, mentioning region types (e.g. riverside, coastal area, slopes, plateaus, territories, sprawling urban regions, irrigated areas), concrete territories (e.g. Mediterranean coast, Central Black Sea, Central Anatolia region, Eastern Mediterranean Marmara region and many more) or concrete administrational units / settlements (Malaya, Trabzon, Antalya, İzmir, İstanbul, Bursa) consequently through the document. </w:t>
      </w:r>
      <w:r w:rsidRPr="0002056A">
        <w:rPr>
          <w:rFonts w:ascii="Georgia" w:hAnsi="Georgia" w:cs="Times New Roman"/>
          <w:lang w:val="en-GB"/>
        </w:rPr>
        <w:t xml:space="preserve">The spatial content of the whole objective system is similar, but a bit weaker. </w:t>
      </w:r>
      <w:r w:rsidRPr="0002056A">
        <w:rPr>
          <w:rFonts w:ascii="Georgia" w:hAnsi="Georgia"/>
          <w:lang w:val="en-GB"/>
        </w:rPr>
        <w:t>In the objective system, specific objectives have strategic objectives (=lower</w:t>
      </w:r>
      <w:r w:rsidR="00791581" w:rsidRPr="0002056A">
        <w:rPr>
          <w:rFonts w:ascii="Georgia" w:hAnsi="Georgia"/>
          <w:lang w:val="en-GB"/>
        </w:rPr>
        <w:t>-</w:t>
      </w:r>
      <w:r w:rsidRPr="0002056A">
        <w:rPr>
          <w:rFonts w:ascii="Georgia" w:hAnsi="Georgia"/>
          <w:lang w:val="en-GB"/>
        </w:rPr>
        <w:t>level objectives). These sectoral strategy objectives of the document include spatial aspects, mainly indirectly, especially in relation to spatial planning, without any direct mentioning of them. Moreover, call for adaptation-focused or adaptation-oriented spatial planning is reflected in the NAS sectoral chapters.</w:t>
      </w:r>
      <w:r w:rsidRPr="0002056A">
        <w:rPr>
          <w:rFonts w:ascii="Georgia" w:eastAsia="Times New Roman" w:hAnsi="Georgia" w:cs="Times New Roman"/>
          <w:i/>
          <w:lang w:val="en-GB" w:eastAsia="hu-HU"/>
        </w:rPr>
        <w:t xml:space="preserve"> </w:t>
      </w:r>
      <w:r w:rsidRPr="0002056A">
        <w:rPr>
          <w:rFonts w:ascii="Georgia" w:eastAsia="Times New Roman" w:hAnsi="Georgia" w:cs="Times New Roman"/>
          <w:iCs/>
          <w:lang w:val="en-GB" w:eastAsia="hu-HU"/>
        </w:rPr>
        <w:t>Finally, Türkiye represent all or almost all priorities of the then-actual Territorial Agenda of</w:t>
      </w:r>
      <w:r w:rsidRPr="0002056A">
        <w:rPr>
          <w:rFonts w:ascii="Georgia" w:eastAsia="Times New Roman" w:hAnsi="Georgia" w:cs="Times New Roman"/>
          <w:lang w:val="en-GB" w:eastAsia="hu-HU"/>
        </w:rPr>
        <w:t xml:space="preserve"> the Union (all in their cases the TA2030), but its own national spatial scopes get lesser emphasis. </w:t>
      </w:r>
    </w:p>
    <w:p w14:paraId="59CBF8F8" w14:textId="77777777" w:rsidR="00137018" w:rsidRPr="0002056A" w:rsidRDefault="00137018" w:rsidP="00137018">
      <w:pPr>
        <w:spacing w:before="120" w:after="120" w:line="240" w:lineRule="auto"/>
        <w:jc w:val="both"/>
        <w:rPr>
          <w:rFonts w:ascii="Georgia" w:eastAsia="Times New Roman" w:hAnsi="Georgia" w:cs="Calibri"/>
          <w:lang w:val="en-GB" w:eastAsia="hu-HU"/>
        </w:rPr>
      </w:pPr>
      <w:r w:rsidRPr="0002056A">
        <w:rPr>
          <w:rFonts w:ascii="Georgia" w:hAnsi="Georgia" w:cs="Calibri"/>
          <w:lang w:val="en-GB"/>
        </w:rPr>
        <w:t>The country is planning the setting up of a</w:t>
      </w:r>
      <w:r w:rsidRPr="0002056A">
        <w:rPr>
          <w:rFonts w:ascii="Georgia" w:eastAsia="Times New Roman" w:hAnsi="Georgia" w:cs="Calibri"/>
          <w:lang w:val="en-GB" w:eastAsia="hu-HU"/>
        </w:rPr>
        <w:t xml:space="preserve"> monitoring system in adaptation (NASAP Chapter 1.4 "Monitoring and evaluation" states that an online monitoring and evaluation system is planned for the future to track the NASAP</w:t>
      </w:r>
      <w:r w:rsidRPr="0002056A">
        <w:rPr>
          <w:rStyle w:val="Lbjegyzet-hivatkozs"/>
          <w:rFonts w:ascii="Georgia" w:hAnsi="Georgia" w:cs="Calibri"/>
          <w:lang w:val="en-GB"/>
        </w:rPr>
        <w:footnoteReference w:id="159"/>
      </w:r>
      <w:r w:rsidRPr="0002056A">
        <w:rPr>
          <w:rFonts w:ascii="Georgia" w:eastAsia="Times New Roman" w:hAnsi="Georgia" w:cs="Calibri"/>
          <w:lang w:val="en-GB" w:eastAsia="hu-HU"/>
        </w:rPr>
        <w:t xml:space="preserve">), that could monitor the implementation status of climate actions. The planned data background has not indicated spatial hints so far. There is also related indicator sets developed for monitoring adaptation actions. In the monitoring process, the action owners will be able to enter data related to these indicators into the system </w:t>
      </w:r>
      <w:r w:rsidRPr="0002056A">
        <w:rPr>
          <w:rFonts w:ascii="Georgia" w:eastAsia="Times New Roman" w:hAnsi="Georgia" w:cs="Calibri"/>
          <w:lang w:val="en-GB" w:eastAsia="hu-HU"/>
        </w:rPr>
        <w:lastRenderedPageBreak/>
        <w:t>annually. After the data entry is completed, the Climate Change Department, as the coordinator prepares a monitoring report. The first monitoring cycle was conducted in 2025. Data is being collected for the entire country, but there is no spatial aggregation. They collect rather output indicators.</w:t>
      </w:r>
    </w:p>
    <w:p w14:paraId="011B39FC" w14:textId="7777777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Calibri"/>
          <w:lang w:val="en-GB" w:eastAsia="hu-HU"/>
        </w:rPr>
        <w:t>There has been no NAGiS-like GIS-based decision support system in the country, however, as an umbrella site, a portal (https://iklimportal.gov.tr/projects) for adaptation-related knowledge-gathering, where publications and projects are uploaded, was set up.</w:t>
      </w:r>
      <w:r w:rsidRPr="0002056A">
        <w:rPr>
          <w:rFonts w:ascii="Georgia" w:eastAsia="Times New Roman" w:hAnsi="Georgia" w:cs="Times New Roman"/>
          <w:i/>
          <w:lang w:val="en-GB" w:eastAsia="hu-HU"/>
        </w:rPr>
        <w:t xml:space="preserve"> </w:t>
      </w:r>
      <w:r w:rsidRPr="0002056A">
        <w:rPr>
          <w:rFonts w:ascii="Georgia" w:hAnsi="Georgia"/>
          <w:lang w:val="en-GB"/>
        </w:rPr>
        <w:t>It was developed by the Directorate of Climate Change with financial support from the EU and technical support from UNDP. The portal was officially launched in November 2024 in Ankara. It aims to create a national climate change archive that creates awareness and assists informed decision-making processes, facilitate communication and collaboration among stakeholders as a platform for sharing information. Additionally, it includes an interface for tracking, reporting, and sharing progress on climate action plans. The portal currently provides users with the ability to filter content according to their needs, learn about Türkiye's climate change policies, national strategies, and action plans, about current national and international legislation and regulations, and access research, reports and educational materials. The portal shares the analysis of Türkiye’s climate change data, including greenhouse gas emissions, temperature changes, and precipitation rates. It includes a national climate change database and GIS infrastructure for spatial data. The users will also be able to follow all climate change-related activities and events across the country such as projects, workshops and trainings via an interactive map and calendar. Similarly to NAGiS, the portal is a comprehensive resource for various stakeholders</w:t>
      </w:r>
      <w:r w:rsidRPr="0002056A">
        <w:rPr>
          <w:rStyle w:val="Lbjegyzet-hivatkozs"/>
          <w:rFonts w:ascii="Georgia" w:hAnsi="Georgia"/>
          <w:lang w:val="en-GB"/>
        </w:rPr>
        <w:footnoteReference w:id="160"/>
      </w:r>
      <w:r w:rsidRPr="0002056A">
        <w:rPr>
          <w:rFonts w:ascii="Georgia" w:hAnsi="Georgia"/>
          <w:lang w:val="en-GB"/>
        </w:rPr>
        <w:t>. The portal was developed based on similar models in Europe, first and foremost the Climate-ADAPT with the intention of continuous update and expansion, improved data provision, analyses and information. It seeks to become a central platform for tracking and reporting Türkiye’s national climate targets and actions. The only field, towards which further development is worth contemplating by the portal’s operators, is a decision supporting system-oriented CVA/CCRA database building.</w:t>
      </w:r>
    </w:p>
    <w:p w14:paraId="0C8C1DA4" w14:textId="3A5AD4A7" w:rsidR="00137018" w:rsidRPr="0002056A" w:rsidRDefault="00137018" w:rsidP="00137018">
      <w:pPr>
        <w:spacing w:before="120" w:after="120" w:line="240" w:lineRule="auto"/>
        <w:jc w:val="both"/>
        <w:rPr>
          <w:rFonts w:ascii="Georgia" w:hAnsi="Georgia"/>
          <w:lang w:val="en-GB"/>
        </w:rPr>
      </w:pPr>
      <w:r w:rsidRPr="0002056A">
        <w:rPr>
          <w:rFonts w:ascii="Georgia" w:eastAsia="Times New Roman" w:hAnsi="Georgia" w:cs="Calibri"/>
          <w:lang w:val="en-GB" w:eastAsia="hu-HU"/>
        </w:rPr>
        <w:t>Climate adaptation- related regular evaluations have not been conducted yet. Currently o</w:t>
      </w:r>
      <w:r w:rsidRPr="0002056A">
        <w:rPr>
          <w:rFonts w:ascii="Georgia" w:hAnsi="Georgia"/>
          <w:lang w:val="en-GB"/>
        </w:rPr>
        <w:t xml:space="preserve">nly the NAS/NAP aims the setting up of an evaluation system or at least the elaboration of </w:t>
      </w:r>
      <w:r w:rsidR="006143CA" w:rsidRPr="0002056A">
        <w:rPr>
          <w:rFonts w:ascii="Georgia" w:hAnsi="Georgia"/>
          <w:lang w:val="en-GB"/>
        </w:rPr>
        <w:t>products,</w:t>
      </w:r>
      <w:r w:rsidRPr="0002056A">
        <w:rPr>
          <w:rFonts w:ascii="Georgia" w:hAnsi="Georgia"/>
          <w:lang w:val="en-GB"/>
        </w:rPr>
        <w:t xml:space="preserve"> but no assessment has been published in practice yet. </w:t>
      </w:r>
      <w:r w:rsidRPr="0002056A">
        <w:rPr>
          <w:rFonts w:ascii="Georgia" w:eastAsia="Times New Roman" w:hAnsi="Georgia" w:cs="Calibri"/>
          <w:lang w:val="en-GB" w:eastAsia="hu-HU"/>
        </w:rPr>
        <w:t xml:space="preserve">However, the future NASAP monitoring report is planned to be presented at the coordination committee in front of senior executives of all institutions, but there is no plan to prepare a related document. </w:t>
      </w:r>
      <w:r w:rsidRPr="0002056A">
        <w:rPr>
          <w:rFonts w:ascii="Georgia" w:eastAsia="Times New Roman" w:hAnsi="Georgia" w:cs="Times New Roman"/>
          <w:i/>
          <w:lang w:val="en-GB" w:eastAsia="hu-HU"/>
        </w:rPr>
        <w:t>Spatial levels of evaluations though not exist, similarly to other</w:t>
      </w:r>
      <w:r w:rsidRPr="0002056A">
        <w:rPr>
          <w:rFonts w:ascii="Georgia" w:eastAsia="Times New Roman" w:hAnsi="Georgia" w:cs="Times New Roman"/>
          <w:lang w:val="en-GB" w:eastAsia="hu-HU"/>
        </w:rPr>
        <w:t xml:space="preserve"> emerging countries in the adaptation planning</w:t>
      </w:r>
      <w:r w:rsidRPr="0002056A">
        <w:rPr>
          <w:rFonts w:ascii="Georgia" w:eastAsia="Times New Roman" w:hAnsi="Georgia" w:cs="Times New Roman"/>
          <w:i/>
          <w:lang w:val="en-GB" w:eastAsia="hu-HU"/>
        </w:rPr>
        <w:t xml:space="preserve"> </w:t>
      </w:r>
      <w:r w:rsidRPr="0002056A">
        <w:rPr>
          <w:rFonts w:ascii="Georgia" w:eastAsia="Times New Roman" w:hAnsi="Georgia" w:cs="Times New Roman"/>
          <w:lang w:val="en-GB" w:eastAsia="hu-HU"/>
        </w:rPr>
        <w:t xml:space="preserve">scene, like </w:t>
      </w:r>
      <w:r w:rsidRPr="0002056A">
        <w:rPr>
          <w:rFonts w:ascii="Georgia" w:eastAsia="Times New Roman" w:hAnsi="Georgia" w:cs="Times New Roman"/>
          <w:i/>
          <w:lang w:val="en-GB" w:eastAsia="hu-HU"/>
        </w:rPr>
        <w:t>Hungary, Türkiye has</w:t>
      </w:r>
      <w:r w:rsidRPr="0002056A">
        <w:rPr>
          <w:rFonts w:ascii="Georgia" w:eastAsia="Times New Roman" w:hAnsi="Georgia" w:cs="Times New Roman"/>
          <w:lang w:val="en-GB" w:eastAsia="hu-HU"/>
        </w:rPr>
        <w:t xml:space="preserve"> at least a theoretically detailed, elaborated evaluation system concept talking about spatial levels as well.</w:t>
      </w:r>
    </w:p>
    <w:p w14:paraId="7659CCAE" w14:textId="1857BB0D" w:rsidR="00137018" w:rsidRPr="0002056A" w:rsidRDefault="00137018" w:rsidP="00137018">
      <w:pPr>
        <w:pStyle w:val="Cmsor4"/>
        <w:rPr>
          <w:lang w:val="en-GB"/>
        </w:rPr>
      </w:pPr>
      <w:r w:rsidRPr="0002056A">
        <w:rPr>
          <w:lang w:val="en-GB"/>
        </w:rPr>
        <w:t>Spain – objectives, measures and international considerations reflect spatial emphases</w:t>
      </w:r>
    </w:p>
    <w:p w14:paraId="6E0E2C14" w14:textId="2B8F2462" w:rsidR="00137018" w:rsidRPr="0002056A" w:rsidRDefault="00137018" w:rsidP="00137018">
      <w:pPr>
        <w:spacing w:before="120" w:after="120" w:line="240" w:lineRule="auto"/>
        <w:jc w:val="both"/>
        <w:rPr>
          <w:bCs/>
          <w:lang w:val="en-GB"/>
        </w:rPr>
      </w:pPr>
      <w:r w:rsidRPr="0002056A">
        <w:rPr>
          <w:rFonts w:ascii="Georgia" w:hAnsi="Georgia" w:cs="Times New Roman"/>
          <w:bCs/>
          <w:lang w:val="en-GB"/>
        </w:rPr>
        <w:t>Spain, similar to Portugal, Greece and Italy, put modest emphasis on spatial issues in its NAS situation analysis (e.g. among the space-related concepts only “geography” and “geographic(al)” are mentioned more than by others) but put stronger focus on them in their objective systems.</w:t>
      </w:r>
      <w:r w:rsidRPr="0002056A">
        <w:rPr>
          <w:rFonts w:ascii="Georgia" w:eastAsia="Times New Roman" w:hAnsi="Georgia" w:cs="Times New Roman"/>
          <w:bCs/>
          <w:lang w:val="en-GB" w:eastAsia="hu-HU"/>
        </w:rPr>
        <w:t xml:space="preserve"> Spain’s overall objective</w:t>
      </w:r>
      <w:r w:rsidRPr="0002056A">
        <w:rPr>
          <w:rStyle w:val="Lbjegyzet-hivatkozs"/>
          <w:rFonts w:ascii="Georgia" w:hAnsi="Georgia" w:cs="Times New Roman"/>
          <w:bCs/>
          <w:lang w:val="en-GB"/>
        </w:rPr>
        <w:footnoteReference w:id="161"/>
      </w:r>
      <w:r w:rsidRPr="0002056A">
        <w:rPr>
          <w:rFonts w:ascii="Georgia" w:eastAsia="Times New Roman" w:hAnsi="Georgia" w:cs="Times New Roman"/>
          <w:bCs/>
          <w:lang w:val="en-GB" w:eastAsia="hu-HU"/>
        </w:rPr>
        <w:t xml:space="preserve"> is quite general. To achieve this goal, 9 specific objectives and 19 +7 lower-level objectives (19 “areas of work” and 7 “transversal issues”) have been defined. The first specific objective promotes the elaboration of regionalised climate projections; the second knowledge generation but without spatiality; the sixth involvement of all spatial levels in adaptation (multilevel governance emerging here implicitly); the eighth the role of Spain in international cooperation and the ninth adaptation MRE activities but without spatial hints. Among the 19 “areas of work” one already in its very name is directly about cities, one for coastal areas. As a complement to the sectoral actions, the NAS defines 7 transversal (horizontal goal-like) aspects (Chapter 8), which must be promoted in the different areas of </w:t>
      </w:r>
      <w:r w:rsidRPr="0002056A">
        <w:rPr>
          <w:rFonts w:ascii="Georgia" w:eastAsia="Times New Roman" w:hAnsi="Georgia" w:cs="Times New Roman"/>
          <w:bCs/>
          <w:lang w:val="en-GB" w:eastAsia="hu-HU"/>
        </w:rPr>
        <w:lastRenderedPageBreak/>
        <w:t>work: among these the first is again the deepening in the geographical and social components of vulnerability to climate change; the third is the analysis of cross-border effects</w:t>
      </w:r>
      <w:r w:rsidRPr="0002056A">
        <w:rPr>
          <w:rStyle w:val="Lbjegyzet-hivatkozs"/>
          <w:rFonts w:ascii="Georgia" w:hAnsi="Georgia" w:cs="Times New Roman"/>
          <w:bCs/>
          <w:lang w:val="en-GB"/>
        </w:rPr>
        <w:footnoteReference w:id="162"/>
      </w:r>
      <w:r w:rsidRPr="0002056A">
        <w:rPr>
          <w:rFonts w:ascii="Georgia" w:eastAsia="Times New Roman" w:hAnsi="Georgia" w:cs="Times New Roman"/>
          <w:bCs/>
          <w:lang w:val="en-GB" w:eastAsia="hu-HU"/>
        </w:rPr>
        <w:t>.</w:t>
      </w:r>
    </w:p>
    <w:p w14:paraId="30BDDD0C" w14:textId="77777777" w:rsidR="00137018" w:rsidRPr="0002056A" w:rsidRDefault="00137018" w:rsidP="00137018">
      <w:pPr>
        <w:spacing w:before="120" w:after="120" w:line="240" w:lineRule="auto"/>
        <w:jc w:val="both"/>
        <w:rPr>
          <w:rFonts w:ascii="Georgia" w:eastAsia="Times New Roman" w:hAnsi="Georgia" w:cs="Times New Roman"/>
          <w:bCs/>
          <w:lang w:val="en-GB" w:eastAsia="hu-HU"/>
        </w:rPr>
      </w:pPr>
      <w:r w:rsidRPr="0002056A">
        <w:rPr>
          <w:rFonts w:ascii="Georgia" w:eastAsia="Times New Roman" w:hAnsi="Georgia" w:cs="Times New Roman"/>
          <w:bCs/>
          <w:lang w:val="en-GB" w:eastAsia="hu-HU"/>
        </w:rPr>
        <w:t xml:space="preserve">Moreover, in Spain the NAS sets out a number of guiding principles as fundamental and common aspects to be taken into consideration in all areas of work and lines of action and guide decisions and steer adaptation policies and measures (Chapter 5). These contain among other things the consideration of social and spatial dimensions (emphasising that social components of exposure and vulnerability, as well as their geographical distribution, should be taken into account in climate risk analyses and in the definition of adaptation initiatives). The NAS summarily urges incorporation of spatial analyses and identification of high-risk-areas into adaptation planning and calls the attention to climate change’s different forms in different spatial typologies, like mountains, rural areas and islands. </w:t>
      </w:r>
    </w:p>
    <w:p w14:paraId="7ED5F0D8" w14:textId="77777777" w:rsidR="00137018" w:rsidRPr="0002056A" w:rsidRDefault="00137018" w:rsidP="00137018">
      <w:pPr>
        <w:spacing w:before="120" w:after="120" w:line="240" w:lineRule="auto"/>
        <w:jc w:val="both"/>
        <w:rPr>
          <w:bCs/>
          <w:lang w:val="en-GB"/>
        </w:rPr>
      </w:pPr>
      <w:r w:rsidRPr="0002056A">
        <w:rPr>
          <w:rFonts w:ascii="Georgia" w:eastAsia="Times New Roman" w:hAnsi="Georgia" w:cs="Times New Roman"/>
          <w:bCs/>
          <w:lang w:val="en-GB" w:eastAsia="hu-HU"/>
        </w:rPr>
        <w:t xml:space="preserve">At the operational level, proportion of measures with spatial content is in the lower-middle category in Spain with 25,76% of the actions showing spatial considerations (the highest category, however, comprises surprisingly some big, theoretically spatially interested South-Eastern countries, like Italy or Portugal). Regarding the proportion of spatial MRE-related measures, the Spanish NAS performs well, being in the upper-middle category, together with Greece, as another </w:t>
      </w:r>
      <w:r w:rsidRPr="0002056A">
        <w:rPr>
          <w:rFonts w:ascii="Georgia" w:hAnsi="Georgia" w:cs="Times New Roman"/>
          <w:bCs/>
          <w:lang w:val="en-GB"/>
        </w:rPr>
        <w:t>southerner.</w:t>
      </w:r>
    </w:p>
    <w:p w14:paraId="15E8738E" w14:textId="77777777" w:rsidR="00DA2759" w:rsidRDefault="00137018" w:rsidP="00DA2759">
      <w:pPr>
        <w:spacing w:before="120" w:after="120" w:line="240" w:lineRule="auto"/>
        <w:jc w:val="both"/>
        <w:rPr>
          <w:rFonts w:ascii="Georgia" w:eastAsia="Times New Roman" w:hAnsi="Georgia" w:cs="Times New Roman"/>
          <w:bCs/>
          <w:lang w:val="en-GB" w:eastAsia="hu-HU"/>
        </w:rPr>
      </w:pPr>
      <w:r w:rsidRPr="0002056A">
        <w:rPr>
          <w:rFonts w:ascii="Georgia" w:eastAsia="Times New Roman" w:hAnsi="Georgia" w:cs="Times New Roman"/>
          <w:bCs/>
          <w:lang w:val="en-GB" w:eastAsia="hu-HU"/>
        </w:rPr>
        <w:t>As for the international spatial dimensions of adaptation, emergence of geographically climate- related risks in Spain’s NAS occurs already in the Executive Summary that mentions the importance of recognising global risks: "</w:t>
      </w:r>
      <w:r w:rsidRPr="0002056A">
        <w:rPr>
          <w:rFonts w:ascii="Georgia" w:eastAsia="Times New Roman" w:hAnsi="Georgia" w:cs="Times New Roman"/>
          <w:bCs/>
          <w:i/>
          <w:iCs/>
          <w:lang w:val="en-GB" w:eastAsia="hu-HU"/>
        </w:rPr>
        <w:t>Pandemics and climate change have something important in common: they are global risks that can lead to systemic impacts</w:t>
      </w:r>
      <w:r w:rsidRPr="0002056A">
        <w:rPr>
          <w:rFonts w:ascii="Georgia" w:eastAsia="Times New Roman" w:hAnsi="Georgia" w:cs="Times New Roman"/>
          <w:bCs/>
          <w:lang w:val="en-GB" w:eastAsia="hu-HU"/>
        </w:rPr>
        <w:t>". Among different elements of the objective/action system, several deal with global climate risks</w:t>
      </w:r>
      <w:r w:rsidRPr="0002056A">
        <w:rPr>
          <w:rStyle w:val="Lbjegyzet-hivatkozs"/>
          <w:rFonts w:ascii="Georgia" w:hAnsi="Georgia" w:cs="Times New Roman"/>
          <w:bCs/>
          <w:lang w:val="en-GB"/>
        </w:rPr>
        <w:footnoteReference w:id="163"/>
      </w:r>
      <w:r w:rsidRPr="0002056A">
        <w:rPr>
          <w:rFonts w:ascii="Georgia" w:eastAsia="Times New Roman" w:hAnsi="Georgia" w:cs="Times New Roman"/>
          <w:bCs/>
          <w:lang w:val="en-GB" w:eastAsia="hu-HU"/>
        </w:rPr>
        <w:t xml:space="preserve">. </w:t>
      </w:r>
      <w:r w:rsidRPr="0002056A">
        <w:rPr>
          <w:rFonts w:ascii="Georgia" w:eastAsia="Times New Roman" w:hAnsi="Georgia" w:cs="Times New Roman"/>
          <w:bCs/>
          <w:iCs/>
          <w:lang w:val="en-GB" w:eastAsia="hu-HU"/>
        </w:rPr>
        <w:t xml:space="preserve">Spain performs well in the “emergence of strengthening macro regional / international co-operations” aspect. </w:t>
      </w:r>
      <w:r w:rsidRPr="0002056A">
        <w:rPr>
          <w:rFonts w:ascii="Georgia" w:hAnsi="Georgia"/>
          <w:bCs/>
          <w:iCs/>
          <w:lang w:val="en-GB"/>
        </w:rPr>
        <w:t xml:space="preserve">The Spanish NAS sets out a number of guiding principles; these contain among other things, "Transversality and integration in different fields of public management", where integration of international commitments are mentioned particularly. The closing parts of the NAS emphasise the importance of international cooperation &amp; coordination within the </w:t>
      </w:r>
      <w:r w:rsidR="006143CA" w:rsidRPr="0002056A">
        <w:rPr>
          <w:rFonts w:ascii="Georgia" w:hAnsi="Georgia"/>
          <w:bCs/>
          <w:iCs/>
          <w:lang w:val="en-GB"/>
        </w:rPr>
        <w:t>Iberian Peninsula</w:t>
      </w:r>
      <w:r w:rsidRPr="0002056A">
        <w:rPr>
          <w:rFonts w:ascii="Georgia" w:hAnsi="Georgia"/>
          <w:bCs/>
          <w:iCs/>
          <w:lang w:val="en-GB"/>
        </w:rPr>
        <w:t xml:space="preserve"> with Portugal. The topic even gets a dedicated box. Transversal Action Line T3 (Cross border effects) also touches international cooperation.</w:t>
      </w:r>
      <w:r w:rsidR="00DA2759" w:rsidRPr="00DA2759">
        <w:rPr>
          <w:rFonts w:ascii="Georgia" w:eastAsia="Times New Roman" w:hAnsi="Georgia" w:cs="Times New Roman"/>
          <w:bCs/>
          <w:lang w:val="en-GB" w:eastAsia="hu-HU"/>
        </w:rPr>
        <w:t xml:space="preserve"> </w:t>
      </w:r>
    </w:p>
    <w:p w14:paraId="1D3F3EF6" w14:textId="4C66917E" w:rsidR="00DA2759" w:rsidRPr="0002056A" w:rsidRDefault="00DA2759" w:rsidP="00DA2759">
      <w:pPr>
        <w:spacing w:before="120" w:after="120" w:line="240" w:lineRule="auto"/>
        <w:jc w:val="both"/>
        <w:rPr>
          <w:rFonts w:ascii="Georgia" w:eastAsia="Times New Roman" w:hAnsi="Georgia" w:cs="Times New Roman"/>
          <w:bCs/>
          <w:lang w:val="en-GB" w:eastAsia="hu-HU"/>
        </w:rPr>
      </w:pPr>
      <w:r w:rsidRPr="0002056A">
        <w:rPr>
          <w:rFonts w:ascii="Georgia" w:eastAsia="Times New Roman" w:hAnsi="Georgia" w:cs="Times New Roman"/>
          <w:bCs/>
          <w:lang w:val="en-GB" w:eastAsia="hu-HU"/>
        </w:rPr>
        <w:t>In Spain MRE systems are planned in adaptation, in the form of an action or objective of the NAS/NAP, with hints for spatial data use. Currently the country collects only lower-level objective-related impact/result indicators (and possibly output indicators), but no spatial breakdown can be identified nor any geographic/regional specification detected in these activities. Decision support system planning is in its early phase. A platform focusing on Climate Change Adaptation (AdapteCCa) was created in 2013 within the framework of the Spanish NAS and has become a valuable instrument for accessing information on impacts, vulnerability and adaptation to climate change in Spain. Its full functionality keeps improving constantly.</w:t>
      </w:r>
    </w:p>
    <w:p w14:paraId="7085865A" w14:textId="1E5F2AB4" w:rsidR="00137018" w:rsidRPr="0002056A" w:rsidRDefault="00137018" w:rsidP="00137018">
      <w:pPr>
        <w:spacing w:before="120" w:after="120" w:line="240" w:lineRule="auto"/>
        <w:jc w:val="both"/>
        <w:rPr>
          <w:bCs/>
          <w:iCs/>
          <w:lang w:val="en-GB"/>
        </w:rPr>
      </w:pPr>
    </w:p>
    <w:p w14:paraId="4D801C83" w14:textId="77777777" w:rsidR="00137018" w:rsidRPr="0002056A" w:rsidRDefault="00137018" w:rsidP="00137018">
      <w:pPr>
        <w:spacing w:before="120" w:after="120" w:line="240" w:lineRule="auto"/>
        <w:jc w:val="both"/>
        <w:rPr>
          <w:bCs/>
          <w:iCs/>
          <w:lang w:val="en-GB"/>
        </w:rPr>
      </w:pPr>
      <w:r w:rsidRPr="0002056A">
        <w:rPr>
          <w:noProof/>
          <w:lang w:val="en-GB"/>
        </w:rPr>
        <w:lastRenderedPageBreak/>
        <w:drawing>
          <wp:inline distT="0" distB="0" distL="0" distR="0" wp14:anchorId="56E69EF8" wp14:editId="686D686F">
            <wp:extent cx="5688602" cy="3278458"/>
            <wp:effectExtent l="0" t="0" r="7620" b="0"/>
            <wp:docPr id="1104087516" name="Kép 1" descr="A képen szöveg, képernyőkép, szoftver, Számítógépes ikon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15107" name="Kép 1" descr="A képen szöveg, képernyőkép, szoftver, Számítógépes ikon látható&#10;&#10;Előfordulhat, hogy az AI által létrehozott tartalom helytelen."/>
                    <pic:cNvPicPr/>
                  </pic:nvPicPr>
                  <pic:blipFill rotWithShape="1">
                    <a:blip r:embed="rId213"/>
                    <a:srcRect l="47423" t="31354" r="25138" b="40532"/>
                    <a:stretch>
                      <a:fillRect/>
                    </a:stretch>
                  </pic:blipFill>
                  <pic:spPr bwMode="auto">
                    <a:xfrm>
                      <a:off x="0" y="0"/>
                      <a:ext cx="5713733" cy="3292941"/>
                    </a:xfrm>
                    <a:prstGeom prst="rect">
                      <a:avLst/>
                    </a:prstGeom>
                    <a:ln>
                      <a:noFill/>
                    </a:ln>
                    <a:extLst>
                      <a:ext uri="{53640926-AAD7-44D8-BBD7-CCE9431645EC}">
                        <a14:shadowObscured xmlns:a14="http://schemas.microsoft.com/office/drawing/2010/main"/>
                      </a:ext>
                    </a:extLst>
                  </pic:spPr>
                </pic:pic>
              </a:graphicData>
            </a:graphic>
          </wp:inline>
        </w:drawing>
      </w:r>
      <w:r w:rsidRPr="0002056A">
        <w:rPr>
          <w:rFonts w:ascii="Georgia" w:eastAsia="Times New Roman" w:hAnsi="Georgia" w:cs="Times New Roman"/>
          <w:bCs/>
          <w:iCs/>
          <w:lang w:val="en-GB" w:eastAsia="hu-HU"/>
        </w:rPr>
        <w:t xml:space="preserve"> </w:t>
      </w:r>
    </w:p>
    <w:p w14:paraId="19EF7E53" w14:textId="77777777" w:rsidR="00137018" w:rsidRPr="0002056A" w:rsidRDefault="00137018" w:rsidP="00137018">
      <w:pPr>
        <w:spacing w:before="120" w:after="120" w:line="240" w:lineRule="auto"/>
        <w:jc w:val="center"/>
        <w:rPr>
          <w:rFonts w:ascii="Georgia" w:eastAsia="Times New Roman" w:hAnsi="Georgia" w:cs="Times New Roman"/>
          <w:bCs/>
          <w:iCs/>
          <w:lang w:val="en-GB" w:eastAsia="hu-HU"/>
        </w:rPr>
      </w:pPr>
      <w:r w:rsidRPr="0002056A">
        <w:rPr>
          <w:rFonts w:ascii="Georgia" w:hAnsi="Georgia"/>
          <w:b/>
          <w:sz w:val="18"/>
          <w:szCs w:val="18"/>
          <w:lang w:val="en-GB"/>
        </w:rPr>
        <w:t xml:space="preserve">Structure of the Spanish NAS. </w:t>
      </w:r>
      <w:r w:rsidRPr="0002056A">
        <w:rPr>
          <w:rFonts w:ascii="Georgia" w:hAnsi="Georgia"/>
          <w:bCs/>
          <w:i/>
          <w:iCs/>
          <w:sz w:val="18"/>
          <w:szCs w:val="18"/>
          <w:lang w:val="en-GB"/>
        </w:rPr>
        <w:t>Source: PNACC 2021-2030.</w:t>
      </w:r>
      <w:r w:rsidRPr="0002056A">
        <w:rPr>
          <w:rFonts w:ascii="Georgia" w:eastAsia="Times New Roman" w:hAnsi="Georgia" w:cs="Times New Roman"/>
          <w:bCs/>
          <w:iCs/>
          <w:lang w:val="en-GB" w:eastAsia="hu-HU"/>
        </w:rPr>
        <w:t xml:space="preserve"> </w:t>
      </w:r>
    </w:p>
    <w:p w14:paraId="61A4A7D3" w14:textId="77777777" w:rsidR="00137018" w:rsidRPr="0002056A" w:rsidRDefault="00137018" w:rsidP="00137018">
      <w:pPr>
        <w:spacing w:before="120" w:after="120" w:line="240" w:lineRule="auto"/>
        <w:jc w:val="both"/>
        <w:rPr>
          <w:bCs/>
          <w:iCs/>
          <w:lang w:val="en-GB"/>
        </w:rPr>
      </w:pPr>
      <w:r w:rsidRPr="0002056A">
        <w:rPr>
          <w:rFonts w:ascii="Georgia" w:eastAsia="Times New Roman" w:hAnsi="Georgia" w:cs="Times New Roman"/>
          <w:bCs/>
          <w:iCs/>
          <w:lang w:val="en-GB" w:eastAsia="hu-HU"/>
        </w:rPr>
        <w:t>Spain represents in its NAS all priorities of the then-actual Territorial Agenda of the Union (TA2030). Characteristically the last three TA2030 priorities (“Healthy Environment” with NBSs, ecosystems, spatial planning, disaster management, climate resilience, local level empowering, protection of natural, cultural and landscape values; “Circular Economy”, including energy transition and “Sustainable Connections” are the most frequently reflected in all European NAS documents at all, cherry picking those sectors that are most affected to climate change. Spain and other bigger southerners put emphasis even on cross-border issues, functional regions and sometimes on balanced spatial structures strong implicitly. The NAS consequently uses the concepts of multilevel governance; place-based approach; and territorial integration.</w:t>
      </w:r>
    </w:p>
    <w:p w14:paraId="04C73D45" w14:textId="77777777" w:rsidR="00137018" w:rsidRPr="0002056A" w:rsidRDefault="00137018" w:rsidP="00137018">
      <w:pPr>
        <w:spacing w:before="120" w:after="120" w:line="240" w:lineRule="auto"/>
        <w:jc w:val="both"/>
        <w:rPr>
          <w:rFonts w:ascii="Georgia" w:eastAsia="Times New Roman" w:hAnsi="Georgia" w:cs="Times New Roman"/>
          <w:bCs/>
          <w:lang w:val="en-GB" w:eastAsia="hu-HU"/>
        </w:rPr>
      </w:pPr>
    </w:p>
    <w:p w14:paraId="6A863DF4" w14:textId="77777777" w:rsidR="00137018" w:rsidRPr="0002056A" w:rsidRDefault="00137018" w:rsidP="00137018">
      <w:pPr>
        <w:spacing w:before="120" w:after="120" w:line="240" w:lineRule="auto"/>
        <w:jc w:val="center"/>
        <w:rPr>
          <w:bCs/>
          <w:lang w:val="en-GB"/>
        </w:rPr>
      </w:pPr>
      <w:r w:rsidRPr="0002056A">
        <w:rPr>
          <w:noProof/>
          <w:lang w:val="en-GB"/>
        </w:rPr>
        <w:lastRenderedPageBreak/>
        <w:drawing>
          <wp:inline distT="0" distB="0" distL="0" distR="0" wp14:anchorId="484C4A15" wp14:editId="01987846">
            <wp:extent cx="3188524" cy="3918857"/>
            <wp:effectExtent l="0" t="0" r="0" b="5715"/>
            <wp:docPr id="1959117979" name="Kép 1" descr="A képen szöveg, képernyőkép, szoftver, Multimédiás szoftver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29637" name="Kép 1" descr="A képen szöveg, képernyőkép, szoftver, Multimédiás szoftver látható&#10;&#10;Előfordulhat, hogy az AI által létrehozott tartalom helytelen."/>
                    <pic:cNvPicPr/>
                  </pic:nvPicPr>
                  <pic:blipFill rotWithShape="1">
                    <a:blip r:embed="rId214"/>
                    <a:srcRect l="43308" t="14282" r="21606" b="9055"/>
                    <a:stretch>
                      <a:fillRect/>
                    </a:stretch>
                  </pic:blipFill>
                  <pic:spPr bwMode="auto">
                    <a:xfrm>
                      <a:off x="0" y="0"/>
                      <a:ext cx="3220911" cy="3958662"/>
                    </a:xfrm>
                    <a:prstGeom prst="rect">
                      <a:avLst/>
                    </a:prstGeom>
                    <a:ln>
                      <a:noFill/>
                    </a:ln>
                    <a:extLst>
                      <a:ext uri="{53640926-AAD7-44D8-BBD7-CCE9431645EC}">
                        <a14:shadowObscured xmlns:a14="http://schemas.microsoft.com/office/drawing/2010/main"/>
                      </a:ext>
                    </a:extLst>
                  </pic:spPr>
                </pic:pic>
              </a:graphicData>
            </a:graphic>
          </wp:inline>
        </w:drawing>
      </w:r>
    </w:p>
    <w:p w14:paraId="3B03BB31" w14:textId="77777777" w:rsidR="00137018" w:rsidRPr="0002056A" w:rsidRDefault="00137018" w:rsidP="00137018">
      <w:pPr>
        <w:spacing w:before="120" w:after="120" w:line="240" w:lineRule="auto"/>
        <w:jc w:val="center"/>
        <w:rPr>
          <w:rFonts w:ascii="Georgia" w:hAnsi="Georgia"/>
          <w:b/>
          <w:sz w:val="18"/>
          <w:szCs w:val="18"/>
          <w:lang w:val="en-GB"/>
        </w:rPr>
      </w:pPr>
      <w:r w:rsidRPr="0002056A">
        <w:rPr>
          <w:rFonts w:ascii="Georgia" w:hAnsi="Georgia"/>
          <w:b/>
          <w:sz w:val="18"/>
          <w:szCs w:val="18"/>
          <w:lang w:val="en-GB"/>
        </w:rPr>
        <w:t xml:space="preserve">Areas of work in the Spanish NAS. </w:t>
      </w:r>
      <w:r w:rsidRPr="0002056A">
        <w:rPr>
          <w:rFonts w:ascii="Georgia" w:hAnsi="Georgia"/>
          <w:bCs/>
          <w:i/>
          <w:iCs/>
          <w:sz w:val="18"/>
          <w:szCs w:val="18"/>
          <w:lang w:val="en-GB"/>
        </w:rPr>
        <w:t>Source: PNACC 2021-2030.</w:t>
      </w:r>
    </w:p>
    <w:p w14:paraId="193122D1" w14:textId="669F5218" w:rsidR="00137018" w:rsidRPr="0002056A" w:rsidRDefault="00137018" w:rsidP="00137018">
      <w:pPr>
        <w:pStyle w:val="Cmsor3"/>
        <w:rPr>
          <w:lang w:val="en-GB"/>
        </w:rPr>
      </w:pPr>
      <w:bookmarkStart w:id="84" w:name="_Toc225578896"/>
      <w:r w:rsidRPr="0002056A">
        <w:rPr>
          <w:lang w:val="en-GB"/>
        </w:rPr>
        <w:t xml:space="preserve">Annex </w:t>
      </w:r>
      <w:r w:rsidR="00FF4969" w:rsidRPr="0002056A">
        <w:rPr>
          <w:lang w:val="en-GB"/>
        </w:rPr>
        <w:t>4</w:t>
      </w:r>
      <w:r w:rsidRPr="0002056A">
        <w:rPr>
          <w:lang w:val="en-GB"/>
        </w:rPr>
        <w:t>d) Eastern Europe – Space orientation remains within the situation analyses</w:t>
      </w:r>
      <w:bookmarkEnd w:id="84"/>
    </w:p>
    <w:p w14:paraId="0D116181"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We find most of the Eastern-Central-European countries in the second and third categories. The two best-performing states, Poland and Hungary stand out of the others mainly with their situation analyses’ spatial performances: space phraseology, map content and other spatially relevant topics emerge relatively frequently in the evidence-seeking parts of the NAS documents Hungary presents a particularly great example in GIS-based decision support activities, too, in the form of its NAGiS system.</w:t>
      </w:r>
    </w:p>
    <w:p w14:paraId="6ED64077" w14:textId="77777777" w:rsidR="00137018" w:rsidRPr="0002056A" w:rsidRDefault="00137018" w:rsidP="00137018">
      <w:pPr>
        <w:pStyle w:val="Cmsor4"/>
        <w:rPr>
          <w:lang w:val="en-GB"/>
        </w:rPr>
      </w:pPr>
      <w:r w:rsidRPr="0002056A">
        <w:rPr>
          <w:lang w:val="en-GB"/>
        </w:rPr>
        <w:t>Hungary – best practices in spatial visualization (NCCS-2 and NAGiS)</w:t>
      </w:r>
    </w:p>
    <w:p w14:paraId="2C7414AF"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Hungary’s summarized spatial performance in the analysis puts the country in the upper half of the second-best category, meanwhile several of its situation analyses- or GIS-based decision support system-related results are simply the best within Europe. However, average/weaker performances of the other aspects prevent the country from considering Hungary’s adaptation policy in its entirety among the best ones. In Hungary, similarly to some other Eastern-Central European countries (e.g. Slovakia, Slovenia, Baltic states) the primary climate policy challenge is less the volume of GHG emissions, but the adaptation to the already experienced climate effects, so adaptation must be the main pillar of climate policy. The floods and flash floods, municipal rainwater inundations, extreme storms and droughts of recent years in Hungary focused the attention particularly on climate adaptation, urging regional and local response measures.</w:t>
      </w:r>
    </w:p>
    <w:p w14:paraId="7C4A565C" w14:textId="77777777" w:rsidR="00137018" w:rsidRPr="0002056A" w:rsidRDefault="00137018" w:rsidP="00137018">
      <w:pPr>
        <w:spacing w:before="120" w:after="120" w:line="240" w:lineRule="auto"/>
        <w:jc w:val="both"/>
        <w:rPr>
          <w:rFonts w:ascii="Georgia" w:hAnsi="Georgia"/>
          <w:b/>
          <w:bCs/>
          <w:lang w:val="en-GB"/>
        </w:rPr>
      </w:pPr>
      <w:r w:rsidRPr="0002056A">
        <w:rPr>
          <w:rFonts w:ascii="Georgia" w:hAnsi="Georgia"/>
          <w:lang w:val="en-GB"/>
        </w:rPr>
        <w:t xml:space="preserve">The two definitive legislations regarding Hungarian climate policy are the 2020/XLIV Law on Climate Protection and the 2007/LX Law on the Implementation of the UNFCCC and its Kyoto Protocol. The first § of the Law on Climate Protection states that climate change and the increasing frequency of extreme weather events can be clearly felt everywhere in the world, and the natural, economic and social effects caused by them affect more and more people. The point clearly indicates the emphasis put on the issue. The Government, says the Law, must implement short-, medium- and long-term climate protection and climate adaptation measures – which are defined by the second National Climate Change Strategy (NCCS-2) and </w:t>
      </w:r>
      <w:r w:rsidRPr="0002056A">
        <w:rPr>
          <w:rFonts w:ascii="Georgia" w:hAnsi="Georgia"/>
          <w:lang w:val="en-GB"/>
        </w:rPr>
        <w:lastRenderedPageBreak/>
        <w:t>its action plans (identified also by paragraph 2). According to § 2 of the law, the national climate policy must provide valid answers concerning the whole Carpathian basin – a clean macroregional approach emerges here.</w:t>
      </w:r>
    </w:p>
    <w:p w14:paraId="4AE010FD" w14:textId="3BD786FA"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basic policy document of outmost importance in Hungary’s climate policy currently is the NCCS-2. Its legal basis is the LX/2007 Law, according to which Hungary must have a (regularly revised and updated) national climate change strategy. The first National Climate Change Strategy (NCCS-1) was adopted in 2008. Its evaluation and review </w:t>
      </w:r>
      <w:r w:rsidR="00791581" w:rsidRPr="0002056A">
        <w:rPr>
          <w:rFonts w:ascii="Georgia" w:hAnsi="Georgia"/>
          <w:lang w:val="en-GB"/>
        </w:rPr>
        <w:t>were</w:t>
      </w:r>
      <w:r w:rsidRPr="0002056A">
        <w:rPr>
          <w:rFonts w:ascii="Georgia" w:hAnsi="Georgia"/>
          <w:lang w:val="en-GB"/>
        </w:rPr>
        <w:t xml:space="preserve"> followed by the elaboration of the NCCS-2; the document was adopted by the Parliament on October 30, 2018, [in the form of Parliamentary Decree 23/2018. (X. 31.)]. The NCCS-2 contains national-level goals and strategic directions of the domestic climate policy both in the fields of mitigation, adaptation and awareness raising for the period 2018-2030. At the same </w:t>
      </w:r>
      <w:r w:rsidR="00791581" w:rsidRPr="0002056A">
        <w:rPr>
          <w:rFonts w:ascii="Georgia" w:hAnsi="Georgia"/>
          <w:lang w:val="en-GB"/>
        </w:rPr>
        <w:t>time,</w:t>
      </w:r>
      <w:r w:rsidRPr="0002056A">
        <w:rPr>
          <w:rFonts w:ascii="Georgia" w:hAnsi="Georgia"/>
          <w:lang w:val="en-GB"/>
        </w:rPr>
        <w:t xml:space="preserve"> it provides an outlook for the period up to 2050. It consists of three modular sub-strategies, one of which is the National Adaptation Strategy (NAS) aimed at adapting to and preparing for the effects of climate change (the other two are for decarbonisation and awareness raising). </w:t>
      </w:r>
    </w:p>
    <w:p w14:paraId="10F8A6A2" w14:textId="765E731F"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NAS itself comprises detailed introduction of climate impacts on natural assets (soils, forests, waters and habitats), climate change consequences on different sectors and short medium and long-term action line recommendations for 9 preferential </w:t>
      </w:r>
      <w:r w:rsidR="00791581" w:rsidRPr="0002056A">
        <w:rPr>
          <w:rFonts w:ascii="Georgia" w:hAnsi="Georgia"/>
          <w:lang w:val="en-GB"/>
        </w:rPr>
        <w:t>sectors</w:t>
      </w:r>
      <w:r w:rsidRPr="0002056A">
        <w:rPr>
          <w:rFonts w:ascii="Georgia" w:hAnsi="Georgia"/>
          <w:lang w:val="en-GB"/>
        </w:rPr>
        <w:t xml:space="preserve"> particularly affected by climate change. These chapters are followed by a specifically spatial vulnerability-oriented section, going through preferential vulnerability topics of Hungarian relevance (heatwaves, flash floods, forests, habitats, arable lands, water supplies, etc.) based on National Adaptation Geo-Information System (NAGiS) data and presenting results of spatial vulnerability assessments in the form of map content. This appearance of particular aspects of spatial vulnerability is an outstanding practice among the European NAS and CCRA documents, clearly showing the uniqueness of the NAGiS system.</w:t>
      </w:r>
    </w:p>
    <w:p w14:paraId="2E1D5DD5" w14:textId="77777777" w:rsidR="00137018" w:rsidRPr="0002056A" w:rsidRDefault="00137018" w:rsidP="00137018">
      <w:pPr>
        <w:spacing w:before="120" w:after="120" w:line="240" w:lineRule="auto"/>
        <w:jc w:val="both"/>
        <w:rPr>
          <w:rFonts w:ascii="Georgia" w:hAnsi="Georgia"/>
          <w:b/>
          <w:bCs/>
          <w:lang w:val="en-GB"/>
        </w:rPr>
      </w:pPr>
      <w:r w:rsidRPr="0002056A">
        <w:rPr>
          <w:rFonts w:ascii="Georgia" w:hAnsi="Georgia"/>
          <w:lang w:val="en-GB"/>
        </w:rPr>
        <w:t>The NCCS-2’s national level climate policy objectives and action lines are put into practice in the form of concrete measures by consecutive action plans (NACCPs). Among the national documents related to adaptation, it is important to mention the Carpathian Report, which is the most recent background material that analyses and evaluates the current situation and outlines updated strategic directions, too. Similarly to the NCCS-2, the Report was based again on research results, maps and datasets related to exposure, sensitivity, adaptability and vulnerability provided by the NAGiS.</w:t>
      </w:r>
    </w:p>
    <w:p w14:paraId="37A58B12"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As opposed to the national one, at lower spatial levels, there are no obligatory and prescribed climate adaptation-oriented strategic planning tasks. To counterweight this situation the government initiated financial support for elaboration of regional and municipal climate change strategies between 2017 and 2021. As a result, the county (NUTS3) level is now fully covered by climate strategies from EU’s Structural and Investment Funds-related sources and many municipalities</w:t>
      </w:r>
      <w:r w:rsidRPr="0002056A">
        <w:rPr>
          <w:rStyle w:val="Lbjegyzet-hivatkozs"/>
          <w:rFonts w:ascii="Georgia" w:hAnsi="Georgia"/>
          <w:lang w:val="en-GB"/>
        </w:rPr>
        <w:footnoteReference w:id="164"/>
      </w:r>
      <w:r w:rsidRPr="0002056A">
        <w:rPr>
          <w:rFonts w:ascii="Georgia" w:hAnsi="Georgia"/>
          <w:lang w:val="en-GB"/>
        </w:rPr>
        <w:t xml:space="preserve"> also have had their climate strategies, or SECAPs. The plan hierarchy is implemented, so the sub-national plans are related to the NCCS-2 and, as they are horizontal plans, to other strategic documents in the given area. Unfortunately, the mentioned OP funds ran out. Currently, new tenders for municipal climate strategy-making are not available</w:t>
      </w:r>
      <w:r w:rsidRPr="0002056A">
        <w:rPr>
          <w:rStyle w:val="Lbjegyzet-hivatkozs"/>
          <w:rFonts w:ascii="Georgia" w:hAnsi="Georgia"/>
          <w:lang w:val="en-GB"/>
        </w:rPr>
        <w:footnoteReference w:id="165"/>
      </w:r>
      <w:r w:rsidRPr="0002056A">
        <w:rPr>
          <w:rFonts w:ascii="Georgia" w:hAnsi="Georgia"/>
          <w:lang w:val="en-GB"/>
        </w:rPr>
        <w:t xml:space="preserve">. </w:t>
      </w:r>
    </w:p>
    <w:p w14:paraId="64D51172" w14:textId="207370BD"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lang w:val="en-GB"/>
        </w:rPr>
        <w:t xml:space="preserve">The other important content of the LX/2007 Law was about the decision on the establishment of a national level decision supporting system in climate adaptation. </w:t>
      </w:r>
      <w:r w:rsidRPr="0002056A">
        <w:rPr>
          <w:rFonts w:ascii="Georgia" w:hAnsi="Georgia" w:cstheme="minorHAnsi"/>
          <w:lang w:val="en-GB"/>
        </w:rPr>
        <w:t xml:space="preserve">To offer effective responses to negative climate impacts taking into consideration spatial location, the NAGiS was established as the principal and partly open-access decision supporting tool of domestic adaptation policy. The rules for its operation were defined by the Governmental Decree 94/2014. The system is developed and operated by HungaroMet’s National Adaptation Centre and its predecessor organisations. It provides its target groups with regularly updated data </w:t>
      </w:r>
      <w:r w:rsidRPr="0002056A">
        <w:rPr>
          <w:rFonts w:ascii="Georgia" w:hAnsi="Georgia" w:cstheme="minorHAnsi"/>
          <w:lang w:val="en-GB"/>
        </w:rPr>
        <w:lastRenderedPageBreak/>
        <w:t xml:space="preserve">from climate observation and modelling, data about climate change impacts, consequences and potential adaptation capacities by sectors/thematic vulnerability topics. These target groups consist of national, regional and municipal level decision makers and planners both in the field of climate policy and other related sectors (settlement development, tourism, forestry, water management, public health, etc.), public administration, higher education, consulting firms and the wider public. </w:t>
      </w:r>
    </w:p>
    <w:p w14:paraId="5D0B2F6F"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lang w:val="en-GB"/>
        </w:rPr>
        <w:t>The NAGiS analyses are based on an impact-chain-based logical framework called the CIVAS-model (Climate Impact and Vulnerability Assessment Scheme), which is originated from the approach published in the 4th Assessment Report of IPCC</w:t>
      </w:r>
      <w:r w:rsidRPr="0002056A">
        <w:rPr>
          <w:rStyle w:val="Lbjegyzet-hivatkozs"/>
          <w:rFonts w:ascii="Georgia" w:hAnsi="Georgia" w:cstheme="minorHAnsi"/>
          <w:lang w:val="en-GB"/>
        </w:rPr>
        <w:footnoteReference w:id="166"/>
      </w:r>
      <w:r w:rsidRPr="0002056A">
        <w:rPr>
          <w:rFonts w:ascii="Georgia" w:hAnsi="Georgia" w:cstheme="minorHAnsi"/>
          <w:lang w:val="en-GB"/>
        </w:rPr>
        <w:t>. Numerous experiences of CIVAS’ application can be found in scientific literature and in the practice as well, as it is logical, easy to understand and use in practice –and though the IPCC have developed new, risk-centred methodological framework for CVAs since then in its consecutive assessment reports, significant part of the literature and existing systems, like the NAGiS, still use the former, vulnerability-oriented frameworks.</w:t>
      </w:r>
    </w:p>
    <w:p w14:paraId="11279A2E" w14:textId="77777777" w:rsidR="00137018" w:rsidRPr="0002056A" w:rsidRDefault="00137018" w:rsidP="00137018">
      <w:pPr>
        <w:keepNext/>
        <w:spacing w:before="120" w:after="120" w:line="240" w:lineRule="auto"/>
        <w:jc w:val="center"/>
        <w:rPr>
          <w:lang w:val="en-GB"/>
        </w:rPr>
      </w:pPr>
      <w:r w:rsidRPr="0002056A">
        <w:rPr>
          <w:rFonts w:cs="Times New Roman"/>
          <w:noProof/>
          <w:lang w:val="en-GB"/>
        </w:rPr>
        <w:drawing>
          <wp:inline distT="0" distB="0" distL="0" distR="0" wp14:anchorId="1D19C137" wp14:editId="00162071">
            <wp:extent cx="3826767" cy="3771900"/>
            <wp:effectExtent l="0" t="0" r="2540" b="0"/>
            <wp:docPr id="954996110" name="Kép 1" descr="A képen szöveg, képernyőkép, Betűtípus, tervezé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87736" name="Kép 1" descr="A képen szöveg, képernyőkép, Betűtípus, tervezés látható&#10;&#10;Előfordulhat, hogy az AI által létrehozott tartalom helytelen."/>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28324" cy="3773435"/>
                    </a:xfrm>
                    <a:prstGeom prst="rect">
                      <a:avLst/>
                    </a:prstGeom>
                    <a:noFill/>
                  </pic:spPr>
                </pic:pic>
              </a:graphicData>
            </a:graphic>
          </wp:inline>
        </w:drawing>
      </w:r>
    </w:p>
    <w:p w14:paraId="37529CEB" w14:textId="4F90C50F" w:rsidR="00137018" w:rsidRPr="0002056A" w:rsidRDefault="00137018" w:rsidP="00137018">
      <w:pPr>
        <w:pStyle w:val="Kpalrs"/>
        <w:spacing w:before="120" w:after="120"/>
        <w:jc w:val="center"/>
        <w:rPr>
          <w:rFonts w:ascii="Georgia" w:hAnsi="Georgia" w:cs="Times New Roman"/>
          <w:color w:val="auto"/>
          <w:lang w:val="en-GB"/>
        </w:rPr>
      </w:pPr>
      <w:r w:rsidRPr="0002056A">
        <w:rPr>
          <w:rFonts w:ascii="Georgia" w:hAnsi="Georgia"/>
          <w:color w:val="auto"/>
          <w:lang w:val="en-GB"/>
        </w:rPr>
        <w:t>Vulnerability assessment framework</w:t>
      </w:r>
      <w:r w:rsidRPr="0002056A">
        <w:rPr>
          <w:rFonts w:ascii="Georgia" w:hAnsi="Georgia"/>
          <w:noProof/>
          <w:color w:val="auto"/>
          <w:lang w:val="en-GB"/>
        </w:rPr>
        <w:t xml:space="preserve"> of the CIVAS model. </w:t>
      </w:r>
      <w:r w:rsidRPr="0002056A">
        <w:rPr>
          <w:rFonts w:ascii="Georgia" w:hAnsi="Georgia"/>
          <w:b w:val="0"/>
          <w:bCs w:val="0"/>
          <w:i/>
          <w:iCs/>
          <w:noProof/>
          <w:color w:val="auto"/>
          <w:lang w:val="en-GB"/>
        </w:rPr>
        <w:t>Source: Sütő et al., 2017, based on Pálvölgyi et al., 2010.</w:t>
      </w:r>
    </w:p>
    <w:p w14:paraId="775AC4C6"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lang w:val="en-GB"/>
        </w:rPr>
        <w:t>The NAGiS first and foremost presents spatial results of vulnerability analyses for various topics: demographics, climate, building stock vulnerability, forestry, groundwater level, land cover, geological hazards, economy, heatwaves, drinking water resources, climate change attitudes, ecology, ecosystem services, agriculture production’s vulnerability, tourism climatology, tourism sector’s complex vulnerability, and flash floods. This complexity of its scope makes the system a standalone tool in Europe. In almost all topics, climate indicator -based exposure, social/economic/environmental data-based sensitivity and adaptive capacity indicators are available in the system. From these indicators complex impact and vulnerability indicators have been calculated and presented by the NAGiS (</w:t>
      </w:r>
      <w:r w:rsidRPr="0002056A">
        <w:rPr>
          <w:rFonts w:ascii="Georgia" w:hAnsi="Georgia" w:cstheme="minorHAnsi"/>
          <w:smallCaps/>
          <w:lang w:val="en-GB"/>
        </w:rPr>
        <w:t>Kajner et al, 2017</w:t>
      </w:r>
      <w:r w:rsidRPr="0002056A">
        <w:rPr>
          <w:rFonts w:ascii="Georgia" w:hAnsi="Georgia" w:cstheme="minorHAnsi"/>
          <w:lang w:val="en-GB"/>
        </w:rPr>
        <w:t>)</w:t>
      </w:r>
      <w:r w:rsidRPr="0002056A">
        <w:rPr>
          <w:rStyle w:val="Lbjegyzet-hivatkozs"/>
          <w:rFonts w:ascii="Georgia" w:hAnsi="Georgia" w:cstheme="minorHAnsi"/>
          <w:lang w:val="en-GB"/>
        </w:rPr>
        <w:footnoteReference w:id="167"/>
      </w:r>
      <w:r w:rsidRPr="0002056A">
        <w:rPr>
          <w:rFonts w:ascii="Georgia" w:hAnsi="Georgia" w:cstheme="minorHAnsi"/>
          <w:lang w:val="en-GB"/>
        </w:rPr>
        <w:t xml:space="preserve">. </w:t>
      </w:r>
    </w:p>
    <w:p w14:paraId="703BE539"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lang w:val="en-GB"/>
        </w:rPr>
        <w:lastRenderedPageBreak/>
        <w:t>As a result of the first development phase (2013-2016), a multi-sectoral GIS system and database was created. Its 4 main pillars included a mapping system</w:t>
      </w:r>
      <w:r w:rsidRPr="0002056A">
        <w:rPr>
          <w:rStyle w:val="Lbjegyzet-hivatkozs"/>
          <w:rFonts w:ascii="Georgia" w:hAnsi="Georgia" w:cstheme="minorHAnsi"/>
          <w:lang w:val="en-GB"/>
        </w:rPr>
        <w:footnoteReference w:id="168"/>
      </w:r>
      <w:r w:rsidRPr="0002056A">
        <w:rPr>
          <w:rFonts w:ascii="Georgia" w:hAnsi="Georgia" w:cstheme="minorHAnsi"/>
          <w:lang w:val="en-GB"/>
        </w:rPr>
        <w:t>; the GeoDat database</w:t>
      </w:r>
      <w:r w:rsidRPr="0002056A">
        <w:rPr>
          <w:rStyle w:val="Lbjegyzet-hivatkozs"/>
          <w:rFonts w:ascii="Georgia" w:hAnsi="Georgia" w:cstheme="minorHAnsi"/>
          <w:lang w:val="en-GB"/>
        </w:rPr>
        <w:footnoteReference w:id="169"/>
      </w:r>
      <w:r w:rsidRPr="0002056A">
        <w:rPr>
          <w:rFonts w:ascii="Georgia" w:hAnsi="Georgia" w:cstheme="minorHAnsi"/>
          <w:lang w:val="en-GB"/>
        </w:rPr>
        <w:t>; a metadata base</w:t>
      </w:r>
      <w:r w:rsidRPr="0002056A">
        <w:rPr>
          <w:rStyle w:val="Lbjegyzet-hivatkozs"/>
          <w:rFonts w:ascii="Georgia" w:hAnsi="Georgia" w:cstheme="minorHAnsi"/>
          <w:lang w:val="en-GB"/>
        </w:rPr>
        <w:footnoteReference w:id="170"/>
      </w:r>
      <w:r w:rsidRPr="0002056A">
        <w:rPr>
          <w:rFonts w:ascii="Georgia" w:hAnsi="Georgia" w:cstheme="minorHAnsi"/>
          <w:lang w:val="en-GB"/>
        </w:rPr>
        <w:t>; and a document repository</w:t>
      </w:r>
      <w:r w:rsidRPr="0002056A">
        <w:rPr>
          <w:rStyle w:val="Lbjegyzet-hivatkozs"/>
          <w:rFonts w:ascii="Georgia" w:hAnsi="Georgia" w:cstheme="minorHAnsi"/>
          <w:lang w:val="en-GB"/>
        </w:rPr>
        <w:footnoteReference w:id="171"/>
      </w:r>
      <w:r w:rsidRPr="0002056A">
        <w:rPr>
          <w:rFonts w:ascii="Georgia" w:hAnsi="Georgia" w:cstheme="minorHAnsi"/>
          <w:lang w:val="en-GB"/>
        </w:rPr>
        <w:t>. During its second development phase (2017-2020) the NAGiS was expanded thematically. General user friendliness of the system was also improved. The system’s decision-support capabilities were improved, allowing the system to provide easily accessible, exportable thematic queries and reports and overviews of adaptation topics at municipal and regional levels, enabling stakeholders to access relevant data for their specific operational contexts</w:t>
      </w:r>
      <w:r w:rsidRPr="0002056A">
        <w:rPr>
          <w:rStyle w:val="Lbjegyzet-hivatkozs"/>
          <w:rFonts w:ascii="Georgia" w:hAnsi="Georgia" w:cstheme="minorHAnsi"/>
          <w:lang w:val="en-GB"/>
        </w:rPr>
        <w:footnoteReference w:id="172"/>
      </w:r>
      <w:r w:rsidRPr="0002056A">
        <w:rPr>
          <w:rFonts w:ascii="Georgia" w:hAnsi="Georgia" w:cstheme="minorHAnsi"/>
          <w:lang w:val="en-GB"/>
        </w:rPr>
        <w:t xml:space="preserve">. </w:t>
      </w:r>
    </w:p>
    <w:p w14:paraId="44D5C14E"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noProof/>
          <w:lang w:val="en-GB"/>
        </w:rPr>
        <w:drawing>
          <wp:inline distT="0" distB="0" distL="0" distR="0" wp14:anchorId="6BE75123" wp14:editId="24208D80">
            <wp:extent cx="5760720" cy="3794760"/>
            <wp:effectExtent l="0" t="0" r="0" b="0"/>
            <wp:docPr id="1080847409" name="Kép 5" descr="A képen szöveg, térkép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46207" name="Kép 5" descr="A képen szöveg, térkép látható&#10;&#10;Előfordulhat, hogy az AI által létrehozott tartalom helytelen."/>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760720" cy="3794760"/>
                    </a:xfrm>
                    <a:prstGeom prst="rect">
                      <a:avLst/>
                    </a:prstGeom>
                  </pic:spPr>
                </pic:pic>
              </a:graphicData>
            </a:graphic>
          </wp:inline>
        </w:drawing>
      </w:r>
    </w:p>
    <w:p w14:paraId="5765A214" w14:textId="77777777" w:rsidR="00137018" w:rsidRPr="0002056A" w:rsidRDefault="00137018" w:rsidP="00B43702">
      <w:pPr>
        <w:spacing w:before="120" w:after="120" w:line="240" w:lineRule="auto"/>
        <w:jc w:val="center"/>
        <w:rPr>
          <w:rFonts w:ascii="Georgia" w:hAnsi="Georgia" w:cstheme="minorHAnsi"/>
          <w:i/>
          <w:iCs/>
          <w:sz w:val="18"/>
          <w:szCs w:val="18"/>
          <w:lang w:val="en-GB"/>
        </w:rPr>
      </w:pPr>
      <w:r w:rsidRPr="0002056A">
        <w:rPr>
          <w:rFonts w:ascii="Georgia" w:hAnsi="Georgia" w:cstheme="minorHAnsi"/>
          <w:b/>
          <w:bCs/>
          <w:sz w:val="18"/>
          <w:szCs w:val="18"/>
          <w:lang w:val="en-GB"/>
        </w:rPr>
        <w:t xml:space="preserve">Heatwave vulnerability, drinking water basis sensitivity, flash flood sensitivity and ecosystem vulnerability maps in the NAS’s spatial vulnerability subchapter. </w:t>
      </w:r>
      <w:r w:rsidRPr="0002056A">
        <w:rPr>
          <w:rFonts w:ascii="Georgia" w:hAnsi="Georgia" w:cstheme="minorHAnsi"/>
          <w:i/>
          <w:iCs/>
          <w:sz w:val="18"/>
          <w:szCs w:val="18"/>
          <w:lang w:val="en-GB"/>
        </w:rPr>
        <w:t>Source: NCCS-2.</w:t>
      </w:r>
    </w:p>
    <w:p w14:paraId="7107C3D0"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lang w:val="en-GB"/>
        </w:rPr>
        <w:t xml:space="preserve">The NAGiS results are widely used. The NCCS-2 situation analysis and all the county- and municipal-level climate strategies elaborated between 2017-2021 were based on NAGiS data and map content. Higher education, ESG analyses of the private sector, SECAP planning processes of settlements and micro regions as well as risk assessment within applied/scientific projects (e.g. LIFE-CLIMCOOP, LIFE-COOLZONE, LIFE-MICACC, LIFE-LOGOS4WATERS) or planned interventions also use its data. The mentioned strong NAGiS-based map content of </w:t>
      </w:r>
      <w:r w:rsidRPr="0002056A">
        <w:rPr>
          <w:rFonts w:ascii="Georgia" w:hAnsi="Georgia" w:cstheme="minorHAnsi"/>
          <w:lang w:val="en-GB"/>
        </w:rPr>
        <w:lastRenderedPageBreak/>
        <w:t>the NCCS-2 is reflected by the good performance of Hungary in the “visualisation of situation analyses” sub-aspect of the dissertation’s empirical work phase, where it is 2</w:t>
      </w:r>
      <w:r w:rsidRPr="0002056A">
        <w:rPr>
          <w:rFonts w:ascii="Georgia" w:hAnsi="Georgia" w:cstheme="minorHAnsi"/>
          <w:vertAlign w:val="superscript"/>
          <w:lang w:val="en-GB"/>
        </w:rPr>
        <w:t>nd</w:t>
      </w:r>
      <w:r w:rsidRPr="0002056A">
        <w:rPr>
          <w:rFonts w:ascii="Georgia" w:hAnsi="Georgia" w:cstheme="minorHAnsi"/>
          <w:lang w:val="en-GB"/>
        </w:rPr>
        <w:t xml:space="preserve"> after Türkiye in the ranking.</w:t>
      </w:r>
    </w:p>
    <w:p w14:paraId="51EFE7A4" w14:textId="77777777" w:rsidR="00137018" w:rsidRPr="0002056A" w:rsidRDefault="00137018" w:rsidP="00137018">
      <w:pPr>
        <w:spacing w:before="120" w:after="120" w:line="240" w:lineRule="auto"/>
        <w:jc w:val="both"/>
        <w:rPr>
          <w:rFonts w:ascii="Georgia" w:hAnsi="Georgia" w:cstheme="minorHAnsi"/>
          <w:lang w:val="en-GB"/>
        </w:rPr>
      </w:pPr>
      <w:r w:rsidRPr="0002056A">
        <w:rPr>
          <w:rFonts w:ascii="Georgia" w:hAnsi="Georgia" w:cstheme="minorHAnsi"/>
          <w:lang w:val="en-GB"/>
        </w:rPr>
        <w:t>After 2020 the further large-scale development of the system with the exclusion some individual projects (e.g. comprehensive project about vulnerability assessment of gas, district heating, electricity networks and solar energy production), came to a halt. Currently the NAC, together with responsible Ministry is working on finding proper financial sources for the regular update and further development of the system. Recurring development topics emerge in the annual research plans of the NAGiS system itself, as well in the Carpathian Report (2020) and the national reports of Hungary to the OECD (2023, 2025), EC (2021, 2023, 2025) and UNFCCC (2017, 2024, 2025). O</w:t>
      </w:r>
      <w:r w:rsidRPr="0002056A">
        <w:rPr>
          <w:rFonts w:ascii="Georgia" w:hAnsi="Georgia" w:cstheme="minorHAnsi"/>
          <w:color w:val="000000" w:themeColor="text1"/>
          <w:kern w:val="2"/>
          <w:lang w:val="en-GB"/>
          <w14:ligatures w14:val="standardContextual"/>
        </w:rPr>
        <w:t>n the one hand, the implementation of the priority thematic development directions</w:t>
      </w:r>
      <w:r w:rsidRPr="0002056A">
        <w:rPr>
          <w:rStyle w:val="Lbjegyzet-hivatkozs"/>
          <w:rFonts w:ascii="Georgia" w:hAnsi="Georgia" w:cstheme="minorHAnsi"/>
          <w:color w:val="000000" w:themeColor="text1"/>
          <w:kern w:val="2"/>
          <w:lang w:val="en-GB"/>
          <w14:ligatures w14:val="standardContextual"/>
        </w:rPr>
        <w:footnoteReference w:id="173"/>
      </w:r>
      <w:r w:rsidRPr="0002056A">
        <w:rPr>
          <w:rFonts w:ascii="Georgia" w:hAnsi="Georgia" w:cstheme="minorHAnsi"/>
          <w:color w:val="000000" w:themeColor="text1"/>
          <w:kern w:val="2"/>
          <w:lang w:val="en-GB"/>
          <w14:ligatures w14:val="standardContextual"/>
        </w:rPr>
        <w:t>, on the other hand, the geographical expansion of the system in a macro regional scale</w:t>
      </w:r>
      <w:r w:rsidRPr="0002056A">
        <w:rPr>
          <w:rStyle w:val="Lbjegyzet-hivatkozs"/>
          <w:rFonts w:ascii="Georgia" w:hAnsi="Georgia" w:cstheme="minorHAnsi"/>
          <w:color w:val="000000" w:themeColor="text1"/>
          <w:kern w:val="2"/>
          <w:lang w:val="en-GB"/>
          <w14:ligatures w14:val="standardContextual"/>
        </w:rPr>
        <w:footnoteReference w:id="174"/>
      </w:r>
      <w:r w:rsidRPr="0002056A">
        <w:rPr>
          <w:rFonts w:ascii="Georgia" w:hAnsi="Georgia" w:cstheme="minorHAnsi"/>
          <w:color w:val="000000" w:themeColor="text1"/>
          <w:kern w:val="2"/>
          <w:lang w:val="en-GB"/>
          <w14:ligatures w14:val="standardContextual"/>
        </w:rPr>
        <w:t xml:space="preserve"> are planned.</w:t>
      </w:r>
      <w:r w:rsidRPr="0002056A">
        <w:rPr>
          <w:rFonts w:ascii="Georgia" w:hAnsi="Georgia" w:cstheme="minorHAnsi"/>
          <w:lang w:val="en-GB"/>
        </w:rPr>
        <w:t xml:space="preserve"> </w:t>
      </w:r>
    </w:p>
    <w:p w14:paraId="7B9659C3"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In Hungary, the output indicator-based professional and financial evaluation of various development projects implemented from public funds (especially those implemented with EU support) has basically been solved. However, the indirect climate protection benefits and spillover effects of development projects/programs and the fulfilment of Hungarian climate policy objectives are still unknown. Therefore, it has become a priority for domestic climate policy to learn about achievements of related development projects and programs, as well as to monitor the implementation of Hungarian climate policy objectives. The demand for developing a domestic climate policy MRE system is not without precedent in Hungarian climate policy, several international and domestic plans/reports/guidelines clearly indicate the need to set up a comprehensive system</w:t>
      </w:r>
      <w:r w:rsidRPr="0002056A">
        <w:rPr>
          <w:rStyle w:val="Lbjegyzet-hivatkozs"/>
          <w:rFonts w:ascii="Georgia" w:hAnsi="Georgia"/>
          <w:lang w:val="en-GB"/>
        </w:rPr>
        <w:footnoteReference w:id="175"/>
      </w:r>
      <w:r w:rsidRPr="0002056A">
        <w:rPr>
          <w:rFonts w:ascii="Georgia" w:hAnsi="Georgia"/>
          <w:lang w:val="en-GB"/>
        </w:rPr>
        <w:t xml:space="preserve">. </w:t>
      </w:r>
    </w:p>
    <w:p w14:paraId="51FE9037"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Parallel with that the responsible Ministry’s adaptation-oriented background institute, the National Adaptation Centre (NAC) reviewed the domestic and European adaptation monitoring, reporting and evaluation practices. The NAC developed a comprehensive proposal for setting up a system (identifying the operating principles, as well as the possible financial, institutional and human resource background of such a system). In spite of the comprehensive plans, the current stock of evaluation activities and reports is quite moderate. No systematically elaborated system of adaptation evaluations exists and there are only few individual assessments, either. Only one explicit climate strategy evaluation is known, as a result of one of the most important planning and evaluation acts in Hungarian climate policy that took place in 2022-23. According to the parliamentary resolution on the adoption of NCCS-2, the first review of the document will take place five years after its adoption, in 2023 </w:t>
      </w:r>
      <w:r w:rsidRPr="0002056A">
        <w:rPr>
          <w:rFonts w:ascii="Georgia" w:hAnsi="Georgia"/>
          <w:lang w:val="en-GB"/>
        </w:rPr>
        <w:lastRenderedPageBreak/>
        <w:t>at the latest. The Evaluation Report to be prepared during the review serves several purposes</w:t>
      </w:r>
      <w:r w:rsidRPr="0002056A">
        <w:rPr>
          <w:rStyle w:val="Lbjegyzet-hivatkozs"/>
          <w:rFonts w:ascii="Georgia" w:hAnsi="Georgia"/>
          <w:lang w:val="en-GB"/>
        </w:rPr>
        <w:footnoteReference w:id="176"/>
      </w:r>
      <w:r w:rsidRPr="0002056A">
        <w:rPr>
          <w:rFonts w:ascii="Georgia" w:hAnsi="Georgia"/>
          <w:lang w:val="en-GB"/>
        </w:rPr>
        <w:t xml:space="preserve">. </w:t>
      </w:r>
    </w:p>
    <w:p w14:paraId="2DEF69EB"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At the start of the evaluation task, in the absence of a similar volume of strategy/action plan evaluations in the Hungarian climate policy, the evaluators turned for methodological inspiration and background information, partly to domestic development policy evaluations and partly to international adaptation evaluation practice (particularly to countries with a strong tradition of strategic planning). After reviewing these examples, three tools were ultimately selected: 1) analysis of climate policy and sectoral planning documents from the perspective of climate policy directions; 2) professional interviews with planners/experts of affected sectors, mainly those responsible for NCCS-2 action line- and NCCAP measure planning; and 3) where data was available, assessment of NCCAP output indicators and NCCS-2 result indicators. </w:t>
      </w:r>
    </w:p>
    <w:p w14:paraId="54BF3157"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Among the conclusions of the assessment, we can see that the analyses also examined the presence of a spatial approach, noting its absence. Climate-oriented spatial thinking and/or strong spatial focus are not the feature of the analysed sectors or of climate policy itself. It would be beneficial to incorporate these aspects into more sectoral documents and, above all, into climate policy, as the effects of climate change manifest themselves differently in different types of regions. The publication presenting the evaluation also include map information</w:t>
      </w:r>
      <w:r w:rsidRPr="0002056A">
        <w:rPr>
          <w:rStyle w:val="Lbjegyzet-hivatkozs"/>
          <w:rFonts w:ascii="Georgia" w:hAnsi="Georgia"/>
          <w:lang w:val="en-GB"/>
        </w:rPr>
        <w:footnoteReference w:id="177"/>
      </w:r>
      <w:r w:rsidRPr="0002056A">
        <w:rPr>
          <w:rFonts w:ascii="Georgia" w:hAnsi="Georgia"/>
          <w:lang w:val="en-GB"/>
        </w:rPr>
        <w:t xml:space="preserve"> on the "climate-related spatiality" of the analysed national climate policy and sectoral strategies. </w:t>
      </w:r>
    </w:p>
    <w:p w14:paraId="45D4AFB2" w14:textId="77777777" w:rsidR="00137018" w:rsidRPr="0002056A" w:rsidRDefault="00137018" w:rsidP="00137018">
      <w:pPr>
        <w:spacing w:before="120" w:after="120" w:line="240" w:lineRule="auto"/>
        <w:jc w:val="center"/>
        <w:rPr>
          <w:rFonts w:ascii="Times New Roman" w:hAnsi="Times New Roman" w:cs="Times New Roman"/>
          <w:sz w:val="24"/>
          <w:szCs w:val="24"/>
          <w:lang w:val="en-GB" w:eastAsia="hu-HU"/>
        </w:rPr>
      </w:pPr>
      <w:r w:rsidRPr="0002056A">
        <w:rPr>
          <w:rFonts w:ascii="Times New Roman" w:hAnsi="Times New Roman" w:cs="Times New Roman"/>
          <w:noProof/>
          <w:sz w:val="24"/>
          <w:szCs w:val="24"/>
          <w:lang w:val="en-GB" w:eastAsia="hu-HU"/>
          <w14:ligatures w14:val="standardContextual"/>
        </w:rPr>
        <w:drawing>
          <wp:inline distT="0" distB="0" distL="0" distR="0" wp14:anchorId="0FE12A44" wp14:editId="4C1F201C">
            <wp:extent cx="4016326" cy="2510204"/>
            <wp:effectExtent l="0" t="0" r="3810" b="4445"/>
            <wp:docPr id="1862464904" name="Kép 1862464904" descr="A képen térkép, atlasz, szöveg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5" descr="A képen térkép, atlasz, szöveg látható&#10;&#10;Előfordulhat, hogy az AI által létrehozott tartalom helytelen."/>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022067" cy="2513792"/>
                    </a:xfrm>
                    <a:prstGeom prst="rect">
                      <a:avLst/>
                    </a:prstGeom>
                  </pic:spPr>
                </pic:pic>
              </a:graphicData>
            </a:graphic>
          </wp:inline>
        </w:drawing>
      </w:r>
    </w:p>
    <w:p w14:paraId="0B651862" w14:textId="77777777" w:rsidR="00137018" w:rsidRPr="0002056A" w:rsidRDefault="00137018" w:rsidP="00137018">
      <w:pPr>
        <w:spacing w:before="120" w:after="120" w:line="240" w:lineRule="auto"/>
        <w:ind w:left="357"/>
        <w:jc w:val="center"/>
        <w:rPr>
          <w:rFonts w:ascii="Georgia" w:hAnsi="Georgia" w:cs="Times New Roman"/>
          <w:i/>
          <w:iCs/>
          <w:kern w:val="2"/>
          <w:sz w:val="18"/>
          <w:szCs w:val="18"/>
          <w:lang w:val="en-GB"/>
          <w14:ligatures w14:val="standardContextual"/>
        </w:rPr>
      </w:pPr>
      <w:r w:rsidRPr="0002056A">
        <w:rPr>
          <w:rFonts w:ascii="Georgia" w:hAnsi="Georgia" w:cs="Times New Roman"/>
          <w:b/>
          <w:bCs/>
          <w:kern w:val="2"/>
          <w:sz w:val="18"/>
          <w:szCs w:val="18"/>
          <w:lang w:val="en-GB"/>
          <w14:ligatures w14:val="standardContextual"/>
        </w:rPr>
        <w:t>Appearance of actual spatial/landscape units in Hungarian national climate policy and sectoral strategies adopted after 2017.</w:t>
      </w:r>
      <w:r w:rsidRPr="0002056A">
        <w:rPr>
          <w:rFonts w:ascii="Georgia" w:hAnsi="Georgia" w:cs="Times New Roman"/>
          <w:kern w:val="2"/>
          <w:sz w:val="18"/>
          <w:szCs w:val="18"/>
          <w:lang w:val="en-GB"/>
          <w14:ligatures w14:val="standardContextual"/>
        </w:rPr>
        <w:t xml:space="preserve"> </w:t>
      </w:r>
      <w:r w:rsidRPr="0002056A">
        <w:rPr>
          <w:rFonts w:ascii="Georgia" w:hAnsi="Georgia" w:cs="Times New Roman"/>
          <w:i/>
          <w:iCs/>
          <w:kern w:val="2"/>
          <w:sz w:val="18"/>
          <w:szCs w:val="18"/>
          <w:lang w:val="en-GB"/>
          <w14:ligatures w14:val="standardContextual"/>
        </w:rPr>
        <w:t>Source: Sütő, 2025.</w:t>
      </w:r>
    </w:p>
    <w:p w14:paraId="40651D7A"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 evaluation concludes that different impacts in different areas require different adaptation responses. This assumes that to increase climate policy’s effectiveness, it would be crucial to apply a spatial/territorial approach and take into account geographical conditions, spatial and settlement network structures. In contrast, the assessment found that, currently, territorial/regional considerations are weak or absent, both in the adaptation guidelines and strategy chapters of the sectors and in the general approach and content of climate policy adaptation planning documents. If we want to achieve progress in this area in the future, there are basically two options: either a regional-based reform of the entire domestic adaptation planning and monitoring system, or a further strengthening of territorial emphases within the </w:t>
      </w:r>
      <w:r w:rsidRPr="0002056A">
        <w:rPr>
          <w:rFonts w:ascii="Georgia" w:hAnsi="Georgia"/>
          <w:lang w:val="en-GB"/>
        </w:rPr>
        <w:lastRenderedPageBreak/>
        <w:t>current framework. Whichever solution the professional management chooses, the sector's spatial sensitivity can definitely move in a positive direction (</w:t>
      </w:r>
      <w:r w:rsidRPr="0002056A">
        <w:rPr>
          <w:rFonts w:ascii="Georgia" w:hAnsi="Georgia" w:cstheme="minorHAnsi"/>
          <w:smallCaps/>
          <w:lang w:val="en-GB"/>
        </w:rPr>
        <w:t>Sütő, 2025</w:t>
      </w:r>
      <w:r w:rsidRPr="0002056A">
        <w:rPr>
          <w:rFonts w:ascii="Georgia" w:hAnsi="Georgia"/>
          <w:lang w:val="en-GB"/>
        </w:rPr>
        <w:t>).</w:t>
      </w:r>
    </w:p>
    <w:p w14:paraId="02289BCE" w14:textId="77777777" w:rsidR="00137018" w:rsidRPr="0002056A" w:rsidRDefault="00137018" w:rsidP="00137018">
      <w:pPr>
        <w:spacing w:before="120" w:after="120" w:line="240" w:lineRule="auto"/>
        <w:jc w:val="both"/>
        <w:rPr>
          <w:rFonts w:ascii="Georgia" w:hAnsi="Georgia"/>
          <w:b/>
          <w:bCs/>
          <w:lang w:val="en-GB"/>
        </w:rPr>
      </w:pPr>
      <w:r w:rsidRPr="0002056A">
        <w:rPr>
          <w:rFonts w:ascii="Georgia" w:hAnsi="Georgia"/>
          <w:lang w:val="en-GB"/>
        </w:rPr>
        <w:t>All in all, in Hungary the strategic planning and legislative background of climate (and within it adaptation) policy has been established, but targeted MRE frameworks are still missing. At lower spatial levels the adaptation planning activities has also started but without any MRE attributions. Spatiality in climate policy does not show significant weight, which fact, taking into consideration of the strong sectoral affiliation of strategic planning and policy making in the country, is not surprising. However, strong intentions can be detected in the responsible institutions dealing with adaptation policy planning and MRE to move towards the direction of a more spatial approach.</w:t>
      </w:r>
    </w:p>
    <w:p w14:paraId="6AEDD013" w14:textId="77777777" w:rsidR="00137018" w:rsidRPr="0002056A" w:rsidRDefault="00137018" w:rsidP="00137018">
      <w:pPr>
        <w:pStyle w:val="Cmsor4"/>
        <w:rPr>
          <w:lang w:val="en-GB"/>
        </w:rPr>
      </w:pPr>
      <w:r w:rsidRPr="0002056A">
        <w:rPr>
          <w:lang w:val="en-GB"/>
        </w:rPr>
        <w:t>Poland – special emphasis on spatial levels and implicit spatial content throughout the documents</w:t>
      </w:r>
    </w:p>
    <w:p w14:paraId="4054697B"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Poland is the best-performing Eastern-European country in our examination, due to its balanced values during the analysis – with less outstanding values that of Hungary or Lithuania but with a stable performance throughout all aspects of the whole analytical system. One of its few really outstanding parts is the spatial levels of adaptation activities. The NAS Chapter 4.2. "</w:t>
      </w:r>
      <w:r w:rsidRPr="0002056A">
        <w:rPr>
          <w:rFonts w:ascii="Georgia" w:hAnsi="Georgia"/>
          <w:i/>
          <w:iCs/>
          <w:lang w:val="en-GB"/>
        </w:rPr>
        <w:t>Specifities of adaptation actions in regional terms</w:t>
      </w:r>
      <w:r w:rsidRPr="0002056A">
        <w:rPr>
          <w:rFonts w:ascii="Georgia" w:hAnsi="Georgia"/>
          <w:lang w:val="en-GB"/>
        </w:rPr>
        <w:t xml:space="preserve">" summarizes the tasks of voivodships. Chapter 5 (Implementation) mentions different spatial administrational levels (central, voivodships, local)/describing adaptation planning activities in details in all of these. </w:t>
      </w:r>
    </w:p>
    <w:p w14:paraId="015F78EA"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lang w:val="en-GB"/>
        </w:rPr>
        <w:t xml:space="preserve">Poland also dedicates special actions for GIS development, but no information is available yet about the implementation of these ideas. The NAS applies quasi-consequent spatial unit- or regional type-mentioning in all sectoral situation analysis subchapters: coastal areas, mountain areas, urban zones and spatial planning get recurring, stable emphasis throughout the entire document. The situation analysis subchapters use 9 maps and one regional table, which is also beyond average in European terms. This consequent spatial content is present in the entire situation analysis, mixing sectoral and spatial logic. Some subchapters are typically sectoral (e.g. energy, forestry, etc.), some are spatial (those about mountain areas, coastal zones, urban areas and spatial development). </w:t>
      </w:r>
    </w:p>
    <w:p w14:paraId="46AE6BB2"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lang w:val="en-GB"/>
        </w:rPr>
        <w:t xml:space="preserve">In Poland’s NAS several objective system levels refer to the issue of lower-level planning activities. </w:t>
      </w:r>
      <w:r w:rsidRPr="0002056A">
        <w:rPr>
          <w:rFonts w:ascii="Georgia" w:hAnsi="Georgia"/>
          <w:lang w:val="en-GB"/>
        </w:rPr>
        <w:t>The Objective system's introductory "</w:t>
      </w:r>
      <w:r w:rsidRPr="0002056A">
        <w:rPr>
          <w:rFonts w:ascii="Georgia" w:hAnsi="Georgia"/>
          <w:i/>
          <w:iCs/>
          <w:lang w:val="en-GB"/>
        </w:rPr>
        <w:t>Horizontal actions</w:t>
      </w:r>
      <w:r w:rsidRPr="0002056A">
        <w:rPr>
          <w:rFonts w:ascii="Georgia" w:hAnsi="Georgia"/>
          <w:lang w:val="en-GB"/>
        </w:rPr>
        <w:t>" list contains the "</w:t>
      </w:r>
      <w:r w:rsidRPr="0002056A">
        <w:rPr>
          <w:rFonts w:ascii="Georgia" w:hAnsi="Georgia"/>
          <w:i/>
          <w:iCs/>
          <w:lang w:val="en-GB"/>
        </w:rPr>
        <w:t>Operational actions</w:t>
      </w:r>
      <w:r w:rsidRPr="0002056A">
        <w:rPr>
          <w:rFonts w:ascii="Georgia" w:hAnsi="Georgia"/>
          <w:lang w:val="en-GB"/>
        </w:rPr>
        <w:t>" aspect that talks about the importance of spatial and sectoral strategic planning at local and regional level, even urging these activities. Action lines 4.2.1. and 4.2.2 focus on urban spatial policy making, urging development of local adaptation plans and adaptation mainstreaming into spatial documents. Action line 6.1.4. urges community planning through which tool local plans are supported.</w:t>
      </w:r>
    </w:p>
    <w:p w14:paraId="2C665878" w14:textId="77777777" w:rsidR="00137018" w:rsidRPr="0002056A" w:rsidRDefault="00137018" w:rsidP="00137018">
      <w:pPr>
        <w:spacing w:before="120" w:after="120" w:line="240" w:lineRule="auto"/>
        <w:jc w:val="both"/>
        <w:rPr>
          <w:rFonts w:ascii="Georgia" w:hAnsi="Georgia" w:cs="Times New Roman"/>
          <w:b/>
          <w:bCs/>
          <w:sz w:val="18"/>
          <w:szCs w:val="18"/>
          <w:highlight w:val="yellow"/>
          <w:lang w:val="en-GB"/>
        </w:rPr>
      </w:pPr>
      <w:r w:rsidRPr="0002056A">
        <w:rPr>
          <w:rFonts w:ascii="Georgia" w:hAnsi="Georgia" w:cs="Times New Roman"/>
          <w:b/>
          <w:bCs/>
          <w:noProof/>
          <w:sz w:val="18"/>
          <w:szCs w:val="18"/>
          <w:lang w:val="en-GB"/>
        </w:rPr>
        <w:drawing>
          <wp:inline distT="0" distB="0" distL="0" distR="0" wp14:anchorId="611FAEDB" wp14:editId="1783FBDA">
            <wp:extent cx="5760720" cy="2482215"/>
            <wp:effectExtent l="0" t="0" r="0" b="0"/>
            <wp:docPr id="2100638012" name="Kép 4" descr="A képen térkép, szöveg, atlasz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34876" name="Kép 4" descr="A képen térkép, szöveg, atlasz látható&#10;&#10;Előfordulhat, hogy az AI által létrehozott tartalom helytelen."/>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60720" cy="2482215"/>
                    </a:xfrm>
                    <a:prstGeom prst="rect">
                      <a:avLst/>
                    </a:prstGeom>
                  </pic:spPr>
                </pic:pic>
              </a:graphicData>
            </a:graphic>
          </wp:inline>
        </w:drawing>
      </w:r>
    </w:p>
    <w:p w14:paraId="6D5CB980" w14:textId="77777777" w:rsidR="00137018" w:rsidRPr="0002056A" w:rsidRDefault="00137018" w:rsidP="00137018">
      <w:pPr>
        <w:spacing w:before="120" w:after="120" w:line="240" w:lineRule="auto"/>
        <w:jc w:val="center"/>
        <w:rPr>
          <w:rFonts w:ascii="Georgia" w:hAnsi="Georgia" w:cs="Times New Roman"/>
          <w:i/>
          <w:iCs/>
          <w:sz w:val="18"/>
          <w:szCs w:val="18"/>
          <w:lang w:val="en-GB"/>
        </w:rPr>
      </w:pPr>
      <w:r w:rsidRPr="0002056A">
        <w:rPr>
          <w:rFonts w:ascii="Georgia" w:hAnsi="Georgia" w:cs="Times New Roman"/>
          <w:b/>
          <w:bCs/>
          <w:sz w:val="18"/>
          <w:szCs w:val="18"/>
          <w:lang w:val="en-GB"/>
        </w:rPr>
        <w:t xml:space="preserve">Maps of flood-prone and landslide-prone areas in Poland. </w:t>
      </w:r>
      <w:r w:rsidRPr="0002056A">
        <w:rPr>
          <w:rFonts w:ascii="Georgia" w:hAnsi="Georgia" w:cs="Times New Roman"/>
          <w:i/>
          <w:iCs/>
          <w:sz w:val="18"/>
          <w:szCs w:val="18"/>
          <w:lang w:val="en-GB"/>
        </w:rPr>
        <w:t>Source: Polish NAS.</w:t>
      </w:r>
    </w:p>
    <w:p w14:paraId="19454F66"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cs="Times New Roman"/>
          <w:lang w:val="en-GB"/>
        </w:rPr>
        <w:lastRenderedPageBreak/>
        <w:t>Poland also applies mixed types of objectives, out of which two („Efficient adaptation in rural areas”; „Sustainable regional and local development”) are directly spatial. Coastal areas, mountain areas, urban zones and spatial planning are recurring topics through the entire objective system; however, their nominated presence is scarce, only appearing here and there in the narrative descriptions of objectives</w:t>
      </w:r>
      <w:r w:rsidRPr="0002056A">
        <w:rPr>
          <w:rStyle w:val="Lbjegyzet-hivatkozs"/>
          <w:rFonts w:ascii="Georgia" w:hAnsi="Georgia" w:cs="Times New Roman"/>
          <w:lang w:val="en-GB"/>
        </w:rPr>
        <w:footnoteReference w:id="178"/>
      </w:r>
      <w:r w:rsidRPr="0002056A">
        <w:rPr>
          <w:rFonts w:ascii="Georgia" w:hAnsi="Georgia" w:cs="Times New Roman"/>
          <w:lang w:val="en-GB"/>
        </w:rPr>
        <w:t xml:space="preserve">. </w:t>
      </w:r>
      <w:r w:rsidRPr="0002056A">
        <w:rPr>
          <w:rFonts w:ascii="Georgia" w:eastAsia="Times New Roman" w:hAnsi="Georgia" w:cs="Times New Roman"/>
          <w:lang w:val="en-GB" w:eastAsia="hu-HU"/>
        </w:rPr>
        <w:t xml:space="preserve">The proportion of lower-level objectives with spatial content is 31,25%: with this, Poland is in the second-best category (between 20-35%), which value also suggests that Poland is catching up in the field of strategic planning’s spatial focus to the leading westerners. At least one lower-level objective/one vision sentence deal with the MRE aspects directly, too. Similarly, in “the proportion of measures with spatial content” aspect Poland also presents itself in the best category with more than 40% of actions (exactly: 41,02%) showing spatial characteristics. </w:t>
      </w:r>
    </w:p>
    <w:p w14:paraId="1303C51D" w14:textId="77777777" w:rsidR="00137018" w:rsidRPr="0002056A" w:rsidRDefault="00137018" w:rsidP="00137018">
      <w:pPr>
        <w:spacing w:before="120" w:after="120" w:line="240" w:lineRule="auto"/>
        <w:jc w:val="both"/>
        <w:rPr>
          <w:rFonts w:ascii="Georgia" w:hAnsi="Georgia"/>
          <w:lang w:val="en-GB"/>
        </w:rPr>
      </w:pPr>
      <w:r w:rsidRPr="0002056A">
        <w:rPr>
          <w:rFonts w:ascii="Georgia" w:hAnsi="Georgia"/>
          <w:lang w:val="en-GB"/>
        </w:rPr>
        <w:t xml:space="preserve">There is a functioning GIS-based adaptation decision support system in Poland, after already the NAS Action line 1.5. proposed the development of an adaptation-oriented spatial monitoring system. Moreover, several adaptation policy-oriented websites exist in the country. The susza.iung.pulawy.pl is an agriculture-focussed drought monitoring system. The Klimada project (klimada2.ios.gov.pl) intended the establishment of a Central Emission Database. It contributed to the formulation of emission reduction policy in view of environmental costs; and developed climate scenarios, to forecast temperature and precipitation changes in the perspective up to 2100, with a special focus on 2050. It also established a knowledge database on adaptation to climate change. The website of the meteorological service (klimat.imgw.pl) comprises climate data but not much decision support focus can be detected there. </w:t>
      </w:r>
    </w:p>
    <w:p w14:paraId="12ADA0D6" w14:textId="3943B610" w:rsidR="00137018" w:rsidRPr="0002056A" w:rsidRDefault="00137018" w:rsidP="00137018">
      <w:pPr>
        <w:spacing w:before="120" w:after="120" w:line="240" w:lineRule="auto"/>
        <w:jc w:val="both"/>
        <w:rPr>
          <w:lang w:val="en-GB"/>
        </w:rPr>
      </w:pPr>
      <w:r w:rsidRPr="0002056A">
        <w:rPr>
          <w:rFonts w:ascii="Georgia" w:eastAsia="Times New Roman" w:hAnsi="Georgia" w:cs="Times New Roman"/>
          <w:lang w:val="en-GB" w:eastAsia="hu-HU"/>
        </w:rPr>
        <w:t>The Polish NAS considers European spatial development objectives quite well (the country is in the upper-middle category</w:t>
      </w:r>
      <w:r w:rsidR="00196863" w:rsidRPr="0002056A">
        <w:rPr>
          <w:rFonts w:ascii="Georgia" w:eastAsia="Times New Roman" w:hAnsi="Georgia" w:cs="Times New Roman"/>
          <w:lang w:val="en-GB" w:eastAsia="hu-HU"/>
        </w:rPr>
        <w:t>),</w:t>
      </w:r>
      <w:r w:rsidRPr="0002056A">
        <w:rPr>
          <w:rFonts w:ascii="Georgia" w:eastAsia="Times New Roman" w:hAnsi="Georgia" w:cs="Times New Roman"/>
          <w:lang w:val="en-GB" w:eastAsia="hu-HU"/>
        </w:rPr>
        <w:t xml:space="preserve"> and majority of the basic territorial cohesion’s sub-concepts emerges, too. One specific goal is directly for "Ensuring the sustainable regional and local development with consideration of climate change" showing strong relation to balanced spatial development. The NAS’s 5.2. implementation subchapter nominates multilevel governance, meanwhile the notion implicitly is present in other parts of the document as well. Urging integrated development strategies at different spatial levels and particularly local integrated adaptation strategies are in harmony with the concept of territorial optimum/territorial synthesis and the place-based approach. </w:t>
      </w:r>
    </w:p>
    <w:p w14:paraId="75D72B5D" w14:textId="4DE61A1A" w:rsidR="00D1306C" w:rsidRPr="0002056A" w:rsidRDefault="00D1306C">
      <w:pPr>
        <w:spacing w:after="160" w:line="259" w:lineRule="auto"/>
        <w:rPr>
          <w:kern w:val="2"/>
          <w:lang w:val="en-GB"/>
          <w14:ligatures w14:val="standardContextual"/>
        </w:rPr>
      </w:pPr>
      <w:r w:rsidRPr="0002056A">
        <w:rPr>
          <w:kern w:val="2"/>
          <w:lang w:val="en-GB"/>
          <w14:ligatures w14:val="standardContextual"/>
        </w:rPr>
        <w:br w:type="page"/>
      </w:r>
    </w:p>
    <w:p w14:paraId="0F8436E8" w14:textId="44D966E4" w:rsidR="00EB4324" w:rsidRPr="0002056A" w:rsidRDefault="00D1306C" w:rsidP="00A710B5">
      <w:pPr>
        <w:pStyle w:val="Cmsor2"/>
        <w:rPr>
          <w:lang w:val="en-GB"/>
        </w:rPr>
      </w:pPr>
      <w:bookmarkStart w:id="85" w:name="_Toc225578897"/>
      <w:r w:rsidRPr="0002056A">
        <w:rPr>
          <w:lang w:val="en-GB"/>
        </w:rPr>
        <w:lastRenderedPageBreak/>
        <w:t xml:space="preserve">Annex </w:t>
      </w:r>
      <w:r w:rsidR="00FF4969" w:rsidRPr="0002056A">
        <w:rPr>
          <w:lang w:val="en-GB"/>
        </w:rPr>
        <w:t>5</w:t>
      </w:r>
      <w:r w:rsidRPr="0002056A">
        <w:rPr>
          <w:lang w:val="en-GB"/>
        </w:rPr>
        <w:t xml:space="preserve"> </w:t>
      </w:r>
      <w:r w:rsidR="00A710B5" w:rsidRPr="0002056A">
        <w:rPr>
          <w:lang w:val="en-GB"/>
        </w:rPr>
        <w:t>–</w:t>
      </w:r>
      <w:r w:rsidRPr="0002056A">
        <w:rPr>
          <w:lang w:val="en-GB"/>
        </w:rPr>
        <w:t xml:space="preserve"> </w:t>
      </w:r>
      <w:r w:rsidR="00A710B5" w:rsidRPr="0002056A">
        <w:rPr>
          <w:lang w:val="en-GB"/>
        </w:rPr>
        <w:t>Country interviews</w:t>
      </w:r>
      <w:bookmarkEnd w:id="85"/>
    </w:p>
    <w:p w14:paraId="2DFD1EBF" w14:textId="21951BFB" w:rsidR="00A710B5" w:rsidRPr="0002056A" w:rsidRDefault="00A710B5" w:rsidP="00A710B5">
      <w:pPr>
        <w:pStyle w:val="Cmsor3"/>
        <w:rPr>
          <w:lang w:val="en-GB"/>
        </w:rPr>
      </w:pPr>
      <w:bookmarkStart w:id="86" w:name="_Toc225578898"/>
      <w:r w:rsidRPr="0002056A">
        <w:rPr>
          <w:lang w:val="en-GB"/>
        </w:rPr>
        <w:t xml:space="preserve">Annex </w:t>
      </w:r>
      <w:r w:rsidR="00FF4969" w:rsidRPr="0002056A">
        <w:rPr>
          <w:lang w:val="en-GB"/>
        </w:rPr>
        <w:t>5</w:t>
      </w:r>
      <w:r w:rsidRPr="0002056A">
        <w:rPr>
          <w:lang w:val="en-GB"/>
        </w:rPr>
        <w:t>a) Interview/questionnaire transcripts</w:t>
      </w:r>
      <w:bookmarkEnd w:id="86"/>
    </w:p>
    <w:p w14:paraId="62915209" w14:textId="77777777" w:rsidR="00A710B5" w:rsidRPr="0002056A" w:rsidRDefault="00A710B5" w:rsidP="00A710B5">
      <w:pPr>
        <w:pStyle w:val="Cmsor4"/>
        <w:rPr>
          <w:sz w:val="24"/>
          <w:szCs w:val="24"/>
          <w:lang w:val="en-GB"/>
        </w:rPr>
      </w:pPr>
      <w:r w:rsidRPr="0002056A">
        <w:rPr>
          <w:sz w:val="24"/>
          <w:szCs w:val="24"/>
          <w:lang w:val="en-GB"/>
        </w:rPr>
        <w:t>Finland</w:t>
      </w:r>
    </w:p>
    <w:p w14:paraId="7C051C8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Katriina Virtanen</w:t>
      </w:r>
    </w:p>
    <w:p w14:paraId="6B2356A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Finland</w:t>
      </w:r>
    </w:p>
    <w:p w14:paraId="45C0441F"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Finnish Environment Institute</w:t>
      </w:r>
    </w:p>
    <w:p w14:paraId="7C02320C"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adaptation coordinator</w:t>
      </w:r>
    </w:p>
    <w:p w14:paraId="7B46FFED"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w:t>
      </w:r>
      <w:r w:rsidRPr="0002056A">
        <w:rPr>
          <w:rFonts w:ascii="Georgia" w:hAnsi="Georgia"/>
          <w:b/>
          <w:bCs/>
          <w:sz w:val="20"/>
          <w:szCs w:val="20"/>
          <w:lang w:val="en-GB"/>
        </w:rPr>
        <w:t xml:space="preserve"> </w:t>
      </w:r>
      <w:r w:rsidRPr="0002056A">
        <w:rPr>
          <w:rFonts w:ascii="Georgia" w:hAnsi="Georgia" w:cs="Calibri"/>
          <w:b/>
          <w:bCs/>
          <w:sz w:val="20"/>
          <w:szCs w:val="20"/>
          <w:lang w:val="en-GB"/>
        </w:rPr>
        <w:t>2025.12.04.</w:t>
      </w:r>
    </w:p>
    <w:p w14:paraId="6DD513D1" w14:textId="77777777" w:rsidR="00A710B5" w:rsidRPr="0002056A" w:rsidRDefault="00A710B5" w:rsidP="00A710B5">
      <w:pPr>
        <w:jc w:val="center"/>
        <w:rPr>
          <w:rFonts w:ascii="Georgia" w:hAnsi="Georgia" w:cs="Calibri"/>
          <w:b/>
          <w:sz w:val="20"/>
          <w:szCs w:val="20"/>
          <w:lang w:val="en-GB"/>
        </w:rPr>
      </w:pPr>
    </w:p>
    <w:p w14:paraId="22662859"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442695B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1749FD26" w14:textId="77777777" w:rsidR="00A710B5" w:rsidRPr="0002056A" w:rsidRDefault="00A710B5" w:rsidP="00A710B5">
      <w:pPr>
        <w:ind w:left="1560"/>
        <w:jc w:val="both"/>
        <w:rPr>
          <w:rFonts w:ascii="Georgia" w:hAnsi="Georgia" w:cs="Calibri"/>
          <w:sz w:val="20"/>
          <w:szCs w:val="20"/>
          <w:lang w:val="en-GB"/>
        </w:rPr>
      </w:pPr>
      <w:r w:rsidRPr="0002056A">
        <w:rPr>
          <w:rFonts w:ascii="Georgia" w:hAnsi="Georgia" w:cs="Calibri"/>
          <w:sz w:val="20"/>
          <w:szCs w:val="20"/>
          <w:lang w:val="en-GB"/>
        </w:rPr>
        <w:t xml:space="preserve">There is a national level document, mixture of NAS/NAP, called NAP2030. Link to the document is available: </w:t>
      </w:r>
      <w:hyperlink r:id="rId219" w:history="1">
        <w:r w:rsidRPr="0002056A">
          <w:rPr>
            <w:rStyle w:val="Hiperhivatkozs"/>
            <w:rFonts w:ascii="Georgia" w:hAnsi="Georgia" w:cs="Calibri"/>
            <w:sz w:val="20"/>
            <w:szCs w:val="20"/>
            <w:lang w:val="en-GB"/>
          </w:rPr>
          <w:t>https://urn.fi/URN:ISBN:978-952-383-814-7</w:t>
        </w:r>
      </w:hyperlink>
      <w:r w:rsidRPr="0002056A">
        <w:rPr>
          <w:rFonts w:ascii="Georgia" w:hAnsi="Georgia" w:cs="Calibri"/>
          <w:sz w:val="20"/>
          <w:szCs w:val="20"/>
          <w:lang w:val="en-GB"/>
        </w:rPr>
        <w:t xml:space="preserve">. Another document is called “Regional characteristics and vulnerabilities related to climate change in Finland 2023”. Link to the document is available: http://urn.fi/URN:ISBN:978-952-366-588-0 (in Finnish). A national level assessment called Evaluation of adaptation to climate change in Finland 2022 is available under the link: </w:t>
      </w:r>
      <w:hyperlink r:id="rId220" w:history="1">
        <w:r w:rsidRPr="0002056A">
          <w:rPr>
            <w:rStyle w:val="Hiperhivatkozs"/>
            <w:rFonts w:ascii="Georgia" w:hAnsi="Georgia" w:cs="Calibri"/>
            <w:sz w:val="20"/>
            <w:szCs w:val="20"/>
            <w:lang w:val="en-GB"/>
          </w:rPr>
          <w:t>http://urn.fi/URN:ISBN:978-952-383-118-6</w:t>
        </w:r>
      </w:hyperlink>
      <w:r w:rsidRPr="0002056A">
        <w:rPr>
          <w:rFonts w:ascii="Georgia" w:hAnsi="Georgia" w:cs="Calibri"/>
          <w:sz w:val="20"/>
          <w:szCs w:val="20"/>
          <w:lang w:val="en-GB"/>
        </w:rPr>
        <w:t>. Climate and socioeconomic scenarios for climate change adaptation planning is available at: http://urn.fi/URN:ISBN:978-952-366-867-6 (in Finnish). A national risk and vulnerability assessment is available at https://urn.fi/URN:ISBN:978-952-383-566-5 (in Finnish).</w:t>
      </w:r>
    </w:p>
    <w:p w14:paraId="0C815DB8"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59F51730"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Yes, some municipalities and regions have adaptation plans or strategies. They are independent actors and therefore this work is not coordinated nationally. Those are mainly the bigger cities that have plans and smaller municipalities that don't.</w:t>
      </w:r>
    </w:p>
    <w:p w14:paraId="2A8760E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269C8CC7" w14:textId="77777777" w:rsidR="00A710B5" w:rsidRPr="0002056A" w:rsidRDefault="00A710B5" w:rsidP="00A710B5">
      <w:pPr>
        <w:ind w:firstLine="1701"/>
        <w:jc w:val="both"/>
        <w:rPr>
          <w:rFonts w:ascii="Georgia" w:hAnsi="Georgia" w:cs="Calibri"/>
          <w:sz w:val="20"/>
          <w:szCs w:val="20"/>
          <w:lang w:val="en-GB"/>
        </w:rPr>
      </w:pPr>
      <w:r w:rsidRPr="0002056A">
        <w:rPr>
          <w:rFonts w:ascii="Georgia" w:hAnsi="Georgia" w:cs="Calibri"/>
          <w:sz w:val="20"/>
          <w:szCs w:val="20"/>
          <w:lang w:val="en-GB"/>
        </w:rPr>
        <w:t xml:space="preserve">There are some examples. </w:t>
      </w:r>
    </w:p>
    <w:p w14:paraId="5ED17D7E" w14:textId="77777777" w:rsidR="00A710B5" w:rsidRPr="0002056A" w:rsidRDefault="00A710B5" w:rsidP="00A710B5">
      <w:pPr>
        <w:pStyle w:val="Listaszerbekezds"/>
        <w:numPr>
          <w:ilvl w:val="0"/>
          <w:numId w:val="17"/>
        </w:numPr>
        <w:spacing w:after="160" w:line="259" w:lineRule="auto"/>
        <w:ind w:left="2268" w:hanging="283"/>
        <w:jc w:val="both"/>
        <w:rPr>
          <w:rFonts w:ascii="Georgia" w:hAnsi="Georgia" w:cs="Calibri"/>
          <w:sz w:val="20"/>
          <w:szCs w:val="20"/>
          <w:lang w:val="en-GB"/>
        </w:rPr>
      </w:pPr>
      <w:r w:rsidRPr="0002056A">
        <w:rPr>
          <w:rFonts w:ascii="Georgia" w:hAnsi="Georgia" w:cs="Calibri"/>
          <w:sz w:val="20"/>
          <w:szCs w:val="20"/>
          <w:lang w:val="en-GB"/>
        </w:rPr>
        <w:t>Action Plan for the Adaptation to Climate Change of the Environmental Administration 2022 (revision adopted in 2016). The action plan is to be updated in 2024–2026. Link to the document is available in Finnish: https://urn.fi/URN:ISBN:978-952-11-4629-9</w:t>
      </w:r>
    </w:p>
    <w:p w14:paraId="25C82464" w14:textId="77777777" w:rsidR="00A710B5" w:rsidRPr="0002056A" w:rsidRDefault="00A710B5" w:rsidP="00A710B5">
      <w:pPr>
        <w:pStyle w:val="Listaszerbekezds"/>
        <w:numPr>
          <w:ilvl w:val="0"/>
          <w:numId w:val="17"/>
        </w:numPr>
        <w:spacing w:after="160" w:line="259" w:lineRule="auto"/>
        <w:ind w:left="2268" w:hanging="283"/>
        <w:jc w:val="both"/>
        <w:rPr>
          <w:rFonts w:ascii="Georgia" w:hAnsi="Georgia" w:cs="Calibri"/>
          <w:sz w:val="20"/>
          <w:szCs w:val="20"/>
          <w:lang w:val="en-GB"/>
        </w:rPr>
      </w:pPr>
      <w:r w:rsidRPr="0002056A">
        <w:rPr>
          <w:rFonts w:ascii="Georgia" w:hAnsi="Georgia" w:cs="Calibri"/>
          <w:sz w:val="20"/>
          <w:szCs w:val="20"/>
          <w:lang w:val="en-GB"/>
        </w:rPr>
        <w:t>Ministry of Agriculture and Forestry adaptation plan (revision adopted in 2024). Link to the document is available at https://urn.fi/URN:ISBN:978-952-366-736-5.</w:t>
      </w:r>
    </w:p>
    <w:p w14:paraId="0A28CD19" w14:textId="77777777" w:rsidR="00A710B5" w:rsidRPr="0002056A" w:rsidRDefault="00A710B5" w:rsidP="00A710B5">
      <w:pPr>
        <w:pStyle w:val="Listaszerbekezds"/>
        <w:numPr>
          <w:ilvl w:val="0"/>
          <w:numId w:val="17"/>
        </w:numPr>
        <w:spacing w:after="160" w:line="259" w:lineRule="auto"/>
        <w:ind w:left="2268" w:hanging="283"/>
        <w:jc w:val="both"/>
        <w:rPr>
          <w:rFonts w:ascii="Georgia" w:hAnsi="Georgia" w:cs="Calibri"/>
          <w:sz w:val="20"/>
          <w:szCs w:val="20"/>
          <w:lang w:val="en-GB"/>
        </w:rPr>
      </w:pPr>
      <w:r w:rsidRPr="0002056A">
        <w:rPr>
          <w:rFonts w:ascii="Georgia" w:hAnsi="Georgia" w:cs="Calibri"/>
          <w:sz w:val="20"/>
          <w:szCs w:val="20"/>
          <w:lang w:val="en-GB"/>
        </w:rPr>
        <w:t>Ministry of Social Affairs and Health (adopted in 2021). Link to the document is available at https://urn.fi/URN:ISBN:978-952-00-8424-0.</w:t>
      </w:r>
    </w:p>
    <w:p w14:paraId="5A50F778" w14:textId="77777777" w:rsidR="00A710B5" w:rsidRPr="0002056A" w:rsidRDefault="00A710B5" w:rsidP="00A710B5">
      <w:pPr>
        <w:pStyle w:val="Listaszerbekezds"/>
        <w:numPr>
          <w:ilvl w:val="0"/>
          <w:numId w:val="17"/>
        </w:numPr>
        <w:spacing w:after="160" w:line="259" w:lineRule="auto"/>
        <w:ind w:left="2268" w:hanging="283"/>
        <w:jc w:val="both"/>
        <w:rPr>
          <w:rFonts w:ascii="Georgia" w:hAnsi="Georgia" w:cs="Calibri"/>
          <w:sz w:val="20"/>
          <w:szCs w:val="20"/>
          <w:lang w:val="en-GB"/>
        </w:rPr>
      </w:pPr>
      <w:r w:rsidRPr="0002056A">
        <w:rPr>
          <w:rFonts w:ascii="Georgia" w:hAnsi="Georgia" w:cs="Calibri"/>
          <w:sz w:val="20"/>
          <w:szCs w:val="20"/>
          <w:lang w:val="en-GB"/>
        </w:rPr>
        <w:t>Ministry of Defence (adopted in 2023). Link to the document is available in Finnish:https://defmin.fi/documents/236553176/238659714/PM_PILMUS</w:t>
      </w:r>
      <w:r w:rsidRPr="0002056A">
        <w:rPr>
          <w:rFonts w:ascii="Georgia" w:hAnsi="Georgia" w:cs="Calibri"/>
          <w:sz w:val="20"/>
          <w:szCs w:val="20"/>
          <w:lang w:val="en-GB"/>
        </w:rPr>
        <w:lastRenderedPageBreak/>
        <w:t>-raportti_FIN_A4_DIGI-V4.pdf/577fb6aa-306c-5ccc-9f4a-497a62de24a3/PM_PILMUS-raportti_FIN_A4_DIGI-V4.pdf?t=1745497754906.</w:t>
      </w:r>
    </w:p>
    <w:p w14:paraId="6F32AA0E" w14:textId="77777777" w:rsidR="00A710B5" w:rsidRPr="0002056A" w:rsidRDefault="00A710B5" w:rsidP="00A710B5">
      <w:pPr>
        <w:jc w:val="both"/>
        <w:rPr>
          <w:rFonts w:ascii="Georgia" w:hAnsi="Georgia" w:cs="Calibri"/>
          <w:sz w:val="20"/>
          <w:szCs w:val="20"/>
          <w:lang w:val="en-GB"/>
        </w:rPr>
      </w:pPr>
    </w:p>
    <w:p w14:paraId="05B2D7C5" w14:textId="77777777" w:rsidR="00A710B5" w:rsidRPr="0002056A" w:rsidRDefault="00A710B5" w:rsidP="00A710B5">
      <w:pPr>
        <w:pStyle w:val="Listaszerbekezds"/>
        <w:numPr>
          <w:ilvl w:val="0"/>
          <w:numId w:val="12"/>
        </w:numPr>
        <w:ind w:left="1440"/>
        <w:jc w:val="both"/>
        <w:rPr>
          <w:rFonts w:ascii="Georgia" w:hAnsi="Georgia" w:cs="Calibri"/>
          <w:sz w:val="20"/>
          <w:szCs w:val="20"/>
          <w:lang w:val="en-GB"/>
        </w:rPr>
      </w:pPr>
      <w:r w:rsidRPr="0002056A">
        <w:rPr>
          <w:rFonts w:ascii="Georgia" w:hAnsi="Georgia" w:cs="Calibri"/>
          <w:sz w:val="20"/>
          <w:szCs w:val="20"/>
          <w:lang w:val="en-GB"/>
        </w:rPr>
        <w:t>Which logic is prevailing in your country regarding climate policy strategic planning, regional or sectoral in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390C5DA2" w14:textId="77777777" w:rsidR="00A710B5" w:rsidRPr="0002056A" w:rsidRDefault="00A710B5" w:rsidP="00A710B5">
      <w:pPr>
        <w:ind w:firstLine="1843"/>
        <w:jc w:val="both"/>
        <w:rPr>
          <w:rFonts w:ascii="Georgia" w:hAnsi="Georgia" w:cs="Calibri"/>
          <w:sz w:val="20"/>
          <w:szCs w:val="20"/>
          <w:lang w:val="en-GB"/>
        </w:rPr>
      </w:pPr>
      <w:r w:rsidRPr="0002056A">
        <w:rPr>
          <w:rFonts w:ascii="Georgia" w:hAnsi="Georgia" w:cs="Calibri"/>
          <w:sz w:val="20"/>
          <w:szCs w:val="20"/>
          <w:lang w:val="en-GB"/>
        </w:rPr>
        <w:t>Sectoral. Our NAP has 24 targets each focusing on a specific sector.</w:t>
      </w:r>
    </w:p>
    <w:p w14:paraId="2A70EB1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find it useful to strengthen the spatial focus of adaptation planning or find the sectoral orientation better?</w:t>
      </w:r>
    </w:p>
    <w:p w14:paraId="48F89A84" w14:textId="77777777" w:rsidR="00A710B5" w:rsidRPr="0002056A" w:rsidRDefault="00A710B5" w:rsidP="00A710B5">
      <w:pPr>
        <w:ind w:left="1843"/>
        <w:jc w:val="both"/>
        <w:rPr>
          <w:rFonts w:ascii="Georgia" w:hAnsi="Georgia" w:cs="Calibri"/>
          <w:sz w:val="20"/>
          <w:szCs w:val="20"/>
          <w:lang w:val="en-GB"/>
        </w:rPr>
      </w:pPr>
      <w:r w:rsidRPr="0002056A">
        <w:rPr>
          <w:rFonts w:ascii="Georgia" w:hAnsi="Georgia" w:cs="Calibri"/>
          <w:sz w:val="20"/>
          <w:szCs w:val="20"/>
          <w:lang w:val="en-GB"/>
        </w:rPr>
        <w:t>At the national level ministries are legally responsible for the adaptation work done under their administrative branches. For this reason, it is more practical to divide work by sectors and define who is responsible for which target.</w:t>
      </w:r>
    </w:p>
    <w:p w14:paraId="044C91C6" w14:textId="5659AF69" w:rsidR="00A710B5" w:rsidRPr="0002056A" w:rsidRDefault="00A710B5" w:rsidP="00A710B5">
      <w:pPr>
        <w:ind w:left="1843"/>
        <w:jc w:val="both"/>
        <w:rPr>
          <w:rFonts w:ascii="Georgia" w:hAnsi="Georgia" w:cs="Calibri"/>
          <w:sz w:val="20"/>
          <w:szCs w:val="20"/>
          <w:lang w:val="en-GB"/>
        </w:rPr>
      </w:pPr>
      <w:r w:rsidRPr="0002056A">
        <w:rPr>
          <w:rFonts w:ascii="Georgia" w:hAnsi="Georgia" w:cs="Calibri"/>
          <w:sz w:val="20"/>
          <w:szCs w:val="20"/>
          <w:lang w:val="en-GB"/>
        </w:rPr>
        <w:t xml:space="preserve">However, as Finland is a large country and the north and south have very different climatic conditions, consequently adaptation looks very different too. It is more practical to approach adaptation sectorally, but information and implementation </w:t>
      </w:r>
      <w:r w:rsidR="006143CA" w:rsidRPr="0002056A">
        <w:rPr>
          <w:rFonts w:ascii="Georgia" w:hAnsi="Georgia" w:cs="Calibri"/>
          <w:sz w:val="20"/>
          <w:szCs w:val="20"/>
          <w:lang w:val="en-GB"/>
        </w:rPr>
        <w:t>look</w:t>
      </w:r>
      <w:r w:rsidRPr="0002056A">
        <w:rPr>
          <w:rFonts w:ascii="Georgia" w:hAnsi="Georgia" w:cs="Calibri"/>
          <w:sz w:val="20"/>
          <w:szCs w:val="20"/>
          <w:lang w:val="en-GB"/>
        </w:rPr>
        <w:t xml:space="preserve"> very different in different regions.</w:t>
      </w:r>
    </w:p>
    <w:p w14:paraId="088107EA"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Do you see potential in climate adaptation to improve cooperation with other countries in the field of adaptation?</w:t>
      </w:r>
    </w:p>
    <w:p w14:paraId="59194B36" w14:textId="77777777" w:rsidR="00A710B5" w:rsidRPr="0002056A" w:rsidRDefault="00A710B5" w:rsidP="00A710B5">
      <w:pPr>
        <w:ind w:firstLine="1276"/>
        <w:jc w:val="both"/>
        <w:rPr>
          <w:rFonts w:ascii="Georgia" w:hAnsi="Georgia" w:cs="Calibri"/>
          <w:sz w:val="20"/>
          <w:szCs w:val="20"/>
          <w:lang w:val="en-GB"/>
        </w:rPr>
      </w:pPr>
      <w:r w:rsidRPr="0002056A">
        <w:rPr>
          <w:rFonts w:ascii="Georgia" w:hAnsi="Georgia" w:cs="Calibri"/>
          <w:sz w:val="20"/>
          <w:szCs w:val="20"/>
          <w:lang w:val="en-GB"/>
        </w:rPr>
        <w:t>Yes.</w:t>
      </w:r>
    </w:p>
    <w:p w14:paraId="3A674117"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for what purposes? To gain new experiences in adaptation? To gain new markets for your country’s adaptation- oriented or green economy? To disseminate your best practices/knowledge?</w:t>
      </w:r>
    </w:p>
    <w:p w14:paraId="2638ED78" w14:textId="77777777" w:rsidR="00A710B5" w:rsidRPr="0002056A" w:rsidRDefault="00A710B5" w:rsidP="00A710B5">
      <w:pPr>
        <w:ind w:left="1843"/>
        <w:jc w:val="both"/>
        <w:rPr>
          <w:rFonts w:ascii="Georgia" w:hAnsi="Georgia" w:cs="Calibri"/>
          <w:sz w:val="20"/>
          <w:szCs w:val="20"/>
          <w:lang w:val="en-GB"/>
        </w:rPr>
      </w:pPr>
      <w:r w:rsidRPr="0002056A">
        <w:rPr>
          <w:rFonts w:ascii="Georgia" w:hAnsi="Georgia" w:cs="Calibri"/>
          <w:sz w:val="20"/>
          <w:szCs w:val="20"/>
          <w:lang w:val="en-GB"/>
        </w:rPr>
        <w:t>Learn best practices and experiences and co-create solutions. Take some of our learnings to countries that are as far as we are.</w:t>
      </w:r>
    </w:p>
    <w:p w14:paraId="70FACD76"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 </w:t>
      </w:r>
    </w:p>
    <w:p w14:paraId="60A922E6" w14:textId="77777777" w:rsidR="00A710B5" w:rsidRPr="0002056A" w:rsidRDefault="00A710B5" w:rsidP="00A710B5">
      <w:pPr>
        <w:ind w:left="360" w:firstLine="916"/>
        <w:jc w:val="both"/>
        <w:rPr>
          <w:rFonts w:ascii="Georgia" w:hAnsi="Georgia" w:cs="Calibri"/>
          <w:sz w:val="20"/>
          <w:szCs w:val="20"/>
          <w:lang w:val="en-GB"/>
        </w:rPr>
      </w:pPr>
      <w:r w:rsidRPr="0002056A">
        <w:rPr>
          <w:rFonts w:ascii="Georgia" w:hAnsi="Georgia" w:cs="Calibri"/>
          <w:sz w:val="20"/>
          <w:szCs w:val="20"/>
          <w:lang w:val="en-GB"/>
        </w:rPr>
        <w:t>Yes.</w:t>
      </w:r>
    </w:p>
    <w:p w14:paraId="53ACB54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23B3824B" w14:textId="523FD3A8"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For each NAP, a regional vulnerability assessment has to be created (linked in a previous question). </w:t>
      </w:r>
      <w:r w:rsidR="006143CA" w:rsidRPr="0002056A">
        <w:rPr>
          <w:rFonts w:ascii="Georgia" w:eastAsia="Times New Roman" w:hAnsi="Georgia" w:cs="Calibri"/>
          <w:sz w:val="20"/>
          <w:szCs w:val="20"/>
          <w:lang w:val="en-GB" w:eastAsia="hu-HU"/>
        </w:rPr>
        <w:t>So,</w:t>
      </w:r>
      <w:r w:rsidRPr="0002056A">
        <w:rPr>
          <w:rFonts w:ascii="Georgia" w:eastAsia="Times New Roman" w:hAnsi="Georgia" w:cs="Calibri"/>
          <w:sz w:val="20"/>
          <w:szCs w:val="20"/>
          <w:lang w:val="en-GB" w:eastAsia="hu-HU"/>
        </w:rPr>
        <w:t xml:space="preserve"> to some extent, we do track risks and vulnerabilities at the regional </w:t>
      </w:r>
      <w:r w:rsidR="006143CA" w:rsidRPr="0002056A">
        <w:rPr>
          <w:rFonts w:ascii="Georgia" w:eastAsia="Times New Roman" w:hAnsi="Georgia" w:cs="Calibri"/>
          <w:sz w:val="20"/>
          <w:szCs w:val="20"/>
          <w:lang w:val="en-GB" w:eastAsia="hu-HU"/>
        </w:rPr>
        <w:t>level,</w:t>
      </w:r>
      <w:r w:rsidRPr="0002056A">
        <w:rPr>
          <w:rFonts w:ascii="Georgia" w:eastAsia="Times New Roman" w:hAnsi="Georgia" w:cs="Calibri"/>
          <w:sz w:val="20"/>
          <w:szCs w:val="20"/>
          <w:lang w:val="en-GB" w:eastAsia="hu-HU"/>
        </w:rPr>
        <w:t xml:space="preserve"> but it is not systematic and does not have indicators etc. The risk assessment process will be developed soon.</w:t>
      </w:r>
    </w:p>
    <w:p w14:paraId="389A49BE" w14:textId="6C966720"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adaptation monitoring system only monitors at the national level and does not disaggregate into smaller regions. The regions and municipalities that have adaptation plans may have their own monitoring systems for their regions. There will hopefully be some development in </w:t>
      </w:r>
      <w:r w:rsidR="006143CA" w:rsidRPr="0002056A">
        <w:rPr>
          <w:rFonts w:ascii="Georgia" w:eastAsia="Times New Roman" w:hAnsi="Georgia" w:cs="Calibri"/>
          <w:sz w:val="20"/>
          <w:szCs w:val="20"/>
          <w:lang w:val="en-GB" w:eastAsia="hu-HU"/>
        </w:rPr>
        <w:t>these conditions</w:t>
      </w:r>
      <w:r w:rsidRPr="0002056A">
        <w:rPr>
          <w:rFonts w:ascii="Georgia" w:eastAsia="Times New Roman" w:hAnsi="Georgia" w:cs="Calibri"/>
          <w:sz w:val="20"/>
          <w:szCs w:val="20"/>
          <w:lang w:val="en-GB" w:eastAsia="hu-HU"/>
        </w:rPr>
        <w:t xml:space="preserve"> soon as well to gain more insight into how the national level could learn more about what is done in regions.</w:t>
      </w:r>
    </w:p>
    <w:p w14:paraId="120BD75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not, is there a plan to implement / develop such a system?</w:t>
      </w:r>
    </w:p>
    <w:p w14:paraId="6B50EBDC" w14:textId="77777777" w:rsidR="00A710B5" w:rsidRPr="0002056A" w:rsidRDefault="00A710B5" w:rsidP="00A710B5">
      <w:pPr>
        <w:pStyle w:val="Listaszerbekezds"/>
        <w:ind w:firstLine="112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A754D29"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211DE9A6" w14:textId="77777777" w:rsidR="00A710B5" w:rsidRPr="0002056A" w:rsidRDefault="00A710B5" w:rsidP="00A710B5">
      <w:pPr>
        <w:ind w:left="360" w:firstLine="1058"/>
        <w:jc w:val="both"/>
        <w:rPr>
          <w:rFonts w:ascii="Georgia" w:hAnsi="Georgia" w:cs="Calibri"/>
          <w:sz w:val="20"/>
          <w:szCs w:val="20"/>
          <w:lang w:val="en-GB"/>
        </w:rPr>
      </w:pPr>
      <w:r w:rsidRPr="0002056A">
        <w:rPr>
          <w:rFonts w:ascii="Georgia" w:hAnsi="Georgia" w:cs="Calibri"/>
          <w:sz w:val="20"/>
          <w:szCs w:val="20"/>
          <w:lang w:val="en-GB"/>
        </w:rPr>
        <w:t>Yes.</w:t>
      </w:r>
    </w:p>
    <w:p w14:paraId="1399514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7BD01809" w14:textId="77777777" w:rsidR="00A710B5" w:rsidRPr="0002056A" w:rsidRDefault="00A710B5" w:rsidP="00A710B5">
      <w:pPr>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Ministries, research institutes, regional representatives, other government offices.</w:t>
      </w:r>
    </w:p>
    <w:p w14:paraId="79370C26"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4FDA09CF" w14:textId="77777777" w:rsidR="00A710B5" w:rsidRPr="0002056A" w:rsidRDefault="00A710B5" w:rsidP="00A710B5">
      <w:pPr>
        <w:ind w:firstLine="226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 they are collected only at national level.</w:t>
      </w:r>
    </w:p>
    <w:p w14:paraId="7AB73BB6"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627ABC70" w14:textId="77777777" w:rsidR="00A710B5" w:rsidRPr="0002056A" w:rsidRDefault="00A710B5" w:rsidP="00A710B5">
      <w:pPr>
        <w:pStyle w:val="Listaszerbekezds"/>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99BF054"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0E5F7F9D" w14:textId="77777777" w:rsidR="00A710B5" w:rsidRPr="0002056A" w:rsidRDefault="00A710B5" w:rsidP="00A710B5">
      <w:pPr>
        <w:pStyle w:val="Listaszerbekezds"/>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 range, depending on information available in different sectors. We have a report coming out about this in Finnish in 2025 and in English in 2026 that will list all indicators and methods, etc.</w:t>
      </w:r>
    </w:p>
    <w:p w14:paraId="00AF6D40"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Does any GIS based DS system being used in climate (adaptation) policy in your country? </w:t>
      </w:r>
    </w:p>
    <w:p w14:paraId="64FEE11A" w14:textId="77777777" w:rsidR="00A710B5" w:rsidRPr="0002056A" w:rsidRDefault="00A710B5" w:rsidP="00A710B5">
      <w:pPr>
        <w:pStyle w:val="Listaszerbekezds"/>
        <w:ind w:firstLine="1123"/>
        <w:jc w:val="both"/>
        <w:rPr>
          <w:rFonts w:ascii="Georgia" w:hAnsi="Georgia" w:cs="Calibri"/>
          <w:sz w:val="20"/>
          <w:szCs w:val="20"/>
          <w:lang w:val="en-GB"/>
        </w:rPr>
      </w:pPr>
      <w:r w:rsidRPr="0002056A">
        <w:rPr>
          <w:rFonts w:ascii="Georgia" w:hAnsi="Georgia" w:cs="Calibri"/>
          <w:sz w:val="20"/>
          <w:szCs w:val="20"/>
          <w:lang w:val="en-GB"/>
        </w:rPr>
        <w:t>Yes.</w:t>
      </w:r>
    </w:p>
    <w:p w14:paraId="210E8CC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is it a mono- (it deals only with 1-2 vulnerability topics) or multi thematic DS (covering several climate impacts/vulnerability topics)? </w:t>
      </w:r>
    </w:p>
    <w:p w14:paraId="463B3D34" w14:textId="77777777" w:rsidR="00A710B5" w:rsidRPr="0002056A" w:rsidRDefault="00A710B5" w:rsidP="00A710B5">
      <w:pPr>
        <w:tabs>
          <w:tab w:val="left" w:pos="3495"/>
        </w:tabs>
        <w:spacing w:before="120" w:afterLines="120" w:after="288" w:line="240" w:lineRule="auto"/>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It's not specifically for adaptation, but we have flood mapping, drought mapping, some forest mapping and probably more. They are separate systems.</w:t>
      </w:r>
    </w:p>
    <w:p w14:paraId="69A7D35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it utilised in adaptation planning and MRE?</w:t>
      </w:r>
    </w:p>
    <w:p w14:paraId="6663E6E7" w14:textId="77777777" w:rsidR="00A710B5" w:rsidRPr="0002056A" w:rsidRDefault="00A710B5" w:rsidP="00A710B5">
      <w:pPr>
        <w:spacing w:before="120" w:afterLines="120" w:after="288" w:line="240" w:lineRule="auto"/>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To a limited extent, MRE looks at national averages and it's difficult to get one number from GIS that represents the whole country.</w:t>
      </w:r>
    </w:p>
    <w:p w14:paraId="219E298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 other adaptation-related website functioning /planned (knowledge collector and dissemination sites)?</w:t>
      </w:r>
    </w:p>
    <w:p w14:paraId="4BAAD776" w14:textId="77777777" w:rsidR="00A710B5" w:rsidRPr="0002056A" w:rsidRDefault="00A710B5" w:rsidP="00A710B5">
      <w:pPr>
        <w:spacing w:before="120" w:afterLines="120" w:after="288" w:line="240" w:lineRule="auto"/>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Yes. </w:t>
      </w:r>
    </w:p>
    <w:p w14:paraId="74189A0A" w14:textId="77777777" w:rsidR="00A710B5" w:rsidRPr="0002056A" w:rsidRDefault="00A710B5" w:rsidP="00A710B5">
      <w:pPr>
        <w:pStyle w:val="Listaszerbekezds"/>
        <w:numPr>
          <w:ilvl w:val="0"/>
          <w:numId w:val="18"/>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website https://www.climateguide.fi/ provides information on mitigation and adaptation, regionally and nationally. </w:t>
      </w:r>
    </w:p>
    <w:p w14:paraId="6EDA591B" w14:textId="77777777" w:rsidR="00A710B5" w:rsidRPr="0002056A" w:rsidRDefault="00A710B5" w:rsidP="00A710B5">
      <w:pPr>
        <w:pStyle w:val="Listaszerbekezds"/>
        <w:numPr>
          <w:ilvl w:val="0"/>
          <w:numId w:val="18"/>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website https://www.vesi.fi/en/ displays mapping of water related issues.</w:t>
      </w:r>
    </w:p>
    <w:p w14:paraId="49995B2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does your country plan to set up such a system?</w:t>
      </w:r>
    </w:p>
    <w:p w14:paraId="1B4B4BED" w14:textId="77777777" w:rsidR="00A710B5" w:rsidRPr="0002056A" w:rsidRDefault="00A710B5" w:rsidP="00A710B5">
      <w:pPr>
        <w:spacing w:before="120" w:afterLines="120" w:after="288" w:line="240" w:lineRule="auto"/>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2AC8BA1"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207572BC" w14:textId="77777777" w:rsidR="00A710B5" w:rsidRPr="0002056A"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Some of them has already been mentioned in the first answer.</w:t>
      </w:r>
    </w:p>
    <w:p w14:paraId="54BF6891"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4E1B6D73" w14:textId="77777777" w:rsidR="00A710B5" w:rsidRDefault="00A710B5"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48E6A37" w14:textId="77777777" w:rsidR="006237D8" w:rsidRPr="0002056A" w:rsidRDefault="006237D8"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p>
    <w:p w14:paraId="0D42A867"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 xml:space="preserve">If so, </w:t>
      </w:r>
    </w:p>
    <w:p w14:paraId="51431FCE"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1727F802" w14:textId="4763AFC9" w:rsidR="00A710B5" w:rsidRPr="0002056A" w:rsidRDefault="00A710B5" w:rsidP="00A710B5">
      <w:pPr>
        <w:spacing w:before="120" w:afterLines="120" w:after="288" w:line="240" w:lineRule="auto"/>
        <w:ind w:left="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Each NAP gets a mid-term </w:t>
      </w:r>
      <w:r w:rsidR="006143CA" w:rsidRPr="0002056A">
        <w:rPr>
          <w:rFonts w:ascii="Georgia" w:eastAsia="Times New Roman" w:hAnsi="Georgia" w:cs="Calibri"/>
          <w:sz w:val="20"/>
          <w:szCs w:val="20"/>
          <w:lang w:val="en-GB" w:eastAsia="hu-HU"/>
        </w:rPr>
        <w:t>evaluation,</w:t>
      </w:r>
      <w:r w:rsidRPr="0002056A">
        <w:rPr>
          <w:rFonts w:ascii="Georgia" w:eastAsia="Times New Roman" w:hAnsi="Georgia" w:cs="Calibri"/>
          <w:sz w:val="20"/>
          <w:szCs w:val="20"/>
          <w:lang w:val="en-GB" w:eastAsia="hu-HU"/>
        </w:rPr>
        <w:t xml:space="preserve"> and the last one had a final evaluation (linked previously). There is no set form for the evaluations, so they could look at regional data. The next one is prepared in 2026 and will have some regional evaluations as well, but we will have to see to what extent.</w:t>
      </w:r>
    </w:p>
    <w:p w14:paraId="736213DB"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14A09C11"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question was answered before.</w:t>
      </w:r>
    </w:p>
    <w:p w14:paraId="708FF40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5D9228DB"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question was answered before.</w:t>
      </w:r>
    </w:p>
    <w:p w14:paraId="4B3631E6"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NAS/NAP aims to set up an evaluation system or elaboration of products, but no such products are in practice yet.</w:t>
      </w:r>
    </w:p>
    <w:p w14:paraId="7925244F" w14:textId="0FDE314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have some from the </w:t>
      </w:r>
      <w:r w:rsidR="006143CA" w:rsidRPr="0002056A">
        <w:rPr>
          <w:rFonts w:ascii="Georgia" w:eastAsia="Times New Roman" w:hAnsi="Georgia" w:cs="Calibri"/>
          <w:sz w:val="20"/>
          <w:szCs w:val="20"/>
          <w:lang w:val="en-GB" w:eastAsia="hu-HU"/>
        </w:rPr>
        <w:t>past,</w:t>
      </w:r>
      <w:r w:rsidRPr="0002056A">
        <w:rPr>
          <w:rFonts w:ascii="Georgia" w:eastAsia="Times New Roman" w:hAnsi="Georgia" w:cs="Calibri"/>
          <w:sz w:val="20"/>
          <w:szCs w:val="20"/>
          <w:lang w:val="en-GB" w:eastAsia="hu-HU"/>
        </w:rPr>
        <w:t xml:space="preserve"> but the format varies.</w:t>
      </w:r>
    </w:p>
    <w:p w14:paraId="20EEF02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097FA89E"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01745B77"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67E5A232" w14:textId="2A37564A"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Municipalities and regions can do their own </w:t>
      </w:r>
      <w:r w:rsidR="006143CA" w:rsidRPr="0002056A">
        <w:rPr>
          <w:rFonts w:ascii="Georgia" w:eastAsia="Times New Roman" w:hAnsi="Georgia" w:cs="Calibri"/>
          <w:sz w:val="20"/>
          <w:szCs w:val="20"/>
          <w:lang w:val="en-GB" w:eastAsia="hu-HU"/>
        </w:rPr>
        <w:t>evaluations,</w:t>
      </w:r>
      <w:r w:rsidRPr="0002056A">
        <w:rPr>
          <w:rFonts w:ascii="Georgia" w:eastAsia="Times New Roman" w:hAnsi="Georgia" w:cs="Calibri"/>
          <w:sz w:val="20"/>
          <w:szCs w:val="20"/>
          <w:lang w:val="en-GB" w:eastAsia="hu-HU"/>
        </w:rPr>
        <w:t xml:space="preserve"> but I don't know of any that have been done.</w:t>
      </w:r>
    </w:p>
    <w:p w14:paraId="6F8C3A52"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71A63F24"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11D142E4" w14:textId="77777777" w:rsidR="00A710B5" w:rsidRPr="0002056A" w:rsidRDefault="00A710B5" w:rsidP="00A710B5">
      <w:pPr>
        <w:tabs>
          <w:tab w:val="left" w:pos="3600"/>
        </w:tabs>
        <w:spacing w:before="120" w:afterLines="120" w:after="288" w:line="240" w:lineRule="auto"/>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It could, but to my knowledge, it hasn't yet.</w:t>
      </w:r>
    </w:p>
    <w:p w14:paraId="23FFCD37"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European level regional development objectives in your adaptation planning? </w:t>
      </w:r>
    </w:p>
    <w:p w14:paraId="27708D26" w14:textId="77777777" w:rsidR="00A710B5" w:rsidRPr="0002056A" w:rsidRDefault="00A710B5" w:rsidP="00A710B5">
      <w:pPr>
        <w:ind w:firstLine="993"/>
        <w:jc w:val="both"/>
        <w:rPr>
          <w:rFonts w:ascii="Georgia" w:hAnsi="Georgia" w:cs="Calibri"/>
          <w:sz w:val="20"/>
          <w:szCs w:val="20"/>
          <w:lang w:val="en-GB"/>
        </w:rPr>
      </w:pPr>
      <w:r w:rsidRPr="0002056A">
        <w:rPr>
          <w:rFonts w:ascii="Georgia" w:hAnsi="Georgia" w:cs="Calibri"/>
          <w:sz w:val="20"/>
          <w:szCs w:val="20"/>
          <w:lang w:val="en-GB"/>
        </w:rPr>
        <w:t>Yes.</w:t>
      </w:r>
    </w:p>
    <w:p w14:paraId="23E3C04D"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7355071D" w14:textId="77777777" w:rsidR="00A710B5" w:rsidRPr="0002056A" w:rsidRDefault="00A710B5" w:rsidP="00A710B5">
      <w:pPr>
        <w:tabs>
          <w:tab w:val="left" w:pos="3765"/>
        </w:tabs>
        <w:ind w:left="1701"/>
        <w:jc w:val="both"/>
        <w:rPr>
          <w:rFonts w:ascii="Georgia" w:hAnsi="Georgia" w:cs="Calibri"/>
          <w:sz w:val="20"/>
          <w:szCs w:val="20"/>
          <w:lang w:val="en-GB"/>
        </w:rPr>
      </w:pPr>
      <w:r w:rsidRPr="0002056A">
        <w:rPr>
          <w:rFonts w:ascii="Georgia" w:hAnsi="Georgia" w:cs="Calibri"/>
          <w:sz w:val="20"/>
          <w:szCs w:val="20"/>
          <w:lang w:val="en-GB"/>
        </w:rPr>
        <w:t>Our NAP is our guiding document and prepared roughly every 8 years. European objectives are considered in its preparation but also outside of it when planning actions where needed.</w:t>
      </w:r>
    </w:p>
    <w:p w14:paraId="1FFEC5C5"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national level regional development objectives in your adaptation planning? </w:t>
      </w:r>
    </w:p>
    <w:p w14:paraId="0BF5CF24" w14:textId="77777777" w:rsidR="00A710B5" w:rsidRPr="0002056A" w:rsidRDefault="00A710B5" w:rsidP="00A710B5">
      <w:pPr>
        <w:ind w:firstLine="993"/>
        <w:jc w:val="both"/>
        <w:rPr>
          <w:rFonts w:ascii="Georgia" w:hAnsi="Georgia" w:cs="Calibri"/>
          <w:sz w:val="20"/>
          <w:szCs w:val="20"/>
          <w:lang w:val="en-GB"/>
        </w:rPr>
      </w:pPr>
      <w:r w:rsidRPr="0002056A">
        <w:rPr>
          <w:rFonts w:ascii="Georgia" w:hAnsi="Georgia" w:cs="Calibri"/>
          <w:sz w:val="20"/>
          <w:szCs w:val="20"/>
          <w:lang w:val="en-GB"/>
        </w:rPr>
        <w:t>No.</w:t>
      </w:r>
    </w:p>
    <w:p w14:paraId="701850DF"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6FE36F13" w14:textId="77777777" w:rsidR="00A710B5" w:rsidRPr="0002056A" w:rsidRDefault="00A710B5" w:rsidP="00A710B5">
      <w:pPr>
        <w:ind w:firstLine="1701"/>
        <w:jc w:val="both"/>
        <w:rPr>
          <w:rFonts w:ascii="Georgia" w:hAnsi="Georgia" w:cs="Calibri"/>
          <w:sz w:val="20"/>
          <w:szCs w:val="20"/>
          <w:lang w:val="en-GB"/>
        </w:rPr>
      </w:pPr>
      <w:r w:rsidRPr="0002056A">
        <w:rPr>
          <w:rFonts w:ascii="Georgia" w:hAnsi="Georgia" w:cs="Calibri"/>
          <w:sz w:val="20"/>
          <w:szCs w:val="20"/>
          <w:lang w:val="en-GB"/>
        </w:rPr>
        <w:t>-.</w:t>
      </w:r>
    </w:p>
    <w:p w14:paraId="032913AF"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lastRenderedPageBreak/>
        <w:t>Can you mention any good practice in your country from national or regional level about planning/monitoring/evaluation practices in adaptation that takes into consideration spatial issues significantly?</w:t>
      </w:r>
    </w:p>
    <w:p w14:paraId="59E4C3B7" w14:textId="77777777" w:rsidR="00A710B5" w:rsidRPr="0002056A" w:rsidRDefault="00A710B5" w:rsidP="00A710B5">
      <w:pPr>
        <w:ind w:left="993"/>
        <w:jc w:val="both"/>
        <w:rPr>
          <w:rFonts w:ascii="Georgia" w:hAnsi="Georgia"/>
          <w:sz w:val="20"/>
          <w:szCs w:val="20"/>
          <w:lang w:val="en-GB"/>
        </w:rPr>
      </w:pPr>
      <w:r w:rsidRPr="0002056A">
        <w:rPr>
          <w:rFonts w:ascii="Georgia" w:hAnsi="Georgia"/>
          <w:sz w:val="20"/>
          <w:szCs w:val="20"/>
          <w:lang w:val="en-GB"/>
        </w:rPr>
        <w:t>Some of the mapping linked before. We also have specifically regional evaluations: http://hdl.handle.net/10138/341832 (in Finnish) and this info is also available in climateguide.fi.</w:t>
      </w:r>
    </w:p>
    <w:p w14:paraId="38352497" w14:textId="77777777" w:rsidR="00A710B5" w:rsidRPr="0002056A" w:rsidRDefault="00A710B5" w:rsidP="00A710B5">
      <w:pPr>
        <w:ind w:left="993"/>
        <w:rPr>
          <w:rFonts w:ascii="Georgia" w:hAnsi="Georgia"/>
          <w:sz w:val="20"/>
          <w:szCs w:val="20"/>
          <w:lang w:val="en-GB"/>
        </w:rPr>
      </w:pPr>
      <w:r w:rsidRPr="0002056A">
        <w:rPr>
          <w:rFonts w:ascii="Georgia" w:hAnsi="Georgia"/>
          <w:sz w:val="20"/>
          <w:szCs w:val="20"/>
          <w:lang w:val="en-GB"/>
        </w:rPr>
        <w:t>Our NAP has 3 targets that focus on regional level adaptation generally.</w:t>
      </w:r>
    </w:p>
    <w:p w14:paraId="69C98EEB" w14:textId="77777777" w:rsidR="00A710B5" w:rsidRPr="0002056A" w:rsidRDefault="00A710B5" w:rsidP="00A710B5">
      <w:pPr>
        <w:pStyle w:val="Cmsor4"/>
        <w:rPr>
          <w:sz w:val="24"/>
          <w:szCs w:val="24"/>
          <w:lang w:val="en-GB"/>
        </w:rPr>
      </w:pPr>
      <w:r w:rsidRPr="0002056A">
        <w:rPr>
          <w:sz w:val="24"/>
          <w:szCs w:val="24"/>
          <w:lang w:val="en-GB"/>
        </w:rPr>
        <w:t>Germany</w:t>
      </w:r>
    </w:p>
    <w:p w14:paraId="747CB3F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Inke Schauser</w:t>
      </w:r>
    </w:p>
    <w:p w14:paraId="6F103E4D"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Germany</w:t>
      </w:r>
    </w:p>
    <w:p w14:paraId="5D3305AF"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Umweltbundesamt</w:t>
      </w:r>
    </w:p>
    <w:p w14:paraId="096DF234"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Scientific officer</w:t>
      </w:r>
    </w:p>
    <w:p w14:paraId="59F1706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w:t>
      </w:r>
      <w:r w:rsidRPr="0002056A">
        <w:rPr>
          <w:rFonts w:ascii="Georgia" w:hAnsi="Georgia"/>
          <w:b/>
          <w:bCs/>
          <w:sz w:val="20"/>
          <w:szCs w:val="20"/>
          <w:lang w:val="en-GB"/>
        </w:rPr>
        <w:t xml:space="preserve"> </w:t>
      </w:r>
      <w:r w:rsidRPr="0002056A">
        <w:rPr>
          <w:rFonts w:ascii="Georgia" w:hAnsi="Georgia" w:cs="Calibri"/>
          <w:b/>
          <w:bCs/>
          <w:sz w:val="20"/>
          <w:szCs w:val="20"/>
          <w:lang w:val="en-GB"/>
        </w:rPr>
        <w:t>2025.09.08.</w:t>
      </w:r>
    </w:p>
    <w:p w14:paraId="1E7141FC" w14:textId="77777777" w:rsidR="00A710B5" w:rsidRPr="0002056A" w:rsidRDefault="00A710B5" w:rsidP="00A710B5">
      <w:pPr>
        <w:jc w:val="center"/>
        <w:rPr>
          <w:rFonts w:ascii="Georgia" w:hAnsi="Georgia" w:cs="Calibri"/>
          <w:b/>
          <w:sz w:val="20"/>
          <w:szCs w:val="20"/>
          <w:lang w:val="en-GB"/>
        </w:rPr>
      </w:pPr>
    </w:p>
    <w:p w14:paraId="79FD26FA"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7FCD3B21"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7F6259FE"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We have a relevant act [KAnG (Klimaanpassungsgesetz)], a national strategy [NAS = DAS (Deutsche Anpassungsstrategie)], a NAP [APA (Aktionsplan Anpassung)], and as evidence basis, a climate risk assessment [ CCRA = KWRA (Klimawirkungs- und Risikoanalyse)], and a Monitoring report. The Climate Adapt website and the last EEA publications give further and deeper description.</w:t>
      </w:r>
    </w:p>
    <w:p w14:paraId="7B2372F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19FE33CB" w14:textId="77777777" w:rsidR="00A710B5" w:rsidRPr="0002056A" w:rsidRDefault="00A710B5" w:rsidP="00A710B5">
      <w:pPr>
        <w:tabs>
          <w:tab w:val="left" w:pos="1701"/>
        </w:tabs>
        <w:ind w:left="1701"/>
        <w:jc w:val="both"/>
        <w:rPr>
          <w:rFonts w:ascii="Georgia" w:hAnsi="Georgia" w:cs="Calibri"/>
          <w:sz w:val="20"/>
          <w:szCs w:val="20"/>
          <w:lang w:val="en-GB"/>
        </w:rPr>
      </w:pPr>
      <w:r w:rsidRPr="0002056A">
        <w:rPr>
          <w:rFonts w:ascii="Georgia" w:hAnsi="Georgia" w:cs="Calibri"/>
          <w:sz w:val="20"/>
          <w:szCs w:val="20"/>
          <w:lang w:val="en-GB"/>
        </w:rPr>
        <w:t>Yes, all Länder (states) have their own adaptation strategies, some even have risk assessments and monitoring reports, some also have climate adaptation acts.</w:t>
      </w:r>
    </w:p>
    <w:p w14:paraId="48159FED"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00A5353F" w14:textId="77777777" w:rsidR="00A710B5" w:rsidRPr="0002056A" w:rsidRDefault="00A710B5" w:rsidP="00A710B5">
      <w:pPr>
        <w:tabs>
          <w:tab w:val="left" w:pos="1701"/>
        </w:tabs>
        <w:ind w:left="1701"/>
        <w:jc w:val="both"/>
        <w:rPr>
          <w:rFonts w:ascii="Georgia" w:hAnsi="Georgia" w:cs="Calibri"/>
          <w:sz w:val="20"/>
          <w:szCs w:val="20"/>
          <w:lang w:val="en-GB"/>
        </w:rPr>
      </w:pPr>
      <w:r w:rsidRPr="0002056A">
        <w:rPr>
          <w:rFonts w:ascii="Georgia" w:hAnsi="Georgia" w:cs="Calibri"/>
          <w:sz w:val="20"/>
          <w:szCs w:val="20"/>
          <w:lang w:val="en-GB"/>
        </w:rPr>
        <w:t>Yes, sectoral adaptation strategies exist in in agriculture, forestry, health, transport, in addition to the cross sectoral documents mentioned by question 1.</w:t>
      </w:r>
    </w:p>
    <w:p w14:paraId="5CF865D0"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regarding climate policy strategic planning, regional or sectoral in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4066B1AF" w14:textId="77777777" w:rsidR="00A710B5" w:rsidRPr="0002056A" w:rsidRDefault="00A710B5" w:rsidP="00A710B5">
      <w:pPr>
        <w:tabs>
          <w:tab w:val="left" w:pos="1701"/>
        </w:tabs>
        <w:ind w:left="1701"/>
        <w:jc w:val="both"/>
        <w:rPr>
          <w:rFonts w:ascii="Georgia" w:hAnsi="Georgia" w:cs="Calibri"/>
          <w:sz w:val="20"/>
          <w:szCs w:val="20"/>
          <w:lang w:val="en-GB"/>
        </w:rPr>
      </w:pPr>
      <w:r w:rsidRPr="0002056A">
        <w:rPr>
          <w:rFonts w:ascii="Georgia" w:hAnsi="Georgia" w:cs="Calibri"/>
          <w:sz w:val="20"/>
          <w:szCs w:val="20"/>
          <w:lang w:val="en-GB"/>
        </w:rPr>
        <w:t>In my opinion sectoral approach is prevailing unambiguously with some spatial information also included in the planning documents. Cross-sectoral assessments also include spatial information in the form of maps.</w:t>
      </w:r>
    </w:p>
    <w:p w14:paraId="3EBB52B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Do you find it useful to strengthen the spatial focus of adaptation planning or find the sectoral orientation better?</w:t>
      </w:r>
    </w:p>
    <w:p w14:paraId="33608BD9" w14:textId="77777777" w:rsidR="00A710B5" w:rsidRPr="0002056A" w:rsidRDefault="00A710B5" w:rsidP="00A710B5">
      <w:pPr>
        <w:tabs>
          <w:tab w:val="left" w:pos="1701"/>
        </w:tabs>
        <w:ind w:left="1701"/>
        <w:jc w:val="both"/>
        <w:rPr>
          <w:rFonts w:ascii="Georgia" w:hAnsi="Georgia" w:cs="Calibri"/>
          <w:sz w:val="20"/>
          <w:szCs w:val="20"/>
          <w:lang w:val="en-GB"/>
        </w:rPr>
      </w:pPr>
      <w:r w:rsidRPr="0002056A">
        <w:rPr>
          <w:rFonts w:ascii="Georgia" w:hAnsi="Georgia" w:cs="Calibri"/>
          <w:sz w:val="20"/>
          <w:szCs w:val="20"/>
          <w:lang w:val="en-GB"/>
        </w:rPr>
        <w:t>I prefer sectoral information, on different spatial levels (national, regional, local).</w:t>
      </w:r>
    </w:p>
    <w:p w14:paraId="19E1D01D"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Do you see potential in climate adaptation to improve cooperation with other countries in the field of adaptation?</w:t>
      </w:r>
    </w:p>
    <w:p w14:paraId="06F99891" w14:textId="77777777" w:rsidR="00A710B5" w:rsidRPr="0002056A" w:rsidRDefault="00A710B5" w:rsidP="00A710B5">
      <w:pPr>
        <w:ind w:firstLine="1134"/>
        <w:jc w:val="both"/>
        <w:rPr>
          <w:rFonts w:ascii="Georgia" w:hAnsi="Georgia" w:cs="Calibri"/>
          <w:sz w:val="20"/>
          <w:szCs w:val="20"/>
          <w:lang w:val="en-GB"/>
        </w:rPr>
      </w:pPr>
      <w:r w:rsidRPr="0002056A">
        <w:rPr>
          <w:rFonts w:ascii="Georgia" w:hAnsi="Georgia" w:cs="Calibri"/>
          <w:sz w:val="20"/>
          <w:szCs w:val="20"/>
          <w:lang w:val="en-GB"/>
        </w:rPr>
        <w:t>Yes.</w:t>
      </w:r>
    </w:p>
    <w:p w14:paraId="305EB6B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for what purposes? To gain new experiences in adaptation? To gain new markets for your country’s adaptation- oriented or green economy? To disseminate your best practices/knowledge?</w:t>
      </w:r>
    </w:p>
    <w:p w14:paraId="3C943B42"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 most important advantages are learning by exchange of experience and trying to find harmonised guidelines with enough flexibility to be transferred to different regions and levels. Dissemination of our own good practises is part of this, naturally.</w:t>
      </w:r>
    </w:p>
    <w:p w14:paraId="1DB23655"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 </w:t>
      </w:r>
    </w:p>
    <w:p w14:paraId="58DB2F2C" w14:textId="77777777" w:rsidR="00A710B5" w:rsidRPr="0002056A" w:rsidRDefault="00A710B5" w:rsidP="00A710B5">
      <w:pPr>
        <w:ind w:left="360" w:firstLine="633"/>
        <w:jc w:val="both"/>
        <w:rPr>
          <w:rFonts w:ascii="Georgia" w:hAnsi="Georgia" w:cs="Calibri"/>
          <w:sz w:val="20"/>
          <w:szCs w:val="20"/>
          <w:lang w:val="en-GB"/>
        </w:rPr>
      </w:pPr>
      <w:r w:rsidRPr="0002056A">
        <w:rPr>
          <w:rFonts w:ascii="Georgia" w:hAnsi="Georgia" w:cs="Calibri"/>
          <w:sz w:val="20"/>
          <w:szCs w:val="20"/>
          <w:lang w:val="en-GB"/>
        </w:rPr>
        <w:t>Yes.</w:t>
      </w:r>
    </w:p>
    <w:p w14:paraId="6BAD921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7CCA2D6E"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We basically monitor vulnerability’s or risks changes over time (using time series).</w:t>
      </w:r>
    </w:p>
    <w:p w14:paraId="733DD44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2604FF8F"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w:t>
      </w:r>
    </w:p>
    <w:p w14:paraId="28CCD61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553EBCBF" w14:textId="77777777" w:rsidR="00A710B5" w:rsidRPr="0002056A" w:rsidRDefault="00A710B5" w:rsidP="00A710B5">
      <w:pPr>
        <w:ind w:left="360" w:firstLine="633"/>
        <w:jc w:val="both"/>
        <w:rPr>
          <w:rFonts w:ascii="Georgia" w:hAnsi="Georgia" w:cs="Calibri"/>
          <w:sz w:val="20"/>
          <w:szCs w:val="20"/>
          <w:lang w:val="en-GB"/>
        </w:rPr>
      </w:pPr>
      <w:r w:rsidRPr="0002056A">
        <w:rPr>
          <w:rFonts w:ascii="Georgia" w:hAnsi="Georgia" w:cs="Calibri"/>
          <w:sz w:val="20"/>
          <w:szCs w:val="20"/>
          <w:lang w:val="en-GB"/>
        </w:rPr>
        <w:t>Yes.</w:t>
      </w:r>
    </w:p>
    <w:p w14:paraId="62DBDDA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27D32995"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 related responsibilities are distributed between different authorities. All of the information come together at Umweltbundesamt Deutschland based on a long-established process (started already 2008).</w:t>
      </w:r>
    </w:p>
    <w:p w14:paraId="6AEF11C4"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708987D5"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Indicators are showing mainly national level information, with some regional examples. Time series are based on spatial aggregation.</w:t>
      </w:r>
    </w:p>
    <w:p w14:paraId="672CEB7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41531704"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All of them.</w:t>
      </w:r>
    </w:p>
    <w:p w14:paraId="2BA6D0EB"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39A98064" w14:textId="77777777" w:rsidR="00A710B5"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All of them.</w:t>
      </w:r>
    </w:p>
    <w:p w14:paraId="3EA26B97" w14:textId="77777777" w:rsidR="00DA2759" w:rsidRPr="0002056A" w:rsidRDefault="00DA2759" w:rsidP="00A710B5">
      <w:pPr>
        <w:ind w:left="1701"/>
        <w:jc w:val="both"/>
        <w:rPr>
          <w:rFonts w:ascii="Georgia" w:hAnsi="Georgia" w:cs="Calibri"/>
          <w:sz w:val="20"/>
          <w:szCs w:val="20"/>
          <w:lang w:val="en-GB"/>
        </w:rPr>
      </w:pPr>
    </w:p>
    <w:p w14:paraId="36AF5EEF"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 xml:space="preserve">Does any GIS based DS system being used in climate (adaptation) policy in your country? </w:t>
      </w:r>
    </w:p>
    <w:p w14:paraId="00D9D22A" w14:textId="77777777" w:rsidR="00A710B5" w:rsidRPr="0002056A" w:rsidRDefault="00A710B5" w:rsidP="00A710B5">
      <w:pPr>
        <w:pStyle w:val="Listaszerbekezds"/>
        <w:jc w:val="both"/>
        <w:rPr>
          <w:rFonts w:ascii="Georgia" w:hAnsi="Georgia" w:cs="Calibri"/>
          <w:sz w:val="20"/>
          <w:szCs w:val="20"/>
          <w:lang w:val="en-GB"/>
        </w:rPr>
      </w:pPr>
      <w:r w:rsidRPr="0002056A">
        <w:rPr>
          <w:rFonts w:ascii="Georgia" w:hAnsi="Georgia" w:cs="Calibri"/>
          <w:sz w:val="20"/>
          <w:szCs w:val="20"/>
          <w:lang w:val="en-GB"/>
        </w:rPr>
        <w:t>Yes.</w:t>
      </w:r>
    </w:p>
    <w:p w14:paraId="3F6058D8"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is it a mono- (it deals only with 1-2 vulnerability topics) or multi thematic DS (covering several climate impacts/vulnerability topics)? </w:t>
      </w:r>
    </w:p>
    <w:p w14:paraId="6E3D2A2A"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 would not call them DS, they rather show the results of impact models, i.e. the Climate Atlas of Deutsche Wetter Dienst (</w:t>
      </w:r>
      <w:hyperlink r:id="rId221" w:history="1">
        <w:r w:rsidRPr="0002056A">
          <w:rPr>
            <w:rFonts w:ascii="Georgia" w:hAnsi="Georgia"/>
            <w:sz w:val="20"/>
            <w:szCs w:val="20"/>
            <w:lang w:val="en-GB"/>
          </w:rPr>
          <w:t>https://www.dwd.de/DE/klimaumwelt/klimaatlas/klimaatlas_node.html</w:t>
        </w:r>
      </w:hyperlink>
      <w:r w:rsidRPr="0002056A">
        <w:rPr>
          <w:rFonts w:ascii="Georgia" w:hAnsi="Georgia" w:cs="Calibri"/>
          <w:sz w:val="20"/>
          <w:szCs w:val="20"/>
          <w:lang w:val="en-GB"/>
        </w:rPr>
        <w:t>). Similar data is provided by different Länder (regional level).</w:t>
      </w:r>
    </w:p>
    <w:p w14:paraId="3B876E7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it utilised in adaptation planning and MRE?</w:t>
      </w:r>
    </w:p>
    <w:p w14:paraId="55A4AF27"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They are utilised as information basis and as a tool for overview, but for adaptation planning more detailed (local) data would be needed.</w:t>
      </w:r>
    </w:p>
    <w:p w14:paraId="29E05DA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 other adaptation-related website functioning /planned (knowledge collector and dissemination sites)?</w:t>
      </w:r>
    </w:p>
    <w:p w14:paraId="1F75E4DA"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Of course there are many other websites, at national level, supported by Umwelt Bundesamt Deutschland and Deutsche Wetterdienst, good example worth of mentioning, is the so-called klivo-portal (https://www.klivoportal.de/DE/Home/home_node.html).</w:t>
      </w:r>
    </w:p>
    <w:p w14:paraId="08D94B7A"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does your country plan to set up such a system?</w:t>
      </w:r>
    </w:p>
    <w:p w14:paraId="1331375A"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More detailed DS system would be useful.</w:t>
      </w:r>
    </w:p>
    <w:p w14:paraId="62253BBA"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49714C13" w14:textId="77777777" w:rsidR="00A710B5" w:rsidRPr="0002056A"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1A80584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48C6B045"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w:t>
      </w:r>
    </w:p>
    <w:p w14:paraId="09652E2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09A8FF11"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334DE1AE" w14:textId="253995CD"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 xml:space="preserve">The actual evaluation is still in </w:t>
      </w:r>
      <w:r w:rsidR="006143CA" w:rsidRPr="0002056A">
        <w:rPr>
          <w:rFonts w:ascii="Georgia" w:hAnsi="Georgia" w:cs="Calibri"/>
          <w:sz w:val="20"/>
          <w:szCs w:val="20"/>
          <w:lang w:val="en-GB"/>
        </w:rPr>
        <w:t>progress;</w:t>
      </w:r>
      <w:r w:rsidRPr="0002056A">
        <w:rPr>
          <w:rFonts w:ascii="Georgia" w:hAnsi="Georgia" w:cs="Calibri"/>
          <w:sz w:val="20"/>
          <w:szCs w:val="20"/>
          <w:lang w:val="en-GB"/>
        </w:rPr>
        <w:t xml:space="preserve"> the former one did not contain spatially oriented products.</w:t>
      </w:r>
    </w:p>
    <w:p w14:paraId="4DD79405"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62566C6A"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No.</w:t>
      </w:r>
    </w:p>
    <w:p w14:paraId="288A0E3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53509A3D" w14:textId="77777777" w:rsidR="00A710B5"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Yes.</w:t>
      </w:r>
    </w:p>
    <w:p w14:paraId="26DCB124" w14:textId="77777777" w:rsidR="00DA2759" w:rsidRDefault="00DA2759" w:rsidP="00A710B5">
      <w:pPr>
        <w:ind w:left="1701"/>
        <w:jc w:val="both"/>
        <w:rPr>
          <w:rFonts w:ascii="Georgia" w:hAnsi="Georgia" w:cs="Calibri"/>
          <w:sz w:val="20"/>
          <w:szCs w:val="20"/>
          <w:lang w:val="en-GB"/>
        </w:rPr>
      </w:pPr>
    </w:p>
    <w:p w14:paraId="222A3F66" w14:textId="77777777" w:rsidR="00DA2759" w:rsidRPr="0002056A" w:rsidRDefault="00DA2759" w:rsidP="00A710B5">
      <w:pPr>
        <w:ind w:left="1701"/>
        <w:jc w:val="both"/>
        <w:rPr>
          <w:rFonts w:ascii="Georgia" w:hAnsi="Georgia" w:cs="Calibri"/>
          <w:sz w:val="20"/>
          <w:szCs w:val="20"/>
          <w:lang w:val="en-GB"/>
        </w:rPr>
      </w:pPr>
    </w:p>
    <w:p w14:paraId="563A07D3"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The NAS/NAP aims to set up an evaluation system or elaboration of products, but no such products are in practice yet.</w:t>
      </w:r>
    </w:p>
    <w:p w14:paraId="0B4B188D"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Yes, KAnG act is calling mainly the responsible ministries to measure their own progress in adaptation.</w:t>
      </w:r>
    </w:p>
    <w:p w14:paraId="5AF9861A"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319A8C15"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10FCC60B"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highlight w:val="yellow"/>
          <w:lang w:val="en-GB" w:eastAsia="hu-HU"/>
        </w:rPr>
      </w:pPr>
    </w:p>
    <w:p w14:paraId="4C464141"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 have not enough relevant information to answer this question. I basically deal with the federal level.</w:t>
      </w:r>
    </w:p>
    <w:p w14:paraId="3E42295D"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0B39AAF5"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Again, I have not enough relevant information to answer this question.</w:t>
      </w:r>
    </w:p>
    <w:p w14:paraId="3E602822"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European level regional development objectives in your adaptation planning? </w:t>
      </w:r>
    </w:p>
    <w:p w14:paraId="09F083DC" w14:textId="77777777" w:rsidR="00A710B5" w:rsidRPr="0002056A" w:rsidRDefault="00A710B5" w:rsidP="00A710B5">
      <w:pPr>
        <w:ind w:left="1276"/>
        <w:jc w:val="both"/>
        <w:rPr>
          <w:rFonts w:ascii="Georgia" w:hAnsi="Georgia" w:cs="Calibri"/>
          <w:sz w:val="20"/>
          <w:szCs w:val="20"/>
          <w:lang w:val="en-GB"/>
        </w:rPr>
      </w:pPr>
      <w:r w:rsidRPr="0002056A">
        <w:rPr>
          <w:rFonts w:ascii="Georgia" w:hAnsi="Georgia" w:cs="Calibri"/>
          <w:sz w:val="20"/>
          <w:szCs w:val="20"/>
          <w:lang w:val="en-GB"/>
        </w:rPr>
        <w:t>Yes.</w:t>
      </w:r>
    </w:p>
    <w:p w14:paraId="6AFF4ACA"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5EE5063E"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 pressed yes, because I do not know how fare this is done.</w:t>
      </w:r>
    </w:p>
    <w:p w14:paraId="132D50DE"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national level regional development objectives in your adaptation planning? </w:t>
      </w:r>
    </w:p>
    <w:p w14:paraId="4C840E0B" w14:textId="77777777" w:rsidR="00A710B5" w:rsidRPr="0002056A" w:rsidRDefault="00A710B5" w:rsidP="00A710B5">
      <w:pPr>
        <w:ind w:left="1276"/>
        <w:jc w:val="both"/>
        <w:rPr>
          <w:rFonts w:ascii="Georgia" w:hAnsi="Georgia" w:cs="Calibri"/>
          <w:sz w:val="20"/>
          <w:szCs w:val="20"/>
          <w:lang w:val="en-GB"/>
        </w:rPr>
      </w:pPr>
      <w:r w:rsidRPr="0002056A">
        <w:rPr>
          <w:rFonts w:ascii="Georgia" w:hAnsi="Georgia" w:cs="Calibri"/>
          <w:sz w:val="20"/>
          <w:szCs w:val="20"/>
          <w:lang w:val="en-GB"/>
        </w:rPr>
        <w:t>Yes.</w:t>
      </w:r>
    </w:p>
    <w:p w14:paraId="011B9B1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1B193B5D"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 do not know exactly.</w:t>
      </w:r>
    </w:p>
    <w:p w14:paraId="3207243F"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57065279" w14:textId="0AAD0894" w:rsidR="000A61E2" w:rsidRDefault="00A710B5" w:rsidP="00A710B5">
      <w:pPr>
        <w:ind w:left="1276"/>
        <w:jc w:val="both"/>
        <w:rPr>
          <w:rFonts w:ascii="Georgia" w:hAnsi="Georgia" w:cs="Calibri"/>
          <w:sz w:val="20"/>
          <w:szCs w:val="20"/>
          <w:lang w:val="en-GB"/>
        </w:rPr>
      </w:pPr>
      <w:r w:rsidRPr="0002056A">
        <w:rPr>
          <w:rFonts w:ascii="Georgia" w:hAnsi="Georgia" w:cs="Calibri"/>
          <w:sz w:val="20"/>
          <w:szCs w:val="20"/>
          <w:lang w:val="en-GB"/>
        </w:rPr>
        <w:t>We must see that Germany has a federal structure, so the issue of spatial analysis is a difficult question, spatial issues are mostly present in the climate risk assessment.</w:t>
      </w:r>
    </w:p>
    <w:p w14:paraId="2B2EC01A" w14:textId="77777777" w:rsidR="000A61E2" w:rsidRDefault="000A61E2">
      <w:pPr>
        <w:spacing w:after="160" w:line="259" w:lineRule="auto"/>
        <w:rPr>
          <w:rFonts w:ascii="Georgia" w:hAnsi="Georgia" w:cs="Calibri"/>
          <w:sz w:val="20"/>
          <w:szCs w:val="20"/>
          <w:lang w:val="en-GB"/>
        </w:rPr>
      </w:pPr>
      <w:r>
        <w:rPr>
          <w:rFonts w:ascii="Georgia" w:hAnsi="Georgia" w:cs="Calibri"/>
          <w:sz w:val="20"/>
          <w:szCs w:val="20"/>
          <w:lang w:val="en-GB"/>
        </w:rPr>
        <w:br w:type="page"/>
      </w:r>
    </w:p>
    <w:p w14:paraId="5ABFC9C9" w14:textId="77777777" w:rsidR="00A710B5" w:rsidRPr="0002056A" w:rsidRDefault="00A710B5" w:rsidP="00A710B5">
      <w:pPr>
        <w:ind w:left="1276"/>
        <w:jc w:val="both"/>
        <w:rPr>
          <w:rFonts w:ascii="Georgia" w:hAnsi="Georgia" w:cs="Calibri"/>
          <w:sz w:val="20"/>
          <w:szCs w:val="20"/>
          <w:lang w:val="en-GB"/>
        </w:rPr>
      </w:pPr>
    </w:p>
    <w:p w14:paraId="2896DC64" w14:textId="77777777" w:rsidR="00A710B5" w:rsidRPr="0002056A" w:rsidRDefault="00A710B5" w:rsidP="00A710B5">
      <w:pPr>
        <w:pStyle w:val="Cmsor4"/>
        <w:rPr>
          <w:sz w:val="24"/>
          <w:szCs w:val="24"/>
          <w:lang w:val="en-GB"/>
        </w:rPr>
      </w:pPr>
      <w:r w:rsidRPr="0002056A">
        <w:rPr>
          <w:sz w:val="24"/>
          <w:szCs w:val="24"/>
          <w:lang w:val="en-GB"/>
        </w:rPr>
        <w:t>Türkiye</w:t>
      </w:r>
    </w:p>
    <w:p w14:paraId="3E919DD4"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 Neslihan Ağartan</w:t>
      </w:r>
    </w:p>
    <w:p w14:paraId="73609C03"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w:t>
      </w:r>
      <w:r w:rsidRPr="0002056A">
        <w:rPr>
          <w:rFonts w:ascii="Georgia" w:hAnsi="Georgia"/>
          <w:b/>
          <w:bCs/>
          <w:sz w:val="20"/>
          <w:szCs w:val="20"/>
          <w:lang w:val="en-GB"/>
        </w:rPr>
        <w:t xml:space="preserve"> </w:t>
      </w:r>
      <w:r w:rsidRPr="0002056A">
        <w:rPr>
          <w:rFonts w:ascii="Georgia" w:hAnsi="Georgia" w:cs="Calibri"/>
          <w:b/>
          <w:bCs/>
          <w:sz w:val="20"/>
          <w:szCs w:val="20"/>
          <w:lang w:val="en-GB"/>
        </w:rPr>
        <w:t>Türkiye</w:t>
      </w:r>
    </w:p>
    <w:p w14:paraId="5C4E22A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Directorate of Climate Change, Ministry of Environment, Urbanization and Climate Change</w:t>
      </w:r>
    </w:p>
    <w:p w14:paraId="3C94AC19"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 Expert</w:t>
      </w:r>
    </w:p>
    <w:p w14:paraId="2E9B1AD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 2025.08.13.</w:t>
      </w:r>
    </w:p>
    <w:p w14:paraId="0F618931" w14:textId="77777777" w:rsidR="00A710B5" w:rsidRPr="0002056A" w:rsidRDefault="00A710B5" w:rsidP="00A710B5">
      <w:pPr>
        <w:jc w:val="center"/>
        <w:rPr>
          <w:rFonts w:ascii="Georgia" w:hAnsi="Georgia" w:cs="Calibri"/>
          <w:b/>
          <w:sz w:val="20"/>
          <w:szCs w:val="20"/>
          <w:lang w:val="en-GB"/>
        </w:rPr>
      </w:pPr>
    </w:p>
    <w:p w14:paraId="2BD8E389"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3A9DC43B"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What kind of planning documents does exist in your country at national level? NAS? NAP? CCRA? CVA? Please name the actual documents with exact title and availability. </w:t>
      </w:r>
    </w:p>
    <w:p w14:paraId="517DCD85" w14:textId="23716EE2"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 xml:space="preserve">Here in </w:t>
      </w:r>
      <w:r w:rsidR="006143CA" w:rsidRPr="0002056A">
        <w:rPr>
          <w:rFonts w:ascii="Georgia" w:hAnsi="Georgia" w:cs="Calibri"/>
          <w:sz w:val="20"/>
          <w:szCs w:val="20"/>
          <w:lang w:val="en-GB"/>
        </w:rPr>
        <w:t>Türkiye,</w:t>
      </w:r>
      <w:r w:rsidRPr="0002056A">
        <w:rPr>
          <w:rFonts w:ascii="Georgia" w:hAnsi="Georgia" w:cs="Calibri"/>
          <w:sz w:val="20"/>
          <w:szCs w:val="20"/>
          <w:lang w:val="en-GB"/>
        </w:rPr>
        <w:t xml:space="preserve"> we have National Adaptation Strategy and Action Plan (NASAP) (2024-2030) (https://iklim.gov.tr/db/turkce/icerikler/files/Uyum(1).pdf) in a single document. As a preliminary study for the preparation of NASAP, vulnerability and risk analysis (VRA) have been conducted, but the detailed report has not been published.</w:t>
      </w:r>
    </w:p>
    <w:p w14:paraId="6242491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23FB1F7F"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In response to the needs that emerged following natural disasters such as floods and landslides in 2019, which caused significant loss of life and property, the Black Sea Region Climate Change Action Plan were prepared, where the needs and solution proposals identified that should be addressed at the regional level in order to increase the resilience of the Black Sea Region against climate change.</w:t>
      </w:r>
    </w:p>
    <w:p w14:paraId="73F415B0"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In 2021, vulnerability and risk analyses were conducted for 4 different provinces as a pilot application, and based on these, local climate change adaptation strategy and action plans of these provinces were prepared.</w:t>
      </w:r>
    </w:p>
    <w:p w14:paraId="75F0F6DF"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As an ongoing study, after the completion of the climate projections being updated according to the IPCC SSP scenarios, vulnerability and risk analyses will be conducted for the priority sectors of all 12 NUTS1 regions of Türkiye.</w:t>
      </w:r>
    </w:p>
    <w:p w14:paraId="383BC59E"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The Climate Law was published in July 2025. According to this law, the local governments of all 81 provinces will prepare local climate change action plans covering the entire provincial boundaries by 2028.</w:t>
      </w:r>
    </w:p>
    <w:p w14:paraId="68191AEF"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sectoral strategic documents dealing directly with adaptation? (sectoral adaptation strategies, programs, action plans)? </w:t>
      </w:r>
    </w:p>
    <w:p w14:paraId="262B292E"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Although there is no sector-specific strategic document focused on adaptation, NASAP defines the strategic directions and action lines that 11 sectors (water resources management, agriculture and food security, biodiversity and ecosystem services, urban, public health, energy, industry, transportation and communication, tourism and cultural heritage, social development and disaster risk management) need to implement for adaptation.</w:t>
      </w:r>
    </w:p>
    <w:p w14:paraId="60D781D5" w14:textId="77777777" w:rsidR="00A710B5" w:rsidRPr="0002056A" w:rsidRDefault="00A710B5" w:rsidP="00A710B5">
      <w:pPr>
        <w:pStyle w:val="Listaszerbekezds"/>
        <w:numPr>
          <w:ilvl w:val="0"/>
          <w:numId w:val="12"/>
        </w:numPr>
        <w:ind w:left="1440"/>
        <w:jc w:val="both"/>
        <w:rPr>
          <w:rFonts w:ascii="Georgia" w:hAnsi="Georgia" w:cs="Calibri"/>
          <w:sz w:val="20"/>
          <w:szCs w:val="20"/>
          <w:lang w:val="en-GB"/>
        </w:rPr>
      </w:pPr>
      <w:r w:rsidRPr="0002056A">
        <w:rPr>
          <w:rFonts w:ascii="Georgia" w:hAnsi="Georgia" w:cs="Calibri"/>
          <w:sz w:val="20"/>
          <w:szCs w:val="20"/>
          <w:lang w:val="en-GB"/>
        </w:rPr>
        <w:lastRenderedPageBreak/>
        <w:t>Which logic is prevailing in your country regarding climate policy strategic planning, regional or sectoral in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469CA417"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Although the sectoral vulnerability and risk analysis was conducted spatially and provinces were ranked relative to each other, the strategies and actions were written for the entire country. In other words, the sectoral approach prevails in Türkiye's NASAP (2024-2030).</w:t>
      </w:r>
    </w:p>
    <w:p w14:paraId="024FECC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find it useful to strengthen the spatial focus of adaptation planning or find the sectoral orientation better?</w:t>
      </w:r>
    </w:p>
    <w:p w14:paraId="4F3B9A1C"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 find it more useful to strengthen the spatial focus in adaptation planning. For this reason, I consider it necessary to prepare local climate change action plans to further detail adaptation planning.</w:t>
      </w:r>
    </w:p>
    <w:p w14:paraId="3C93FBC4"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see potential in climate adaptation to improve cooperation with other countries in the field of adaptation? </w:t>
      </w:r>
    </w:p>
    <w:p w14:paraId="142E65A6"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Yes.</w:t>
      </w:r>
    </w:p>
    <w:p w14:paraId="52FE43C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for what purposes? To gain new experiences in adaptation? To gain new markets for your country’s adaptation- oriented or green economy? To disseminate your best practices/knowledge?</w:t>
      </w:r>
    </w:p>
    <w:p w14:paraId="7F7C2001"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It could be to gain new experiences in adaptation.</w:t>
      </w:r>
    </w:p>
    <w:p w14:paraId="57E4D553"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w:t>
      </w:r>
    </w:p>
    <w:p w14:paraId="00D8C0E0"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166BFE2F"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48031C61" w14:textId="77777777" w:rsidR="00A710B5" w:rsidRPr="0002056A" w:rsidRDefault="00A710B5" w:rsidP="00A710B5">
      <w:pPr>
        <w:jc w:val="both"/>
        <w:rPr>
          <w:rFonts w:ascii="Georgia" w:eastAsia="Times New Roman" w:hAnsi="Georgia" w:cs="Calibri"/>
          <w:sz w:val="20"/>
          <w:szCs w:val="20"/>
          <w:highlight w:val="yellow"/>
          <w:lang w:val="en-GB" w:eastAsia="hu-HU"/>
        </w:rPr>
      </w:pPr>
      <w:r w:rsidRPr="0002056A">
        <w:rPr>
          <w:rFonts w:ascii="Georgia" w:eastAsia="Times New Roman" w:hAnsi="Georgia" w:cs="Calibri"/>
          <w:sz w:val="20"/>
          <w:szCs w:val="20"/>
          <w:lang w:val="en-GB" w:eastAsia="hu-HU"/>
        </w:rPr>
        <w:t>We monitor the implementation status of climate actions, but the data is not spatial.</w:t>
      </w:r>
    </w:p>
    <w:p w14:paraId="3A64894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3DF2FDE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2E04291E"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70AA2A54"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4B26CED4"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are indicator sets developed for monitoring adaptation actions. In the monitoring process, the action owners enter data related to these indicators into the system annually. The first monitoring cycle is being conducted in 2025. After the data entry is completed, the Climate Change Department, as the coordinator, will prepare a monitoring report.</w:t>
      </w:r>
    </w:p>
    <w:p w14:paraId="2AD96DAA"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7250D3A5" w14:textId="77777777" w:rsidR="00A710B5"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 Data is being collected for the entire country, but there is no spatial aggregation.</w:t>
      </w:r>
    </w:p>
    <w:p w14:paraId="5BD53E33" w14:textId="77777777" w:rsidR="006237D8" w:rsidRPr="0002056A" w:rsidRDefault="006237D8" w:rsidP="00A710B5">
      <w:pPr>
        <w:jc w:val="both"/>
        <w:rPr>
          <w:rFonts w:ascii="Georgia" w:eastAsia="Times New Roman" w:hAnsi="Georgia" w:cs="Calibri"/>
          <w:sz w:val="20"/>
          <w:szCs w:val="20"/>
          <w:highlight w:val="yellow"/>
          <w:lang w:val="en-GB" w:eastAsia="hu-HU"/>
        </w:rPr>
      </w:pPr>
    </w:p>
    <w:p w14:paraId="21D44652"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lastRenderedPageBreak/>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679A887C"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E72EEF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0A454AA0"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F4CA302"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Does any GIS based DS system being used in climate (adaptation) policy in your country? </w:t>
      </w:r>
    </w:p>
    <w:p w14:paraId="5A16571F"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2619207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is it a mono- (it deals only with 1-2 vulnerability topics) or multi thematic DS (covering several climate impacts/vulnerability topics)? </w:t>
      </w:r>
    </w:p>
    <w:p w14:paraId="2CFF7E20"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09665FE"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it utilised in adaptation planning and MRE?</w:t>
      </w:r>
    </w:p>
    <w:p w14:paraId="04D3AF59"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7FA964A"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 other adaptation-related website functioning /planned (knowledge collector and dissemination sites)?</w:t>
      </w:r>
    </w:p>
    <w:p w14:paraId="73646E1F"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a portal (https://iklimportal.gov.tr/projects) where publications and projects related to climate adaptation policy and developments in the country are uploaded.</w:t>
      </w:r>
    </w:p>
    <w:p w14:paraId="6EE181E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does your country plan to set up such a system?</w:t>
      </w:r>
    </w:p>
    <w:p w14:paraId="5C41C227"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1C22B68" w14:textId="77777777" w:rsidR="00A710B5" w:rsidRPr="0002056A" w:rsidRDefault="00A710B5" w:rsidP="00A710B5">
      <w:pPr>
        <w:pStyle w:val="Listaszerbekezds"/>
        <w:spacing w:before="120" w:afterLines="120" w:after="288" w:line="240" w:lineRule="auto"/>
        <w:jc w:val="both"/>
        <w:rPr>
          <w:rFonts w:ascii="Georgia" w:eastAsia="Times New Roman" w:hAnsi="Georgia" w:cs="Calibri"/>
          <w:sz w:val="20"/>
          <w:szCs w:val="20"/>
          <w:lang w:val="en-GB" w:eastAsia="hu-HU"/>
        </w:rPr>
      </w:pPr>
    </w:p>
    <w:p w14:paraId="71081B6E"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5F114551"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349D261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0BCB2F41" w14:textId="77777777" w:rsidR="00A710B5" w:rsidRPr="0002056A" w:rsidRDefault="00A710B5" w:rsidP="00A710B5">
      <w:pPr>
        <w:spacing w:before="120" w:afterLines="120" w:after="288" w:line="240" w:lineRule="auto"/>
        <w:jc w:val="both"/>
        <w:rPr>
          <w:rFonts w:ascii="Georgia" w:eastAsia="Times New Roman" w:hAnsi="Georgia" w:cs="Calibri"/>
          <w:sz w:val="20"/>
          <w:szCs w:val="20"/>
          <w:highlight w:val="yellow"/>
          <w:lang w:val="en-GB" w:eastAsia="hu-HU"/>
        </w:rPr>
      </w:pPr>
      <w:r w:rsidRPr="0002056A">
        <w:rPr>
          <w:rFonts w:ascii="Georgia" w:eastAsia="Times New Roman" w:hAnsi="Georgia" w:cs="Calibri"/>
          <w:sz w:val="20"/>
          <w:szCs w:val="20"/>
          <w:lang w:val="en-GB" w:eastAsia="hu-HU"/>
        </w:rPr>
        <w:t>The NASAP monitoring report is planned to be presented at the coordination committee where senior executives of all institutions, but there is no plan to prepare a related document.</w:t>
      </w:r>
    </w:p>
    <w:p w14:paraId="0CE07D8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1B3B4369"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4B95D78E"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4E7B3635"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67DB5E00"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65B22287"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7DE390E5"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1E3AAB10" w14:textId="3765774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NAS/NAP aims to set up an evaluation system or elaboration of </w:t>
      </w:r>
      <w:r w:rsidR="0092109C" w:rsidRPr="0002056A">
        <w:rPr>
          <w:rFonts w:ascii="Georgia" w:eastAsia="Times New Roman" w:hAnsi="Georgia" w:cs="Calibri"/>
          <w:sz w:val="20"/>
          <w:szCs w:val="20"/>
          <w:lang w:val="en-GB" w:eastAsia="hu-HU"/>
        </w:rPr>
        <w:t>products,</w:t>
      </w:r>
      <w:r w:rsidRPr="0002056A">
        <w:rPr>
          <w:rFonts w:ascii="Georgia" w:eastAsia="Times New Roman" w:hAnsi="Georgia" w:cs="Calibri"/>
          <w:sz w:val="20"/>
          <w:szCs w:val="20"/>
          <w:lang w:val="en-GB" w:eastAsia="hu-HU"/>
        </w:rPr>
        <w:t xml:space="preserve"> but no such products are in practice yet.</w:t>
      </w:r>
    </w:p>
    <w:p w14:paraId="4BC140AE"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4FDB3212"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271CB4BB"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134E3BC2" w14:textId="77777777" w:rsidR="00A710B5" w:rsidRPr="0002056A" w:rsidRDefault="00A710B5" w:rsidP="00A710B5">
      <w:pPr>
        <w:pStyle w:val="Listaszerbekezds"/>
        <w:spacing w:before="120" w:afterLines="120" w:after="288" w:line="240" w:lineRule="auto"/>
        <w:ind w:firstLine="1407"/>
        <w:jc w:val="both"/>
        <w:rPr>
          <w:rFonts w:ascii="Georgia" w:eastAsia="Times New Roman" w:hAnsi="Georgia" w:cs="Calibri"/>
          <w:sz w:val="20"/>
          <w:szCs w:val="20"/>
          <w:lang w:val="en-GB" w:eastAsia="hu-HU"/>
        </w:rPr>
      </w:pPr>
    </w:p>
    <w:p w14:paraId="3B574271" w14:textId="77777777" w:rsidR="00A710B5" w:rsidRPr="0002056A" w:rsidRDefault="00A710B5" w:rsidP="00A710B5">
      <w:pPr>
        <w:pStyle w:val="Listaszerbekezds"/>
        <w:spacing w:before="120" w:afterLines="120" w:after="288" w:line="240" w:lineRule="auto"/>
        <w:ind w:firstLine="140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1D9CAF09"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highlight w:val="yellow"/>
          <w:lang w:val="en-GB" w:eastAsia="hu-HU"/>
        </w:rPr>
      </w:pPr>
    </w:p>
    <w:p w14:paraId="1EF3B8C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070448DE" w14:textId="77777777" w:rsidR="00A710B5" w:rsidRPr="0002056A" w:rsidRDefault="00A710B5" w:rsidP="00A710B5">
      <w:pPr>
        <w:pStyle w:val="Listaszerbekezds"/>
        <w:spacing w:before="120" w:afterLines="120" w:after="288" w:line="240" w:lineRule="auto"/>
        <w:ind w:firstLine="1407"/>
        <w:jc w:val="both"/>
        <w:rPr>
          <w:rFonts w:ascii="Georgia" w:eastAsia="Times New Roman" w:hAnsi="Georgia" w:cs="Calibri"/>
          <w:sz w:val="20"/>
          <w:szCs w:val="20"/>
          <w:lang w:val="en-GB" w:eastAsia="hu-HU"/>
        </w:rPr>
      </w:pPr>
    </w:p>
    <w:p w14:paraId="4A6C2452" w14:textId="77777777" w:rsidR="00A710B5" w:rsidRDefault="00A710B5" w:rsidP="00A710B5">
      <w:pPr>
        <w:pStyle w:val="Listaszerbekezds"/>
        <w:spacing w:before="120" w:afterLines="120" w:after="288" w:line="240" w:lineRule="auto"/>
        <w:ind w:firstLine="140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information available yet.</w:t>
      </w:r>
    </w:p>
    <w:p w14:paraId="15D6DDE5" w14:textId="77777777" w:rsidR="000A61E2" w:rsidRPr="0002056A" w:rsidRDefault="000A61E2" w:rsidP="00A710B5">
      <w:pPr>
        <w:pStyle w:val="Listaszerbekezds"/>
        <w:spacing w:before="120" w:afterLines="120" w:after="288" w:line="240" w:lineRule="auto"/>
        <w:ind w:firstLine="1407"/>
        <w:jc w:val="both"/>
        <w:rPr>
          <w:rFonts w:ascii="Georgia" w:eastAsia="Times New Roman" w:hAnsi="Georgia" w:cs="Calibri"/>
          <w:sz w:val="20"/>
          <w:szCs w:val="20"/>
          <w:lang w:val="en-GB" w:eastAsia="hu-HU"/>
        </w:rPr>
      </w:pPr>
    </w:p>
    <w:p w14:paraId="31BA360E"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highlight w:val="yellow"/>
          <w:lang w:val="en-GB" w:eastAsia="hu-HU"/>
        </w:rPr>
      </w:pPr>
    </w:p>
    <w:p w14:paraId="4FB88FE0"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European level regional development objectives in your adaptation planning? </w:t>
      </w:r>
    </w:p>
    <w:p w14:paraId="76746794"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No.</w:t>
      </w:r>
    </w:p>
    <w:p w14:paraId="6AB6857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772BD576"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w:t>
      </w:r>
    </w:p>
    <w:p w14:paraId="67A913E4"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national level regional development objectives in your adaptation planning? </w:t>
      </w:r>
    </w:p>
    <w:p w14:paraId="5C6CEDC4"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Yes.</w:t>
      </w:r>
    </w:p>
    <w:p w14:paraId="59EA4D2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how?</w:t>
      </w:r>
    </w:p>
    <w:p w14:paraId="0C9F6A14"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Local climate change action plans are expected to take local development elements into account.</w:t>
      </w:r>
    </w:p>
    <w:p w14:paraId="5AB5339E"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748A10A2" w14:textId="77777777" w:rsidR="00A710B5" w:rsidRPr="0002056A" w:rsidRDefault="00A710B5" w:rsidP="00A710B5">
      <w:pPr>
        <w:rPr>
          <w:rFonts w:ascii="Georgia" w:hAnsi="Georgia"/>
          <w:sz w:val="20"/>
          <w:szCs w:val="20"/>
          <w:lang w:val="en-GB"/>
        </w:rPr>
      </w:pPr>
      <w:r w:rsidRPr="0002056A">
        <w:rPr>
          <w:rFonts w:ascii="Georgia" w:hAnsi="Georgia"/>
          <w:sz w:val="20"/>
          <w:szCs w:val="20"/>
          <w:lang w:val="en-GB"/>
        </w:rPr>
        <w:t>Not really.</w:t>
      </w:r>
    </w:p>
    <w:p w14:paraId="6FAD07B1" w14:textId="77777777" w:rsidR="00A710B5" w:rsidRPr="0002056A" w:rsidRDefault="00A710B5" w:rsidP="00A710B5">
      <w:pPr>
        <w:pStyle w:val="Cmsor4"/>
        <w:rPr>
          <w:sz w:val="24"/>
          <w:szCs w:val="24"/>
          <w:lang w:val="en-GB"/>
        </w:rPr>
      </w:pPr>
      <w:r w:rsidRPr="0002056A">
        <w:rPr>
          <w:sz w:val="24"/>
          <w:szCs w:val="24"/>
          <w:lang w:val="en-GB"/>
        </w:rPr>
        <w:t>Sweden</w:t>
      </w:r>
    </w:p>
    <w:p w14:paraId="5C0D006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Timo Persson</w:t>
      </w:r>
    </w:p>
    <w:p w14:paraId="79D5F11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w:t>
      </w:r>
      <w:r w:rsidRPr="0002056A">
        <w:rPr>
          <w:rFonts w:ascii="Georgia" w:hAnsi="Georgia"/>
          <w:b/>
          <w:bCs/>
          <w:sz w:val="20"/>
          <w:szCs w:val="20"/>
          <w:lang w:val="en-GB"/>
        </w:rPr>
        <w:t xml:space="preserve"> </w:t>
      </w:r>
      <w:r w:rsidRPr="0002056A">
        <w:rPr>
          <w:rFonts w:ascii="Georgia" w:hAnsi="Georgia" w:cs="Calibri"/>
          <w:b/>
          <w:bCs/>
          <w:sz w:val="20"/>
          <w:szCs w:val="20"/>
          <w:lang w:val="en-GB"/>
        </w:rPr>
        <w:t>Sweden</w:t>
      </w:r>
    </w:p>
    <w:p w14:paraId="1F8F18F6"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Environmental Protection Agency</w:t>
      </w:r>
    </w:p>
    <w:p w14:paraId="4FBD56EE"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Climate Adaptation Coordinator</w:t>
      </w:r>
    </w:p>
    <w:p w14:paraId="2DBCBFD4"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w:t>
      </w:r>
      <w:r w:rsidRPr="0002056A">
        <w:rPr>
          <w:rFonts w:ascii="Georgia" w:hAnsi="Georgia" w:cs="Calibri"/>
          <w:b/>
          <w:bCs/>
          <w:sz w:val="20"/>
          <w:szCs w:val="20"/>
          <w:lang w:val="en-GB"/>
        </w:rPr>
        <w:t>2025.08.06. 15:53:36</w:t>
      </w:r>
    </w:p>
    <w:p w14:paraId="3D17F9EA"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5BDB4DF0"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In our country there is both a NAS and a NAP (in the same document). It is called the “National Strategy and the Government’s Action Plan for Climate Change Adaptation” (number of the legislation is Skr. 2023/24:97).</w:t>
      </w:r>
    </w:p>
    <w:p w14:paraId="0749D86B"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37002763" w14:textId="0D7323FB"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 xml:space="preserve">Yes, all County Administrative Boards are tasked with having </w:t>
      </w:r>
      <w:r w:rsidR="0092109C" w:rsidRPr="0002056A">
        <w:rPr>
          <w:rFonts w:ascii="Georgia" w:hAnsi="Georgia" w:cs="Calibri"/>
          <w:sz w:val="20"/>
          <w:szCs w:val="20"/>
          <w:lang w:val="en-GB"/>
        </w:rPr>
        <w:t>an</w:t>
      </w:r>
      <w:r w:rsidRPr="0002056A">
        <w:rPr>
          <w:rFonts w:ascii="Georgia" w:hAnsi="Georgia" w:cs="Calibri"/>
          <w:sz w:val="20"/>
          <w:szCs w:val="20"/>
          <w:lang w:val="en-GB"/>
        </w:rPr>
        <w:t xml:space="preserve"> updated climate adaptation plan for their region. A lot of municipalities in Sweden also have local adaptation plans for their municipalities. Some regions also have regional plans which highlights adaptation needs.</w:t>
      </w:r>
    </w:p>
    <w:p w14:paraId="1BF3C261"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7174CCAA" w14:textId="77777777" w:rsidR="00A710B5" w:rsidRDefault="00A710B5" w:rsidP="00A710B5">
      <w:pPr>
        <w:jc w:val="both"/>
        <w:rPr>
          <w:rFonts w:ascii="Georgia" w:hAnsi="Georgia" w:cs="Calibri"/>
          <w:sz w:val="20"/>
          <w:szCs w:val="20"/>
          <w:lang w:val="en-GB"/>
        </w:rPr>
      </w:pPr>
      <w:r w:rsidRPr="0002056A">
        <w:rPr>
          <w:rFonts w:ascii="Georgia" w:hAnsi="Georgia" w:cs="Calibri"/>
          <w:sz w:val="20"/>
          <w:szCs w:val="20"/>
          <w:lang w:val="en-GB"/>
        </w:rPr>
        <w:t>Yes, all sectoral National Agencies answering to the Swedish Decree on adaptation (Förordning (2018:1428) om myndigheters klimatanpassningsarbete) have their own action plans for adaptation within their sector (such as housing, environment, infrastructure, health and so on).</w:t>
      </w:r>
    </w:p>
    <w:p w14:paraId="2297E94D" w14:textId="77777777" w:rsidR="000A61E2" w:rsidRPr="0002056A" w:rsidRDefault="000A61E2" w:rsidP="00A710B5">
      <w:pPr>
        <w:jc w:val="both"/>
        <w:rPr>
          <w:rFonts w:ascii="Georgia" w:hAnsi="Georgia" w:cs="Calibri"/>
          <w:sz w:val="20"/>
          <w:szCs w:val="20"/>
          <w:lang w:val="en-GB"/>
        </w:rPr>
      </w:pPr>
    </w:p>
    <w:p w14:paraId="28DC9643"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317D4F99"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Do not understand clearly the question of "logic". But if it’s the chain of command then: NAP sets out the governments work and goals for adaptation which sets the course for all adaptation work in Sweden from national to regional and local level. Sectoral Agencies have their own adaptation plans and goals set out by themselves and so do the County Administrative Boards. However, the main organisation principle in the elaboration of strategies is a sectoral approach.</w:t>
      </w:r>
    </w:p>
    <w:p w14:paraId="2F637075" w14:textId="15380CC2"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 </w:t>
      </w:r>
    </w:p>
    <w:p w14:paraId="14DE041C"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Yes, there is </w:t>
      </w:r>
      <w:r w:rsidRPr="0002056A">
        <w:rPr>
          <w:rFonts w:ascii="Georgia" w:hAnsi="Georgia" w:cs="Calibri"/>
          <w:sz w:val="20"/>
          <w:szCs w:val="20"/>
          <w:lang w:val="en-GB"/>
        </w:rPr>
        <w:t>a</w:t>
      </w:r>
      <w:r w:rsidRPr="0002056A">
        <w:rPr>
          <w:rFonts w:ascii="Georgia" w:eastAsia="Times New Roman" w:hAnsi="Georgia" w:cs="Calibri"/>
          <w:sz w:val="20"/>
          <w:szCs w:val="20"/>
          <w:lang w:val="en-GB" w:eastAsia="hu-HU"/>
        </w:rPr>
        <w:t xml:space="preserve"> functioning adaptation-related monitoring system.</w:t>
      </w:r>
    </w:p>
    <w:p w14:paraId="24506437"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3B2154BE" w14:textId="22D1B7B1"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To some extent. All national agencies and County Administrative Boards are tasked with reporting their annual work to the government, which is </w:t>
      </w:r>
      <w:r w:rsidR="0092109C" w:rsidRPr="0002056A">
        <w:rPr>
          <w:rFonts w:ascii="Georgia" w:eastAsia="Times New Roman" w:hAnsi="Georgia" w:cs="Calibri"/>
          <w:sz w:val="20"/>
          <w:szCs w:val="20"/>
          <w:lang w:val="en-GB" w:eastAsia="hu-HU"/>
        </w:rPr>
        <w:t>an</w:t>
      </w:r>
      <w:r w:rsidRPr="0002056A">
        <w:rPr>
          <w:rFonts w:ascii="Georgia" w:eastAsia="Times New Roman" w:hAnsi="Georgia" w:cs="Calibri"/>
          <w:sz w:val="20"/>
          <w:szCs w:val="20"/>
          <w:lang w:val="en-GB" w:eastAsia="hu-HU"/>
        </w:rPr>
        <w:t xml:space="preserve"> indicator of how work is progression. The Swedish Expert Council of Adaptation is also tasked with evaluating the adaptation work and the vulnerability status trough a climate and vulnerability analysis. However, a new monitoring system for Sweden with a broader scope is under evaluation/implementation.</w:t>
      </w:r>
    </w:p>
    <w:p w14:paraId="08BCD0C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4EA2D86F"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855E840"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72BBB57D" w14:textId="77777777" w:rsidR="00A710B5" w:rsidRPr="0002056A" w:rsidRDefault="00A710B5" w:rsidP="00A710B5">
      <w:pPr>
        <w:ind w:left="3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 not yet.</w:t>
      </w:r>
    </w:p>
    <w:p w14:paraId="262E7F3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60D40054"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01D870F"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47D31D8B"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921483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 </w:t>
      </w:r>
    </w:p>
    <w:p w14:paraId="5CDB72D0"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9D08ECB"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0102FDE8"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AD35FEE"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4A142592"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01F23E04"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4541C91D"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Sweden there is several GIS-based data sets available for actors to use in their evaluation of climate related risks. This serves as decision support when planning.</w:t>
      </w:r>
    </w:p>
    <w:p w14:paraId="07CD3715"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not, is there any other adaptation-related (e.g. knowledge collector) website is functioning /planned but without signs of GIS/DS system?</w:t>
      </w:r>
    </w:p>
    <w:p w14:paraId="66C6C711" w14:textId="77777777" w:rsidR="00A710B5" w:rsidRPr="0002056A" w:rsidRDefault="00A710B5" w:rsidP="00A710B5">
      <w:pPr>
        <w:pStyle w:val="Listaszerbekezds"/>
        <w:shd w:val="clear" w:color="auto" w:fill="FFFFFF" w:themeFill="background1"/>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2CFB7FB"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(Yes or no) </w:t>
      </w:r>
    </w:p>
    <w:p w14:paraId="25D20C19"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there are evaluations.</w:t>
      </w:r>
    </w:p>
    <w:p w14:paraId="0626F4E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1F8ED369"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551162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52CC6435" w14:textId="77777777" w:rsidR="00A710B5" w:rsidRPr="0002056A" w:rsidRDefault="00A710B5" w:rsidP="00A710B5">
      <w:pPr>
        <w:spacing w:before="120" w:afterLines="120" w:after="288" w:line="240" w:lineRule="auto"/>
        <w:jc w:val="both"/>
        <w:rPr>
          <w:rFonts w:ascii="Georgia" w:eastAsia="Times New Roman" w:hAnsi="Georgia" w:cs="Calibri"/>
          <w:sz w:val="20"/>
          <w:szCs w:val="20"/>
          <w:highlight w:val="yellow"/>
          <w:lang w:val="en-GB" w:eastAsia="hu-HU"/>
        </w:rPr>
      </w:pPr>
      <w:r w:rsidRPr="0002056A">
        <w:rPr>
          <w:rFonts w:ascii="Georgia" w:eastAsia="Times New Roman" w:hAnsi="Georgia" w:cs="Calibri"/>
          <w:sz w:val="20"/>
          <w:szCs w:val="20"/>
          <w:lang w:val="en-GB" w:eastAsia="hu-HU"/>
        </w:rPr>
        <w:t>There are evaluations but they are, however, based on sectors rather than geographical regions to my knowledge in the national climate and vulnerability analysis.</w:t>
      </w:r>
    </w:p>
    <w:p w14:paraId="062D376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0FB2037E"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3DC5975" w14:textId="77777777" w:rsidR="00B055B0" w:rsidRDefault="00A710B5" w:rsidP="00A710B5">
      <w:pPr>
        <w:rPr>
          <w:rFonts w:ascii="Georgia" w:hAnsi="Georgia"/>
          <w:sz w:val="20"/>
          <w:szCs w:val="20"/>
          <w:lang w:val="en-GB"/>
        </w:rPr>
      </w:pPr>
      <w:r w:rsidRPr="0002056A">
        <w:rPr>
          <w:rFonts w:ascii="Georgia" w:eastAsia="Times New Roman" w:hAnsi="Georgia" w:cs="Calibri"/>
          <w:sz w:val="20"/>
          <w:szCs w:val="20"/>
          <w:lang w:val="en-GB" w:eastAsia="hu-HU"/>
        </w:rPr>
        <w:t>GIS-data sets and climate analysis for different climatic indicators are readily available down to regional and even municipal level.</w:t>
      </w:r>
      <w:r w:rsidRPr="0002056A">
        <w:rPr>
          <w:rFonts w:ascii="Georgia" w:hAnsi="Georgia"/>
          <w:sz w:val="20"/>
          <w:szCs w:val="20"/>
          <w:lang w:val="en-GB"/>
        </w:rPr>
        <w:t xml:space="preserve"> But a comprehensive system of spatially focussed evaluations </w:t>
      </w:r>
      <w:r w:rsidR="0092109C" w:rsidRPr="0002056A">
        <w:rPr>
          <w:rFonts w:ascii="Georgia" w:hAnsi="Georgia"/>
          <w:sz w:val="20"/>
          <w:szCs w:val="20"/>
          <w:lang w:val="en-GB"/>
        </w:rPr>
        <w:t>does</w:t>
      </w:r>
      <w:r w:rsidRPr="0002056A">
        <w:rPr>
          <w:rFonts w:ascii="Georgia" w:hAnsi="Georgia"/>
          <w:sz w:val="20"/>
          <w:szCs w:val="20"/>
          <w:lang w:val="en-GB"/>
        </w:rPr>
        <w:t xml:space="preserve"> not exist yet.</w:t>
      </w:r>
    </w:p>
    <w:p w14:paraId="343C5C54" w14:textId="77777777" w:rsidR="000A61E2" w:rsidRPr="0002056A" w:rsidRDefault="000A61E2" w:rsidP="00A710B5">
      <w:pPr>
        <w:rPr>
          <w:rFonts w:ascii="Georgia" w:hAnsi="Georgia"/>
          <w:sz w:val="20"/>
          <w:szCs w:val="20"/>
          <w:lang w:val="en-GB"/>
        </w:rPr>
      </w:pPr>
    </w:p>
    <w:p w14:paraId="22B718C4" w14:textId="77777777" w:rsidR="00A710B5" w:rsidRPr="0002056A" w:rsidRDefault="00A710B5" w:rsidP="00A710B5">
      <w:pPr>
        <w:pStyle w:val="Cmsor4"/>
        <w:rPr>
          <w:sz w:val="24"/>
          <w:szCs w:val="24"/>
          <w:lang w:val="en-GB"/>
        </w:rPr>
      </w:pPr>
      <w:r w:rsidRPr="0002056A">
        <w:rPr>
          <w:sz w:val="24"/>
          <w:szCs w:val="24"/>
          <w:lang w:val="en-GB"/>
        </w:rPr>
        <w:t>Austria</w:t>
      </w:r>
    </w:p>
    <w:p w14:paraId="653DECD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Markus Leitner</w:t>
      </w:r>
    </w:p>
    <w:p w14:paraId="13B40BE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Austria</w:t>
      </w:r>
    </w:p>
    <w:p w14:paraId="7D39C3A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Environment Agency Austria</w:t>
      </w:r>
    </w:p>
    <w:p w14:paraId="2C12FD76"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Head of Team</w:t>
      </w:r>
    </w:p>
    <w:p w14:paraId="6F926903"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w:t>
      </w:r>
      <w:r w:rsidRPr="0002056A">
        <w:rPr>
          <w:rFonts w:ascii="Georgia" w:hAnsi="Georgia" w:cs="Calibri"/>
          <w:b/>
          <w:bCs/>
          <w:sz w:val="20"/>
          <w:szCs w:val="20"/>
          <w:lang w:val="en-GB"/>
        </w:rPr>
        <w:t>2025.10.07.</w:t>
      </w:r>
    </w:p>
    <w:p w14:paraId="5ED38D6D"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74E579D1"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227F445C"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The whole spectrum of strategic documents is available: Austria has a national level strategy (NAS), a national level action plan (NAP), risk assessment (CCRA), vulnerability assessment (CVA) and several regional strategies (RAPs).</w:t>
      </w:r>
    </w:p>
    <w:p w14:paraId="076E339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29BE3493" w14:textId="77777777" w:rsidR="00A710B5" w:rsidRDefault="00A710B5" w:rsidP="00A710B5">
      <w:pPr>
        <w:jc w:val="both"/>
        <w:rPr>
          <w:rFonts w:ascii="Georgia" w:hAnsi="Georgia" w:cs="Calibri"/>
          <w:sz w:val="20"/>
          <w:szCs w:val="20"/>
          <w:lang w:val="en-GB"/>
        </w:rPr>
      </w:pPr>
      <w:r w:rsidRPr="0002056A">
        <w:rPr>
          <w:rFonts w:ascii="Georgia" w:hAnsi="Georgia" w:cs="Calibri"/>
          <w:sz w:val="20"/>
          <w:szCs w:val="20"/>
          <w:lang w:val="en-GB"/>
        </w:rPr>
        <w:t>Yes, we have nine regional adaptation programmes (RAPs). These are partly strategies, partly action plans, partly programs supporting adaptation.</w:t>
      </w:r>
    </w:p>
    <w:p w14:paraId="1969A33B" w14:textId="77777777" w:rsidR="00B055B0" w:rsidRDefault="00B055B0" w:rsidP="00A710B5">
      <w:pPr>
        <w:jc w:val="both"/>
        <w:rPr>
          <w:rFonts w:ascii="Georgia" w:hAnsi="Georgia" w:cs="Calibri"/>
          <w:sz w:val="20"/>
          <w:szCs w:val="20"/>
          <w:lang w:val="en-GB"/>
        </w:rPr>
      </w:pPr>
    </w:p>
    <w:p w14:paraId="327C1CAE" w14:textId="77777777" w:rsidR="00B055B0" w:rsidRPr="0002056A" w:rsidRDefault="00B055B0" w:rsidP="00A710B5">
      <w:pPr>
        <w:jc w:val="both"/>
        <w:rPr>
          <w:rFonts w:ascii="Georgia" w:hAnsi="Georgia" w:cs="Calibri"/>
          <w:sz w:val="20"/>
          <w:szCs w:val="20"/>
          <w:lang w:val="en-GB"/>
        </w:rPr>
      </w:pPr>
    </w:p>
    <w:p w14:paraId="00F3A387"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Do you have sectoral strategic documents dealing directly with climate adaptation? (sectoral adaptation strategies, programs, action plans)?</w:t>
      </w:r>
    </w:p>
    <w:p w14:paraId="1DD52765"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In some sectors, like agriculture, forestry and water sectoral adaptation strategies exist, mostly within ministries in charge of these themes.</w:t>
      </w:r>
    </w:p>
    <w:p w14:paraId="15550DC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7AFD9610"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Due to the responsibilities such as spatial planning, nature conservation and civil protection, the sub-national/regional level (nine units in total) have different adaptation strategies and plans, related to the respective responsibilities.</w:t>
      </w:r>
    </w:p>
    <w:p w14:paraId="6D72F06A"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6D7DF9D5"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14E64CCE"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621D2804"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We only partly monitor spatial changes of climatic factors or vulnerability and/or spatial differences in the effectiveness of climate actions. Mostly the mentioned activities are related to existing hazards, such as hail, wind/storm, flood (30-, 100-, 300-year-frequency events), etc.</w:t>
      </w:r>
    </w:p>
    <w:p w14:paraId="13950F9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58843ADF"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3D35221"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3D02A304"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2934A0EE"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630E8115"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Ministry in charge of adaptation policy and the Environment Agency of Austria.</w:t>
      </w:r>
    </w:p>
    <w:p w14:paraId="3E7AEC6E"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0CCCFDB9"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Indicators are collected only partly from spatial levels, depending on the type of hazard and the related territory.</w:t>
      </w:r>
    </w:p>
    <w:p w14:paraId="2F2E59CE"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20380523"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They measure mainly changes in climate indices, extent of loss and damage, condition changes over time (e.g. tree species changes, changes in pests, etc.).</w:t>
      </w:r>
    </w:p>
    <w:p w14:paraId="2029C644"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7DA7DB2B"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We use a mix of all of them (impact, outcome, output, performance), completed also with some financial information, related to the amount of spending within the Austrian Green Bond initiative.</w:t>
      </w:r>
    </w:p>
    <w:p w14:paraId="2B8FF0DE"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 xml:space="preserve">Are there any GIS based decision support (DS) system in climate (adaptation) policy in your country? </w:t>
      </w:r>
    </w:p>
    <w:p w14:paraId="4C182C05"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565D9E92"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60993050" w14:textId="1EC0183A" w:rsidR="00A710B5" w:rsidRPr="006237D8" w:rsidRDefault="00A710B5" w:rsidP="00A710B5">
      <w:pPr>
        <w:spacing w:before="120" w:afterLines="120" w:after="288" w:line="240" w:lineRule="auto"/>
        <w:jc w:val="both"/>
        <w:rPr>
          <w:rFonts w:ascii="Georgia" w:eastAsia="Times New Roman" w:hAnsi="Georgia" w:cs="Calibri"/>
          <w:sz w:val="20"/>
          <w:szCs w:val="20"/>
          <w:lang w:val="en-GB" w:eastAsia="hu-HU"/>
        </w:rPr>
      </w:pPr>
      <w:r w:rsidRPr="006237D8">
        <w:rPr>
          <w:rFonts w:ascii="Georgia" w:eastAsia="Times New Roman" w:hAnsi="Georgia" w:cs="Calibri"/>
          <w:sz w:val="20"/>
          <w:szCs w:val="20"/>
          <w:lang w:val="en-GB" w:eastAsia="hu-HU"/>
        </w:rPr>
        <w:t xml:space="preserve">HORA - </w:t>
      </w:r>
      <w:hyperlink r:id="rId222" w:history="1">
        <w:r w:rsidRPr="006237D8">
          <w:rPr>
            <w:rStyle w:val="Hiperhivatkozs"/>
            <w:rFonts w:ascii="Georgia" w:eastAsia="Times New Roman" w:hAnsi="Georgia" w:cs="Calibri"/>
            <w:sz w:val="20"/>
            <w:szCs w:val="20"/>
            <w:lang w:val="en-GB" w:eastAsia="hu-HU"/>
          </w:rPr>
          <w:t>https://hora.gv.at</w:t>
        </w:r>
      </w:hyperlink>
      <w:r w:rsidRPr="006237D8">
        <w:rPr>
          <w:rFonts w:ascii="Georgia" w:eastAsia="Times New Roman" w:hAnsi="Georgia" w:cs="Calibri"/>
          <w:sz w:val="20"/>
          <w:szCs w:val="20"/>
          <w:lang w:val="en-GB" w:eastAsia="hu-HU"/>
        </w:rPr>
        <w:t xml:space="preserve">. </w:t>
      </w:r>
      <w:r w:rsidRPr="006237D8">
        <w:rPr>
          <w:rFonts w:ascii="Georgia" w:hAnsi="Georgia"/>
          <w:sz w:val="20"/>
          <w:szCs w:val="20"/>
          <w:lang w:val="en-GB"/>
        </w:rPr>
        <w:t>The project was initiated in 2002, following the severe flood events of recent decades, aiming at setting up a nationwide risk zoning system for natural hazards with a special focus on floods. In 2011, the platform was updated and expanded with a new version of the digital application (hora.gv.at), offering all citizens the possibility to obtain a first-hand risk assessment for various natural hazards and weather events (such as flooding, earthquakes, storms, hail, lightning, and snow load). Its visualization of hazardous areas serves as an important basis for the optimization and prioritization efforts of municipalities, states, and the federal government in flood protection and spatial planning</w:t>
      </w:r>
      <w:r w:rsidR="006237D8" w:rsidRPr="006237D8">
        <w:rPr>
          <w:rFonts w:ascii="Georgia" w:hAnsi="Georgia"/>
          <w:sz w:val="20"/>
          <w:szCs w:val="20"/>
          <w:lang w:val="en-GB"/>
        </w:rPr>
        <w:t>.</w:t>
      </w:r>
    </w:p>
    <w:p w14:paraId="6FDF4EC4"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64DDB002"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7B631D7"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any climate adaptation related evaluations in your country? (Yes or no)</w:t>
      </w:r>
    </w:p>
    <w:p w14:paraId="13A2DB47"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Yes. </w:t>
      </w:r>
    </w:p>
    <w:p w14:paraId="69C2E1E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7461FE3C"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E634C6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72767742"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really. Information obtained from stakeholder workshops and indicators/criteria provide a picture of the progress in adaptation and its implementation over time. But explicitly spatial evaluation documents, even in their title, are not the mainstream.</w:t>
      </w:r>
    </w:p>
    <w:p w14:paraId="45CA249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76E9F025"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are national and subnational evaluations, partly with municipal examples.</w:t>
      </w:r>
    </w:p>
    <w:p w14:paraId="07AEA5FE"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5222C023" w14:textId="49987D54" w:rsidR="00B055B0"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Thank you for Hungary’s effort in this field, I am looking forward to </w:t>
      </w:r>
      <w:r w:rsidR="0092109C" w:rsidRPr="0002056A">
        <w:rPr>
          <w:rFonts w:ascii="Georgia" w:eastAsia="Times New Roman" w:hAnsi="Georgia" w:cs="Calibri"/>
          <w:sz w:val="20"/>
          <w:szCs w:val="20"/>
          <w:lang w:val="en-GB" w:eastAsia="hu-HU"/>
        </w:rPr>
        <w:t>seeing</w:t>
      </w:r>
      <w:r w:rsidRPr="0002056A">
        <w:rPr>
          <w:rFonts w:ascii="Georgia" w:eastAsia="Times New Roman" w:hAnsi="Georgia" w:cs="Calibri"/>
          <w:sz w:val="20"/>
          <w:szCs w:val="20"/>
          <w:lang w:val="en-GB" w:eastAsia="hu-HU"/>
        </w:rPr>
        <w:t xml:space="preserve"> the next steps from your side - warm regards, Markus Leitner.</w:t>
      </w:r>
    </w:p>
    <w:p w14:paraId="7A0CCA24" w14:textId="77777777" w:rsidR="00B055B0" w:rsidRDefault="00B055B0">
      <w:pPr>
        <w:spacing w:after="160" w:line="259" w:lineRule="auto"/>
        <w:rPr>
          <w:rFonts w:ascii="Georgia" w:eastAsia="Times New Roman" w:hAnsi="Georgia" w:cs="Calibri"/>
          <w:sz w:val="20"/>
          <w:szCs w:val="20"/>
          <w:lang w:val="en-GB" w:eastAsia="hu-HU"/>
        </w:rPr>
      </w:pPr>
      <w:r>
        <w:rPr>
          <w:rFonts w:ascii="Georgia" w:eastAsia="Times New Roman" w:hAnsi="Georgia" w:cs="Calibri"/>
          <w:sz w:val="20"/>
          <w:szCs w:val="20"/>
          <w:lang w:val="en-GB" w:eastAsia="hu-HU"/>
        </w:rPr>
        <w:br w:type="page"/>
      </w:r>
    </w:p>
    <w:p w14:paraId="663CE7E1"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p>
    <w:p w14:paraId="1A31E7C4" w14:textId="77777777" w:rsidR="00A710B5" w:rsidRPr="0002056A" w:rsidRDefault="00A710B5" w:rsidP="00A710B5">
      <w:pPr>
        <w:pStyle w:val="Cmsor4"/>
        <w:rPr>
          <w:sz w:val="24"/>
          <w:szCs w:val="24"/>
          <w:lang w:val="en-GB"/>
        </w:rPr>
      </w:pPr>
      <w:r w:rsidRPr="0002056A">
        <w:rPr>
          <w:sz w:val="24"/>
          <w:szCs w:val="24"/>
          <w:lang w:val="en-GB"/>
        </w:rPr>
        <w:t>Estonia</w:t>
      </w:r>
    </w:p>
    <w:p w14:paraId="0795170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Hedy Eeriksoo</w:t>
      </w:r>
    </w:p>
    <w:p w14:paraId="7DA0622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Estonia</w:t>
      </w:r>
    </w:p>
    <w:p w14:paraId="0CE2FF8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Ministry of Climate</w:t>
      </w:r>
    </w:p>
    <w:p w14:paraId="7B72049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Adviser</w:t>
      </w:r>
    </w:p>
    <w:p w14:paraId="6027A65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2025.08.15.</w:t>
      </w:r>
    </w:p>
    <w:p w14:paraId="6C255781" w14:textId="77777777" w:rsidR="00A710B5" w:rsidRPr="0002056A" w:rsidRDefault="00A710B5" w:rsidP="00A710B5">
      <w:pPr>
        <w:rPr>
          <w:rFonts w:ascii="Georgia" w:hAnsi="Georgia"/>
          <w:sz w:val="20"/>
          <w:szCs w:val="20"/>
          <w:lang w:val="en-GB"/>
        </w:rPr>
      </w:pPr>
    </w:p>
    <w:p w14:paraId="6F9AF263"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2651A9F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25F329A6"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 xml:space="preserve">There is a comprehensive NAS (Climate Change Development Plan until 2030), available under the link </w:t>
      </w:r>
      <w:hyperlink r:id="rId223" w:history="1">
        <w:r w:rsidRPr="0002056A">
          <w:rPr>
            <w:rStyle w:val="Hiperhivatkozs"/>
            <w:rFonts w:ascii="Georgia" w:hAnsi="Georgia" w:cs="Calibri"/>
            <w:sz w:val="20"/>
            <w:szCs w:val="20"/>
            <w:lang w:val="en-GB"/>
          </w:rPr>
          <w:t>https://kliimaministeerium.ee/sites/default/files/documents/2021-06/Climate%20Change%20Adaption%20Development%20Plan%20until%202030%20%28in%20English%29.pdf</w:t>
        </w:r>
      </w:hyperlink>
      <w:r w:rsidRPr="0002056A">
        <w:rPr>
          <w:rFonts w:ascii="Georgia" w:hAnsi="Georgia" w:cs="Calibri"/>
          <w:sz w:val="20"/>
          <w:szCs w:val="20"/>
          <w:lang w:val="en-GB"/>
        </w:rPr>
        <w:t>. The strategy has also elements that are rather NAP-like ones.</w:t>
      </w:r>
    </w:p>
    <w:p w14:paraId="7C919DD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7962424F"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77% of our local governments have their own climate and energy plans (SECAPs), which include adaptation plans.</w:t>
      </w:r>
    </w:p>
    <w:p w14:paraId="4996C9DC" w14:textId="77777777" w:rsidR="00A710B5" w:rsidRPr="0002056A" w:rsidRDefault="00A710B5" w:rsidP="00A710B5">
      <w:pPr>
        <w:pStyle w:val="Listaszerbekezds"/>
        <w:ind w:left="1440"/>
        <w:jc w:val="both"/>
        <w:rPr>
          <w:rFonts w:ascii="Georgia" w:hAnsi="Georgia" w:cs="Calibri"/>
          <w:sz w:val="20"/>
          <w:szCs w:val="20"/>
          <w:lang w:val="en-GB"/>
        </w:rPr>
      </w:pPr>
    </w:p>
    <w:p w14:paraId="38CACBD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56FA1B64"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The most vulnerable sectors have adaptation goals and plans integrated into sectoral policies, for example in the</w:t>
      </w:r>
    </w:p>
    <w:p w14:paraId="53F9BEF1" w14:textId="77777777" w:rsidR="00A710B5" w:rsidRPr="0002056A" w:rsidRDefault="00A710B5" w:rsidP="00A710B5">
      <w:pPr>
        <w:pStyle w:val="Listaszerbekezds"/>
        <w:numPr>
          <w:ilvl w:val="1"/>
          <w:numId w:val="14"/>
        </w:numPr>
        <w:jc w:val="both"/>
        <w:rPr>
          <w:rFonts w:ascii="Georgia" w:hAnsi="Georgia" w:cs="Calibri"/>
          <w:sz w:val="20"/>
          <w:szCs w:val="20"/>
          <w:lang w:val="en-GB"/>
        </w:rPr>
      </w:pPr>
      <w:r w:rsidRPr="0002056A">
        <w:rPr>
          <w:rFonts w:ascii="Georgia" w:hAnsi="Georgia" w:cs="Calibri"/>
          <w:sz w:val="20"/>
          <w:szCs w:val="20"/>
          <w:lang w:val="en-GB"/>
        </w:rPr>
        <w:t>Internal Security Development plan (</w:t>
      </w:r>
      <w:hyperlink r:id="rId224" w:history="1">
        <w:r w:rsidRPr="0002056A">
          <w:rPr>
            <w:rStyle w:val="Hiperhivatkozs"/>
            <w:rFonts w:ascii="Georgia" w:hAnsi="Georgia" w:cs="Calibri"/>
            <w:sz w:val="20"/>
            <w:szCs w:val="20"/>
            <w:lang w:val="en-GB"/>
          </w:rPr>
          <w:t>https://www.siseministeerium.ee/sites/default/files/documents/2021-10/siseturvalisuse_arengukava_2020_2030_03.06.2021.pdf</w:t>
        </w:r>
      </w:hyperlink>
      <w:r w:rsidRPr="0002056A">
        <w:rPr>
          <w:rFonts w:ascii="Georgia" w:hAnsi="Georgia" w:cs="Calibri"/>
          <w:sz w:val="20"/>
          <w:szCs w:val="20"/>
          <w:lang w:val="en-GB"/>
        </w:rPr>
        <w:t xml:space="preserve">), </w:t>
      </w:r>
    </w:p>
    <w:p w14:paraId="2F1F07CE" w14:textId="77777777" w:rsidR="00A710B5" w:rsidRPr="0002056A" w:rsidRDefault="00A710B5" w:rsidP="00A710B5">
      <w:pPr>
        <w:pStyle w:val="Listaszerbekezds"/>
        <w:numPr>
          <w:ilvl w:val="1"/>
          <w:numId w:val="14"/>
        </w:numPr>
        <w:jc w:val="both"/>
        <w:rPr>
          <w:rFonts w:ascii="Georgia" w:hAnsi="Georgia" w:cs="Calibri"/>
          <w:sz w:val="20"/>
          <w:szCs w:val="20"/>
          <w:lang w:val="en-GB"/>
        </w:rPr>
      </w:pPr>
      <w:r w:rsidRPr="0002056A">
        <w:rPr>
          <w:rFonts w:ascii="Georgia" w:hAnsi="Georgia" w:cs="Calibri"/>
          <w:sz w:val="20"/>
          <w:szCs w:val="20"/>
          <w:lang w:val="en-GB"/>
        </w:rPr>
        <w:t>Agriculture and Fisheries Development Plan until 2030 (</w:t>
      </w:r>
      <w:hyperlink r:id="rId225" w:history="1">
        <w:r w:rsidRPr="0002056A">
          <w:rPr>
            <w:rStyle w:val="Hiperhivatkozs"/>
            <w:rFonts w:ascii="Georgia" w:hAnsi="Georgia" w:cs="Calibri"/>
            <w:sz w:val="20"/>
            <w:szCs w:val="20"/>
            <w:lang w:val="en-GB"/>
          </w:rPr>
          <w:t>https://www.agri.ee/sites/default/files/documents/2021-09/poka-2030-taistekst.pdf</w:t>
        </w:r>
      </w:hyperlink>
      <w:r w:rsidRPr="0002056A">
        <w:rPr>
          <w:rFonts w:ascii="Georgia" w:hAnsi="Georgia" w:cs="Calibri"/>
          <w:sz w:val="20"/>
          <w:szCs w:val="20"/>
          <w:lang w:val="en-GB"/>
        </w:rPr>
        <w:t xml:space="preserve">), </w:t>
      </w:r>
    </w:p>
    <w:p w14:paraId="547B4506" w14:textId="77777777" w:rsidR="00A710B5" w:rsidRPr="0002056A" w:rsidRDefault="00A710B5" w:rsidP="00A710B5">
      <w:pPr>
        <w:pStyle w:val="Listaszerbekezds"/>
        <w:numPr>
          <w:ilvl w:val="1"/>
          <w:numId w:val="14"/>
        </w:numPr>
        <w:jc w:val="both"/>
        <w:rPr>
          <w:rFonts w:ascii="Georgia" w:hAnsi="Georgia" w:cs="Calibri"/>
          <w:sz w:val="20"/>
          <w:szCs w:val="20"/>
          <w:lang w:val="en-GB"/>
        </w:rPr>
      </w:pPr>
      <w:r w:rsidRPr="0002056A">
        <w:rPr>
          <w:rFonts w:ascii="Georgia" w:hAnsi="Georgia" w:cs="Calibri"/>
          <w:sz w:val="20"/>
          <w:szCs w:val="20"/>
          <w:lang w:val="en-GB"/>
        </w:rPr>
        <w:t>Energy Development Plan 2030 (</w:t>
      </w:r>
      <w:hyperlink r:id="rId226" w:history="1">
        <w:r w:rsidRPr="0002056A">
          <w:rPr>
            <w:rStyle w:val="Hiperhivatkozs"/>
            <w:rFonts w:ascii="Georgia" w:hAnsi="Georgia" w:cs="Calibri"/>
            <w:sz w:val="20"/>
            <w:szCs w:val="20"/>
            <w:lang w:val="en-GB"/>
          </w:rPr>
          <w:t>https://kliimaministeerium.ee/sites/default/files/documents/2023-07/Energiamajanduse%20arengukava%20aastani%202030.pdf</w:t>
        </w:r>
      </w:hyperlink>
      <w:r w:rsidRPr="0002056A">
        <w:rPr>
          <w:rFonts w:ascii="Georgia" w:hAnsi="Georgia" w:cs="Calibri"/>
          <w:sz w:val="20"/>
          <w:szCs w:val="20"/>
          <w:lang w:val="en-GB"/>
        </w:rPr>
        <w:t xml:space="preserve">), </w:t>
      </w:r>
    </w:p>
    <w:p w14:paraId="1813D332" w14:textId="77777777" w:rsidR="00A710B5" w:rsidRPr="0002056A" w:rsidRDefault="00A710B5" w:rsidP="00A710B5">
      <w:pPr>
        <w:pStyle w:val="Listaszerbekezds"/>
        <w:numPr>
          <w:ilvl w:val="1"/>
          <w:numId w:val="14"/>
        </w:numPr>
        <w:jc w:val="both"/>
        <w:rPr>
          <w:rFonts w:ascii="Georgia" w:hAnsi="Georgia" w:cs="Calibri"/>
          <w:sz w:val="20"/>
          <w:szCs w:val="20"/>
          <w:lang w:val="en-GB"/>
        </w:rPr>
      </w:pPr>
      <w:r w:rsidRPr="0002056A">
        <w:rPr>
          <w:rFonts w:ascii="Georgia" w:hAnsi="Georgia" w:cs="Calibri"/>
          <w:sz w:val="20"/>
          <w:szCs w:val="20"/>
          <w:lang w:val="en-GB"/>
        </w:rPr>
        <w:t>Transport and Mobility Development Plan 2021–2035 (</w:t>
      </w:r>
      <w:hyperlink r:id="rId227" w:history="1">
        <w:r w:rsidRPr="0002056A">
          <w:rPr>
            <w:rStyle w:val="Hiperhivatkozs"/>
            <w:rFonts w:ascii="Georgia" w:hAnsi="Georgia" w:cs="Calibri"/>
            <w:sz w:val="20"/>
            <w:szCs w:val="20"/>
            <w:lang w:val="en-GB"/>
          </w:rPr>
          <w:t>https://www.valitsus.ee/sites/default/files/documents/2021-11/Transpordi%20ja%20liikuvuse%20arengukava%202021%E2%80%932035.pdf</w:t>
        </w:r>
      </w:hyperlink>
      <w:r w:rsidRPr="0002056A">
        <w:rPr>
          <w:rFonts w:ascii="Georgia" w:hAnsi="Georgia" w:cs="Calibri"/>
          <w:sz w:val="20"/>
          <w:szCs w:val="20"/>
          <w:lang w:val="en-GB"/>
        </w:rPr>
        <w:t xml:space="preserve">), </w:t>
      </w:r>
    </w:p>
    <w:p w14:paraId="4B99DABD" w14:textId="77777777" w:rsidR="00A710B5" w:rsidRPr="0002056A" w:rsidRDefault="00A710B5" w:rsidP="00A710B5">
      <w:pPr>
        <w:pStyle w:val="Listaszerbekezds"/>
        <w:numPr>
          <w:ilvl w:val="1"/>
          <w:numId w:val="14"/>
        </w:numPr>
        <w:jc w:val="both"/>
        <w:rPr>
          <w:rFonts w:ascii="Georgia" w:hAnsi="Georgia" w:cs="Calibri"/>
          <w:sz w:val="20"/>
          <w:szCs w:val="20"/>
          <w:lang w:val="en-GB"/>
        </w:rPr>
      </w:pPr>
      <w:r w:rsidRPr="0002056A">
        <w:rPr>
          <w:rFonts w:ascii="Georgia" w:hAnsi="Georgia" w:cs="Calibri"/>
          <w:sz w:val="20"/>
          <w:szCs w:val="20"/>
          <w:lang w:val="en-GB"/>
        </w:rPr>
        <w:t>National Health Plan (</w:t>
      </w:r>
      <w:hyperlink r:id="rId228" w:history="1">
        <w:r w:rsidRPr="0002056A">
          <w:rPr>
            <w:rStyle w:val="Hiperhivatkozs"/>
            <w:rFonts w:ascii="Georgia" w:hAnsi="Georgia" w:cs="Calibri"/>
            <w:sz w:val="20"/>
            <w:szCs w:val="20"/>
            <w:lang w:val="en-GB"/>
          </w:rPr>
          <w:t>https://www.sm.ee/sites/default/files/documents/2023-03/National%20Health%20Plan%202020-2030.pdf</w:t>
        </w:r>
      </w:hyperlink>
      <w:r w:rsidRPr="0002056A">
        <w:rPr>
          <w:rFonts w:ascii="Georgia" w:hAnsi="Georgia" w:cs="Calibri"/>
          <w:sz w:val="20"/>
          <w:szCs w:val="20"/>
          <w:lang w:val="en-GB"/>
        </w:rPr>
        <w:t>).</w:t>
      </w:r>
    </w:p>
    <w:p w14:paraId="686959A0" w14:textId="77777777" w:rsidR="00A710B5" w:rsidRPr="0002056A" w:rsidRDefault="00A710B5" w:rsidP="00A710B5">
      <w:pPr>
        <w:jc w:val="both"/>
        <w:rPr>
          <w:rFonts w:ascii="Georgia" w:hAnsi="Georgia" w:cs="Calibri"/>
          <w:sz w:val="20"/>
          <w:szCs w:val="20"/>
          <w:lang w:val="en-GB"/>
        </w:rPr>
      </w:pPr>
    </w:p>
    <w:p w14:paraId="2CA04E9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1CF35C7C" w14:textId="77777777" w:rsidR="00A710B5" w:rsidRPr="0002056A" w:rsidRDefault="00A710B5" w:rsidP="00A710B5">
      <w:pPr>
        <w:jc w:val="both"/>
        <w:rPr>
          <w:rFonts w:ascii="Georgia" w:hAnsi="Georgia" w:cs="Calibri"/>
          <w:sz w:val="20"/>
          <w:szCs w:val="20"/>
          <w:lang w:val="en-GB"/>
        </w:rPr>
      </w:pPr>
      <w:r w:rsidRPr="0002056A">
        <w:rPr>
          <w:rFonts w:ascii="Georgia" w:hAnsi="Georgia" w:cs="Calibri"/>
          <w:sz w:val="20"/>
          <w:szCs w:val="20"/>
          <w:lang w:val="en-GB"/>
        </w:rPr>
        <w:t>Sectoral policies are sector oriented and regional planning documents are concentrated on regional needs and plans.</w:t>
      </w:r>
    </w:p>
    <w:p w14:paraId="3F2FB6E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24894637"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41577496"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532078B4" w14:textId="4B730AD3"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Monitoring climatic factors is the responsibility of our national meteorological service. For planning we have a </w:t>
      </w:r>
      <w:r w:rsidR="0092109C" w:rsidRPr="0002056A">
        <w:rPr>
          <w:rFonts w:ascii="Georgia" w:eastAsia="Times New Roman" w:hAnsi="Georgia" w:cs="Calibri"/>
          <w:sz w:val="20"/>
          <w:szCs w:val="20"/>
          <w:lang w:val="en-GB" w:eastAsia="hu-HU"/>
        </w:rPr>
        <w:t>so-called</w:t>
      </w:r>
      <w:r w:rsidRPr="0002056A">
        <w:rPr>
          <w:rFonts w:ascii="Georgia" w:eastAsia="Times New Roman" w:hAnsi="Georgia" w:cs="Calibri"/>
          <w:sz w:val="20"/>
          <w:szCs w:val="20"/>
          <w:lang w:val="en-GB" w:eastAsia="hu-HU"/>
        </w:rPr>
        <w:t xml:space="preserve"> Climate Atlas project going on, which will take climate projections into account. New climate projections are calculated and will be available in 2026. After that we plan to renew our climate risk assessments, which will contain vulnerable sectors. Current climate risk assessments are 10 years </w:t>
      </w:r>
      <w:r w:rsidR="0092109C" w:rsidRPr="0002056A">
        <w:rPr>
          <w:rFonts w:ascii="Georgia" w:eastAsia="Times New Roman" w:hAnsi="Georgia" w:cs="Calibri"/>
          <w:sz w:val="20"/>
          <w:szCs w:val="20"/>
          <w:lang w:val="en-GB" w:eastAsia="hu-HU"/>
        </w:rPr>
        <w:t>old but</w:t>
      </w:r>
      <w:r w:rsidRPr="0002056A">
        <w:rPr>
          <w:rFonts w:ascii="Georgia" w:eastAsia="Times New Roman" w:hAnsi="Georgia" w:cs="Calibri"/>
          <w:sz w:val="20"/>
          <w:szCs w:val="20"/>
          <w:lang w:val="en-GB" w:eastAsia="hu-HU"/>
        </w:rPr>
        <w:t xml:space="preserve"> still used for adaptation planning.</w:t>
      </w:r>
    </w:p>
    <w:p w14:paraId="1FC385E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2AF4DA11"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E5E8E47"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5C84F3F0"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738F163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53549951" w14:textId="039811DA"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have some indicators in the </w:t>
      </w:r>
      <w:r w:rsidR="0092109C" w:rsidRPr="0002056A">
        <w:rPr>
          <w:rFonts w:ascii="Georgia" w:eastAsia="Times New Roman" w:hAnsi="Georgia" w:cs="Calibri"/>
          <w:sz w:val="20"/>
          <w:szCs w:val="20"/>
          <w:lang w:val="en-GB" w:eastAsia="hu-HU"/>
        </w:rPr>
        <w:t>NAS,</w:t>
      </w:r>
      <w:r w:rsidRPr="0002056A">
        <w:rPr>
          <w:rFonts w:ascii="Georgia" w:eastAsia="Times New Roman" w:hAnsi="Georgia" w:cs="Calibri"/>
          <w:sz w:val="20"/>
          <w:szCs w:val="20"/>
          <w:lang w:val="en-GB" w:eastAsia="hu-HU"/>
        </w:rPr>
        <w:t xml:space="preserve"> and some indicators are furthermore attributed to sectoral policies, but we feel the current situation is insufficient. We are currently renewing our adaptation-related indicator system.</w:t>
      </w:r>
    </w:p>
    <w:p w14:paraId="6F8AA824"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3561669D"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74AA607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474471E1" w14:textId="233C5844"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have reliable weather data collected since </w:t>
      </w:r>
      <w:r w:rsidR="0092109C" w:rsidRPr="0002056A">
        <w:rPr>
          <w:rFonts w:ascii="Georgia" w:eastAsia="Times New Roman" w:hAnsi="Georgia" w:cs="Calibri"/>
          <w:sz w:val="20"/>
          <w:szCs w:val="20"/>
          <w:lang w:val="en-GB" w:eastAsia="hu-HU"/>
        </w:rPr>
        <w:t>1865,</w:t>
      </w:r>
      <w:r w:rsidRPr="0002056A">
        <w:rPr>
          <w:rFonts w:ascii="Georgia" w:eastAsia="Times New Roman" w:hAnsi="Georgia" w:cs="Calibri"/>
          <w:sz w:val="20"/>
          <w:szCs w:val="20"/>
          <w:lang w:val="en-GB" w:eastAsia="hu-HU"/>
        </w:rPr>
        <w:t xml:space="preserve"> and we will continue to collect this data to observe climatic changes.</w:t>
      </w:r>
    </w:p>
    <w:p w14:paraId="27D18FE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2D89FEC9" w14:textId="3BD9F13D"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have different indicators in place, for example under the NAS we have impact, </w:t>
      </w:r>
      <w:r w:rsidR="0092109C" w:rsidRPr="0002056A">
        <w:rPr>
          <w:rFonts w:ascii="Georgia" w:eastAsia="Times New Roman" w:hAnsi="Georgia" w:cs="Calibri"/>
          <w:sz w:val="20"/>
          <w:szCs w:val="20"/>
          <w:lang w:val="en-GB" w:eastAsia="hu-HU"/>
        </w:rPr>
        <w:t>outcome and</w:t>
      </w:r>
      <w:r w:rsidRPr="0002056A">
        <w:rPr>
          <w:rFonts w:ascii="Georgia" w:eastAsia="Times New Roman" w:hAnsi="Georgia" w:cs="Calibri"/>
          <w:sz w:val="20"/>
          <w:szCs w:val="20"/>
          <w:lang w:val="en-GB" w:eastAsia="hu-HU"/>
        </w:rPr>
        <w:t xml:space="preserve"> performance indicators.</w:t>
      </w:r>
    </w:p>
    <w:p w14:paraId="22004082"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7EB78CBF"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629F6D3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so, please introduce it shortly</w:t>
      </w:r>
    </w:p>
    <w:p w14:paraId="192D3A6F"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We have existing GIS based tools, for example in connection with flood hazard areas, heat islands etc. They are located under the link https://geoportaal.maaamet.ee/eng/web-maps-p35.html. We are also preparing a Climate Atlas with various climate parameters, which will contain historic and future climate projections. The goal of the Climate Atlas is to create an interactive web-based tool for monitoring and displaying climate change, which provides an overview of past and future climate using maps and graphs. The Climate Atlas is a tool for decision-makers, planners, scientists and citizens, which allows them to assess and visualize climate change and the risks associated with it, and to take the necessary measures to prevent risks and adapt to climate change.</w:t>
      </w:r>
    </w:p>
    <w:p w14:paraId="7727864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4257E082" w14:textId="77777777" w:rsidR="00A710B5" w:rsidRPr="0002056A" w:rsidRDefault="00A710B5" w:rsidP="00A710B5">
      <w:pPr>
        <w:pStyle w:val="Listaszerbekezds"/>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04CBF68"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5B57CD00"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52605922"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554848EA"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122117F"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230622D5"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As previously mentioned, the products of our Geoportal are map-based and with different levels of accuracy (</w:t>
      </w:r>
      <w:hyperlink r:id="rId229" w:history="1">
        <w:r w:rsidRPr="0002056A">
          <w:rPr>
            <w:rStyle w:val="Hiperhivatkozs"/>
            <w:rFonts w:ascii="Georgia" w:eastAsia="Times New Roman" w:hAnsi="Georgia" w:cs="Calibri"/>
            <w:sz w:val="20"/>
            <w:szCs w:val="20"/>
            <w:lang w:val="en-GB" w:eastAsia="hu-HU"/>
          </w:rPr>
          <w:t>https://geoportaal.maaamet.ee/eng/web-maps-p35.html</w:t>
        </w:r>
      </w:hyperlink>
      <w:r w:rsidRPr="0002056A">
        <w:rPr>
          <w:rFonts w:ascii="Georgia" w:eastAsia="Times New Roman" w:hAnsi="Georgia" w:cs="Calibri"/>
          <w:sz w:val="20"/>
          <w:szCs w:val="20"/>
          <w:lang w:val="en-GB" w:eastAsia="hu-HU"/>
        </w:rPr>
        <w:t>). The Climate Atlas will also be with a local government level of accuracy.</w:t>
      </w:r>
    </w:p>
    <w:p w14:paraId="3D731C3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040E7E31"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See previous answer (19).</w:t>
      </w:r>
    </w:p>
    <w:p w14:paraId="3B0BDC37"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510C0F95" w14:textId="0EBCD917" w:rsidR="00B055B0" w:rsidRDefault="00A710B5" w:rsidP="00A710B5">
      <w:pPr>
        <w:rPr>
          <w:rFonts w:ascii="Georgia" w:hAnsi="Georgia"/>
          <w:sz w:val="20"/>
          <w:szCs w:val="20"/>
          <w:lang w:val="en-GB"/>
        </w:rPr>
      </w:pPr>
      <w:r w:rsidRPr="0002056A">
        <w:rPr>
          <w:rFonts w:ascii="Georgia" w:hAnsi="Georgia"/>
          <w:sz w:val="20"/>
          <w:szCs w:val="20"/>
          <w:lang w:val="en-GB"/>
        </w:rPr>
        <w:t>-.</w:t>
      </w:r>
    </w:p>
    <w:p w14:paraId="7DE100F9" w14:textId="77777777" w:rsidR="00B055B0" w:rsidRDefault="00B055B0">
      <w:pPr>
        <w:spacing w:after="160" w:line="259" w:lineRule="auto"/>
        <w:rPr>
          <w:rFonts w:ascii="Georgia" w:hAnsi="Georgia"/>
          <w:sz w:val="20"/>
          <w:szCs w:val="20"/>
          <w:lang w:val="en-GB"/>
        </w:rPr>
      </w:pPr>
      <w:r>
        <w:rPr>
          <w:rFonts w:ascii="Georgia" w:hAnsi="Georgia"/>
          <w:sz w:val="20"/>
          <w:szCs w:val="20"/>
          <w:lang w:val="en-GB"/>
        </w:rPr>
        <w:br w:type="page"/>
      </w:r>
    </w:p>
    <w:p w14:paraId="26726C98" w14:textId="77777777" w:rsidR="00A710B5" w:rsidRPr="0002056A" w:rsidRDefault="00A710B5" w:rsidP="00A710B5">
      <w:pPr>
        <w:rPr>
          <w:rFonts w:ascii="Georgia" w:hAnsi="Georgia"/>
          <w:sz w:val="20"/>
          <w:szCs w:val="20"/>
          <w:lang w:val="en-GB"/>
        </w:rPr>
      </w:pPr>
    </w:p>
    <w:p w14:paraId="56BEACA8" w14:textId="77777777" w:rsidR="00A710B5" w:rsidRPr="0002056A" w:rsidRDefault="00A710B5" w:rsidP="00A710B5">
      <w:pPr>
        <w:pStyle w:val="Cmsor4"/>
        <w:rPr>
          <w:sz w:val="24"/>
          <w:szCs w:val="24"/>
          <w:lang w:val="en-GB"/>
        </w:rPr>
      </w:pPr>
      <w:r w:rsidRPr="0002056A">
        <w:rPr>
          <w:sz w:val="24"/>
          <w:szCs w:val="24"/>
          <w:lang w:val="en-GB"/>
        </w:rPr>
        <w:t>Romania</w:t>
      </w:r>
    </w:p>
    <w:p w14:paraId="6BF2879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Valentina Visan</w:t>
      </w:r>
    </w:p>
    <w:p w14:paraId="52488E89"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Romania</w:t>
      </w:r>
    </w:p>
    <w:p w14:paraId="4491002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Ministry of Environment, Waters and Forests</w:t>
      </w:r>
    </w:p>
    <w:p w14:paraId="09BF9E9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senior adviser</w:t>
      </w:r>
    </w:p>
    <w:p w14:paraId="173449E6"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2025.08.06.</w:t>
      </w:r>
    </w:p>
    <w:p w14:paraId="72F98BC2"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6A73881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6D38A282"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Romania has both NAS and NAP document in force.</w:t>
      </w:r>
    </w:p>
    <w:p w14:paraId="30BF525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36C75416" w14:textId="77777777" w:rsidR="00A710B5" w:rsidRPr="0002056A" w:rsidRDefault="00A710B5" w:rsidP="00A710B5">
      <w:pPr>
        <w:pStyle w:val="Listaszerbekezds"/>
        <w:rPr>
          <w:rFonts w:ascii="Georgia" w:hAnsi="Georgia" w:cs="Calibri"/>
          <w:sz w:val="20"/>
          <w:szCs w:val="20"/>
          <w:lang w:val="en-GB"/>
        </w:rPr>
      </w:pPr>
    </w:p>
    <w:p w14:paraId="17F1A078"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No.</w:t>
      </w:r>
    </w:p>
    <w:p w14:paraId="2BA5D238"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137E71C8"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No.</w:t>
      </w:r>
    </w:p>
    <w:p w14:paraId="74DFCB6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488B7F78" w14:textId="77777777" w:rsidR="00A710B5" w:rsidRPr="0002056A" w:rsidRDefault="00A710B5" w:rsidP="00A710B5">
      <w:pPr>
        <w:ind w:firstLine="1560"/>
        <w:jc w:val="both"/>
        <w:rPr>
          <w:rFonts w:ascii="Georgia" w:hAnsi="Georgia" w:cs="Calibri"/>
          <w:sz w:val="20"/>
          <w:szCs w:val="20"/>
          <w:lang w:val="en-GB"/>
        </w:rPr>
      </w:pPr>
      <w:r w:rsidRPr="0002056A">
        <w:rPr>
          <w:rFonts w:ascii="Georgia" w:hAnsi="Georgia" w:cs="Calibri"/>
          <w:sz w:val="20"/>
          <w:szCs w:val="20"/>
          <w:lang w:val="en-GB"/>
        </w:rPr>
        <w:t>Rather sectoral, if I must choose.</w:t>
      </w:r>
    </w:p>
    <w:p w14:paraId="2AA5F00B"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3AF69A7B"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21913B46"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5B9BB70F"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RO-ADAPT.</w:t>
      </w:r>
    </w:p>
    <w:p w14:paraId="7FCA90F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1929323F"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C7969EF"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38E1E7DE" w14:textId="77777777" w:rsidR="00A710B5" w:rsidRDefault="00A710B5" w:rsidP="00A710B5">
      <w:pPr>
        <w:pStyle w:val="Listaszerbekezds"/>
        <w:jc w:val="both"/>
        <w:rPr>
          <w:rFonts w:ascii="Georgia" w:hAnsi="Georgia" w:cs="Calibri"/>
          <w:sz w:val="20"/>
          <w:szCs w:val="20"/>
          <w:lang w:val="en-GB"/>
        </w:rPr>
      </w:pPr>
      <w:r w:rsidRPr="0002056A">
        <w:rPr>
          <w:rFonts w:ascii="Georgia" w:hAnsi="Georgia" w:cs="Calibri"/>
          <w:sz w:val="20"/>
          <w:szCs w:val="20"/>
          <w:lang w:val="en-GB"/>
        </w:rPr>
        <w:t>Yes.</w:t>
      </w:r>
    </w:p>
    <w:p w14:paraId="4691C5DA" w14:textId="77777777" w:rsidR="00B055B0" w:rsidRDefault="00B055B0" w:rsidP="00A710B5">
      <w:pPr>
        <w:pStyle w:val="Listaszerbekezds"/>
        <w:jc w:val="both"/>
        <w:rPr>
          <w:rFonts w:ascii="Georgia" w:hAnsi="Georgia" w:cs="Calibri"/>
          <w:sz w:val="20"/>
          <w:szCs w:val="20"/>
          <w:lang w:val="en-GB"/>
        </w:rPr>
      </w:pPr>
    </w:p>
    <w:p w14:paraId="3BE723B6" w14:textId="77777777" w:rsidR="00B055B0" w:rsidRPr="0002056A" w:rsidRDefault="00B055B0" w:rsidP="00A710B5">
      <w:pPr>
        <w:pStyle w:val="Listaszerbekezds"/>
        <w:jc w:val="both"/>
        <w:rPr>
          <w:rFonts w:ascii="Georgia" w:eastAsia="Times New Roman" w:hAnsi="Georgia" w:cs="Calibri"/>
          <w:sz w:val="20"/>
          <w:szCs w:val="20"/>
          <w:lang w:val="en-GB" w:eastAsia="hu-HU"/>
        </w:rPr>
      </w:pPr>
    </w:p>
    <w:p w14:paraId="4D88F4A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1A1EB60A" w14:textId="77777777" w:rsidR="00A710B5"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Ministry of Environment, Waters and Forests/Climate Change Department</w:t>
      </w:r>
    </w:p>
    <w:p w14:paraId="41295918" w14:textId="77777777" w:rsidR="00AA57C0" w:rsidRPr="0002056A" w:rsidRDefault="00AA57C0" w:rsidP="00A710B5">
      <w:pPr>
        <w:pStyle w:val="Listaszerbekezds"/>
        <w:ind w:left="1440"/>
        <w:jc w:val="both"/>
        <w:rPr>
          <w:rFonts w:ascii="Georgia" w:eastAsia="Times New Roman" w:hAnsi="Georgia" w:cs="Calibri"/>
          <w:sz w:val="20"/>
          <w:szCs w:val="20"/>
          <w:lang w:val="en-GB" w:eastAsia="hu-HU"/>
        </w:rPr>
      </w:pPr>
    </w:p>
    <w:p w14:paraId="273A4B6A"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Are these indicators collected from all spatial levels? Does your monitoring system do any spatial aggregation of indices?</w:t>
      </w:r>
    </w:p>
    <w:p w14:paraId="026BFAAD"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yet.</w:t>
      </w:r>
    </w:p>
    <w:p w14:paraId="037C782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591AE1BD"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752F181"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4407DB52" w14:textId="77777777" w:rsidR="00A710B5" w:rsidRPr="0002056A" w:rsidRDefault="00A710B5" w:rsidP="00A710B5">
      <w:p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 mixture of indicator types.</w:t>
      </w:r>
    </w:p>
    <w:p w14:paraId="7C75C38F"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4CDC3EEF"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3867259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68194E91"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RO-ADAPT, </w:t>
      </w:r>
      <w:hyperlink r:id="rId230" w:history="1">
        <w:r w:rsidRPr="0002056A">
          <w:rPr>
            <w:rStyle w:val="Hiperhivatkozs"/>
            <w:rFonts w:ascii="Georgia" w:eastAsia="Times New Roman" w:hAnsi="Georgia" w:cs="Calibri"/>
            <w:sz w:val="20"/>
            <w:szCs w:val="20"/>
            <w:lang w:val="en-GB" w:eastAsia="hu-HU"/>
          </w:rPr>
          <w:t>https://www.roadapt.ro/</w:t>
        </w:r>
      </w:hyperlink>
      <w:r w:rsidRPr="0002056A">
        <w:rPr>
          <w:rFonts w:ascii="Georgia" w:eastAsia="Times New Roman" w:hAnsi="Georgia" w:cs="Calibri"/>
          <w:sz w:val="20"/>
          <w:szCs w:val="20"/>
          <w:lang w:val="en-GB" w:eastAsia="hu-HU"/>
        </w:rPr>
        <w:t xml:space="preserve">. On the website, </w:t>
      </w:r>
      <w:r w:rsidRPr="0002056A">
        <w:rPr>
          <w:rFonts w:ascii="Georgia" w:eastAsia="Times New Roman" w:hAnsi="Georgia" w:cs="Times New Roman"/>
          <w:color w:val="000000"/>
          <w:sz w:val="20"/>
          <w:szCs w:val="20"/>
          <w:lang w:val="en-GB" w:eastAsia="hu-HU"/>
        </w:rPr>
        <w:t>there is only a climate data-oriented GIS-based system, without risk, vulnerability, sensitivity or adaptive capacity measurements.</w:t>
      </w:r>
    </w:p>
    <w:p w14:paraId="2DE80C8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3A35A0E9" w14:textId="77777777" w:rsidR="00A710B5" w:rsidRPr="0002056A" w:rsidRDefault="00A710B5" w:rsidP="00A710B5">
      <w:pPr>
        <w:pStyle w:val="Listaszerbekezds"/>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66AECE0"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p>
    <w:p w14:paraId="3F0E2C3C"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1DC3D1FD"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7C5BA8B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6364F542"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321D16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336B0987"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Partially spatial, not structured by regions.</w:t>
      </w:r>
    </w:p>
    <w:p w14:paraId="2C5940D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7719EFF7" w14:textId="77777777" w:rsidR="00A710B5" w:rsidRPr="0002056A" w:rsidRDefault="00A710B5" w:rsidP="00A710B5">
      <w:pPr>
        <w:pStyle w:val="Listaszerbekezds"/>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Only national.</w:t>
      </w:r>
    </w:p>
    <w:p w14:paraId="3917D1D7" w14:textId="77777777" w:rsidR="00A710B5"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768A1DC2" w14:textId="644E7B75" w:rsidR="00AA57C0" w:rsidRPr="00AA57C0" w:rsidRDefault="00AA57C0" w:rsidP="00AA57C0">
      <w:pPr>
        <w:spacing w:before="120" w:afterLines="120" w:after="288" w:line="240" w:lineRule="auto"/>
        <w:ind w:left="720" w:firstLine="698"/>
        <w:jc w:val="both"/>
        <w:rPr>
          <w:rFonts w:ascii="Georgia" w:eastAsia="Times New Roman" w:hAnsi="Georgia" w:cs="Calibri"/>
          <w:sz w:val="20"/>
          <w:szCs w:val="20"/>
          <w:lang w:val="en-GB" w:eastAsia="hu-HU"/>
        </w:rPr>
      </w:pPr>
      <w:r w:rsidRPr="00AA57C0">
        <w:rPr>
          <w:rFonts w:ascii="Georgia" w:eastAsia="Times New Roman" w:hAnsi="Georgia" w:cs="Calibri"/>
          <w:sz w:val="20"/>
          <w:szCs w:val="20"/>
          <w:lang w:val="en-GB" w:eastAsia="hu-HU"/>
        </w:rPr>
        <w:t>-.</w:t>
      </w:r>
    </w:p>
    <w:p w14:paraId="61D9E95D" w14:textId="2D51DF93" w:rsidR="00B055B0" w:rsidRDefault="00B055B0">
      <w:pPr>
        <w:spacing w:after="160" w:line="259" w:lineRule="auto"/>
        <w:rPr>
          <w:rFonts w:ascii="Georgia" w:hAnsi="Georgia"/>
          <w:sz w:val="20"/>
          <w:szCs w:val="20"/>
          <w:lang w:val="en-GB"/>
        </w:rPr>
      </w:pPr>
      <w:r>
        <w:rPr>
          <w:rFonts w:ascii="Georgia" w:hAnsi="Georgia"/>
          <w:sz w:val="20"/>
          <w:szCs w:val="20"/>
          <w:lang w:val="en-GB"/>
        </w:rPr>
        <w:br w:type="page"/>
      </w:r>
    </w:p>
    <w:p w14:paraId="38FAD7CE" w14:textId="77777777" w:rsidR="00A710B5" w:rsidRPr="0002056A" w:rsidRDefault="00A710B5" w:rsidP="00A710B5">
      <w:pPr>
        <w:rPr>
          <w:rFonts w:ascii="Georgia" w:hAnsi="Georgia"/>
          <w:sz w:val="20"/>
          <w:szCs w:val="20"/>
          <w:lang w:val="en-GB"/>
        </w:rPr>
      </w:pPr>
    </w:p>
    <w:p w14:paraId="7FDA80D4" w14:textId="77777777" w:rsidR="00A710B5" w:rsidRPr="0002056A" w:rsidRDefault="00A710B5" w:rsidP="00A710B5">
      <w:pPr>
        <w:pStyle w:val="Cmsor4"/>
        <w:rPr>
          <w:sz w:val="24"/>
          <w:szCs w:val="24"/>
          <w:lang w:val="en-GB"/>
        </w:rPr>
      </w:pPr>
      <w:r w:rsidRPr="0002056A">
        <w:rPr>
          <w:sz w:val="24"/>
          <w:szCs w:val="24"/>
          <w:lang w:val="en-GB"/>
        </w:rPr>
        <w:t>Lithuania</w:t>
      </w:r>
    </w:p>
    <w:p w14:paraId="7C8D425E"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Vasarė Tamošauskaitė</w:t>
      </w:r>
    </w:p>
    <w:p w14:paraId="52380C0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Lithuania</w:t>
      </w:r>
    </w:p>
    <w:p w14:paraId="4B3165F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Lithuanian Hydrometeorological Service under the Ministry of Environment</w:t>
      </w:r>
    </w:p>
    <w:p w14:paraId="4120B7C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senior specialist</w:t>
      </w:r>
    </w:p>
    <w:p w14:paraId="1F361B7E"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2025.10.07.</w:t>
      </w:r>
    </w:p>
    <w:p w14:paraId="79C962F9" w14:textId="77777777" w:rsidR="00A710B5" w:rsidRPr="0002056A" w:rsidRDefault="00A710B5" w:rsidP="00A710B5">
      <w:pPr>
        <w:rPr>
          <w:rFonts w:ascii="Georgia" w:hAnsi="Georgia"/>
          <w:sz w:val="20"/>
          <w:szCs w:val="20"/>
          <w:lang w:val="en-GB"/>
        </w:rPr>
      </w:pPr>
    </w:p>
    <w:p w14:paraId="3DE6DF1F"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5D0A7B0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761FBD45"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2 documents can be mentioned particularly:</w:t>
      </w:r>
    </w:p>
    <w:p w14:paraId="3AAD0391" w14:textId="46D0FC4E" w:rsidR="00A710B5" w:rsidRPr="0002056A" w:rsidRDefault="00A710B5" w:rsidP="00A710B5">
      <w:pPr>
        <w:pStyle w:val="Listaszerbekezds"/>
        <w:numPr>
          <w:ilvl w:val="3"/>
          <w:numId w:val="14"/>
        </w:numPr>
        <w:ind w:left="1843" w:hanging="142"/>
        <w:jc w:val="both"/>
        <w:rPr>
          <w:rFonts w:ascii="Georgia" w:hAnsi="Georgia" w:cs="Calibri"/>
          <w:sz w:val="20"/>
          <w:szCs w:val="20"/>
          <w:lang w:val="en-GB"/>
        </w:rPr>
      </w:pPr>
      <w:r w:rsidRPr="0002056A">
        <w:rPr>
          <w:rFonts w:ascii="Georgia" w:hAnsi="Georgia" w:cs="Calibri"/>
          <w:sz w:val="20"/>
          <w:szCs w:val="20"/>
          <w:lang w:val="en-GB"/>
        </w:rPr>
        <w:t xml:space="preserve">NAP - National Adaptation to Climate Change Plan (2024-2030). Link to the document: </w:t>
      </w:r>
      <w:hyperlink r:id="rId231" w:history="1">
        <w:r w:rsidRPr="0002056A">
          <w:rPr>
            <w:rStyle w:val="Hiperhivatkozs"/>
            <w:rFonts w:ascii="Georgia" w:hAnsi="Georgia" w:cs="Calibri"/>
            <w:sz w:val="20"/>
            <w:szCs w:val="20"/>
            <w:lang w:val="en-GB"/>
          </w:rPr>
          <w:t>https://enmin.lrv.lt/public/canonical/1727959989/5217/Priedas%20Nr.%205%20Prisitaikymo%20prie%20klimato%20kaitos%20planas.pdf</w:t>
        </w:r>
      </w:hyperlink>
      <w:r w:rsidRPr="0002056A">
        <w:rPr>
          <w:rFonts w:ascii="Georgia" w:hAnsi="Georgia" w:cs="Calibri"/>
          <w:sz w:val="20"/>
          <w:szCs w:val="20"/>
          <w:lang w:val="en-GB"/>
        </w:rPr>
        <w:t xml:space="preserve">. It is a part of National energy and climate action plan (2021-2030), Annex  5 </w:t>
      </w:r>
      <w:hyperlink r:id="rId232" w:history="1">
        <w:r w:rsidRPr="0002056A">
          <w:rPr>
            <w:rStyle w:val="Hiperhivatkozs"/>
            <w:rFonts w:ascii="Georgia" w:hAnsi="Georgia" w:cs="Calibri"/>
            <w:sz w:val="20"/>
            <w:szCs w:val="20"/>
            <w:lang w:val="en-GB"/>
          </w:rPr>
          <w:t>https://commission.europa.eu/document/download/e4569d35-7ab0-4445-8fa6-017357d04546_lt?filename=LT_FINAL%20UPDATED%20NECP%202021-2030%20%28Lithuanian%29.pdf</w:t>
        </w:r>
      </w:hyperlink>
      <w:r w:rsidRPr="0002056A">
        <w:rPr>
          <w:rFonts w:ascii="Georgia" w:hAnsi="Georgia" w:cs="Calibri"/>
          <w:sz w:val="20"/>
          <w:szCs w:val="20"/>
          <w:lang w:val="en-GB"/>
        </w:rPr>
        <w:t xml:space="preserve">. It was also adopted by </w:t>
      </w:r>
      <w:r w:rsidR="007133D4" w:rsidRPr="0002056A">
        <w:rPr>
          <w:rFonts w:ascii="Georgia" w:hAnsi="Georgia" w:cs="Calibri"/>
          <w:sz w:val="20"/>
          <w:szCs w:val="20"/>
          <w:lang w:val="en-GB"/>
        </w:rPr>
        <w:t>Government</w:t>
      </w:r>
      <w:r w:rsidRPr="0002056A">
        <w:rPr>
          <w:rFonts w:ascii="Georgia" w:hAnsi="Georgia" w:cs="Calibri"/>
          <w:sz w:val="20"/>
          <w:szCs w:val="20"/>
          <w:lang w:val="en-GB"/>
        </w:rPr>
        <w:t xml:space="preserve"> of Lithuania on 11 December 2025. Link to the document: https://eseimas.lrs.lt/portal/legalAct/lt/TAD/b7ff6bd1b7b811efbb3fe9794b4a33e2?jfwid=-wdjtcs52d</w:t>
      </w:r>
    </w:p>
    <w:p w14:paraId="1A6EA320" w14:textId="77777777" w:rsidR="00A710B5" w:rsidRPr="0002056A" w:rsidRDefault="00A710B5" w:rsidP="00A710B5">
      <w:pPr>
        <w:pStyle w:val="Listaszerbekezds"/>
        <w:ind w:left="1843" w:hanging="142"/>
        <w:jc w:val="both"/>
        <w:rPr>
          <w:rFonts w:ascii="Georgia" w:hAnsi="Georgia" w:cs="Calibri"/>
          <w:sz w:val="20"/>
          <w:szCs w:val="20"/>
          <w:lang w:val="en-GB"/>
        </w:rPr>
      </w:pPr>
    </w:p>
    <w:p w14:paraId="2174C71D" w14:textId="77777777" w:rsidR="00A710B5" w:rsidRPr="0002056A" w:rsidRDefault="00A710B5" w:rsidP="00A710B5">
      <w:pPr>
        <w:pStyle w:val="Listaszerbekezds"/>
        <w:numPr>
          <w:ilvl w:val="3"/>
          <w:numId w:val="14"/>
        </w:numPr>
        <w:ind w:left="1843" w:hanging="142"/>
        <w:jc w:val="both"/>
        <w:rPr>
          <w:rFonts w:ascii="Georgia" w:hAnsi="Georgia" w:cs="Calibri"/>
          <w:sz w:val="20"/>
          <w:szCs w:val="20"/>
          <w:lang w:val="en-GB"/>
        </w:rPr>
      </w:pPr>
      <w:r w:rsidRPr="0002056A">
        <w:rPr>
          <w:rFonts w:ascii="Georgia" w:hAnsi="Georgia" w:cs="Calibri"/>
          <w:sz w:val="20"/>
          <w:szCs w:val="20"/>
          <w:lang w:val="en-GB"/>
        </w:rPr>
        <w:t>NAS - National Adaptation Strategy - National Climate Change Management Agenda. Link to the document: https://e-seimas.lrs.lt/portal/legalAct/lt/TAD/219a2632a6b311ecaf79c2120caf5094?jfwid=-56ckr0gcc.</w:t>
      </w:r>
    </w:p>
    <w:p w14:paraId="180757C3"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6CBE9E77" w14:textId="77777777" w:rsidR="00A710B5" w:rsidRPr="0002056A"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Yes, we do have 8 municipalities adaptation plans. In 2025, Ministry of Environment is planning to prepare adaptation plans for 8 more municipalities.</w:t>
      </w:r>
    </w:p>
    <w:p w14:paraId="67D2382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06C068C4" w14:textId="77777777" w:rsidR="00A710B5"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We do not have sectorial documents that directly connected with adaptation to climate change, just some document including adaptation like Flood Risk Management Plan, Water Development Plan, Coastal Zone Management Programme.</w:t>
      </w:r>
    </w:p>
    <w:p w14:paraId="74F12FD3" w14:textId="77777777" w:rsidR="00AA57C0" w:rsidRDefault="00AA57C0" w:rsidP="00A710B5">
      <w:pPr>
        <w:pStyle w:val="Listaszerbekezds"/>
        <w:ind w:left="1843"/>
        <w:jc w:val="both"/>
        <w:rPr>
          <w:rFonts w:ascii="Georgia" w:hAnsi="Georgia" w:cs="Calibri"/>
          <w:sz w:val="20"/>
          <w:szCs w:val="20"/>
          <w:lang w:val="en-GB"/>
        </w:rPr>
      </w:pPr>
    </w:p>
    <w:p w14:paraId="08B4B53E" w14:textId="77777777" w:rsidR="00AA57C0" w:rsidRDefault="00AA57C0" w:rsidP="00A710B5">
      <w:pPr>
        <w:pStyle w:val="Listaszerbekezds"/>
        <w:ind w:left="1843"/>
        <w:jc w:val="both"/>
        <w:rPr>
          <w:rFonts w:ascii="Georgia" w:hAnsi="Georgia" w:cs="Calibri"/>
          <w:sz w:val="20"/>
          <w:szCs w:val="20"/>
          <w:lang w:val="en-GB"/>
        </w:rPr>
      </w:pPr>
    </w:p>
    <w:p w14:paraId="001056E0" w14:textId="77777777" w:rsidR="00AA57C0" w:rsidRDefault="00AA57C0" w:rsidP="00A710B5">
      <w:pPr>
        <w:pStyle w:val="Listaszerbekezds"/>
        <w:ind w:left="1843"/>
        <w:jc w:val="both"/>
        <w:rPr>
          <w:rFonts w:ascii="Georgia" w:hAnsi="Georgia" w:cs="Calibri"/>
          <w:sz w:val="20"/>
          <w:szCs w:val="20"/>
          <w:lang w:val="en-GB"/>
        </w:rPr>
      </w:pPr>
    </w:p>
    <w:p w14:paraId="1E54A328" w14:textId="77777777" w:rsidR="00AA57C0" w:rsidRDefault="00AA57C0" w:rsidP="00A710B5">
      <w:pPr>
        <w:pStyle w:val="Listaszerbekezds"/>
        <w:ind w:left="1843"/>
        <w:jc w:val="both"/>
        <w:rPr>
          <w:rFonts w:ascii="Georgia" w:hAnsi="Georgia" w:cs="Calibri"/>
          <w:sz w:val="20"/>
          <w:szCs w:val="20"/>
          <w:lang w:val="en-GB"/>
        </w:rPr>
      </w:pPr>
    </w:p>
    <w:p w14:paraId="24373702" w14:textId="77777777" w:rsidR="00AA57C0" w:rsidRPr="0002056A" w:rsidRDefault="00AA57C0" w:rsidP="00A710B5">
      <w:pPr>
        <w:pStyle w:val="Listaszerbekezds"/>
        <w:ind w:left="1843"/>
        <w:jc w:val="both"/>
        <w:rPr>
          <w:rFonts w:ascii="Georgia" w:hAnsi="Georgia" w:cs="Calibri"/>
          <w:sz w:val="20"/>
          <w:szCs w:val="20"/>
          <w:lang w:val="en-GB"/>
        </w:rPr>
      </w:pPr>
    </w:p>
    <w:p w14:paraId="1E7FD6B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295CBDBD" w14:textId="77777777" w:rsidR="00A710B5" w:rsidRPr="0002056A"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 xml:space="preserve">In 2021, Lithuania adopted the National Climate Change Management Agenda (NCCMA), where climate change adaptation targets and objectives for 2030 and a long-term direction for adaptation to climate change by 2050 were set out. NCCMA shall be updated every 10 years or in the event of changes in the legal framework. The targets and objectives outlined in the NCCMA for the 2021–2030 period shall be pursued through the implementation of the National Progress Plan and the NCCMA implementation plan, i.e. the NECP. This plan adheres to the requirements of Regulation (EU) 2018/1999 on the Governance of the Energy Union and Climate Action. The NECP, approved by the Government on 11 December 2024, has included the National Adaptation to Climate Change Plan as an annex. </w:t>
      </w:r>
    </w:p>
    <w:p w14:paraId="65E7C949" w14:textId="77777777" w:rsidR="00A710B5" w:rsidRPr="0002056A"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 xml:space="preserve">The Ministry of Environment of the Republic of Lithuania (MoE) is the primary coordinating institution for climate change adaptation policy development and implementation. It oversees the legal, institutional, and procedural framework for adaptation efforts and coordinates the integration of sectoral goals into national adaptation strategies. The MoE collaborates with other ministries and governmental institutions to collect relevant information, align sectoral objectives, and ensure coherence in policy implementation. </w:t>
      </w:r>
    </w:p>
    <w:p w14:paraId="0821D641" w14:textId="77777777" w:rsidR="00A710B5" w:rsidRPr="0002056A"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 xml:space="preserve">In the NCCMA climate change adaptation goals are pursued across multiple sectors within the competence of the Ministry of Economy and Innovation, Ministry of Energy, Ministry of Finance, Ministry of National Defence, Ministry of Culture, Ministry of Social Security and Labour, Ministry of Transport and Communications, Ministry of Health, Ministry of Education, Science and Sport, Ministry of Foreign Affairs, Ministry of the Interior, and Ministry of Agriculture. Each ministry is responsible for implementing adaptation measures relevant to their respective sectors, developing sector-specific plans, and contributing to the integration of adaptation goals into broader national strategies and projects. </w:t>
      </w:r>
    </w:p>
    <w:p w14:paraId="15254233" w14:textId="77777777" w:rsidR="00A710B5" w:rsidRPr="0002056A" w:rsidRDefault="00A710B5" w:rsidP="00A710B5">
      <w:pPr>
        <w:pStyle w:val="Listaszerbekezds"/>
        <w:ind w:left="1843"/>
        <w:jc w:val="both"/>
        <w:rPr>
          <w:rFonts w:ascii="Georgia" w:hAnsi="Georgia" w:cs="Calibri"/>
          <w:sz w:val="20"/>
          <w:szCs w:val="20"/>
          <w:lang w:val="en-GB"/>
        </w:rPr>
      </w:pPr>
      <w:r w:rsidRPr="0002056A">
        <w:rPr>
          <w:rFonts w:ascii="Georgia" w:hAnsi="Georgia" w:cs="Calibri"/>
          <w:sz w:val="20"/>
          <w:szCs w:val="20"/>
          <w:lang w:val="en-GB"/>
        </w:rPr>
        <w:t>Local governments play a critical role in implementing climate adaptation measures by incorporating national objectives into regional and local development plans. They address local vulnerabilities, manage resources, and engage with communities to foster resilience at the local level. Additionally, municipalities are responsible for developing and implementing their own adaptation plans, which outline specific actions and strategies to address local risks related to climate change.</w:t>
      </w:r>
    </w:p>
    <w:p w14:paraId="5169560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5116FB0D" w14:textId="77777777" w:rsidR="00A710B5" w:rsidRPr="0002056A" w:rsidRDefault="00A710B5" w:rsidP="00A710B5">
      <w:pPr>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79AA02C0"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do you actually monitor spatial changes of climatic factors or vulnerability and/or spatial differences in the effectiveness of climate actions?</w:t>
      </w:r>
    </w:p>
    <w:p w14:paraId="0A388893" w14:textId="77777777" w:rsidR="00A710B5" w:rsidRPr="0002056A" w:rsidRDefault="00A710B5" w:rsidP="00A710B5">
      <w:pPr>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5DC169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575B789E" w14:textId="76D04278" w:rsidR="00A710B5" w:rsidRPr="0002056A" w:rsidRDefault="00A710B5" w:rsidP="00A710B5">
      <w:pPr>
        <w:pStyle w:val="Listaszerbekezds"/>
        <w:ind w:left="1701"/>
        <w:jc w:val="both"/>
        <w:rPr>
          <w:rFonts w:ascii="Georgia" w:eastAsia="Times New Roman" w:hAnsi="Georgia" w:cs="Calibri"/>
          <w:sz w:val="20"/>
          <w:szCs w:val="20"/>
          <w:lang w:val="en-GB" w:eastAsia="hu-HU"/>
        </w:rPr>
      </w:pPr>
      <w:r w:rsidRPr="0002056A">
        <w:rPr>
          <w:rFonts w:ascii="Georgia" w:hAnsi="Georgia" w:cs="Calibri"/>
          <w:sz w:val="20"/>
          <w:szCs w:val="20"/>
          <w:lang w:val="en-GB"/>
        </w:rPr>
        <w:t>MoE is</w:t>
      </w:r>
      <w:r w:rsidRPr="0002056A">
        <w:rPr>
          <w:rFonts w:ascii="Georgia" w:eastAsia="Times New Roman" w:hAnsi="Georgia" w:cs="Calibri"/>
          <w:sz w:val="20"/>
          <w:szCs w:val="20"/>
          <w:lang w:val="en-GB" w:eastAsia="hu-HU"/>
        </w:rPr>
        <w:t xml:space="preserve"> collecting information on adaptation measures every two years as requested by the regulation, but we face challenges in obtaining detailed information, so </w:t>
      </w:r>
      <w:r w:rsidR="0092109C" w:rsidRPr="0002056A">
        <w:rPr>
          <w:rFonts w:ascii="Georgia" w:eastAsia="Times New Roman" w:hAnsi="Georgia" w:cs="Calibri"/>
          <w:sz w:val="20"/>
          <w:szCs w:val="20"/>
          <w:lang w:val="en-GB" w:eastAsia="hu-HU"/>
        </w:rPr>
        <w:t>far,</w:t>
      </w:r>
      <w:r w:rsidRPr="0002056A">
        <w:rPr>
          <w:rFonts w:ascii="Georgia" w:eastAsia="Times New Roman" w:hAnsi="Georgia" w:cs="Calibri"/>
          <w:sz w:val="20"/>
          <w:szCs w:val="20"/>
          <w:lang w:val="en-GB" w:eastAsia="hu-HU"/>
        </w:rPr>
        <w:t xml:space="preserve"> we can only assess progress in adapting to climate change to a very limited extent.</w:t>
      </w:r>
    </w:p>
    <w:p w14:paraId="6B2F3677"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lastRenderedPageBreak/>
        <w:t>Do you have applied indicator sets in adaptation?</w:t>
      </w:r>
    </w:p>
    <w:p w14:paraId="0D4950BF" w14:textId="77777777" w:rsidR="00A710B5" w:rsidRPr="0002056A" w:rsidRDefault="00A710B5" w:rsidP="00A710B5">
      <w:pPr>
        <w:pStyle w:val="Listaszerbekezds"/>
        <w:ind w:firstLine="41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indicators had been set in NCCMA.</w:t>
      </w:r>
    </w:p>
    <w:p w14:paraId="50AB56E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58309EA6" w14:textId="77777777" w:rsidR="00A710B5" w:rsidRPr="0002056A" w:rsidRDefault="00A710B5" w:rsidP="00A710B5">
      <w:pPr>
        <w:pStyle w:val="Listaszerbekezds"/>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Lithuania, adaptation indicators are collected by the Ministry of Environment</w:t>
      </w:r>
    </w:p>
    <w:p w14:paraId="5C4326E3"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1737B17A" w14:textId="77777777" w:rsidR="00A710B5" w:rsidRPr="0002056A" w:rsidRDefault="00A710B5" w:rsidP="00A710B5">
      <w:pPr>
        <w:ind w:firstLine="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really.</w:t>
      </w:r>
    </w:p>
    <w:p w14:paraId="4EA0551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77ECF692" w14:textId="77777777" w:rsidR="00A710B5" w:rsidRPr="0002056A" w:rsidRDefault="00A710B5" w:rsidP="00A710B5">
      <w:pPr>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8BC271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453568EA" w14:textId="77777777" w:rsidR="00A710B5" w:rsidRPr="0002056A" w:rsidRDefault="00A710B5" w:rsidP="00A710B5">
      <w:pPr>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D06A9A2"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73A67068" w14:textId="77777777" w:rsidR="00A710B5" w:rsidRPr="0002056A"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53334DB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7238B90C" w14:textId="77777777" w:rsidR="00A710B5" w:rsidRPr="0002056A" w:rsidRDefault="00A710B5" w:rsidP="00A710B5">
      <w:pPr>
        <w:spacing w:before="120" w:afterLines="120" w:after="288" w:line="240" w:lineRule="auto"/>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Lithuania applies several GIS-based decision-support systems in climate adaptation policy. Some examples are:</w:t>
      </w:r>
    </w:p>
    <w:p w14:paraId="051FE637" w14:textId="77777777" w:rsidR="00A710B5" w:rsidRPr="0002056A" w:rsidRDefault="00A710B5" w:rsidP="00A710B5">
      <w:pPr>
        <w:pStyle w:val="Listaszerbekezds"/>
        <w:numPr>
          <w:ilvl w:val="0"/>
          <w:numId w:val="16"/>
        </w:numPr>
        <w:spacing w:before="120" w:afterLines="120" w:after="288" w:line="240" w:lineRule="auto"/>
        <w:ind w:left="2268" w:hanging="14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 The Environmental Protection Agency (EPA) integrates datasets of floods.</w:t>
      </w:r>
    </w:p>
    <w:p w14:paraId="33CF9257" w14:textId="77777777" w:rsidR="00A710B5" w:rsidRPr="0002056A" w:rsidRDefault="00A710B5" w:rsidP="00A710B5">
      <w:pPr>
        <w:pStyle w:val="Listaszerbekezds"/>
        <w:numPr>
          <w:ilvl w:val="0"/>
          <w:numId w:val="16"/>
        </w:numPr>
        <w:spacing w:before="120" w:afterLines="120" w:after="288" w:line="240" w:lineRule="auto"/>
        <w:ind w:left="2268" w:hanging="14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Lithuanian Hydrometeorological Service (LHMS) provides spatial climate monitoring tools.</w:t>
      </w:r>
    </w:p>
    <w:p w14:paraId="3D2DDC96" w14:textId="54432395" w:rsidR="00A710B5" w:rsidRPr="0002056A" w:rsidRDefault="00A710B5" w:rsidP="00A710B5">
      <w:pPr>
        <w:pStyle w:val="Listaszerbekezds"/>
        <w:numPr>
          <w:ilvl w:val="0"/>
          <w:numId w:val="16"/>
        </w:numPr>
        <w:spacing w:before="120" w:afterLines="120" w:after="288" w:line="240" w:lineRule="auto"/>
        <w:ind w:left="2268" w:hanging="14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MoE in </w:t>
      </w:r>
      <w:r w:rsidR="0092109C" w:rsidRPr="0002056A">
        <w:rPr>
          <w:rFonts w:ascii="Georgia" w:eastAsia="Times New Roman" w:hAnsi="Georgia" w:cs="Calibri"/>
          <w:sz w:val="20"/>
          <w:szCs w:val="20"/>
          <w:lang w:val="en-GB" w:eastAsia="hu-HU"/>
        </w:rPr>
        <w:t>the ClimAdapt</w:t>
      </w:r>
      <w:r w:rsidRPr="0002056A">
        <w:rPr>
          <w:rFonts w:ascii="Georgia" w:eastAsia="Times New Roman" w:hAnsi="Georgia" w:cs="Calibri"/>
          <w:sz w:val="20"/>
          <w:szCs w:val="20"/>
          <w:lang w:val="en-GB" w:eastAsia="hu-HU"/>
        </w:rPr>
        <w:t>-LT project developed a GIS-based decision-support tool for municipalities to assess climate risks and plan adaptation actions.</w:t>
      </w:r>
    </w:p>
    <w:p w14:paraId="23743D30" w14:textId="77777777" w:rsidR="00A710B5" w:rsidRPr="0002056A" w:rsidRDefault="00A710B5" w:rsidP="00A710B5">
      <w:pPr>
        <w:pStyle w:val="Listaszerbekezds"/>
        <w:spacing w:before="120" w:afterLines="120" w:after="288" w:line="240" w:lineRule="auto"/>
        <w:jc w:val="both"/>
        <w:rPr>
          <w:rFonts w:ascii="Georgia" w:eastAsia="Times New Roman" w:hAnsi="Georgia" w:cs="Calibri"/>
          <w:sz w:val="20"/>
          <w:szCs w:val="20"/>
          <w:lang w:val="en-GB" w:eastAsia="hu-HU"/>
        </w:rPr>
      </w:pPr>
    </w:p>
    <w:p w14:paraId="3D5C13F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10777135" w14:textId="77777777" w:rsidR="00A710B5" w:rsidRPr="0002056A" w:rsidRDefault="00A710B5" w:rsidP="00A710B5">
      <w:pPr>
        <w:spacing w:before="120" w:afterLines="120" w:after="288" w:line="240" w:lineRule="auto"/>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13EBCBE"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6EDBB198" w14:textId="77777777" w:rsidR="00A710B5" w:rsidRPr="0002056A"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7D38F59F"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0D33DA10" w14:textId="051DFC50" w:rsidR="00A710B5" w:rsidRPr="0002056A" w:rsidRDefault="00A710B5" w:rsidP="00A710B5">
      <w:pPr>
        <w:pStyle w:val="Listaszerbekezds"/>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had conducted an evaluation before updated our NCCMA. The evaluation, in accordance with the Intergovernmental Panel on Climate Change (IPCC) methodology, taking into account the conclusions of the SWOT analysis and based on existing studies, carried out an assessment of the sensitivity of sectors to the impacts of climate change, assessed the risks and opportunities for adaptation to climate change and submitted proposals for legally binding short-term goals and objectives for adaptation to the consequences of climate change by 2030 and elaborated the related implementation measures in the sectors of the Lithuanian economy most sensitive to the impact of climate change. Moreover, financial resources were identified together with proposals for indicative medium-term </w:t>
      </w:r>
      <w:r w:rsidRPr="0002056A">
        <w:rPr>
          <w:rFonts w:ascii="Georgia" w:eastAsia="Times New Roman" w:hAnsi="Georgia" w:cs="Calibri"/>
          <w:sz w:val="20"/>
          <w:szCs w:val="20"/>
          <w:lang w:val="en-GB" w:eastAsia="hu-HU"/>
        </w:rPr>
        <w:lastRenderedPageBreak/>
        <w:t xml:space="preserve">(2040), long-term (2050) and even longer-term (2100) goals and objectives at the national level and in individual sectors of the Lithuanian </w:t>
      </w:r>
      <w:r w:rsidR="0092109C" w:rsidRPr="0002056A">
        <w:rPr>
          <w:rFonts w:ascii="Georgia" w:eastAsia="Times New Roman" w:hAnsi="Georgia" w:cs="Calibri"/>
          <w:sz w:val="20"/>
          <w:szCs w:val="20"/>
          <w:lang w:val="en-GB" w:eastAsia="hu-HU"/>
        </w:rPr>
        <w:t>economy.</w:t>
      </w:r>
      <w:r w:rsidRPr="0002056A">
        <w:rPr>
          <w:rFonts w:ascii="Georgia" w:eastAsia="Times New Roman" w:hAnsi="Georgia" w:cs="Calibri"/>
          <w:sz w:val="20"/>
          <w:szCs w:val="20"/>
          <w:lang w:val="en-GB" w:eastAsia="hu-HU"/>
        </w:rPr>
        <w:t xml:space="preserve"> Link to the document: https://am.lrv.lt/uploads/am/documents/files/KLIMATO%20KAITA/Studijos%2C%20metodin%C4%97%20med%C5%BEiaga/2019%2012%2017%20Analize%20del%20klimato%20kaitos%20GALUTINE.pdf</w:t>
      </w:r>
    </w:p>
    <w:p w14:paraId="194150B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79C11E3D" w14:textId="77777777" w:rsidR="00A710B5" w:rsidRPr="0002056A" w:rsidRDefault="00A710B5" w:rsidP="00A710B5">
      <w:pPr>
        <w:spacing w:before="120" w:afterLines="120" w:after="288" w:line="240" w:lineRule="auto"/>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0B2141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4ABA12B8" w14:textId="77777777" w:rsidR="00A710B5" w:rsidRPr="0002056A" w:rsidRDefault="00A710B5" w:rsidP="00A710B5">
      <w:pPr>
        <w:spacing w:before="120" w:afterLines="120" w:after="288" w:line="240" w:lineRule="auto"/>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F6CFE8D"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736E4721" w14:textId="77777777" w:rsidR="00A710B5" w:rsidRPr="0002056A" w:rsidRDefault="00A710B5" w:rsidP="00A710B5">
      <w:pPr>
        <w:pStyle w:val="Listaszerbekezds"/>
        <w:spacing w:before="120" w:afterLines="120" w:after="288" w:line="240" w:lineRule="auto"/>
        <w:ind w:left="1080" w:firstLine="90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8ABAA02" w14:textId="77777777" w:rsidR="00A710B5" w:rsidRPr="0002056A" w:rsidRDefault="00A710B5" w:rsidP="00A710B5">
      <w:pPr>
        <w:pStyle w:val="Cmsor4"/>
        <w:rPr>
          <w:sz w:val="24"/>
          <w:szCs w:val="24"/>
          <w:lang w:val="en-GB"/>
        </w:rPr>
      </w:pPr>
      <w:r w:rsidRPr="0002056A">
        <w:rPr>
          <w:sz w:val="24"/>
          <w:szCs w:val="24"/>
          <w:lang w:val="en-GB"/>
        </w:rPr>
        <w:t>Slovenia</w:t>
      </w:r>
    </w:p>
    <w:p w14:paraId="1CA5F3A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Luka Honzak</w:t>
      </w:r>
    </w:p>
    <w:p w14:paraId="25814136"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Slovenia</w:t>
      </w:r>
    </w:p>
    <w:p w14:paraId="6AAF6B8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Slovenian Environment Agency, ARSO</w:t>
      </w:r>
    </w:p>
    <w:p w14:paraId="66BD6C7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Head of climate-dependent activities support division</w:t>
      </w:r>
    </w:p>
    <w:p w14:paraId="0BF606B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2025.08.15.</w:t>
      </w:r>
    </w:p>
    <w:p w14:paraId="786B6D65"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4C50A54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4CE0F8FE"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There is the Strategic Framework for Climate Change Adaptation (SFCCA), adopted by the Government in 2016. It is quasi a NAS. Link to the document: https://www.gov.si/assets/ministrstva/MOPE/Okolje/Podnebne-spremembe/SOzP_ang.pdf</w:t>
      </w:r>
    </w:p>
    <w:p w14:paraId="6DBD1990"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0A8A9BBB"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At regional level some examples can be mentioned:</w:t>
      </w:r>
    </w:p>
    <w:p w14:paraId="02851680"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1. Gorenjska region - link to the document: https://leag.si/wp-content/uploads/2025/05/Strategija-prilagajanja-Gorenjske-regije-na-podnebne-spremembe_compressed.pdf</w:t>
      </w:r>
    </w:p>
    <w:p w14:paraId="46BCDD81"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2. Goriška region - link to the document: https://www.golea.si/wp-content/uploads/2025/06/Strategija-prilagajanja-Severno-Primorske-Gori%C5%A1ke-RR-na-podnebne-spremembe_koncna.pdf</w:t>
      </w:r>
    </w:p>
    <w:p w14:paraId="568A6FC3"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At local level the Ljubljana, Kranj, Velenje towns have their own strategies (source: https://www.samo1planet.si/eu-misije/)</w:t>
      </w:r>
    </w:p>
    <w:p w14:paraId="17EE6AC7"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30830D17"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lastRenderedPageBreak/>
        <w:t>A good example is public health - link to the document: https://nijz.si/moje-okolje/podnebne-spremembe/ocena-ranljivosti-in-tveganja-za-zdravje-zaradi-podnebnih-sprememb-po-podnebnih-regijah-v-sloveniji/.</w:t>
      </w:r>
    </w:p>
    <w:p w14:paraId="2E99F90F"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Strategic documents for other sectors are under elaboration (source: https://www.gov.si/zbirke/projekti-in-programi/strategija-prilagajanja-podnebnim-spremembam/).</w:t>
      </w:r>
    </w:p>
    <w:p w14:paraId="63F475C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345788D8"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Both is present, at national level rather the sectoral is prevailing.</w:t>
      </w:r>
    </w:p>
    <w:p w14:paraId="1D29A4BB"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61A160BD" w14:textId="77777777" w:rsidR="00A710B5" w:rsidRPr="0002056A" w:rsidRDefault="00A710B5" w:rsidP="00A710B5">
      <w:pPr>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07092574"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04EE911C" w14:textId="77777777" w:rsidR="00A710B5" w:rsidRPr="0002056A" w:rsidRDefault="00A710B5" w:rsidP="00A710B5">
      <w:pPr>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F419AF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22E2CDA0"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Ministry of Environment, Climate and Energy is responsible for adaptation.</w:t>
      </w:r>
    </w:p>
    <w:p w14:paraId="71F72912"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31EF8F5A" w14:textId="77777777" w:rsidR="00A710B5" w:rsidRPr="0002056A" w:rsidRDefault="00A710B5" w:rsidP="00A710B5">
      <w:pPr>
        <w:pStyle w:val="Listaszerbekezds"/>
        <w:ind w:firstLine="981"/>
        <w:jc w:val="both"/>
        <w:rPr>
          <w:rFonts w:ascii="Georgia" w:eastAsia="Times New Roman" w:hAnsi="Georgia" w:cs="Calibri"/>
          <w:sz w:val="20"/>
          <w:szCs w:val="20"/>
          <w:lang w:val="en-GB" w:eastAsia="hu-HU"/>
        </w:rPr>
      </w:pPr>
      <w:r w:rsidRPr="0002056A">
        <w:rPr>
          <w:rFonts w:ascii="Georgia" w:hAnsi="Georgia" w:cs="Calibri"/>
          <w:sz w:val="20"/>
          <w:szCs w:val="20"/>
          <w:lang w:val="en-GB"/>
        </w:rPr>
        <w:t>No.</w:t>
      </w:r>
    </w:p>
    <w:p w14:paraId="4E5B3441"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1BF0832C" w14:textId="77777777" w:rsidR="00A710B5" w:rsidRPr="0002056A" w:rsidRDefault="00A710B5" w:rsidP="00A710B5">
      <w:pPr>
        <w:pStyle w:val="Listaszerbekezds"/>
        <w:ind w:left="1440" w:firstLine="26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4E4F57D"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0EAAB9B2" w14:textId="77777777" w:rsidR="00A710B5" w:rsidRPr="0002056A" w:rsidRDefault="00A710B5" w:rsidP="00A710B5">
      <w:pPr>
        <w:ind w:firstLine="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6A289C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648B6B68" w14:textId="77777777" w:rsidR="00A710B5" w:rsidRPr="0002056A" w:rsidRDefault="00A710B5" w:rsidP="00A710B5">
      <w:pPr>
        <w:ind w:firstLine="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3A45AC2"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633AA67B" w14:textId="77777777" w:rsidR="00A710B5" w:rsidRPr="0002056A" w:rsidRDefault="00A710B5" w:rsidP="00A710B5">
      <w:pPr>
        <w:ind w:firstLine="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C11AD00"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2D26BD8E" w14:textId="77777777" w:rsidR="00A710B5" w:rsidRPr="0002056A" w:rsidRDefault="00A710B5" w:rsidP="00A710B5">
      <w:pPr>
        <w:spacing w:before="120" w:afterLines="120" w:after="288" w:line="240" w:lineRule="auto"/>
        <w:ind w:firstLine="1276"/>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4242C14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15FDD90D" w14:textId="77777777" w:rsidR="00A710B5" w:rsidRDefault="00A710B5" w:rsidP="00A710B5">
      <w:pPr>
        <w:spacing w:before="120" w:afterLines="120" w:after="288" w:line="240" w:lineRule="auto"/>
        <w:ind w:firstLine="15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CF5DB32" w14:textId="77777777" w:rsidR="00AA57C0" w:rsidRPr="0002056A" w:rsidRDefault="00AA57C0" w:rsidP="00A710B5">
      <w:pPr>
        <w:spacing w:before="120" w:afterLines="120" w:after="288" w:line="240" w:lineRule="auto"/>
        <w:ind w:firstLine="1560"/>
        <w:jc w:val="both"/>
        <w:rPr>
          <w:rFonts w:ascii="Georgia" w:eastAsia="Times New Roman" w:hAnsi="Georgia" w:cs="Calibri"/>
          <w:sz w:val="20"/>
          <w:szCs w:val="20"/>
          <w:lang w:val="en-GB" w:eastAsia="hu-HU"/>
        </w:rPr>
      </w:pPr>
    </w:p>
    <w:p w14:paraId="467C7EC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not, is there any other adaptation-related (e.g. knowledge collector) website is functioning /planned but without signs of GIS/DS system?</w:t>
      </w:r>
    </w:p>
    <w:p w14:paraId="31191EFE" w14:textId="77777777" w:rsidR="00A710B5" w:rsidRPr="0002056A" w:rsidRDefault="00A710B5" w:rsidP="00A710B5">
      <w:pPr>
        <w:pStyle w:val="Listaszerbekezds"/>
        <w:ind w:left="1418"/>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 not yet - in the framework of the project “LIFE4ADAPT” (</w:t>
      </w:r>
      <w:hyperlink r:id="rId233" w:history="1">
        <w:r w:rsidRPr="0002056A">
          <w:rPr>
            <w:rStyle w:val="Hiperhivatkozs"/>
            <w:rFonts w:ascii="Georgia" w:eastAsia="Times New Roman" w:hAnsi="Georgia" w:cs="Calibri"/>
            <w:sz w:val="20"/>
            <w:szCs w:val="20"/>
            <w:lang w:val="en-GB" w:eastAsia="hu-HU"/>
          </w:rPr>
          <w:t>https://www.samo1planet.si/</w:t>
        </w:r>
      </w:hyperlink>
      <w:r w:rsidRPr="0002056A">
        <w:rPr>
          <w:rFonts w:ascii="Georgia" w:eastAsia="Times New Roman" w:hAnsi="Georgia" w:cs="Calibri"/>
          <w:sz w:val="20"/>
          <w:szCs w:val="20"/>
          <w:lang w:val="en-GB" w:eastAsia="hu-HU"/>
        </w:rPr>
        <w:t>) a website will be upgraded with content related to adaptation (including good practices).</w:t>
      </w:r>
    </w:p>
    <w:p w14:paraId="2BC6C9AC"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p>
    <w:p w14:paraId="04338555"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478ECA0C" w14:textId="77777777" w:rsidR="00A710B5" w:rsidRPr="0002056A" w:rsidRDefault="00A710B5" w:rsidP="00A710B5">
      <w:pPr>
        <w:spacing w:before="120" w:afterLines="120" w:after="288" w:line="240" w:lineRule="auto"/>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4BEA02B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6B7787A3"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We don’t know.</w:t>
      </w:r>
    </w:p>
    <w:p w14:paraId="639B71E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5D6D5DCB" w14:textId="77777777" w:rsidR="00A710B5" w:rsidRPr="0002056A" w:rsidRDefault="00A710B5" w:rsidP="00A710B5">
      <w:pPr>
        <w:spacing w:before="120" w:afterLines="120" w:after="288" w:line="240" w:lineRule="auto"/>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7B41B6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638BEC0C" w14:textId="77777777" w:rsidR="00A710B5" w:rsidRPr="0002056A" w:rsidRDefault="00A710B5" w:rsidP="00A710B5">
      <w:pPr>
        <w:pStyle w:val="Listaszerbekezds"/>
        <w:ind w:firstLine="981"/>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9EB79F4"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29B24734" w14:textId="77777777" w:rsidR="00A710B5" w:rsidRPr="0002056A" w:rsidRDefault="00A710B5" w:rsidP="00A710B5">
      <w:pPr>
        <w:ind w:firstLine="1701"/>
        <w:rPr>
          <w:rFonts w:ascii="Georgia" w:hAnsi="Georgia"/>
          <w:sz w:val="20"/>
          <w:szCs w:val="20"/>
          <w:lang w:val="en-GB"/>
        </w:rPr>
      </w:pPr>
      <w:r w:rsidRPr="0002056A">
        <w:rPr>
          <w:rFonts w:ascii="Georgia" w:hAnsi="Georgia"/>
          <w:sz w:val="20"/>
          <w:szCs w:val="20"/>
          <w:lang w:val="en-GB"/>
        </w:rPr>
        <w:t>-.</w:t>
      </w:r>
    </w:p>
    <w:p w14:paraId="37626D4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Zala Strojin Božič</w:t>
      </w:r>
    </w:p>
    <w:p w14:paraId="56064EDF"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Slovenia.</w:t>
      </w:r>
    </w:p>
    <w:p w14:paraId="4B0CAF4E"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Ministry of Environment, Climate and Energy</w:t>
      </w:r>
    </w:p>
    <w:p w14:paraId="40AE2B9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undersecretary,</w:t>
      </w:r>
    </w:p>
    <w:p w14:paraId="74CA003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2025.10.11.</w:t>
      </w:r>
    </w:p>
    <w:p w14:paraId="04761938"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41B21C7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68FBA227" w14:textId="77777777" w:rsidR="00A710B5" w:rsidRPr="0002056A" w:rsidRDefault="00A710B5" w:rsidP="00A710B5">
      <w:pPr>
        <w:pStyle w:val="Listaszerbekezds"/>
        <w:ind w:left="1440"/>
        <w:jc w:val="both"/>
        <w:rPr>
          <w:rFonts w:ascii="Georgia" w:hAnsi="Georgia" w:cs="Calibri"/>
          <w:sz w:val="20"/>
          <w:szCs w:val="20"/>
          <w:lang w:val="en-GB"/>
        </w:rPr>
      </w:pPr>
      <w:r w:rsidRPr="0002056A">
        <w:rPr>
          <w:rFonts w:ascii="Georgia" w:hAnsi="Georgia" w:cs="Calibri"/>
          <w:sz w:val="20"/>
          <w:szCs w:val="20"/>
          <w:lang w:val="en-GB"/>
        </w:rPr>
        <w:t>The relevant documents at national level are as follows:</w:t>
      </w:r>
    </w:p>
    <w:p w14:paraId="18889B98" w14:textId="77777777" w:rsidR="00A710B5" w:rsidRPr="0002056A" w:rsidRDefault="00A710B5" w:rsidP="00A710B5">
      <w:pPr>
        <w:pStyle w:val="Listaszerbekezds"/>
        <w:numPr>
          <w:ilvl w:val="0"/>
          <w:numId w:val="15"/>
        </w:numPr>
        <w:jc w:val="both"/>
        <w:rPr>
          <w:rFonts w:ascii="Georgia" w:hAnsi="Georgia" w:cs="Calibri"/>
          <w:sz w:val="20"/>
          <w:szCs w:val="20"/>
          <w:lang w:val="en-GB"/>
        </w:rPr>
      </w:pPr>
      <w:r w:rsidRPr="0002056A">
        <w:rPr>
          <w:rFonts w:ascii="Georgia" w:hAnsi="Georgia" w:cs="Calibri"/>
          <w:sz w:val="20"/>
          <w:szCs w:val="20"/>
          <w:lang w:val="en-GB"/>
        </w:rPr>
        <w:t>Strategija prostorskega razvoja Slovenije https://www.gov.si/zbirke/projekti-in-programi/strategija-prostorskega-razvoja-slovenije/</w:t>
      </w:r>
    </w:p>
    <w:p w14:paraId="4BC5DF80" w14:textId="77777777" w:rsidR="00A710B5" w:rsidRPr="0002056A" w:rsidRDefault="00A710B5" w:rsidP="00A710B5">
      <w:pPr>
        <w:pStyle w:val="Listaszerbekezds"/>
        <w:numPr>
          <w:ilvl w:val="0"/>
          <w:numId w:val="15"/>
        </w:numPr>
        <w:jc w:val="both"/>
        <w:rPr>
          <w:rFonts w:ascii="Georgia" w:hAnsi="Georgia" w:cs="Calibri"/>
          <w:sz w:val="20"/>
          <w:szCs w:val="20"/>
          <w:lang w:val="en-GB"/>
        </w:rPr>
      </w:pPr>
      <w:r w:rsidRPr="0002056A">
        <w:rPr>
          <w:rFonts w:ascii="Georgia" w:hAnsi="Georgia" w:cs="Calibri"/>
          <w:sz w:val="20"/>
          <w:szCs w:val="20"/>
          <w:lang w:val="en-GB"/>
        </w:rPr>
        <w:t>Resolucija o Dolgoročni podnebni strategiji Slovenije do leta 2050 (ReDPS50) https://pisrs.si/pregledPredpisa?id=RESO131</w:t>
      </w:r>
    </w:p>
    <w:p w14:paraId="011BFDB5" w14:textId="77777777" w:rsidR="00A710B5" w:rsidRPr="0002056A" w:rsidRDefault="00A710B5" w:rsidP="00A710B5">
      <w:pPr>
        <w:pStyle w:val="Listaszerbekezds"/>
        <w:numPr>
          <w:ilvl w:val="0"/>
          <w:numId w:val="15"/>
        </w:numPr>
        <w:jc w:val="both"/>
        <w:rPr>
          <w:rFonts w:ascii="Georgia" w:hAnsi="Georgia" w:cs="Calibri"/>
          <w:sz w:val="20"/>
          <w:szCs w:val="20"/>
          <w:lang w:val="en-GB"/>
        </w:rPr>
      </w:pPr>
      <w:r w:rsidRPr="0002056A">
        <w:rPr>
          <w:rFonts w:ascii="Georgia" w:hAnsi="Georgia" w:cs="Calibri"/>
          <w:sz w:val="20"/>
          <w:szCs w:val="20"/>
          <w:lang w:val="en-GB"/>
        </w:rPr>
        <w:t>Strateški okvir prilagajanja podnebnim spremembam https://www.gov.si/assets/ministrstva/MOPE/Okolje/Podnebne-spremembe/SOzP.pdf</w:t>
      </w:r>
    </w:p>
    <w:p w14:paraId="29E0B1D1"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2C126716" w14:textId="01756A61" w:rsidR="00A710B5" w:rsidRPr="0002056A" w:rsidRDefault="00A710B5" w:rsidP="00A710B5">
      <w:pPr>
        <w:pStyle w:val="Listaszerbekezds"/>
        <w:ind w:left="1701"/>
        <w:jc w:val="both"/>
        <w:rPr>
          <w:rFonts w:ascii="Georgia" w:hAnsi="Georgia" w:cs="Calibri"/>
          <w:sz w:val="20"/>
          <w:szCs w:val="20"/>
          <w:lang w:val="en-GB"/>
        </w:rPr>
      </w:pPr>
      <w:r w:rsidRPr="0002056A">
        <w:rPr>
          <w:rFonts w:ascii="Georgia" w:hAnsi="Georgia" w:cs="Calibri"/>
          <w:sz w:val="20"/>
          <w:szCs w:val="20"/>
          <w:lang w:val="en-GB"/>
        </w:rPr>
        <w:t xml:space="preserve">Slovenia does not have regional government authorities; however, it comprises 12 statistical/development regions, each with regional development and energy agencies that fulfil a coordinating role for various purposes. These agencies are involved in planning and preparing new regional spatial plans and in negotiating the </w:t>
      </w:r>
      <w:r w:rsidRPr="0002056A">
        <w:rPr>
          <w:rFonts w:ascii="Georgia" w:hAnsi="Georgia" w:cs="Calibri"/>
          <w:sz w:val="20"/>
          <w:szCs w:val="20"/>
          <w:lang w:val="en-GB"/>
        </w:rPr>
        <w:lastRenderedPageBreak/>
        <w:t xml:space="preserve">allocation of European funds. Under the Climate Law, regional agencies </w:t>
      </w:r>
      <w:r w:rsidR="0092109C" w:rsidRPr="0002056A">
        <w:rPr>
          <w:rFonts w:ascii="Georgia" w:hAnsi="Georgia" w:cs="Calibri"/>
          <w:sz w:val="20"/>
          <w:szCs w:val="20"/>
          <w:lang w:val="en-GB"/>
        </w:rPr>
        <w:t>are to be also</w:t>
      </w:r>
      <w:r w:rsidRPr="0002056A">
        <w:rPr>
          <w:rFonts w:ascii="Georgia" w:hAnsi="Georgia" w:cs="Calibri"/>
          <w:sz w:val="20"/>
          <w:szCs w:val="20"/>
          <w:lang w:val="en-GB"/>
        </w:rPr>
        <w:t xml:space="preserve"> responsible for preparing regional climate adaptation action plans. There are 2 regions that already prepared regional adaptation strategy.</w:t>
      </w:r>
    </w:p>
    <w:p w14:paraId="590972E5" w14:textId="77777777" w:rsidR="00A710B5" w:rsidRPr="0002056A" w:rsidRDefault="00A710B5" w:rsidP="00A710B5">
      <w:pPr>
        <w:pStyle w:val="Listaszerbekezds"/>
        <w:ind w:left="1701"/>
        <w:jc w:val="both"/>
        <w:rPr>
          <w:rFonts w:ascii="Georgia" w:hAnsi="Georgia" w:cs="Calibri"/>
          <w:sz w:val="20"/>
          <w:szCs w:val="20"/>
          <w:lang w:val="en-GB"/>
        </w:rPr>
      </w:pPr>
      <w:r w:rsidRPr="0002056A">
        <w:rPr>
          <w:rFonts w:ascii="Georgia" w:hAnsi="Georgia" w:cs="Calibri"/>
          <w:sz w:val="20"/>
          <w:szCs w:val="20"/>
          <w:lang w:val="en-GB"/>
        </w:rPr>
        <w:t>Slovenia has 212 local communities with varying competences. The majority of municipal responsibilities relate to spatial planning, building construction, local public services, environmental protection, primary education, childcare, and other areas. The Climate Law also foresees the preparation of climate adaptation action plans for all urban municipalities.</w:t>
      </w:r>
    </w:p>
    <w:p w14:paraId="5A89B0B7"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6F4D45D4" w14:textId="77777777" w:rsidR="00A710B5" w:rsidRPr="0002056A" w:rsidRDefault="00A710B5" w:rsidP="00A710B5">
      <w:pPr>
        <w:pStyle w:val="Listaszerbekezds"/>
        <w:ind w:left="1701"/>
        <w:jc w:val="both"/>
        <w:rPr>
          <w:rFonts w:ascii="Georgia" w:hAnsi="Georgia" w:cs="Calibri"/>
          <w:sz w:val="20"/>
          <w:szCs w:val="20"/>
          <w:lang w:val="en-GB"/>
        </w:rPr>
      </w:pPr>
      <w:r w:rsidRPr="0002056A">
        <w:rPr>
          <w:rFonts w:ascii="Georgia" w:hAnsi="Georgia" w:cs="Calibri"/>
          <w:sz w:val="20"/>
          <w:szCs w:val="20"/>
          <w:lang w:val="en-GB"/>
        </w:rPr>
        <w:t>Only for agriculture and forestry. Agriculture is highly dependent on weather and climate conditions, as factors such as air and soil temperature, solar radiation, air humidity, the amount and distribution of precipitation, and the frequency and intensity of extreme weather events have a decisive impact on agricultural production. A similar situation applies to forests in Slovenia, which, with approximately 60% forest cover, ranks as the third most forested country in Europe. The role of forests and forestry in climate change adaptation and mitigation is multifaceted. The first aspect is “protective forest management”, which focuses on reducing CO₂ emissions to the atmosphere; the second is “carbon storage-oriented forest management”, aimed at increasing carbon stocks in vegetation and soils; and the third is “substitution-based forest management”, which promotes the replacement of non-renewable materials and fuels with wood.</w:t>
      </w:r>
    </w:p>
    <w:p w14:paraId="027CBEB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06AC5CB4" w14:textId="00D303B7" w:rsidR="00A710B5" w:rsidRPr="0002056A" w:rsidRDefault="00A710B5" w:rsidP="00A710B5">
      <w:pPr>
        <w:pStyle w:val="Listaszerbekezds"/>
        <w:ind w:left="1701"/>
        <w:jc w:val="both"/>
        <w:rPr>
          <w:rFonts w:ascii="Georgia" w:hAnsi="Georgia" w:cs="Calibri"/>
          <w:sz w:val="20"/>
          <w:szCs w:val="20"/>
          <w:lang w:val="en-GB"/>
        </w:rPr>
      </w:pPr>
      <w:r w:rsidRPr="0002056A">
        <w:rPr>
          <w:rFonts w:ascii="Georgia" w:hAnsi="Georgia" w:cs="Calibri"/>
          <w:sz w:val="20"/>
          <w:szCs w:val="20"/>
          <w:lang w:val="en-GB"/>
        </w:rPr>
        <w:t xml:space="preserve">We are still in the early stages of climate change adaptation system building. We have adopted the first Climate Law only in July 2025. The Law foresees preparation of one national adaptation strategy that will be based on sectoral climate change vulnerability and risk assessments. The strategy will be followed by regional action plans. </w:t>
      </w:r>
      <w:r w:rsidR="0092109C" w:rsidRPr="0002056A">
        <w:rPr>
          <w:rFonts w:ascii="Georgia" w:hAnsi="Georgia" w:cs="Calibri"/>
          <w:sz w:val="20"/>
          <w:szCs w:val="20"/>
          <w:lang w:val="en-GB"/>
        </w:rPr>
        <w:t>So,</w:t>
      </w:r>
      <w:r w:rsidRPr="0002056A">
        <w:rPr>
          <w:rFonts w:ascii="Georgia" w:hAnsi="Georgia" w:cs="Calibri"/>
          <w:sz w:val="20"/>
          <w:szCs w:val="20"/>
          <w:lang w:val="en-GB"/>
        </w:rPr>
        <w:t xml:space="preserve"> we will have sectoral climate change vulnerability and risk assessments and interdisciplinary strategy with common goals and indicators.</w:t>
      </w:r>
    </w:p>
    <w:p w14:paraId="1D6D150D"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7CCD4BE8" w14:textId="77777777" w:rsidR="00A710B5" w:rsidRPr="0002056A" w:rsidRDefault="00A710B5" w:rsidP="00A710B5">
      <w:pPr>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6AE5FD1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 climatic factors or vulnerability and/or spatial differences in the effectiveness of climate actions?</w:t>
      </w:r>
    </w:p>
    <w:p w14:paraId="142AB8D1" w14:textId="77777777" w:rsidR="00A710B5" w:rsidRPr="0002056A" w:rsidRDefault="00A710B5" w:rsidP="00A710B5">
      <w:pPr>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600E79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2BC17881" w14:textId="77777777" w:rsidR="00A710B5" w:rsidRPr="0002056A" w:rsidRDefault="00A710B5" w:rsidP="00A710B5">
      <w:pPr>
        <w:pStyle w:val="Listaszerbekezds"/>
        <w:ind w:left="1440" w:firstLine="54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after the adoption of the new national climate change adaptation strategy.</w:t>
      </w:r>
    </w:p>
    <w:p w14:paraId="3838AEE0"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7199A22F" w14:textId="77777777" w:rsidR="00A710B5" w:rsidRPr="0002056A" w:rsidRDefault="00A710B5" w:rsidP="00A710B5">
      <w:pPr>
        <w:pStyle w:val="Listaszerbekezds"/>
        <w:ind w:firstLine="414"/>
        <w:jc w:val="both"/>
        <w:rPr>
          <w:rFonts w:ascii="Georgia" w:eastAsia="Times New Roman" w:hAnsi="Georgia" w:cs="Calibri"/>
          <w:sz w:val="20"/>
          <w:szCs w:val="20"/>
          <w:lang w:val="en-GB" w:eastAsia="hu-HU"/>
        </w:rPr>
      </w:pPr>
      <w:r w:rsidRPr="0002056A">
        <w:rPr>
          <w:rFonts w:ascii="Georgia" w:hAnsi="Georgia" w:cs="Calibri"/>
          <w:sz w:val="20"/>
          <w:szCs w:val="20"/>
          <w:lang w:val="en-GB"/>
        </w:rPr>
        <w:t>Yes.</w:t>
      </w:r>
    </w:p>
    <w:p w14:paraId="2DEFEAF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68161CB5" w14:textId="5A4DC6CB" w:rsidR="00A710B5" w:rsidRDefault="00A710B5" w:rsidP="00A710B5">
      <w:pPr>
        <w:pStyle w:val="Listaszerbekezds"/>
        <w:ind w:left="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Slovenian Environmental Agency - Kazalci okolja  </w:t>
      </w:r>
      <w:hyperlink r:id="rId234" w:history="1">
        <w:r w:rsidR="00AA57C0" w:rsidRPr="005D3E17">
          <w:rPr>
            <w:rStyle w:val="Hiperhivatkozs"/>
            <w:rFonts w:ascii="Georgia" w:eastAsia="Times New Roman" w:hAnsi="Georgia" w:cs="Calibri"/>
            <w:sz w:val="20"/>
            <w:szCs w:val="20"/>
            <w:lang w:val="en-GB" w:eastAsia="hu-HU"/>
          </w:rPr>
          <w:t>https://kazalci.arso.gov.si/sl/themes/climate-change-adaptation</w:t>
        </w:r>
      </w:hyperlink>
      <w:r w:rsidR="00AA57C0">
        <w:rPr>
          <w:rFonts w:ascii="Georgia" w:eastAsia="Times New Roman" w:hAnsi="Georgia" w:cs="Calibri"/>
          <w:sz w:val="20"/>
          <w:szCs w:val="20"/>
          <w:lang w:val="en-GB" w:eastAsia="hu-HU"/>
        </w:rPr>
        <w:t>.</w:t>
      </w:r>
    </w:p>
    <w:p w14:paraId="1602F429" w14:textId="77777777" w:rsidR="00AA57C0" w:rsidRDefault="00AA57C0" w:rsidP="00A710B5">
      <w:pPr>
        <w:pStyle w:val="Listaszerbekezds"/>
        <w:ind w:left="1985"/>
        <w:jc w:val="both"/>
        <w:rPr>
          <w:rFonts w:ascii="Georgia" w:eastAsia="Times New Roman" w:hAnsi="Georgia" w:cs="Calibri"/>
          <w:sz w:val="20"/>
          <w:szCs w:val="20"/>
          <w:lang w:val="en-GB" w:eastAsia="hu-HU"/>
        </w:rPr>
      </w:pPr>
    </w:p>
    <w:p w14:paraId="75854E90" w14:textId="77777777" w:rsidR="00AA57C0" w:rsidRPr="0002056A" w:rsidRDefault="00AA57C0" w:rsidP="00A710B5">
      <w:pPr>
        <w:pStyle w:val="Listaszerbekezds"/>
        <w:ind w:left="1985"/>
        <w:jc w:val="both"/>
        <w:rPr>
          <w:rFonts w:ascii="Georgia" w:eastAsia="Times New Roman" w:hAnsi="Georgia" w:cs="Calibri"/>
          <w:sz w:val="20"/>
          <w:szCs w:val="20"/>
          <w:lang w:val="en-GB" w:eastAsia="hu-HU"/>
        </w:rPr>
      </w:pPr>
    </w:p>
    <w:p w14:paraId="33584C2F"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Are these indicators collected from all spatial levels? Does your monitoring system do any spatial aggregation of indices?</w:t>
      </w:r>
    </w:p>
    <w:p w14:paraId="5D6F6749" w14:textId="77777777" w:rsidR="00A710B5" w:rsidRPr="0002056A" w:rsidRDefault="00A710B5" w:rsidP="00A710B5">
      <w:pPr>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It depends on the indicator.</w:t>
      </w:r>
    </w:p>
    <w:p w14:paraId="15DA4EE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73120FFE" w14:textId="77777777" w:rsidR="00A710B5" w:rsidRPr="0002056A" w:rsidRDefault="00A710B5" w:rsidP="00A710B5">
      <w:pPr>
        <w:ind w:left="2127" w:hanging="14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Again, it depends on the indicator.</w:t>
      </w:r>
    </w:p>
    <w:p w14:paraId="16FC6AD4"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6C9AFBB0" w14:textId="77777777" w:rsidR="00A710B5" w:rsidRPr="0002056A" w:rsidRDefault="00A710B5" w:rsidP="00A710B5">
      <w:pPr>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Various kinds of indicators are used.</w:t>
      </w:r>
    </w:p>
    <w:p w14:paraId="10B68361"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GIS based decision support (DS) system in climate (adaptation) policy in your country? </w:t>
      </w:r>
    </w:p>
    <w:p w14:paraId="44DADE34" w14:textId="77777777" w:rsidR="00A710B5" w:rsidRPr="0002056A" w:rsidRDefault="00A710B5" w:rsidP="00A710B5">
      <w:pPr>
        <w:spacing w:before="120" w:afterLines="120" w:after="288" w:line="240" w:lineRule="auto"/>
        <w:ind w:firstLine="1276"/>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1B8B530D"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4AFDCB40" w14:textId="77777777" w:rsidR="00A710B5" w:rsidRPr="0002056A" w:rsidRDefault="00A710B5" w:rsidP="00A710B5">
      <w:pPr>
        <w:spacing w:before="120" w:afterLines="120" w:after="288" w:line="240" w:lineRule="auto"/>
        <w:ind w:left="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See the following links: https://kazalci.arso.gov.si/sl/themes/climate-change-adaptation; https://www.gov.si/teme/nacrt-zmanjsevanja-poplavne-ogrozenosti/ and https://narcis.gov.si/ords/r/narcis/narcis/o-sistemu.</w:t>
      </w:r>
    </w:p>
    <w:p w14:paraId="056B329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7C7F8FC2" w14:textId="77777777" w:rsidR="00A710B5" w:rsidRPr="0002056A" w:rsidRDefault="00A710B5" w:rsidP="00A710B5">
      <w:pPr>
        <w:pStyle w:val="Listaszerbekezds"/>
        <w:ind w:firstLine="1548"/>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4BAF053"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52A27AE4" w14:textId="77777777" w:rsidR="00A710B5" w:rsidRPr="0002056A" w:rsidRDefault="00A710B5" w:rsidP="00A710B5">
      <w:pPr>
        <w:spacing w:before="120" w:afterLines="120" w:after="288" w:line="240" w:lineRule="auto"/>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3E51556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5145D1FE" w14:textId="77777777" w:rsidR="00A710B5" w:rsidRPr="0002056A" w:rsidRDefault="00A710B5" w:rsidP="00A710B5">
      <w:pPr>
        <w:pStyle w:val="Listaszerbekezds"/>
        <w:ind w:left="1440" w:firstLine="82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 with time.</w:t>
      </w:r>
    </w:p>
    <w:p w14:paraId="7E95CFFE"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5459317E" w14:textId="77777777" w:rsidR="00A710B5" w:rsidRPr="0002056A" w:rsidRDefault="00A710B5" w:rsidP="00A710B5">
      <w:pPr>
        <w:spacing w:before="120" w:afterLines="120" w:after="288" w:line="240" w:lineRule="auto"/>
        <w:ind w:firstLine="226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CCC901A"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4EC133C6" w14:textId="77777777" w:rsidR="00A710B5" w:rsidRPr="0002056A" w:rsidRDefault="00A710B5" w:rsidP="00A710B5">
      <w:pPr>
        <w:pStyle w:val="Listaszerbekezds"/>
        <w:ind w:firstLine="1548"/>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4EC165C"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p>
    <w:p w14:paraId="5022A2AF"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5BC7F68E" w14:textId="04A11FD0" w:rsidR="005D271A" w:rsidRDefault="00A710B5" w:rsidP="00A710B5">
      <w:pPr>
        <w:ind w:firstLine="1418"/>
        <w:rPr>
          <w:rFonts w:ascii="Georgia" w:hAnsi="Georgia"/>
          <w:sz w:val="20"/>
          <w:szCs w:val="20"/>
          <w:lang w:val="en-GB"/>
        </w:rPr>
      </w:pPr>
      <w:r w:rsidRPr="0002056A">
        <w:rPr>
          <w:rFonts w:ascii="Georgia" w:hAnsi="Georgia"/>
          <w:sz w:val="20"/>
          <w:szCs w:val="20"/>
          <w:lang w:val="en-GB"/>
        </w:rPr>
        <w:t>-.</w:t>
      </w:r>
    </w:p>
    <w:p w14:paraId="344E2D94" w14:textId="77777777" w:rsidR="005D271A" w:rsidRDefault="005D271A">
      <w:pPr>
        <w:spacing w:after="160" w:line="259" w:lineRule="auto"/>
        <w:rPr>
          <w:rFonts w:ascii="Georgia" w:hAnsi="Georgia"/>
          <w:sz w:val="20"/>
          <w:szCs w:val="20"/>
          <w:lang w:val="en-GB"/>
        </w:rPr>
      </w:pPr>
      <w:r>
        <w:rPr>
          <w:rFonts w:ascii="Georgia" w:hAnsi="Georgia"/>
          <w:sz w:val="20"/>
          <w:szCs w:val="20"/>
          <w:lang w:val="en-GB"/>
        </w:rPr>
        <w:br w:type="page"/>
      </w:r>
    </w:p>
    <w:p w14:paraId="125C93DC" w14:textId="77777777" w:rsidR="00A710B5" w:rsidRPr="0002056A" w:rsidRDefault="00A710B5" w:rsidP="00A710B5">
      <w:pPr>
        <w:ind w:firstLine="1418"/>
        <w:rPr>
          <w:rFonts w:ascii="Georgia" w:hAnsi="Georgia"/>
          <w:sz w:val="20"/>
          <w:szCs w:val="20"/>
          <w:lang w:val="en-GB"/>
        </w:rPr>
      </w:pPr>
    </w:p>
    <w:p w14:paraId="214A7D67" w14:textId="77777777" w:rsidR="00A710B5" w:rsidRPr="0002056A" w:rsidRDefault="00A710B5" w:rsidP="00A710B5">
      <w:pPr>
        <w:pStyle w:val="Cmsor4"/>
        <w:rPr>
          <w:sz w:val="24"/>
          <w:szCs w:val="24"/>
          <w:lang w:val="en-GB"/>
        </w:rPr>
      </w:pPr>
      <w:r w:rsidRPr="0002056A">
        <w:rPr>
          <w:sz w:val="24"/>
          <w:szCs w:val="24"/>
          <w:lang w:val="en-GB"/>
        </w:rPr>
        <w:t>Slovakia</w:t>
      </w:r>
    </w:p>
    <w:p w14:paraId="41B9ADC3"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Viktória Látal Pokorná</w:t>
      </w:r>
    </w:p>
    <w:p w14:paraId="0B4BE769"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Slovakia</w:t>
      </w:r>
    </w:p>
    <w:p w14:paraId="79F96B4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Ministry of Environment</w:t>
      </w:r>
    </w:p>
    <w:p w14:paraId="70947AB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policy officer</w:t>
      </w:r>
    </w:p>
    <w:p w14:paraId="0B34EA7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w:t>
      </w:r>
      <w:r w:rsidRPr="0002056A">
        <w:rPr>
          <w:rFonts w:ascii="Georgia" w:hAnsi="Georgia" w:cs="Calibri"/>
          <w:b/>
          <w:bCs/>
          <w:sz w:val="20"/>
          <w:szCs w:val="20"/>
          <w:lang w:val="en-GB"/>
        </w:rPr>
        <w:t>2025.08.28.</w:t>
      </w:r>
    </w:p>
    <w:p w14:paraId="0812C5CC"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533AE74B"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15C80D54" w14:textId="77777777" w:rsidR="00A710B5" w:rsidRPr="0002056A" w:rsidRDefault="00A710B5" w:rsidP="00A710B5">
      <w:pPr>
        <w:tabs>
          <w:tab w:val="left" w:pos="4700"/>
        </w:tabs>
        <w:ind w:left="1843"/>
        <w:jc w:val="both"/>
        <w:rPr>
          <w:rFonts w:ascii="Georgia" w:hAnsi="Georgia" w:cs="Calibri"/>
          <w:sz w:val="20"/>
          <w:szCs w:val="20"/>
          <w:lang w:val="en-GB"/>
        </w:rPr>
      </w:pPr>
      <w:r w:rsidRPr="0002056A">
        <w:rPr>
          <w:rFonts w:ascii="Georgia" w:hAnsi="Georgia" w:cs="Calibri"/>
          <w:sz w:val="20"/>
          <w:szCs w:val="20"/>
          <w:lang w:val="en-GB"/>
        </w:rPr>
        <w:t>3 important current documents are the NAS, the NAP and the CCRA.</w:t>
      </w:r>
    </w:p>
    <w:p w14:paraId="36B40444" w14:textId="77777777" w:rsidR="00A710B5" w:rsidRPr="0002056A" w:rsidRDefault="00A710B5" w:rsidP="00A710B5">
      <w:pPr>
        <w:pStyle w:val="Listaszerbekezds"/>
        <w:numPr>
          <w:ilvl w:val="0"/>
          <w:numId w:val="20"/>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NAS, adopted in 2018, currently being revised (STRATÉGIA ADAPTÁCIE SLOVENSKEJ REPUBLIKY NA ZMENU KLÍMY, link to the document: https://www.minzp.sk/files/odbor-politiky-zmeny-klimy/strategia-adaptacie-sr-zmenu-klimy-aktualizacia.pdf );</w:t>
      </w:r>
    </w:p>
    <w:p w14:paraId="331479BF" w14:textId="77777777" w:rsidR="00A710B5" w:rsidRPr="0002056A" w:rsidRDefault="00A710B5" w:rsidP="00A710B5">
      <w:pPr>
        <w:pStyle w:val="Listaszerbekezds"/>
        <w:numPr>
          <w:ilvl w:val="0"/>
          <w:numId w:val="20"/>
        </w:numPr>
        <w:tabs>
          <w:tab w:val="left" w:pos="1843"/>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NAP, adopted in 2021 (Akčný plán pre implementáciu Stratégie adaptácie SR na zmenu klímy, link to the document: https://www.minzp.sk/files/odbor-politiky-zmeny-klimy/akcny-plan-implementaciu-nas.pdf );</w:t>
      </w:r>
    </w:p>
    <w:p w14:paraId="338F7472" w14:textId="77777777" w:rsidR="00A710B5" w:rsidRPr="0002056A" w:rsidRDefault="00A710B5" w:rsidP="00A710B5">
      <w:pPr>
        <w:pStyle w:val="Listaszerbekezds"/>
        <w:numPr>
          <w:ilvl w:val="0"/>
          <w:numId w:val="20"/>
        </w:numPr>
        <w:tabs>
          <w:tab w:val="left" w:pos="1843"/>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Revision and update of the national strategy on adaptation to climate change in Slovakia, Deliverable 2.3: Climate Risk and Vulnerability Assessment Slovakia (CRVA, 2024, link to the document: https://www.klima-adapt.sk/cms/documents/2025/d2.3-sk-crva-report-final-version-en_67eb962f2d167.pdf ).</w:t>
      </w:r>
    </w:p>
    <w:p w14:paraId="21730E03"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55ED3F56" w14:textId="77777777" w:rsidR="00A710B5" w:rsidRPr="0002056A" w:rsidRDefault="00A710B5" w:rsidP="00A710B5">
      <w:pPr>
        <w:tabs>
          <w:tab w:val="left" w:pos="1843"/>
        </w:tabs>
        <w:ind w:left="1843"/>
        <w:jc w:val="both"/>
        <w:rPr>
          <w:rFonts w:ascii="Georgia" w:hAnsi="Georgia" w:cs="Calibri"/>
          <w:sz w:val="20"/>
          <w:szCs w:val="20"/>
          <w:lang w:val="en-GB"/>
        </w:rPr>
      </w:pPr>
      <w:r w:rsidRPr="0002056A">
        <w:rPr>
          <w:rFonts w:ascii="Georgia" w:hAnsi="Georgia" w:cs="Calibri"/>
          <w:sz w:val="20"/>
          <w:szCs w:val="20"/>
          <w:lang w:val="en-GB"/>
        </w:rPr>
        <w:t xml:space="preserve">Yes, the list is here: </w:t>
      </w:r>
      <w:hyperlink r:id="rId235" w:history="1">
        <w:r w:rsidRPr="0002056A">
          <w:rPr>
            <w:rStyle w:val="Hiperhivatkozs"/>
            <w:rFonts w:ascii="Georgia" w:hAnsi="Georgia" w:cs="Calibri"/>
            <w:sz w:val="20"/>
            <w:szCs w:val="20"/>
            <w:lang w:val="en-GB"/>
          </w:rPr>
          <w:t>https://www.sazp.sk/zivotne-prostredie/starostlivost-o-krajinu/zelena-infrastruktura/adaptacne-strategie-a-akcne-plany-na-zmenu-klimy</w:t>
        </w:r>
      </w:hyperlink>
      <w:r w:rsidRPr="0002056A">
        <w:rPr>
          <w:rFonts w:ascii="Georgia" w:hAnsi="Georgia" w:cs="Calibri"/>
          <w:sz w:val="20"/>
          <w:szCs w:val="20"/>
          <w:lang w:val="en-GB"/>
        </w:rPr>
        <w:t>.</w:t>
      </w:r>
    </w:p>
    <w:p w14:paraId="09A3B391" w14:textId="77777777" w:rsidR="00A710B5" w:rsidRPr="0002056A" w:rsidRDefault="00A710B5" w:rsidP="00A710B5">
      <w:pPr>
        <w:tabs>
          <w:tab w:val="left" w:pos="1843"/>
        </w:tabs>
        <w:ind w:left="1843"/>
        <w:jc w:val="both"/>
        <w:rPr>
          <w:rFonts w:ascii="Georgia" w:hAnsi="Georgia" w:cs="Calibri"/>
          <w:sz w:val="20"/>
          <w:szCs w:val="20"/>
          <w:lang w:val="en-GB"/>
        </w:rPr>
      </w:pPr>
      <w:r w:rsidRPr="0002056A">
        <w:rPr>
          <w:rFonts w:ascii="Georgia" w:hAnsi="Georgia" w:cs="Calibri"/>
          <w:sz w:val="20"/>
          <w:szCs w:val="20"/>
          <w:lang w:val="en-GB"/>
        </w:rPr>
        <w:t>Several cities and some regions have climate strategies</w:t>
      </w:r>
    </w:p>
    <w:p w14:paraId="682C75AD" w14:textId="77777777" w:rsidR="00A710B5" w:rsidRPr="0002056A" w:rsidRDefault="00A710B5" w:rsidP="00A710B5">
      <w:pPr>
        <w:pStyle w:val="Listaszerbekezds"/>
        <w:numPr>
          <w:ilvl w:val="0"/>
          <w:numId w:val="21"/>
        </w:numPr>
        <w:tabs>
          <w:tab w:val="left" w:pos="2127"/>
        </w:tabs>
        <w:spacing w:after="160" w:line="259" w:lineRule="auto"/>
        <w:ind w:firstLine="1123"/>
        <w:jc w:val="both"/>
        <w:rPr>
          <w:rFonts w:ascii="Georgia" w:hAnsi="Georgia" w:cs="Calibri"/>
          <w:sz w:val="20"/>
          <w:szCs w:val="20"/>
          <w:lang w:val="en-GB"/>
        </w:rPr>
      </w:pPr>
      <w:r w:rsidRPr="0002056A">
        <w:rPr>
          <w:rFonts w:ascii="Georgia" w:hAnsi="Georgia" w:cs="Calibri"/>
          <w:sz w:val="20"/>
          <w:szCs w:val="20"/>
          <w:lang w:val="en-GB"/>
        </w:rPr>
        <w:t>(2025) Stratégia adaptácie na zmenu klímy pre mesto Lučenec (pdf, 12,7MB)</w:t>
      </w:r>
    </w:p>
    <w:p w14:paraId="0CAB49F0" w14:textId="77777777" w:rsidR="00A710B5" w:rsidRPr="0002056A" w:rsidRDefault="00A710B5" w:rsidP="00A710B5">
      <w:pPr>
        <w:pStyle w:val="Listaszerbekezds"/>
        <w:numPr>
          <w:ilvl w:val="0"/>
          <w:numId w:val="21"/>
        </w:numPr>
        <w:tabs>
          <w:tab w:val="left" w:pos="2127"/>
        </w:tabs>
        <w:spacing w:after="160" w:line="259" w:lineRule="auto"/>
        <w:ind w:firstLine="1123"/>
        <w:jc w:val="both"/>
        <w:rPr>
          <w:rFonts w:ascii="Georgia" w:hAnsi="Georgia" w:cs="Calibri"/>
          <w:sz w:val="20"/>
          <w:szCs w:val="20"/>
          <w:lang w:val="en-GB"/>
        </w:rPr>
      </w:pPr>
      <w:r w:rsidRPr="0002056A">
        <w:rPr>
          <w:rFonts w:ascii="Georgia" w:hAnsi="Georgia" w:cs="Calibri"/>
          <w:sz w:val="20"/>
          <w:szCs w:val="20"/>
          <w:lang w:val="en-GB"/>
        </w:rPr>
        <w:t>(2024) Stratégia adaptácie na zmenu klímy obce Dubová (pdf., 12,8 MB)</w:t>
      </w:r>
    </w:p>
    <w:p w14:paraId="224038BB"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(2024) Stratégia adaptácie na  zmenu klímy pre mesto Púchov (pdf., 8,2 MB)</w:t>
      </w:r>
    </w:p>
    <w:p w14:paraId="14CD2EC9"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(2024) Akčný plán pre zmierňovanie a prispôsobovanie sa zmene klímy na území  mesta Brezno (pdf., 27,2 MB)</w:t>
      </w:r>
    </w:p>
    <w:p w14:paraId="1E88881F"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(2024) Akčný plán mesta Šaľa pre zmierňovanie a prispôsobovanie sa zmene klímy (pdf., 24,2 MB)</w:t>
      </w:r>
    </w:p>
    <w:p w14:paraId="76DAE274"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(2024) Klimatická stratégia mesta Malacky (pdf., 24,7 MB)</w:t>
      </w:r>
    </w:p>
    <w:p w14:paraId="462E6A23"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 xml:space="preserve">(2023) Akčný plán – zmierňovanie a prispôsobenie sa zmene klímy v meste Bardejov (pdf., 85,2 MB) </w:t>
      </w:r>
    </w:p>
    <w:p w14:paraId="7DAA8D10"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 xml:space="preserve">(2023) Zelený akčný plán mesta Rožňava (pdf., 8,25 MB) </w:t>
      </w:r>
    </w:p>
    <w:p w14:paraId="12F2A28A"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(2023) Stratégia a akčný plán adaptácie na nepriaznivé dôsledky zmeny klímy na území mesta Žilina (pdf., 18,4 MB)</w:t>
      </w:r>
    </w:p>
    <w:p w14:paraId="01524833"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(2023) Adaptačná stratégia na zmenu klímy PSK</w:t>
      </w:r>
    </w:p>
    <w:p w14:paraId="4CA88B9E"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(2023) Adaptačný plán BSK na zmenu klímy (pdf., 52,9 MB)</w:t>
      </w:r>
    </w:p>
    <w:p w14:paraId="790103FD"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lastRenderedPageBreak/>
        <w:t>(2023) Akčný plán pre mitigáciu a adaptáciu na zmenu klímy mesta Banská Bystrica (pdf., 10,7 MB)</w:t>
      </w:r>
    </w:p>
    <w:p w14:paraId="3702F32D"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(2022) Stratégia adaptácie mesta Prievidza na zmenu klímy (pdf., 2,63 MB)</w:t>
      </w:r>
    </w:p>
    <w:p w14:paraId="0737DF57"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(2022) Akčný plán pripravenosti na zmenu klímy – Snina – mesto pripravené na zmenu klímy (pdf., 5,48 MB)</w:t>
      </w:r>
    </w:p>
    <w:p w14:paraId="057FC5DB"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(2022) Adaptačný plán mesta Košice na zmenu klímy 2022 -2030 (pdf., 24,5 MB)</w:t>
      </w:r>
    </w:p>
    <w:p w14:paraId="11D60D59"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(2021) Stratégia adaptácie na nepriaznivé dôsledky zmeny klímy – mesto Hlohovec (pdf., 12,6 MB)</w:t>
      </w:r>
    </w:p>
    <w:p w14:paraId="5BCAB7F1"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(2020) Adaptačná stratégia na zmenu klímy v Košickom kraji (pdf., 2,59 MB)</w:t>
      </w:r>
    </w:p>
    <w:p w14:paraId="0AFF83A0"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(2020) Klimatický akčný plán Mestská časť Bratislava - Karlova Ves 2020-2030 (pdf., 2,17 MB)</w:t>
      </w:r>
    </w:p>
    <w:p w14:paraId="07695A42"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(2019) Stratégia adaptačných opatrení na zmenu klímy pre mesto Nitra (pdf., 14,7 MB)</w:t>
      </w:r>
    </w:p>
    <w:p w14:paraId="6FB8543D"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(2019) Mesto Senec - Adaptačné opatrenia na nepriaznivé dôsledky zmeny klímy (pdf., 14,8 MB)</w:t>
      </w:r>
    </w:p>
    <w:p w14:paraId="0D84A631"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(2019) Stratégia adaptability mesta Trenčín na klimatickú zmenu (pdf., 29,6 MB)</w:t>
      </w:r>
    </w:p>
    <w:p w14:paraId="34E86D5C"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(2018) Základná stratégia adaptácie na nepriaznivé dôsledky zmeny klímy na území mesta Prešov (pdf., 6,67 MB)</w:t>
      </w:r>
    </w:p>
    <w:p w14:paraId="53B827CE"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(2017) Akčný plán adaptácie na zmenu klímy hlavného mesta SR Bratislavy 2017 – 2020 (pdf., 27,5 MB)</w:t>
      </w:r>
    </w:p>
    <w:p w14:paraId="5ADBEB51"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(2017) Spoločná adaptačná stratégia na dopady zmeny klímy v pilotnom území (okres Michalovce, Sobrance a Užhorod) (pdf., 6,4 MB)</w:t>
      </w:r>
    </w:p>
    <w:p w14:paraId="41DF6854"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(2017) Lokálna adaptačná stratégia na zmenu klímy obce Spišská Teplica (pdf., 6,37 MB)</w:t>
      </w:r>
    </w:p>
    <w:p w14:paraId="32B2398E"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(2015) Adaptačná stratégia na zmenu klímy (využitie dažďovej vody) Zvolen (pdf., 4,74 MB)</w:t>
      </w:r>
    </w:p>
    <w:p w14:paraId="7A56CAA8"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(2015) Stratégia adaptácie mesta Kežmarok na zmenu klímy so zameraním na rast častosti intenzívnych zrážok (pdf., 6,2 MB)</w:t>
      </w:r>
    </w:p>
    <w:p w14:paraId="6EA99992"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(2015) Stratégia adaptácie mesta Trnava na dopady zmeny klímy - vlny horúčav (pdf., 7,9 MB)</w:t>
      </w:r>
    </w:p>
    <w:p w14:paraId="7B7570B2"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(2014) Stratégia adaptácie na nepriaznivé dôsledky zmeny klímy na území hlavného mesta SR Bratislavy (pdf., 2,54 MB)</w:t>
      </w:r>
    </w:p>
    <w:p w14:paraId="637143D7"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(2014) Stratégia adaptácie Mestskej časti Košice - Západ (pdf., 3,2 MB)</w:t>
      </w:r>
    </w:p>
    <w:p w14:paraId="0B446D98" w14:textId="77777777" w:rsidR="00A710B5" w:rsidRPr="0002056A" w:rsidRDefault="00A710B5" w:rsidP="00A710B5">
      <w:pPr>
        <w:pStyle w:val="Listaszerbekezds"/>
        <w:numPr>
          <w:ilvl w:val="0"/>
          <w:numId w:val="21"/>
        </w:numPr>
        <w:tabs>
          <w:tab w:val="left" w:pos="2127"/>
        </w:tabs>
        <w:spacing w:after="160" w:line="259" w:lineRule="auto"/>
        <w:ind w:left="1843" w:firstLine="0"/>
        <w:jc w:val="both"/>
        <w:rPr>
          <w:rFonts w:ascii="Georgia" w:hAnsi="Georgia" w:cs="Calibri"/>
          <w:sz w:val="20"/>
          <w:szCs w:val="20"/>
          <w:lang w:val="en-GB"/>
        </w:rPr>
      </w:pPr>
      <w:r w:rsidRPr="0002056A">
        <w:rPr>
          <w:rFonts w:ascii="Georgia" w:hAnsi="Georgia" w:cs="Calibri"/>
          <w:sz w:val="20"/>
          <w:szCs w:val="20"/>
          <w:lang w:val="en-GB"/>
        </w:rPr>
        <w:t>(2012) NÁVRH - Stratégia adaptácie na dopady zmeny klímy v meste Spišská Nová Ves a okolí (pdf., 4,05 MB)</w:t>
      </w:r>
    </w:p>
    <w:p w14:paraId="5B2D1591"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6BA1421A" w14:textId="77777777" w:rsidR="00A710B5" w:rsidRPr="0002056A" w:rsidRDefault="00A710B5" w:rsidP="00A710B5">
      <w:pPr>
        <w:ind w:firstLine="1843"/>
        <w:jc w:val="both"/>
        <w:rPr>
          <w:rFonts w:ascii="Georgia" w:hAnsi="Georgia" w:cs="Calibri"/>
          <w:sz w:val="20"/>
          <w:szCs w:val="20"/>
          <w:lang w:val="en-GB"/>
        </w:rPr>
      </w:pPr>
      <w:r w:rsidRPr="0002056A">
        <w:rPr>
          <w:rFonts w:ascii="Georgia" w:hAnsi="Georgia" w:cs="Calibri"/>
          <w:sz w:val="20"/>
          <w:szCs w:val="20"/>
          <w:lang w:val="en-GB"/>
        </w:rPr>
        <w:t>Not exactly.</w:t>
      </w:r>
    </w:p>
    <w:p w14:paraId="2471C4E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3B9B834C" w14:textId="77777777" w:rsidR="00A710B5" w:rsidRPr="0002056A" w:rsidRDefault="00A710B5" w:rsidP="00A710B5">
      <w:pPr>
        <w:ind w:firstLine="1843"/>
        <w:jc w:val="both"/>
        <w:rPr>
          <w:rFonts w:ascii="Georgia" w:hAnsi="Georgia" w:cs="Calibri"/>
          <w:sz w:val="20"/>
          <w:szCs w:val="20"/>
          <w:lang w:val="en-GB"/>
        </w:rPr>
      </w:pPr>
      <w:r w:rsidRPr="0002056A">
        <w:rPr>
          <w:rFonts w:ascii="Georgia" w:hAnsi="Georgia" w:cs="Calibri"/>
          <w:sz w:val="20"/>
          <w:szCs w:val="20"/>
          <w:lang w:val="en-GB"/>
        </w:rPr>
        <w:t>Regarding the NAS and the NAP, they have clearly sectoral logic.</w:t>
      </w:r>
    </w:p>
    <w:p w14:paraId="5808C8F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6413453C" w14:textId="77777777" w:rsidR="00A710B5" w:rsidRDefault="00A710B5" w:rsidP="00A710B5">
      <w:pPr>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04205BE4" w14:textId="77777777" w:rsidR="005D271A" w:rsidRPr="0002056A" w:rsidRDefault="005D271A" w:rsidP="00A710B5">
      <w:pPr>
        <w:ind w:firstLine="1134"/>
        <w:jc w:val="both"/>
        <w:rPr>
          <w:rFonts w:ascii="Georgia" w:eastAsia="Times New Roman" w:hAnsi="Georgia" w:cs="Calibri"/>
          <w:sz w:val="20"/>
          <w:szCs w:val="20"/>
          <w:lang w:val="en-GB" w:eastAsia="hu-HU"/>
        </w:rPr>
      </w:pPr>
    </w:p>
    <w:p w14:paraId="5253F8E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so, do you actually monitor spatial changes of</w:t>
      </w:r>
    </w:p>
    <w:p w14:paraId="7A804AD2"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climatic factors or </w:t>
      </w:r>
    </w:p>
    <w:p w14:paraId="26C34E21"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2D991AEF"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vulnerability and/or </w:t>
      </w:r>
    </w:p>
    <w:p w14:paraId="65AB1F95"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70E79262"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spatial differences in the effectiveness of climate actions?</w:t>
      </w:r>
    </w:p>
    <w:p w14:paraId="7EE7B215" w14:textId="77777777" w:rsidR="00A710B5" w:rsidRPr="0002056A" w:rsidRDefault="00A710B5" w:rsidP="00A710B5">
      <w:pPr>
        <w:pStyle w:val="Listaszerbekezds"/>
        <w:tabs>
          <w:tab w:val="left" w:pos="4238"/>
        </w:tab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No. </w:t>
      </w:r>
    </w:p>
    <w:p w14:paraId="19A7D2D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564FEAF4" w14:textId="77777777" w:rsidR="00A710B5" w:rsidRPr="0002056A" w:rsidRDefault="00A710B5" w:rsidP="00A710B5">
      <w:pPr>
        <w:pStyle w:val="Listaszerbekezds"/>
        <w:ind w:left="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the NAS there is strong references to MRE development but no mentioning of spatial levels.</w:t>
      </w:r>
    </w:p>
    <w:p w14:paraId="52F5679C"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2B94A4C3" w14:textId="77777777" w:rsidR="00A710B5" w:rsidRPr="0002056A" w:rsidRDefault="00A710B5" w:rsidP="00A710B5">
      <w:pPr>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0081A58F"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08B914D4" w14:textId="77777777" w:rsidR="00A710B5" w:rsidRPr="0002056A" w:rsidRDefault="00A710B5" w:rsidP="00A710B5">
      <w:pPr>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Ministry of Environment collects data.</w:t>
      </w:r>
    </w:p>
    <w:p w14:paraId="3F60AD22"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7ADEC575" w14:textId="77777777" w:rsidR="00A710B5" w:rsidRPr="0002056A" w:rsidRDefault="00A710B5" w:rsidP="00A710B5">
      <w:pPr>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4F4A0267"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p>
    <w:p w14:paraId="654B0EA5" w14:textId="77777777" w:rsidR="00A710B5" w:rsidRPr="0002056A" w:rsidRDefault="00A710B5" w:rsidP="00A710B5">
      <w:pPr>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Status of implementation of individual measures.</w:t>
      </w:r>
    </w:p>
    <w:p w14:paraId="0B7DB8FF"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kind of indicators do you use? (impact, outcome, output, financial, performance, etc.)?</w:t>
      </w:r>
    </w:p>
    <w:p w14:paraId="712EB512" w14:textId="77777777" w:rsidR="00A710B5" w:rsidRPr="0002056A" w:rsidRDefault="00A710B5" w:rsidP="00A710B5">
      <w:pPr>
        <w:ind w:firstLine="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Performance indicators mainly.</w:t>
      </w:r>
    </w:p>
    <w:p w14:paraId="27E57AB6"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any GIS based decision support (DS) system in climate (adaptation) policy in your country?</w:t>
      </w:r>
    </w:p>
    <w:p w14:paraId="29A165AB" w14:textId="77777777" w:rsidR="00A710B5" w:rsidRPr="0002056A" w:rsidRDefault="00A710B5" w:rsidP="00A710B5">
      <w:pPr>
        <w:spacing w:before="120" w:afterLines="120" w:after="288" w:line="240" w:lineRule="auto"/>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2FC62AE3"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6068112B" w14:textId="77777777" w:rsidR="00A710B5" w:rsidRPr="0002056A" w:rsidRDefault="00A710B5" w:rsidP="00A710B5">
      <w:pPr>
        <w:spacing w:before="120" w:afterLines="120" w:after="288" w:line="240" w:lineRule="auto"/>
        <w:ind w:left="198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Climate scenarios are available at https://www.klima-adapt.sk/scenare-buducej-klimy.</w:t>
      </w:r>
    </w:p>
    <w:p w14:paraId="13677C22"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0411F235" w14:textId="77777777" w:rsidR="00A710B5" w:rsidRPr="0002056A" w:rsidRDefault="00A710B5" w:rsidP="00A710B5">
      <w:pPr>
        <w:pStyle w:val="Listaszerbekezds"/>
        <w:spacing w:before="120" w:afterLines="120" w:after="288" w:line="240" w:lineRule="auto"/>
        <w:ind w:left="1440" w:firstLine="54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F85842A"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(Yes or no) </w:t>
      </w:r>
    </w:p>
    <w:p w14:paraId="002C1FD8" w14:textId="77777777" w:rsidR="00A710B5" w:rsidRPr="0002056A" w:rsidRDefault="00A710B5" w:rsidP="00A710B5">
      <w:pPr>
        <w:spacing w:before="120" w:afterLines="120" w:after="288" w:line="240" w:lineRule="auto"/>
        <w:ind w:firstLine="1134"/>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37CE5A1E"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0263F0AB" w14:textId="77777777" w:rsidR="00A710B5" w:rsidRDefault="00A710B5" w:rsidP="00A710B5">
      <w:pPr>
        <w:pStyle w:val="Listaszerbekezds"/>
        <w:ind w:left="1440" w:firstLine="545"/>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76D1ADAF" w14:textId="77777777" w:rsidR="005D271A" w:rsidRDefault="005D271A" w:rsidP="00A710B5">
      <w:pPr>
        <w:pStyle w:val="Listaszerbekezds"/>
        <w:ind w:left="1440" w:firstLine="545"/>
        <w:jc w:val="both"/>
        <w:rPr>
          <w:rFonts w:ascii="Georgia" w:eastAsia="Times New Roman" w:hAnsi="Georgia" w:cs="Calibri"/>
          <w:sz w:val="20"/>
          <w:szCs w:val="20"/>
          <w:lang w:val="en-GB" w:eastAsia="hu-HU"/>
        </w:rPr>
      </w:pPr>
    </w:p>
    <w:p w14:paraId="74CA1301" w14:textId="77777777" w:rsidR="005D271A" w:rsidRPr="0002056A" w:rsidRDefault="005D271A" w:rsidP="00A710B5">
      <w:pPr>
        <w:pStyle w:val="Listaszerbekezds"/>
        <w:ind w:left="1440" w:firstLine="545"/>
        <w:jc w:val="both"/>
        <w:rPr>
          <w:rFonts w:ascii="Georgia" w:eastAsia="Times New Roman" w:hAnsi="Georgia" w:cs="Calibri"/>
          <w:sz w:val="20"/>
          <w:szCs w:val="20"/>
          <w:lang w:val="en-GB" w:eastAsia="hu-HU"/>
        </w:rPr>
      </w:pPr>
    </w:p>
    <w:p w14:paraId="4F1481B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the answer is yes, are there among them explicitly (in some cases even in their title) geographically/spatially oriented products, rich in territorial chapters, analytical aspects and evaluation questions?</w:t>
      </w:r>
    </w:p>
    <w:p w14:paraId="60C1797D" w14:textId="77777777" w:rsidR="00A710B5" w:rsidRPr="0002056A" w:rsidRDefault="00A710B5" w:rsidP="00A710B5">
      <w:pPr>
        <w:spacing w:before="120" w:afterLines="120" w:after="288" w:line="240" w:lineRule="auto"/>
        <w:ind w:left="1843"/>
        <w:jc w:val="both"/>
        <w:rPr>
          <w:rFonts w:ascii="Georgia" w:eastAsia="Times New Roman" w:hAnsi="Georgia" w:cs="Calibri"/>
          <w:sz w:val="20"/>
          <w:szCs w:val="20"/>
          <w:highlight w:val="yellow"/>
          <w:lang w:val="en-GB" w:eastAsia="hu-HU"/>
        </w:rPr>
      </w:pPr>
      <w:r w:rsidRPr="0002056A">
        <w:rPr>
          <w:rFonts w:ascii="Georgia" w:eastAsia="Times New Roman" w:hAnsi="Georgia" w:cs="Calibri"/>
          <w:sz w:val="20"/>
          <w:szCs w:val="20"/>
          <w:lang w:val="en-GB" w:eastAsia="hu-HU"/>
        </w:rPr>
        <w:t>Just a chapter on sub-national level, https://www.klima-adapt.sk/cms/documents/2024/state-of-play_67330086d1201.pdf</w:t>
      </w:r>
    </w:p>
    <w:p w14:paraId="795E94B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3C7CF8D1" w14:textId="77777777" w:rsidR="00A710B5" w:rsidRPr="0002056A" w:rsidRDefault="00A710B5" w:rsidP="00A710B5">
      <w:pPr>
        <w:spacing w:before="120" w:afterLines="120" w:after="288" w:line="240" w:lineRule="auto"/>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Only national evaluations are known to me.</w:t>
      </w:r>
    </w:p>
    <w:p w14:paraId="216241F8" w14:textId="77777777" w:rsidR="00A710B5" w:rsidRPr="0002056A" w:rsidRDefault="00A710B5" w:rsidP="00A710B5">
      <w:pPr>
        <w:pStyle w:val="Listaszerbekezds"/>
        <w:numPr>
          <w:ilvl w:val="0"/>
          <w:numId w:val="13"/>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anything you want to highlight or share with us that was not covered in the questionnaire?</w:t>
      </w:r>
    </w:p>
    <w:p w14:paraId="51898AFA" w14:textId="77777777" w:rsidR="00A710B5" w:rsidRPr="0002056A" w:rsidRDefault="00A710B5" w:rsidP="00A710B5">
      <w:pPr>
        <w:spacing w:before="120" w:afterLines="120" w:after="288" w:line="240" w:lineRule="auto"/>
        <w:ind w:left="1843"/>
        <w:jc w:val="both"/>
        <w:rPr>
          <w:rFonts w:ascii="Georgia" w:eastAsia="Times New Roman" w:hAnsi="Georgia" w:cs="Calibri"/>
          <w:sz w:val="20"/>
          <w:szCs w:val="20"/>
          <w:highlight w:val="yellow"/>
          <w:lang w:val="en-GB" w:eastAsia="hu-HU"/>
        </w:rPr>
      </w:pPr>
      <w:r w:rsidRPr="0002056A">
        <w:rPr>
          <w:rFonts w:ascii="Georgia" w:eastAsia="Times New Roman" w:hAnsi="Georgia" w:cs="Calibri"/>
          <w:sz w:val="20"/>
          <w:szCs w:val="20"/>
          <w:lang w:val="en-GB" w:eastAsia="hu-HU"/>
        </w:rPr>
        <w:t xml:space="preserve">All important information is on our platform </w:t>
      </w:r>
      <w:hyperlink r:id="rId236" w:history="1">
        <w:r w:rsidRPr="0002056A">
          <w:rPr>
            <w:rStyle w:val="Hiperhivatkozs"/>
            <w:rFonts w:ascii="Georgia" w:eastAsia="Times New Roman" w:hAnsi="Georgia" w:cs="Calibri"/>
            <w:sz w:val="20"/>
            <w:szCs w:val="20"/>
            <w:lang w:val="en-GB" w:eastAsia="hu-HU"/>
          </w:rPr>
          <w:t>https://www.klima-adapt.sk/</w:t>
        </w:r>
      </w:hyperlink>
      <w:r w:rsidRPr="0002056A">
        <w:rPr>
          <w:rFonts w:ascii="Georgia" w:eastAsia="Times New Roman" w:hAnsi="Georgia" w:cs="Calibri"/>
          <w:sz w:val="20"/>
          <w:szCs w:val="20"/>
          <w:lang w:val="en-GB" w:eastAsia="hu-HU"/>
        </w:rPr>
        <w:t>. E-mail address: adaptacia@enviro.gov.sk</w:t>
      </w:r>
    </w:p>
    <w:p w14:paraId="24A58864" w14:textId="77777777" w:rsidR="00A710B5" w:rsidRPr="0002056A" w:rsidRDefault="00A710B5" w:rsidP="00A710B5">
      <w:pPr>
        <w:rPr>
          <w:rFonts w:ascii="Georgia" w:hAnsi="Georgia"/>
          <w:sz w:val="20"/>
          <w:szCs w:val="20"/>
          <w:lang w:val="en-GB"/>
        </w:rPr>
      </w:pPr>
    </w:p>
    <w:p w14:paraId="7D6E298F" w14:textId="77777777" w:rsidR="00A710B5" w:rsidRPr="0002056A" w:rsidRDefault="00A710B5" w:rsidP="00A710B5">
      <w:pPr>
        <w:pStyle w:val="Cmsor4"/>
        <w:rPr>
          <w:sz w:val="24"/>
          <w:szCs w:val="24"/>
          <w:lang w:val="en-GB"/>
        </w:rPr>
      </w:pPr>
      <w:r w:rsidRPr="0002056A">
        <w:rPr>
          <w:sz w:val="24"/>
          <w:szCs w:val="24"/>
          <w:lang w:val="en-GB"/>
        </w:rPr>
        <w:t>France</w:t>
      </w:r>
    </w:p>
    <w:p w14:paraId="063D4CDD"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Robert Bellini</w:t>
      </w:r>
    </w:p>
    <w:p w14:paraId="78BA5BC6"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France</w:t>
      </w:r>
    </w:p>
    <w:p w14:paraId="205FC28D"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ADEME</w:t>
      </w:r>
    </w:p>
    <w:p w14:paraId="14B76C5F"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Head of Climate Change Adaptation Department</w:t>
      </w:r>
    </w:p>
    <w:p w14:paraId="5BC5477C"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2025.10.04.</w:t>
      </w:r>
    </w:p>
    <w:p w14:paraId="3A544B1F"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4ED2AD6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0352B9F6"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Our current NAP 3 (PNAAC3) (actually an integrated NAS-NAP) was issued in March 2025. The original NAS is from 2006.</w:t>
      </w:r>
    </w:p>
    <w:p w14:paraId="17B4C3A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0CC364E6"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Regarding regional climate strategies, they are mostly oriented to mitigation. Regional roadmaps are in progress, under a national umbrella programme. Local climate strategies and local action plans also exist. There is a public helpdesk service focusing on national and regional governance. Moreover, there are programs at regional level, targeting at coastal and mountainous areas, focusing on nature-based solutions.</w:t>
      </w:r>
    </w:p>
    <w:p w14:paraId="3F0273A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climate adaptation? (sectoral adaptation strategies, programs, action plans)?</w:t>
      </w:r>
    </w:p>
    <w:p w14:paraId="5C1B3B3C"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Sectoral programs steered at national level exist in agriculture, building sector and the energy sector. Other programs steered at regional level focus on risk assessment consultancy for SMEs. Sectoral guidelines have also been elaborated for tourism.</w:t>
      </w:r>
    </w:p>
    <w:p w14:paraId="1BBC52C7"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22C057F0"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Regional planning started earlier and is still prevailing. However, with NAP3 sectoral planning is being encouraged.</w:t>
      </w:r>
    </w:p>
    <w:p w14:paraId="47FA5C24"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 </w:t>
      </w:r>
    </w:p>
    <w:p w14:paraId="6AADB5A1" w14:textId="77777777" w:rsidR="00A710B5" w:rsidRPr="0002056A" w:rsidRDefault="00A710B5" w:rsidP="00A710B5">
      <w:pPr>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251DD88D"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w:t>
      </w:r>
    </w:p>
    <w:p w14:paraId="050964C1"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climatic factors or </w:t>
      </w:r>
    </w:p>
    <w:p w14:paraId="546AF72F"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699B352"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vulnerability and/or </w:t>
      </w:r>
    </w:p>
    <w:p w14:paraId="7181242E"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255FF49"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spatial differences in the effectiveness of climate actions?</w:t>
      </w:r>
    </w:p>
    <w:p w14:paraId="382F4FB0"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A10E75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4586A069" w14:textId="77777777" w:rsidR="00A710B5" w:rsidRPr="0002056A" w:rsidRDefault="00A710B5" w:rsidP="00A710B5">
      <w:pPr>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NAP3 proposes a bottom-up system.</w:t>
      </w:r>
    </w:p>
    <w:p w14:paraId="58C4A666"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0B30711F" w14:textId="77777777" w:rsidR="00A710B5" w:rsidRPr="0002056A" w:rsidRDefault="00A710B5" w:rsidP="00A710B5">
      <w:pPr>
        <w:ind w:left="360" w:firstLine="49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5C70727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60E47F58" w14:textId="77777777" w:rsidR="00A710B5" w:rsidRPr="0002056A" w:rsidRDefault="00A710B5" w:rsidP="00A710B5">
      <w:pPr>
        <w:ind w:left="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National Meteorological Office collects climatological data; state representatives regional environmental/social/economic data in regions and local autorities locally.</w:t>
      </w:r>
    </w:p>
    <w:p w14:paraId="38F648AF"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5B4F22C3" w14:textId="77777777" w:rsidR="00A710B5" w:rsidRPr="0002056A" w:rsidRDefault="00A710B5" w:rsidP="00A710B5">
      <w:pPr>
        <w:ind w:firstLine="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05F56DBB" w14:textId="3A8146BF"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w:t>
      </w:r>
      <w:r w:rsidR="00784322" w:rsidRPr="0002056A">
        <w:rPr>
          <w:rFonts w:ascii="Georgia" w:eastAsia="Times New Roman" w:hAnsi="Georgia" w:cs="Calibri"/>
          <w:sz w:val="20"/>
          <w:szCs w:val="20"/>
          <w:lang w:val="en-GB" w:eastAsia="hu-HU"/>
        </w:rPr>
        <w:t>)?</w:t>
      </w:r>
    </w:p>
    <w:p w14:paraId="337F5F13" w14:textId="77777777" w:rsidR="00A710B5" w:rsidRPr="0002056A" w:rsidRDefault="00A710B5" w:rsidP="00A710B5">
      <w:pPr>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Climatic factors.</w:t>
      </w:r>
    </w:p>
    <w:p w14:paraId="386F21F6"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kind of indicators do you use? (impact, outcome, output, financial, performance, etc.)?</w:t>
      </w:r>
    </w:p>
    <w:p w14:paraId="1A76ADD7" w14:textId="77777777" w:rsidR="00A710B5" w:rsidRPr="0002056A" w:rsidRDefault="00A710B5" w:rsidP="00A710B5">
      <w:pPr>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Both hazard, impact and financial indicators.</w:t>
      </w:r>
    </w:p>
    <w:p w14:paraId="55F7D1EB"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any GIS based decision support (DS) system in climate (adaptation) policy in your country?</w:t>
      </w:r>
    </w:p>
    <w:p w14:paraId="1F3D02C8" w14:textId="77777777" w:rsidR="00A710B5"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7342D9BA" w14:textId="77777777" w:rsidR="005D271A" w:rsidRPr="0002056A" w:rsidRDefault="005D271A" w:rsidP="00A710B5">
      <w:pPr>
        <w:spacing w:before="120" w:afterLines="120" w:after="288" w:line="240" w:lineRule="auto"/>
        <w:ind w:firstLine="993"/>
        <w:jc w:val="both"/>
        <w:rPr>
          <w:rFonts w:ascii="Georgia" w:eastAsia="Times New Roman" w:hAnsi="Georgia" w:cs="Calibri"/>
          <w:sz w:val="20"/>
          <w:szCs w:val="20"/>
          <w:lang w:val="en-GB" w:eastAsia="hu-HU"/>
        </w:rPr>
      </w:pPr>
    </w:p>
    <w:p w14:paraId="02A08767"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so, please introduce it shortly</w:t>
      </w:r>
    </w:p>
    <w:p w14:paraId="63773E9A" w14:textId="77777777" w:rsidR="00A710B5" w:rsidRPr="0002056A" w:rsidRDefault="00A710B5" w:rsidP="00A710B5">
      <w:pPr>
        <w:spacing w:before="120" w:afterLines="120" w:after="288" w:line="240" w:lineRule="auto"/>
        <w:ind w:left="1080" w:firstLine="62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Two main examples can be mentioned.</w:t>
      </w:r>
    </w:p>
    <w:p w14:paraId="70A97F06" w14:textId="77777777" w:rsidR="00A710B5" w:rsidRPr="0002056A" w:rsidRDefault="00A710B5" w:rsidP="00A710B5">
      <w:pPr>
        <w:pStyle w:val="Listaszerbekezds"/>
        <w:numPr>
          <w:ilvl w:val="0"/>
          <w:numId w:val="19"/>
        </w:numPr>
        <w:tabs>
          <w:tab w:val="left" w:pos="1701"/>
        </w:tabs>
        <w:spacing w:before="120" w:afterLines="120" w:after="288" w:line="240" w:lineRule="auto"/>
        <w:ind w:left="1701" w:firstLine="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DRIAS portal (https://www.drias-climat.fr/) sets of climatic indicators at different time horizons.</w:t>
      </w:r>
    </w:p>
    <w:p w14:paraId="317AFB4C" w14:textId="77777777" w:rsidR="00A710B5" w:rsidRPr="0002056A" w:rsidRDefault="00A710B5" w:rsidP="00A710B5">
      <w:pPr>
        <w:pStyle w:val="Listaszerbekezds"/>
        <w:numPr>
          <w:ilvl w:val="0"/>
          <w:numId w:val="19"/>
        </w:numPr>
        <w:tabs>
          <w:tab w:val="left" w:pos="1701"/>
        </w:tabs>
        <w:spacing w:before="120" w:afterLines="120" w:after="288" w:line="240" w:lineRule="auto"/>
        <w:ind w:left="1701" w:firstLine="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Facili-TACCT website (https://facili-tacct.beta.gouv.fr/) sets of non-climatic (current) indicators.</w:t>
      </w:r>
    </w:p>
    <w:p w14:paraId="56075EA9" w14:textId="77777777" w:rsidR="00A710B5" w:rsidRPr="0002056A" w:rsidRDefault="00A710B5" w:rsidP="00A710B5">
      <w:pPr>
        <w:pStyle w:val="Listaszerbekezds"/>
        <w:tabs>
          <w:tab w:val="left" w:pos="1701"/>
        </w:tabs>
        <w:spacing w:before="120" w:afterLines="120" w:after="288" w:line="240" w:lineRule="auto"/>
        <w:ind w:left="1701"/>
        <w:jc w:val="both"/>
        <w:rPr>
          <w:rFonts w:ascii="Georgia" w:eastAsia="Times New Roman" w:hAnsi="Georgia" w:cs="Calibri"/>
          <w:sz w:val="20"/>
          <w:szCs w:val="20"/>
          <w:lang w:val="en-GB" w:eastAsia="hu-HU"/>
        </w:rPr>
      </w:pPr>
    </w:p>
    <w:p w14:paraId="73C7613E"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42EA7E49" w14:textId="77777777" w:rsidR="00A710B5" w:rsidRPr="0002056A" w:rsidRDefault="00A710B5" w:rsidP="00A710B5">
      <w:pPr>
        <w:pStyle w:val="Listaszerbekezds"/>
        <w:spacing w:before="120" w:afterLines="120" w:after="288" w:line="240" w:lineRule="auto"/>
        <w:ind w:left="1440" w:firstLine="26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8FB8C9D"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(Yes or no) </w:t>
      </w:r>
    </w:p>
    <w:p w14:paraId="254E3190" w14:textId="77777777" w:rsidR="00A710B5" w:rsidRPr="0002056A" w:rsidRDefault="00A710B5" w:rsidP="00A710B5">
      <w:pPr>
        <w:spacing w:before="120" w:afterLines="120" w:after="288" w:line="240" w:lineRule="auto"/>
        <w:ind w:firstLine="99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43D0229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22CB4343" w14:textId="77777777" w:rsidR="00A710B5" w:rsidRPr="0002056A" w:rsidRDefault="00A710B5" w:rsidP="00A710B5">
      <w:pPr>
        <w:ind w:left="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NAP3 contains plans to elaborate sectoral or macro evaluations. However very limited resource is dedicated to evaluations.</w:t>
      </w:r>
    </w:p>
    <w:p w14:paraId="6AE01D5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32D318DB"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decided yet.</w:t>
      </w:r>
    </w:p>
    <w:p w14:paraId="676D598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690FA2CC" w14:textId="77777777" w:rsidR="00A710B5" w:rsidRPr="0002056A" w:rsidRDefault="00A710B5" w:rsidP="00A710B5">
      <w:pPr>
        <w:pStyle w:val="Listaszerbekezds"/>
        <w:spacing w:before="120" w:afterLines="120" w:after="288" w:line="240" w:lineRule="auto"/>
        <w:ind w:left="1440"/>
        <w:jc w:val="both"/>
        <w:rPr>
          <w:rFonts w:ascii="Georgia" w:hAnsi="Georgia" w:cs="Calibri"/>
          <w:sz w:val="20"/>
          <w:szCs w:val="20"/>
          <w:lang w:val="en-GB"/>
        </w:rPr>
      </w:pPr>
      <w:r w:rsidRPr="0002056A">
        <w:rPr>
          <w:rFonts w:ascii="Georgia" w:eastAsia="Times New Roman" w:hAnsi="Georgia" w:cs="Calibri"/>
          <w:sz w:val="20"/>
          <w:szCs w:val="20"/>
          <w:lang w:val="en-GB" w:eastAsia="hu-HU"/>
        </w:rPr>
        <w:t>-.</w:t>
      </w:r>
    </w:p>
    <w:p w14:paraId="17E54C65" w14:textId="77777777" w:rsidR="00A710B5" w:rsidRPr="0002056A" w:rsidRDefault="00A710B5" w:rsidP="00A710B5">
      <w:pPr>
        <w:pStyle w:val="Cmsor4"/>
        <w:rPr>
          <w:sz w:val="24"/>
          <w:szCs w:val="24"/>
          <w:lang w:val="en-GB"/>
        </w:rPr>
      </w:pPr>
      <w:r w:rsidRPr="0002056A">
        <w:rPr>
          <w:sz w:val="24"/>
          <w:szCs w:val="24"/>
          <w:lang w:val="en-GB"/>
        </w:rPr>
        <w:t>Bosnia and Herzegovina</w:t>
      </w:r>
    </w:p>
    <w:p w14:paraId="52B081D4"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w:t>
      </w:r>
      <w:r w:rsidRPr="0002056A">
        <w:rPr>
          <w:rFonts w:ascii="Georgia" w:hAnsi="Georgia" w:cs="Calibri"/>
          <w:b/>
          <w:bCs/>
          <w:sz w:val="20"/>
          <w:szCs w:val="20"/>
          <w:lang w:val="en-GB"/>
        </w:rPr>
        <w:t>Sabina Hodzic</w:t>
      </w:r>
    </w:p>
    <w:p w14:paraId="58717243"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Bosnia and Herzegovina</w:t>
      </w:r>
    </w:p>
    <w:p w14:paraId="133962C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w:t>
      </w:r>
      <w:r w:rsidRPr="0002056A">
        <w:rPr>
          <w:rFonts w:ascii="Georgia" w:hAnsi="Georgia" w:cs="Calibri"/>
          <w:b/>
          <w:bCs/>
          <w:sz w:val="20"/>
          <w:szCs w:val="20"/>
          <w:lang w:val="en-GB"/>
        </w:rPr>
        <w:t>Hydrometeorological Institute of Federation of Bosnia and Herzegovina</w:t>
      </w:r>
    </w:p>
    <w:p w14:paraId="1B8F88D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w:t>
      </w:r>
      <w:r w:rsidRPr="0002056A">
        <w:rPr>
          <w:rFonts w:ascii="Georgia" w:hAnsi="Georgia" w:cs="Calibri"/>
          <w:b/>
          <w:bCs/>
          <w:sz w:val="20"/>
          <w:szCs w:val="20"/>
          <w:lang w:val="en-GB"/>
        </w:rPr>
        <w:t>Assistant director</w:t>
      </w:r>
    </w:p>
    <w:p w14:paraId="6C80A4EC"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w:t>
      </w:r>
      <w:r w:rsidRPr="0002056A">
        <w:rPr>
          <w:rFonts w:ascii="Georgia" w:hAnsi="Georgia" w:cs="Calibri"/>
          <w:b/>
          <w:bCs/>
          <w:sz w:val="20"/>
          <w:szCs w:val="20"/>
          <w:lang w:val="en-GB"/>
        </w:rPr>
        <w:t>2025.10.01.</w:t>
      </w:r>
    </w:p>
    <w:p w14:paraId="1E43DA43" w14:textId="77777777" w:rsidR="00A710B5" w:rsidRPr="0002056A" w:rsidRDefault="00A710B5" w:rsidP="00A710B5">
      <w:pPr>
        <w:jc w:val="both"/>
        <w:rPr>
          <w:rFonts w:ascii="Georgia" w:hAnsi="Georgia" w:cs="Calibri"/>
          <w:sz w:val="20"/>
          <w:szCs w:val="20"/>
          <w:lang w:val="en-GB"/>
        </w:rPr>
      </w:pPr>
    </w:p>
    <w:p w14:paraId="2C18FECE"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55F3DCBB"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 analytical documents exist in your country at national level? NAS? NAP? CCRA? CVA? Please name the actual documents with exact title and availability.</w:t>
      </w:r>
    </w:p>
    <w:p w14:paraId="0767DF1C" w14:textId="36F82A3D" w:rsidR="00A710B5" w:rsidRPr="0002056A" w:rsidRDefault="00A710B5" w:rsidP="00A710B5">
      <w:pPr>
        <w:ind w:left="1985"/>
        <w:jc w:val="both"/>
        <w:rPr>
          <w:rFonts w:ascii="Georgia" w:hAnsi="Georgia" w:cs="Calibri"/>
          <w:sz w:val="20"/>
          <w:szCs w:val="20"/>
          <w:lang w:val="en-GB"/>
        </w:rPr>
      </w:pPr>
      <w:r w:rsidRPr="0002056A">
        <w:rPr>
          <w:rFonts w:ascii="Georgia" w:hAnsi="Georgia" w:cs="Calibri"/>
          <w:sz w:val="20"/>
          <w:szCs w:val="20"/>
          <w:lang w:val="en-GB"/>
        </w:rPr>
        <w:t xml:space="preserve">We have adopted a NAP document (which is </w:t>
      </w:r>
      <w:r w:rsidR="00784322" w:rsidRPr="0002056A">
        <w:rPr>
          <w:rFonts w:ascii="Georgia" w:hAnsi="Georgia" w:cs="Calibri"/>
          <w:sz w:val="20"/>
          <w:szCs w:val="20"/>
          <w:lang w:val="en-GB"/>
        </w:rPr>
        <w:t>some</w:t>
      </w:r>
      <w:r w:rsidRPr="0002056A">
        <w:rPr>
          <w:rFonts w:ascii="Georgia" w:hAnsi="Georgia" w:cs="Calibri"/>
          <w:sz w:val="20"/>
          <w:szCs w:val="20"/>
          <w:lang w:val="en-GB"/>
        </w:rPr>
        <w:t xml:space="preserve"> kind of mixture between a typical NAS and NAP). Bosnia and Herzegovina </w:t>
      </w:r>
      <w:r w:rsidR="00784322" w:rsidRPr="0002056A">
        <w:rPr>
          <w:rFonts w:ascii="Georgia" w:hAnsi="Georgia" w:cs="Calibri"/>
          <w:sz w:val="20"/>
          <w:szCs w:val="20"/>
          <w:lang w:val="en-GB"/>
        </w:rPr>
        <w:t>finalizes</w:t>
      </w:r>
      <w:r w:rsidRPr="0002056A">
        <w:rPr>
          <w:rFonts w:ascii="Georgia" w:hAnsi="Georgia" w:cs="Calibri"/>
          <w:sz w:val="20"/>
          <w:szCs w:val="20"/>
          <w:lang w:val="en-GB"/>
        </w:rPr>
        <w:t xml:space="preserve"> country's first climate change National Adaptation Plan as well on January 09, 2023.</w:t>
      </w:r>
    </w:p>
    <w:p w14:paraId="36E6DB3D"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subnational/regional and local strategic documents in the field of adaptation? (local/regional adaptation strategies, programs, action plans)?</w:t>
      </w:r>
    </w:p>
    <w:p w14:paraId="51757120" w14:textId="77777777" w:rsidR="00A710B5" w:rsidRPr="0002056A" w:rsidRDefault="00A710B5" w:rsidP="00A710B5">
      <w:pPr>
        <w:ind w:left="1985"/>
        <w:jc w:val="both"/>
        <w:rPr>
          <w:rFonts w:ascii="Georgia" w:hAnsi="Georgia" w:cs="Calibri"/>
          <w:sz w:val="20"/>
          <w:szCs w:val="20"/>
          <w:lang w:val="en-GB"/>
        </w:rPr>
      </w:pPr>
      <w:r w:rsidRPr="0002056A">
        <w:rPr>
          <w:rFonts w:ascii="Georgia" w:hAnsi="Georgia" w:cs="Calibri"/>
          <w:sz w:val="20"/>
          <w:szCs w:val="20"/>
          <w:lang w:val="en-GB"/>
        </w:rPr>
        <w:t>Yes, the “2020-2030 CLIMATE CHANGE ADAPTATION AND LOW EMISSION DEVELOPMENT STRATEGY FOR BOSNIA AND HERZEGOVINA”.</w:t>
      </w:r>
    </w:p>
    <w:p w14:paraId="2181BAC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lastRenderedPageBreak/>
        <w:t>Do you have sectoral strategic documents dealing directly with climate adaptation? (sectoral adaptation strategies, programs, action plans)?</w:t>
      </w:r>
    </w:p>
    <w:p w14:paraId="08E7628D" w14:textId="77777777" w:rsidR="00A710B5" w:rsidRPr="0002056A" w:rsidRDefault="00A710B5" w:rsidP="00A710B5">
      <w:pPr>
        <w:ind w:left="1985"/>
        <w:jc w:val="both"/>
        <w:rPr>
          <w:rFonts w:ascii="Georgia" w:hAnsi="Georgia" w:cs="Calibri"/>
          <w:sz w:val="20"/>
          <w:szCs w:val="20"/>
          <w:lang w:val="en-GB"/>
        </w:rPr>
      </w:pPr>
      <w:r w:rsidRPr="0002056A">
        <w:rPr>
          <w:rFonts w:ascii="Georgia" w:hAnsi="Georgia" w:cs="Calibri"/>
          <w:sz w:val="20"/>
          <w:szCs w:val="20"/>
          <w:lang w:val="en-GB"/>
        </w:rPr>
        <w:t>We do not have standalone sectoral strategic documents.</w:t>
      </w:r>
    </w:p>
    <w:p w14:paraId="2FBC712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regional or sectoral in adaptation policy’s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6B4E766E" w14:textId="77777777" w:rsidR="00A710B5" w:rsidRPr="0002056A" w:rsidRDefault="00A710B5" w:rsidP="00A710B5">
      <w:pPr>
        <w:ind w:left="1985"/>
        <w:jc w:val="both"/>
        <w:rPr>
          <w:rFonts w:ascii="Georgia" w:hAnsi="Georgia" w:cs="Calibri"/>
          <w:sz w:val="20"/>
          <w:szCs w:val="20"/>
          <w:lang w:val="en-GB"/>
        </w:rPr>
      </w:pPr>
      <w:r w:rsidRPr="0002056A">
        <w:rPr>
          <w:rFonts w:ascii="Georgia" w:hAnsi="Georgia" w:cs="Calibri"/>
          <w:sz w:val="20"/>
          <w:szCs w:val="20"/>
          <w:lang w:val="en-GB"/>
        </w:rPr>
        <w:t>In Bosnia and Herzegovina, sectoral logic prevails in the strategic planning of climate change adaptation policies. This is evident in both the National Adaptation Plan (NAP) and the Climate Change Adaptation and Low Emission Development Strategy 2020–2030. Both documents structure their situation analyses and objectives around thematic sectors rather than geographic regions.</w:t>
      </w:r>
    </w:p>
    <w:p w14:paraId="3C2244CF"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adaptation-related monitoring system?</w:t>
      </w:r>
    </w:p>
    <w:p w14:paraId="09B693F1" w14:textId="77777777" w:rsidR="00A710B5" w:rsidRPr="0002056A" w:rsidRDefault="00A710B5" w:rsidP="00A710B5">
      <w:pPr>
        <w:ind w:firstLine="1276"/>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3C5636C1"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of</w:t>
      </w:r>
    </w:p>
    <w:p w14:paraId="527F586A"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climatic factors or </w:t>
      </w:r>
    </w:p>
    <w:p w14:paraId="7A6FAD3A"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955784B"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vulnerability and/or </w:t>
      </w:r>
    </w:p>
    <w:p w14:paraId="4EF49037"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74D65F3"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spatial differences in the effectiveness of climate actions?</w:t>
      </w:r>
    </w:p>
    <w:p w14:paraId="0F4CD833" w14:textId="77777777" w:rsidR="00A710B5" w:rsidRPr="0002056A" w:rsidRDefault="00A710B5" w:rsidP="00A710B5">
      <w:pPr>
        <w:pStyle w:val="Listaszerbekezds"/>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 </w:t>
      </w:r>
    </w:p>
    <w:p w14:paraId="120EC37E"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set up such a system?</w:t>
      </w:r>
    </w:p>
    <w:p w14:paraId="5B6E7DA2" w14:textId="77777777" w:rsidR="00A710B5" w:rsidRPr="0002056A" w:rsidRDefault="00A710B5" w:rsidP="00A710B5">
      <w:pPr>
        <w:ind w:firstLine="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38D686EB"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applied indicator sets in adaptation?</w:t>
      </w:r>
    </w:p>
    <w:p w14:paraId="1902C1C3" w14:textId="77777777" w:rsidR="00A710B5" w:rsidRPr="0002056A" w:rsidRDefault="00A710B5" w:rsidP="00A710B5">
      <w:pPr>
        <w:ind w:firstLine="1276"/>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19D007E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5CCB9C8E" w14:textId="77777777" w:rsidR="00A710B5" w:rsidRPr="0002056A" w:rsidRDefault="00A710B5" w:rsidP="00A710B5">
      <w:pPr>
        <w:ind w:firstLine="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Federal Environmental Fond in FB&amp;H should collect these indicators</w:t>
      </w:r>
    </w:p>
    <w:p w14:paraId="0A41CE8D"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these indicators collected from all spatial levels? Does your monitoring system do any spatial aggregation of indices? </w:t>
      </w:r>
    </w:p>
    <w:p w14:paraId="199DBE55" w14:textId="77777777" w:rsidR="00A710B5" w:rsidRPr="0002056A" w:rsidRDefault="00A710B5" w:rsidP="00A710B5">
      <w:pPr>
        <w:ind w:left="2552"/>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Bosnia and Herzegovina, climate adaptation indicators are collected across multiple spatial levels, but the monitoring system does not yet perform systematic spatial aggregation of indices in a fully integrated way. There's a breakdown based on the National Adaptation Plan (NAP) and related sources.</w:t>
      </w:r>
    </w:p>
    <w:p w14:paraId="539B84D1"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w:t>
      </w:r>
      <w:r w:rsidRPr="0002056A">
        <w:rPr>
          <w:rFonts w:ascii="Georgia" w:eastAsia="Times New Roman" w:hAnsi="Georgia" w:cs="Calibri"/>
          <w:sz w:val="20"/>
          <w:szCs w:val="20"/>
          <w:lang w:val="en-GB" w:eastAsia="hu-HU"/>
        </w:rPr>
        <w:t xml:space="preserve"> measure? (e.g.: changes in climatic factors changes? Spatial vulnerability? Policy effectiveness?) </w:t>
      </w:r>
    </w:p>
    <w:p w14:paraId="104319C6" w14:textId="77777777" w:rsidR="00A710B5" w:rsidRPr="0002056A" w:rsidRDefault="00A710B5" w:rsidP="00A710B5">
      <w:pPr>
        <w:ind w:firstLine="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It depends on the institution.</w:t>
      </w:r>
    </w:p>
    <w:p w14:paraId="79407E3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What kind of indicators do you use? (impact, outcome, output, financial, performance, etc.)?</w:t>
      </w:r>
    </w:p>
    <w:p w14:paraId="3A371A83" w14:textId="69ECC4F0" w:rsidR="00A710B5" w:rsidRPr="0002056A" w:rsidRDefault="00A710B5" w:rsidP="00A710B5">
      <w:pPr>
        <w:ind w:left="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For example, my Institute prepare meteorological indicators like precipitation, river </w:t>
      </w:r>
      <w:r w:rsidR="00784322" w:rsidRPr="0002056A">
        <w:rPr>
          <w:rFonts w:ascii="Georgia" w:eastAsia="Times New Roman" w:hAnsi="Georgia" w:cs="Calibri"/>
          <w:sz w:val="20"/>
          <w:szCs w:val="20"/>
          <w:lang w:val="en-GB" w:eastAsia="hu-HU"/>
        </w:rPr>
        <w:t>discharge, drought</w:t>
      </w:r>
      <w:r w:rsidRPr="0002056A">
        <w:rPr>
          <w:rFonts w:ascii="Georgia" w:eastAsia="Times New Roman" w:hAnsi="Georgia" w:cs="Calibri"/>
          <w:sz w:val="20"/>
          <w:szCs w:val="20"/>
          <w:lang w:val="en-GB" w:eastAsia="hu-HU"/>
        </w:rPr>
        <w:t xml:space="preserve"> frequency etc.</w:t>
      </w:r>
    </w:p>
    <w:p w14:paraId="6F00EA48"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any GIS based decision support (DS) system in climate (adaptation) policy in your country?</w:t>
      </w:r>
    </w:p>
    <w:p w14:paraId="1128AC11" w14:textId="77777777" w:rsidR="00A710B5" w:rsidRPr="0002056A" w:rsidRDefault="00A710B5" w:rsidP="00A710B5">
      <w:pPr>
        <w:spacing w:before="120" w:afterLines="120" w:after="288" w:line="240" w:lineRule="auto"/>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605DCED5"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please introduce it shortly</w:t>
      </w:r>
    </w:p>
    <w:p w14:paraId="09D4A63C" w14:textId="77777777" w:rsidR="00A710B5" w:rsidRPr="0002056A" w:rsidRDefault="00A710B5" w:rsidP="00A710B5">
      <w:pPr>
        <w:spacing w:before="120" w:afterLines="120" w:after="288" w:line="240" w:lineRule="auto"/>
        <w:ind w:left="1080" w:firstLine="33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DFA120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any other adaptation-related (e.g. knowledge collector) website is functioning /planned but without signs of GIS/DS system?</w:t>
      </w:r>
    </w:p>
    <w:p w14:paraId="3D9191C5" w14:textId="77777777" w:rsidR="00A710B5" w:rsidRPr="0002056A" w:rsidRDefault="00A710B5" w:rsidP="00A710B5">
      <w:pPr>
        <w:spacing w:before="120" w:afterLines="120" w:after="288" w:line="240" w:lineRule="auto"/>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Information system in Environmental Fond in FB&amp;H</w:t>
      </w:r>
    </w:p>
    <w:p w14:paraId="14921181"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(Yes or no) </w:t>
      </w:r>
    </w:p>
    <w:p w14:paraId="42B63AA9" w14:textId="77777777" w:rsidR="00A710B5" w:rsidRPr="0002056A" w:rsidRDefault="00A710B5" w:rsidP="00A710B5">
      <w:pPr>
        <w:spacing w:before="120" w:afterLines="120" w:after="288" w:line="240" w:lineRule="auto"/>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w:t>
      </w:r>
    </w:p>
    <w:p w14:paraId="63F5331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not, is it planned to elaborate such documents?</w:t>
      </w:r>
    </w:p>
    <w:p w14:paraId="50B6076B" w14:textId="77777777" w:rsidR="00A710B5" w:rsidRPr="0002056A" w:rsidRDefault="00A710B5" w:rsidP="00A710B5">
      <w:pPr>
        <w:ind w:firstLine="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Yes.</w:t>
      </w:r>
    </w:p>
    <w:p w14:paraId="72477CB1" w14:textId="77777777" w:rsidR="00A710B5" w:rsidRPr="0002056A" w:rsidRDefault="00A710B5" w:rsidP="00847DA6">
      <w:pPr>
        <w:pStyle w:val="Listaszerbekezds"/>
        <w:numPr>
          <w:ilvl w:val="1"/>
          <w:numId w:val="12"/>
        </w:numPr>
        <w:spacing w:before="120" w:after="120" w:line="240" w:lineRule="auto"/>
        <w:ind w:left="1434" w:hanging="357"/>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the answer is yes, are there among them explicitly (in some cases even in their title) geographically/spatially oriented products, rich in territorial chapters, analytical aspects and evaluation questions?</w:t>
      </w:r>
    </w:p>
    <w:p w14:paraId="3B8796ED" w14:textId="77777777" w:rsidR="00A710B5" w:rsidRPr="0002056A" w:rsidRDefault="00A710B5" w:rsidP="00847DA6">
      <w:pPr>
        <w:pStyle w:val="Listaszerbekezds"/>
        <w:spacing w:before="120" w:after="120" w:line="240" w:lineRule="auto"/>
        <w:ind w:left="1440"/>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detailed information available yet.</w:t>
      </w:r>
    </w:p>
    <w:p w14:paraId="5BB5C90E" w14:textId="77777777" w:rsidR="00A710B5" w:rsidRPr="0002056A" w:rsidRDefault="00A710B5" w:rsidP="00847DA6">
      <w:pPr>
        <w:pStyle w:val="Listaszerbekezds"/>
        <w:numPr>
          <w:ilvl w:val="1"/>
          <w:numId w:val="12"/>
        </w:numPr>
        <w:spacing w:before="120" w:after="120" w:line="240" w:lineRule="auto"/>
        <w:ind w:left="1434" w:hanging="357"/>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What are the spatial levels of evaluations (what spatial levels (national, subnational, municipal) are they prepared for)?</w:t>
      </w:r>
    </w:p>
    <w:p w14:paraId="67EEF873" w14:textId="77777777" w:rsidR="00A710B5" w:rsidRPr="0002056A" w:rsidRDefault="00A710B5" w:rsidP="00847DA6">
      <w:pPr>
        <w:pStyle w:val="Listaszerbekezds"/>
        <w:spacing w:before="120" w:after="120" w:line="240" w:lineRule="auto"/>
        <w:ind w:firstLine="698"/>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is no detailed information available yet.</w:t>
      </w:r>
    </w:p>
    <w:p w14:paraId="55BE2FDD" w14:textId="77777777" w:rsidR="00A710B5" w:rsidRPr="0002056A" w:rsidRDefault="00A710B5" w:rsidP="00A710B5">
      <w:pPr>
        <w:pStyle w:val="Cmsor4"/>
        <w:rPr>
          <w:sz w:val="24"/>
          <w:szCs w:val="24"/>
          <w:lang w:val="en-GB"/>
        </w:rPr>
      </w:pPr>
      <w:r w:rsidRPr="005D271A">
        <w:rPr>
          <w:sz w:val="24"/>
          <w:szCs w:val="24"/>
          <w:lang w:val="en-GB"/>
        </w:rPr>
        <w:t>Hungary</w:t>
      </w:r>
    </w:p>
    <w:p w14:paraId="7C3F143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Pál Selmeczi</w:t>
      </w:r>
    </w:p>
    <w:p w14:paraId="1AF66CA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Hungary</w:t>
      </w:r>
    </w:p>
    <w:p w14:paraId="7AB2F5D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HungaroMet National Adaptation Centre</w:t>
      </w:r>
    </w:p>
    <w:p w14:paraId="3E8E3BA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Head of Unit</w:t>
      </w:r>
    </w:p>
    <w:p w14:paraId="7192798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completion:</w:t>
      </w:r>
      <w:r w:rsidRPr="0002056A">
        <w:rPr>
          <w:rFonts w:ascii="Georgia" w:hAnsi="Georgia"/>
          <w:b/>
          <w:bCs/>
          <w:sz w:val="20"/>
          <w:szCs w:val="20"/>
          <w:lang w:val="en-GB"/>
        </w:rPr>
        <w:t xml:space="preserve"> 2026. 01.07.</w:t>
      </w:r>
    </w:p>
    <w:p w14:paraId="1B4C7141"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5EA19C5C"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78F855C7" w14:textId="77777777" w:rsidR="00A710B5" w:rsidRPr="0002056A" w:rsidRDefault="00A710B5" w:rsidP="00A710B5">
      <w:pPr>
        <w:pStyle w:val="Listaszerbekezds"/>
        <w:ind w:left="1440"/>
        <w:jc w:val="both"/>
        <w:rPr>
          <w:rFonts w:ascii="Georgia" w:hAnsi="Georgia" w:cs="Calibri"/>
          <w:sz w:val="20"/>
          <w:szCs w:val="20"/>
          <w:lang w:val="en-GB"/>
        </w:rPr>
      </w:pPr>
    </w:p>
    <w:p w14:paraId="69FFA3C2" w14:textId="5986E2B5" w:rsidR="00A710B5" w:rsidRPr="00594102" w:rsidRDefault="00A61DF5" w:rsidP="00594102">
      <w:pPr>
        <w:spacing w:before="120" w:after="120" w:line="240" w:lineRule="auto"/>
        <w:ind w:left="1701"/>
        <w:jc w:val="both"/>
        <w:rPr>
          <w:rFonts w:ascii="Georgia" w:hAnsi="Georgia" w:cs="Times New Roman"/>
          <w:sz w:val="20"/>
          <w:szCs w:val="20"/>
          <w:lang w:val="en-GB"/>
        </w:rPr>
      </w:pPr>
      <w:r w:rsidRPr="00594102">
        <w:rPr>
          <w:rFonts w:ascii="Georgia" w:hAnsi="Georgia" w:cs="Times New Roman"/>
          <w:sz w:val="20"/>
          <w:szCs w:val="20"/>
          <w:lang w:val="en-GB"/>
        </w:rPr>
        <w:t>Briefly the second National Climate Change Strategy (NCCS-2), and the National Energy and Climate Plan are currently in force</w:t>
      </w:r>
      <w:r w:rsidR="00D5581E" w:rsidRPr="00594102">
        <w:rPr>
          <w:rFonts w:ascii="Georgia" w:hAnsi="Georgia" w:cs="Times New Roman"/>
          <w:sz w:val="20"/>
          <w:szCs w:val="20"/>
          <w:lang w:val="en-GB"/>
        </w:rPr>
        <w:t>; meanwhile</w:t>
      </w:r>
      <w:r w:rsidRPr="00594102">
        <w:rPr>
          <w:rFonts w:ascii="Georgia" w:hAnsi="Georgia" w:cs="Times New Roman"/>
          <w:sz w:val="20"/>
          <w:szCs w:val="20"/>
          <w:lang w:val="en-GB"/>
        </w:rPr>
        <w:t xml:space="preserve"> Action Plans of the NCCS</w:t>
      </w:r>
      <w:r w:rsidR="00D5581E" w:rsidRPr="00594102">
        <w:rPr>
          <w:rFonts w:ascii="Georgia" w:hAnsi="Georgia" w:cs="Times New Roman"/>
          <w:sz w:val="20"/>
          <w:szCs w:val="20"/>
          <w:lang w:val="en-GB"/>
        </w:rPr>
        <w:t>-2</w:t>
      </w:r>
      <w:r w:rsidR="00101A32" w:rsidRPr="00594102">
        <w:rPr>
          <w:rFonts w:ascii="Georgia" w:hAnsi="Georgia" w:cs="Times New Roman"/>
          <w:sz w:val="20"/>
          <w:szCs w:val="20"/>
          <w:lang w:val="en-GB"/>
        </w:rPr>
        <w:t>,</w:t>
      </w:r>
      <w:r w:rsidRPr="00594102">
        <w:rPr>
          <w:rFonts w:ascii="Georgia" w:hAnsi="Georgia" w:cs="Times New Roman"/>
          <w:sz w:val="20"/>
          <w:szCs w:val="20"/>
          <w:lang w:val="en-GB"/>
        </w:rPr>
        <w:t xml:space="preserve"> </w:t>
      </w:r>
      <w:r w:rsidR="000A0CB0" w:rsidRPr="00594102">
        <w:rPr>
          <w:rFonts w:ascii="Georgia" w:hAnsi="Georgia" w:cs="Times New Roman"/>
          <w:sz w:val="20"/>
          <w:szCs w:val="20"/>
          <w:lang w:val="en-GB"/>
        </w:rPr>
        <w:t>and the C</w:t>
      </w:r>
      <w:r w:rsidRPr="00594102">
        <w:rPr>
          <w:rFonts w:ascii="Georgia" w:hAnsi="Georgia" w:cs="Times New Roman"/>
          <w:sz w:val="20"/>
          <w:szCs w:val="20"/>
          <w:lang w:val="en-GB"/>
        </w:rPr>
        <w:t xml:space="preserve">limate </w:t>
      </w:r>
      <w:r w:rsidR="000A0CB0" w:rsidRPr="00594102">
        <w:rPr>
          <w:rFonts w:ascii="Georgia" w:hAnsi="Georgia" w:cs="Times New Roman"/>
          <w:sz w:val="20"/>
          <w:szCs w:val="20"/>
          <w:lang w:val="en-GB"/>
        </w:rPr>
        <w:t>P</w:t>
      </w:r>
      <w:r w:rsidRPr="00594102">
        <w:rPr>
          <w:rFonts w:ascii="Georgia" w:hAnsi="Georgia" w:cs="Times New Roman"/>
          <w:sz w:val="20"/>
          <w:szCs w:val="20"/>
          <w:lang w:val="en-GB"/>
        </w:rPr>
        <w:t xml:space="preserve">rotection </w:t>
      </w:r>
      <w:r w:rsidR="000A0CB0" w:rsidRPr="00594102">
        <w:rPr>
          <w:rFonts w:ascii="Georgia" w:hAnsi="Georgia" w:cs="Times New Roman"/>
          <w:sz w:val="20"/>
          <w:szCs w:val="20"/>
          <w:lang w:val="en-GB"/>
        </w:rPr>
        <w:t>A</w:t>
      </w:r>
      <w:r w:rsidRPr="00594102">
        <w:rPr>
          <w:rFonts w:ascii="Georgia" w:hAnsi="Georgia" w:cs="Times New Roman"/>
          <w:sz w:val="20"/>
          <w:szCs w:val="20"/>
          <w:lang w:val="en-GB"/>
        </w:rPr>
        <w:t xml:space="preserve">ction </w:t>
      </w:r>
      <w:r w:rsidR="000A0CB0" w:rsidRPr="00594102">
        <w:rPr>
          <w:rFonts w:ascii="Georgia" w:hAnsi="Georgia" w:cs="Times New Roman"/>
          <w:sz w:val="20"/>
          <w:szCs w:val="20"/>
          <w:lang w:val="en-GB"/>
        </w:rPr>
        <w:t>P</w:t>
      </w:r>
      <w:r w:rsidRPr="00594102">
        <w:rPr>
          <w:rFonts w:ascii="Georgia" w:hAnsi="Georgia" w:cs="Times New Roman"/>
          <w:sz w:val="20"/>
          <w:szCs w:val="20"/>
          <w:lang w:val="en-GB"/>
        </w:rPr>
        <w:t>lan</w:t>
      </w:r>
      <w:r w:rsidR="000A0CB0" w:rsidRPr="00594102">
        <w:rPr>
          <w:rFonts w:ascii="Georgia" w:hAnsi="Georgia" w:cs="Times New Roman"/>
          <w:sz w:val="20"/>
          <w:szCs w:val="20"/>
          <w:lang w:val="en-GB"/>
        </w:rPr>
        <w:t xml:space="preserve"> were adopted but are not in force currently. </w:t>
      </w:r>
      <w:r w:rsidR="000A0CB0" w:rsidRPr="00594102">
        <w:rPr>
          <w:rFonts w:ascii="Georgia" w:hAnsi="Georgia" w:cs="Times New Roman"/>
          <w:sz w:val="20"/>
          <w:szCs w:val="20"/>
          <w:lang w:val="en-GB"/>
        </w:rPr>
        <w:lastRenderedPageBreak/>
        <w:t>As for the background, t</w:t>
      </w:r>
      <w:r w:rsidR="00337BF1" w:rsidRPr="00594102">
        <w:rPr>
          <w:rFonts w:ascii="Georgia" w:hAnsi="Georgia" w:cs="Times New Roman"/>
          <w:sz w:val="20"/>
          <w:szCs w:val="20"/>
          <w:lang w:val="en-GB"/>
        </w:rPr>
        <w:t>he elaboration of a national level integrated climate change strategy is declared by Act LX/2007. Currently the second National Climate Change Strategy is in force (adopted by the Parliament in 2018). Its implementation is based on 4 consecutive, 3-year-long Action Plans. Out of these only the 1st was adopted by the Government in 2020. One of the current most important tasks of climate policy is the rehabilitation of the Action Plan planning process.</w:t>
      </w:r>
    </w:p>
    <w:p w14:paraId="0F3A3C0C" w14:textId="77777777" w:rsidR="00A710B5" w:rsidRPr="0002056A" w:rsidRDefault="00A710B5" w:rsidP="00A710B5">
      <w:pPr>
        <w:pStyle w:val="Listaszerbekezds"/>
        <w:ind w:left="1440"/>
        <w:jc w:val="both"/>
        <w:rPr>
          <w:rFonts w:ascii="Georgia" w:hAnsi="Georgia" w:cs="Calibri"/>
          <w:sz w:val="20"/>
          <w:szCs w:val="20"/>
          <w:lang w:val="en-GB"/>
        </w:rPr>
      </w:pPr>
    </w:p>
    <w:p w14:paraId="481E416B" w14:textId="77777777" w:rsidR="00A710B5" w:rsidRPr="0002056A" w:rsidRDefault="00A710B5" w:rsidP="00A710B5">
      <w:pPr>
        <w:pStyle w:val="Listaszerbekezds"/>
        <w:ind w:left="1440"/>
        <w:jc w:val="both"/>
        <w:rPr>
          <w:rFonts w:ascii="Georgia" w:hAnsi="Georgia" w:cs="Calibri"/>
          <w:sz w:val="20"/>
          <w:szCs w:val="20"/>
          <w:lang w:val="en-GB"/>
        </w:rPr>
      </w:pPr>
    </w:p>
    <w:p w14:paraId="4BC09464" w14:textId="77777777" w:rsidR="00A710B5" w:rsidRPr="0002056A" w:rsidRDefault="00A710B5" w:rsidP="00CA2DDA">
      <w:pPr>
        <w:pStyle w:val="Listaszerbekezds"/>
        <w:numPr>
          <w:ilvl w:val="1"/>
          <w:numId w:val="12"/>
        </w:numPr>
        <w:spacing w:before="120" w:after="120" w:line="240" w:lineRule="auto"/>
        <w:ind w:left="1434" w:hanging="357"/>
        <w:contextualSpacing w:val="0"/>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137CFAA0" w14:textId="7980D2C0" w:rsidR="003F7F38" w:rsidRPr="00594102" w:rsidRDefault="003F7F38" w:rsidP="00594102">
      <w:pPr>
        <w:spacing w:before="120" w:after="120" w:line="240" w:lineRule="auto"/>
        <w:ind w:left="1701"/>
        <w:jc w:val="both"/>
        <w:rPr>
          <w:rFonts w:ascii="Georgia" w:hAnsi="Georgia" w:cs="Times New Roman"/>
          <w:sz w:val="20"/>
          <w:szCs w:val="20"/>
          <w:lang w:val="en-GB"/>
        </w:rPr>
      </w:pPr>
      <w:r w:rsidRPr="00594102">
        <w:rPr>
          <w:rFonts w:ascii="Georgia" w:hAnsi="Georgia" w:cs="Times New Roman"/>
          <w:sz w:val="20"/>
          <w:szCs w:val="20"/>
          <w:lang w:val="en-GB"/>
        </w:rPr>
        <w:t>There are different subnational/regional and local climate change related documents: local climate change strategies (all county and larger cities and some settlements) based on a Hungarian methodology and SECAP’s based on the methodology of the Covenant of Mayors</w:t>
      </w:r>
      <w:r w:rsidR="00D0054B" w:rsidRPr="00594102">
        <w:rPr>
          <w:rFonts w:ascii="Georgia" w:hAnsi="Georgia" w:cs="Times New Roman"/>
          <w:sz w:val="20"/>
          <w:szCs w:val="20"/>
          <w:lang w:val="en-GB"/>
        </w:rPr>
        <w:t xml:space="preserve">. </w:t>
      </w:r>
      <w:r w:rsidRPr="00594102">
        <w:rPr>
          <w:rFonts w:ascii="Georgia" w:hAnsi="Georgia" w:cs="Times New Roman"/>
          <w:sz w:val="20"/>
          <w:szCs w:val="20"/>
          <w:lang w:val="en-GB"/>
        </w:rPr>
        <w:t xml:space="preserve"> </w:t>
      </w:r>
    </w:p>
    <w:p w14:paraId="0DFE621F" w14:textId="62342E8B" w:rsidR="00A710B5" w:rsidRPr="00594102" w:rsidRDefault="007712D9" w:rsidP="00594102">
      <w:pPr>
        <w:spacing w:before="120" w:after="120" w:line="240" w:lineRule="auto"/>
        <w:ind w:left="1701"/>
        <w:jc w:val="both"/>
        <w:rPr>
          <w:rFonts w:ascii="Georgia" w:hAnsi="Georgia" w:cs="Times New Roman"/>
          <w:sz w:val="20"/>
          <w:szCs w:val="20"/>
          <w:lang w:val="en-GB"/>
        </w:rPr>
      </w:pPr>
      <w:r w:rsidRPr="00594102">
        <w:rPr>
          <w:rFonts w:ascii="Georgia" w:hAnsi="Georgia" w:cs="Times New Roman"/>
          <w:sz w:val="20"/>
          <w:szCs w:val="20"/>
          <w:lang w:val="en-GB"/>
        </w:rPr>
        <w:t xml:space="preserve">There </w:t>
      </w:r>
      <w:r w:rsidR="00A61DF5" w:rsidRPr="00594102">
        <w:rPr>
          <w:rFonts w:ascii="Georgia" w:hAnsi="Georgia" w:cs="Times New Roman"/>
          <w:sz w:val="20"/>
          <w:szCs w:val="20"/>
          <w:lang w:val="en-GB"/>
        </w:rPr>
        <w:t>are</w:t>
      </w:r>
      <w:r w:rsidRPr="00594102">
        <w:rPr>
          <w:rFonts w:ascii="Georgia" w:hAnsi="Georgia" w:cs="Times New Roman"/>
          <w:sz w:val="20"/>
          <w:szCs w:val="20"/>
          <w:lang w:val="en-GB"/>
        </w:rPr>
        <w:t xml:space="preserve"> no legal requirements for these activities, but from 2014-21 OP sources all Hungarian counties, Budapest and its districts and approximately 130 settlements (mostly towns) planned their </w:t>
      </w:r>
      <w:r w:rsidR="00B14C2C" w:rsidRPr="00594102">
        <w:rPr>
          <w:rFonts w:ascii="Georgia" w:hAnsi="Georgia" w:cs="Times New Roman"/>
          <w:sz w:val="20"/>
          <w:szCs w:val="20"/>
          <w:lang w:val="en-GB"/>
        </w:rPr>
        <w:t>integrated climate change strategies. Several further settlements had their SECAPs elaborated.</w:t>
      </w:r>
    </w:p>
    <w:p w14:paraId="304E89C9" w14:textId="77777777" w:rsidR="006046E6" w:rsidRPr="0002056A" w:rsidRDefault="006046E6" w:rsidP="006046E6">
      <w:pPr>
        <w:pStyle w:val="Listaszerbekezds"/>
        <w:ind w:left="1440" w:hanging="22"/>
        <w:jc w:val="both"/>
        <w:rPr>
          <w:rFonts w:ascii="Georgia" w:hAnsi="Georgia" w:cs="Calibri"/>
          <w:sz w:val="20"/>
          <w:szCs w:val="20"/>
          <w:lang w:val="en-GB"/>
        </w:rPr>
      </w:pPr>
    </w:p>
    <w:p w14:paraId="7306FE20" w14:textId="77777777" w:rsidR="00A710B5"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4E0E1B69" w14:textId="728F779E" w:rsidR="00CA2DDA" w:rsidRDefault="00B14C2C" w:rsidP="00CA2DDA">
      <w:pPr>
        <w:tabs>
          <w:tab w:val="left" w:pos="1701"/>
        </w:tabs>
        <w:ind w:left="1701"/>
        <w:jc w:val="both"/>
        <w:rPr>
          <w:rFonts w:ascii="Georgia" w:hAnsi="Georgia" w:cs="Calibri"/>
          <w:sz w:val="20"/>
          <w:szCs w:val="20"/>
          <w:lang w:val="en-GB"/>
        </w:rPr>
      </w:pPr>
      <w:r>
        <w:rPr>
          <w:rFonts w:ascii="Georgia" w:hAnsi="Georgia" w:cs="Calibri"/>
          <w:sz w:val="20"/>
          <w:szCs w:val="20"/>
          <w:lang w:val="en-GB"/>
        </w:rPr>
        <w:t>Not really.</w:t>
      </w:r>
      <w:r w:rsidR="00CA2DDA">
        <w:rPr>
          <w:rFonts w:ascii="Georgia" w:hAnsi="Georgia" w:cs="Calibri"/>
          <w:sz w:val="20"/>
          <w:szCs w:val="20"/>
          <w:lang w:val="en-GB"/>
        </w:rPr>
        <w:t xml:space="preserve"> Of course, many sectoral strategic documents deal indirectly with adaptation, especially the key sectors: water management and agriculture. But real sectoral adaptation strategies are not present.</w:t>
      </w:r>
    </w:p>
    <w:p w14:paraId="660FFFED" w14:textId="0E3E6942" w:rsidR="00A710B5" w:rsidRPr="0002056A" w:rsidRDefault="00A710B5" w:rsidP="006046E6">
      <w:pPr>
        <w:ind w:firstLine="1418"/>
        <w:jc w:val="both"/>
        <w:rPr>
          <w:rFonts w:ascii="Georgia" w:hAnsi="Georgia" w:cs="Calibri"/>
          <w:sz w:val="20"/>
          <w:szCs w:val="20"/>
          <w:lang w:val="en-GB"/>
        </w:rPr>
      </w:pPr>
    </w:p>
    <w:p w14:paraId="0EDA19BE" w14:textId="77777777" w:rsidR="00A710B5"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Which logic is prevailing in your country regarding climate policy strategic planning, regional or sectoral in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1C4FB770" w14:textId="77777777" w:rsidR="006046E6" w:rsidRDefault="006046E6" w:rsidP="00CD6BD0">
      <w:pPr>
        <w:pStyle w:val="Listaszerbekezds"/>
        <w:jc w:val="both"/>
        <w:rPr>
          <w:rFonts w:ascii="Georgia" w:hAnsi="Georgia" w:cs="Calibri"/>
          <w:sz w:val="20"/>
          <w:szCs w:val="20"/>
          <w:lang w:val="en-GB"/>
        </w:rPr>
      </w:pPr>
    </w:p>
    <w:p w14:paraId="3AA67367" w14:textId="6EC6176E" w:rsidR="00A710B5" w:rsidRPr="00594102" w:rsidRDefault="006510A7" w:rsidP="00594102">
      <w:pPr>
        <w:spacing w:before="120" w:after="120" w:line="240" w:lineRule="auto"/>
        <w:ind w:left="851"/>
        <w:jc w:val="both"/>
        <w:rPr>
          <w:rFonts w:ascii="Georgia" w:hAnsi="Georgia" w:cs="Times New Roman"/>
          <w:sz w:val="20"/>
          <w:szCs w:val="20"/>
          <w:lang w:val="en-GB"/>
        </w:rPr>
      </w:pPr>
      <w:r w:rsidRPr="00594102">
        <w:rPr>
          <w:rFonts w:ascii="Georgia" w:hAnsi="Georgia" w:cs="Times New Roman"/>
          <w:sz w:val="20"/>
          <w:szCs w:val="20"/>
          <w:lang w:val="en-GB"/>
        </w:rPr>
        <w:t>Unambiguously</w:t>
      </w:r>
      <w:r w:rsidR="00CD6BD0" w:rsidRPr="00594102">
        <w:rPr>
          <w:rFonts w:ascii="Georgia" w:hAnsi="Georgia" w:cs="Times New Roman"/>
          <w:sz w:val="20"/>
          <w:szCs w:val="20"/>
          <w:lang w:val="en-GB"/>
        </w:rPr>
        <w:t xml:space="preserve"> the sectoral approach. This fact was underlined by the recent half-time evaluation of the NCCS-2 conducted by the National Adaptation Centre </w:t>
      </w:r>
      <w:r w:rsidR="00FA0CCD" w:rsidRPr="00594102">
        <w:rPr>
          <w:rFonts w:ascii="Georgia" w:hAnsi="Georgia" w:cs="Times New Roman"/>
          <w:sz w:val="20"/>
          <w:szCs w:val="20"/>
          <w:lang w:val="en-GB"/>
        </w:rPr>
        <w:t xml:space="preserve">(NAC) </w:t>
      </w:r>
      <w:r w:rsidR="00CD6BD0" w:rsidRPr="00594102">
        <w:rPr>
          <w:rFonts w:ascii="Georgia" w:hAnsi="Georgia" w:cs="Times New Roman"/>
          <w:sz w:val="20"/>
          <w:szCs w:val="20"/>
          <w:lang w:val="en-GB"/>
        </w:rPr>
        <w:t xml:space="preserve">in 2022-23 and by the article written about this evaluation in the Journal of Territorial Statistics. </w:t>
      </w:r>
    </w:p>
    <w:p w14:paraId="1EA619C6" w14:textId="77777777" w:rsidR="00A710B5" w:rsidRPr="0002056A" w:rsidRDefault="00A710B5" w:rsidP="006046E6">
      <w:pPr>
        <w:pStyle w:val="Listaszerbekezds"/>
        <w:numPr>
          <w:ilvl w:val="1"/>
          <w:numId w:val="12"/>
        </w:numPr>
        <w:spacing w:before="360"/>
        <w:ind w:left="1434" w:hanging="357"/>
        <w:jc w:val="both"/>
        <w:rPr>
          <w:rFonts w:ascii="Georgia" w:hAnsi="Georgia" w:cs="Calibri"/>
          <w:sz w:val="20"/>
          <w:szCs w:val="20"/>
          <w:lang w:val="en-GB"/>
        </w:rPr>
      </w:pPr>
      <w:r w:rsidRPr="0002056A">
        <w:rPr>
          <w:rFonts w:ascii="Georgia" w:hAnsi="Georgia" w:cs="Calibri"/>
          <w:sz w:val="20"/>
          <w:szCs w:val="20"/>
          <w:lang w:val="en-GB"/>
        </w:rPr>
        <w:t>Do you find it useful to strengthen the spatial focus of adaptation planning or find the sectoral orientation better?</w:t>
      </w:r>
    </w:p>
    <w:p w14:paraId="206492D0" w14:textId="2FBEC40A" w:rsidR="00A710B5" w:rsidRPr="0002056A" w:rsidRDefault="006510A7" w:rsidP="006046E6">
      <w:pPr>
        <w:ind w:left="1418"/>
        <w:jc w:val="both"/>
        <w:rPr>
          <w:rFonts w:ascii="Georgia" w:hAnsi="Georgia" w:cs="Calibri"/>
          <w:sz w:val="20"/>
          <w:szCs w:val="20"/>
          <w:lang w:val="en-GB"/>
        </w:rPr>
      </w:pPr>
      <w:r>
        <w:rPr>
          <w:rFonts w:ascii="Georgia" w:hAnsi="Georgia" w:cs="Calibri"/>
          <w:sz w:val="20"/>
          <w:szCs w:val="20"/>
          <w:lang w:val="en-GB"/>
        </w:rPr>
        <w:t>By all means. The update of the NCCS-2 is being prepared currently and we are working on the strengthening of spatial emphases within the documents general content, in its objective system and in the implementation frameworks.</w:t>
      </w:r>
    </w:p>
    <w:p w14:paraId="4D60E6A4"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Do you see potential in climate adaptation to improve cooperation with other countries in the field of adaptation?</w:t>
      </w:r>
    </w:p>
    <w:p w14:paraId="197CFA72" w14:textId="116A985A" w:rsidR="00A710B5" w:rsidRPr="00594102" w:rsidRDefault="00FA0CCD" w:rsidP="00594102">
      <w:pPr>
        <w:spacing w:before="120" w:after="120" w:line="240" w:lineRule="auto"/>
        <w:ind w:left="851"/>
        <w:jc w:val="both"/>
        <w:rPr>
          <w:rFonts w:ascii="Georgia" w:hAnsi="Georgia" w:cs="Times New Roman"/>
          <w:sz w:val="20"/>
          <w:szCs w:val="20"/>
          <w:lang w:val="en-GB"/>
        </w:rPr>
      </w:pPr>
      <w:r w:rsidRPr="00594102">
        <w:rPr>
          <w:rFonts w:ascii="Georgia" w:hAnsi="Georgia" w:cs="Times New Roman"/>
          <w:sz w:val="20"/>
          <w:szCs w:val="20"/>
          <w:lang w:val="en-GB"/>
        </w:rPr>
        <w:t>Basically yes, currently we have several international projects even in the NAC.</w:t>
      </w:r>
      <w:r w:rsidR="00DD2D6C" w:rsidRPr="00594102">
        <w:rPr>
          <w:rFonts w:ascii="Georgia" w:hAnsi="Georgia" w:cs="Times New Roman"/>
          <w:sz w:val="20"/>
          <w:szCs w:val="20"/>
          <w:lang w:val="en-GB"/>
        </w:rPr>
        <w:t xml:space="preserve"> The Innovative Municipal Cooperation and Integrated Solutions for Managing Heatwaves in Functional Urban Areas planned duration is October 2025-September 2030, with the lead partner as the Ministry of Public Administration and Spatial Development. HungaroMet is also a project partner, among others. The project aims at addressing the intensifying impact of heatwaves and the urban heat island effect from the approach of functional urban areas (FUA). In the </w:t>
      </w:r>
      <w:r w:rsidR="00CB6F1B" w:rsidRPr="00594102">
        <w:rPr>
          <w:rFonts w:ascii="Georgia" w:hAnsi="Georgia" w:cs="Times New Roman"/>
          <w:sz w:val="20"/>
          <w:szCs w:val="20"/>
          <w:lang w:val="en-GB"/>
        </w:rPr>
        <w:lastRenderedPageBreak/>
        <w:t>framework</w:t>
      </w:r>
      <w:r w:rsidR="00DD2D6C" w:rsidRPr="00594102">
        <w:rPr>
          <w:rFonts w:ascii="Georgia" w:hAnsi="Georgia" w:cs="Times New Roman"/>
          <w:sz w:val="20"/>
          <w:szCs w:val="20"/>
          <w:lang w:val="en-GB"/>
        </w:rPr>
        <w:t xml:space="preserve"> of Horizon National Adaptation </w:t>
      </w:r>
      <w:r w:rsidR="00847DA6" w:rsidRPr="00594102">
        <w:rPr>
          <w:rFonts w:ascii="Georgia" w:hAnsi="Georgia" w:cs="Times New Roman"/>
          <w:sz w:val="20"/>
          <w:szCs w:val="20"/>
          <w:lang w:val="en-GB"/>
        </w:rPr>
        <w:t>Hubs,</w:t>
      </w:r>
      <w:r w:rsidR="00DD2D6C" w:rsidRPr="00594102">
        <w:rPr>
          <w:rFonts w:ascii="Georgia" w:hAnsi="Georgia" w:cs="Times New Roman"/>
          <w:sz w:val="20"/>
          <w:szCs w:val="20"/>
          <w:lang w:val="en-GB"/>
        </w:rPr>
        <w:t xml:space="preserve"> we are working on the establishment of a national adaptation platform linking together different spatial levels’ </w:t>
      </w:r>
      <w:r w:rsidR="00CB6F1B" w:rsidRPr="00594102">
        <w:rPr>
          <w:rFonts w:ascii="Georgia" w:hAnsi="Georgia" w:cs="Times New Roman"/>
          <w:sz w:val="20"/>
          <w:szCs w:val="20"/>
          <w:lang w:val="en-GB"/>
        </w:rPr>
        <w:t>stakeholders</w:t>
      </w:r>
      <w:r w:rsidR="00DD2D6C" w:rsidRPr="00594102">
        <w:rPr>
          <w:rFonts w:ascii="Georgia" w:hAnsi="Georgia" w:cs="Times New Roman"/>
          <w:sz w:val="20"/>
          <w:szCs w:val="20"/>
          <w:lang w:val="en-GB"/>
        </w:rPr>
        <w:t xml:space="preserve"> and different sectors’ stakeholders. </w:t>
      </w:r>
      <w:r w:rsidR="00CB6F1B" w:rsidRPr="00594102">
        <w:rPr>
          <w:rFonts w:ascii="Georgia" w:hAnsi="Georgia" w:cs="Times New Roman"/>
          <w:sz w:val="20"/>
          <w:szCs w:val="20"/>
          <w:lang w:val="en-GB"/>
        </w:rPr>
        <w:t>The main objective of the Danube-ADAPT project is to address the climate change challenges of the Danube Region, as a macro-region with specific geographical and socio-economic characteristics, based on a unified vulnerability assessment based on international good practices and the NATéR system approach. Through these, the aim is to 1) identify the main risk areas influencing vulnerability to climate change impacts, paying particular attention to macro-regional and transboundary environmental and socio-economic factors; 2) conduct climate impact chains and model vulnerability assessments to implement them based on a unified approach, 3) and facilitate the integration of these practices into strategic planning.</w:t>
      </w:r>
    </w:p>
    <w:p w14:paraId="6AA0AB39"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If so, for what purposes? To gain new experiences in adaptation? To gain new markets for your country’s adaptation- oriented or green economy? To disseminate your best practices/knowledge?</w:t>
      </w:r>
    </w:p>
    <w:p w14:paraId="742D19E9" w14:textId="2D966808" w:rsidR="00714DD8" w:rsidRPr="0002056A" w:rsidRDefault="00714DD8" w:rsidP="00714DD8">
      <w:pPr>
        <w:ind w:left="1418"/>
        <w:jc w:val="both"/>
        <w:rPr>
          <w:rFonts w:ascii="Georgia" w:hAnsi="Georgia" w:cs="Calibri"/>
          <w:sz w:val="20"/>
          <w:szCs w:val="20"/>
          <w:lang w:val="en-GB"/>
        </w:rPr>
      </w:pPr>
      <w:r>
        <w:rPr>
          <w:rFonts w:ascii="Georgia" w:hAnsi="Georgia" w:cs="Calibri"/>
          <w:sz w:val="20"/>
          <w:szCs w:val="20"/>
          <w:lang w:val="en-GB"/>
        </w:rPr>
        <w:t xml:space="preserve">Mostly for </w:t>
      </w:r>
      <w:r w:rsidRPr="0002056A">
        <w:rPr>
          <w:rFonts w:ascii="Georgia" w:hAnsi="Georgia" w:cs="Calibri"/>
          <w:sz w:val="20"/>
          <w:szCs w:val="20"/>
          <w:lang w:val="en-GB"/>
        </w:rPr>
        <w:t>gain</w:t>
      </w:r>
      <w:r>
        <w:rPr>
          <w:rFonts w:ascii="Georgia" w:hAnsi="Georgia" w:cs="Calibri"/>
          <w:sz w:val="20"/>
          <w:szCs w:val="20"/>
          <w:lang w:val="en-GB"/>
        </w:rPr>
        <w:t>ing</w:t>
      </w:r>
      <w:r w:rsidRPr="0002056A">
        <w:rPr>
          <w:rFonts w:ascii="Georgia" w:hAnsi="Georgia" w:cs="Calibri"/>
          <w:sz w:val="20"/>
          <w:szCs w:val="20"/>
          <w:lang w:val="en-GB"/>
        </w:rPr>
        <w:t xml:space="preserve"> new experiences in adaptation</w:t>
      </w:r>
      <w:r>
        <w:rPr>
          <w:rFonts w:ascii="Georgia" w:hAnsi="Georgia" w:cs="Calibri"/>
          <w:sz w:val="20"/>
          <w:szCs w:val="20"/>
          <w:lang w:val="en-GB"/>
        </w:rPr>
        <w:t xml:space="preserve">, but between 2018-2022 we regularly </w:t>
      </w:r>
      <w:r w:rsidRPr="0002056A">
        <w:rPr>
          <w:rFonts w:ascii="Georgia" w:hAnsi="Georgia" w:cs="Calibri"/>
          <w:sz w:val="20"/>
          <w:szCs w:val="20"/>
          <w:lang w:val="en-GB"/>
        </w:rPr>
        <w:t>disseminate</w:t>
      </w:r>
      <w:r>
        <w:rPr>
          <w:rFonts w:ascii="Georgia" w:hAnsi="Georgia" w:cs="Calibri"/>
          <w:sz w:val="20"/>
          <w:szCs w:val="20"/>
          <w:lang w:val="en-GB"/>
        </w:rPr>
        <w:t>d</w:t>
      </w:r>
      <w:r w:rsidRPr="0002056A">
        <w:rPr>
          <w:rFonts w:ascii="Georgia" w:hAnsi="Georgia" w:cs="Calibri"/>
          <w:sz w:val="20"/>
          <w:szCs w:val="20"/>
          <w:lang w:val="en-GB"/>
        </w:rPr>
        <w:t xml:space="preserve"> </w:t>
      </w:r>
      <w:r>
        <w:rPr>
          <w:rFonts w:ascii="Georgia" w:hAnsi="Georgia" w:cs="Calibri"/>
          <w:sz w:val="20"/>
          <w:szCs w:val="20"/>
          <w:lang w:val="en-GB"/>
        </w:rPr>
        <w:t>our</w:t>
      </w:r>
      <w:r w:rsidRPr="0002056A">
        <w:rPr>
          <w:rFonts w:ascii="Georgia" w:hAnsi="Georgia" w:cs="Calibri"/>
          <w:sz w:val="20"/>
          <w:szCs w:val="20"/>
          <w:lang w:val="en-GB"/>
        </w:rPr>
        <w:t xml:space="preserve"> best practices/knowledge</w:t>
      </w:r>
      <w:r>
        <w:rPr>
          <w:rFonts w:ascii="Georgia" w:hAnsi="Georgia" w:cs="Calibri"/>
          <w:sz w:val="20"/>
          <w:szCs w:val="20"/>
          <w:lang w:val="en-GB"/>
        </w:rPr>
        <w:t xml:space="preserve"> in the field of adaptation planning and GIS-based system development to Western-Balkan countries.</w:t>
      </w:r>
    </w:p>
    <w:p w14:paraId="57D7C3B0" w14:textId="77777777" w:rsidR="00A710B5" w:rsidRPr="0002056A" w:rsidRDefault="00A710B5" w:rsidP="00A710B5">
      <w:pPr>
        <w:ind w:left="1701"/>
        <w:jc w:val="both"/>
        <w:rPr>
          <w:rFonts w:ascii="Georgia" w:hAnsi="Georgia" w:cs="Calibri"/>
          <w:sz w:val="20"/>
          <w:szCs w:val="20"/>
          <w:lang w:val="en-GB"/>
        </w:rPr>
      </w:pPr>
    </w:p>
    <w:p w14:paraId="0B7B0A30" w14:textId="77777777" w:rsidR="00A710B5"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 </w:t>
      </w:r>
    </w:p>
    <w:p w14:paraId="0EC5AEF0" w14:textId="0F38B87F" w:rsidR="000E517F" w:rsidRDefault="000E517F" w:rsidP="000E517F">
      <w:pPr>
        <w:spacing w:before="120" w:after="120" w:line="240" w:lineRule="auto"/>
        <w:ind w:left="851"/>
        <w:jc w:val="both"/>
        <w:rPr>
          <w:rFonts w:ascii="Georgia" w:eastAsia="Times New Roman" w:hAnsi="Georgia" w:cs="Calibri"/>
          <w:sz w:val="20"/>
          <w:szCs w:val="20"/>
          <w:lang w:val="en-GB" w:eastAsia="hu-HU"/>
        </w:rPr>
      </w:pPr>
      <w:r>
        <w:rPr>
          <w:rFonts w:ascii="Georgia" w:eastAsia="Times New Roman" w:hAnsi="Georgia" w:cs="Calibri"/>
          <w:sz w:val="20"/>
          <w:szCs w:val="20"/>
          <w:lang w:val="en-GB" w:eastAsia="hu-HU"/>
        </w:rPr>
        <w:t xml:space="preserve">There isn’t any functioning adaptation monitoring system in Hungary. The NCCS-2 defined the main tasks of the monitoring the implementation, and the result indicators. After the </w:t>
      </w:r>
      <w:r w:rsidR="00FC73D4">
        <w:rPr>
          <w:rFonts w:ascii="Georgia" w:eastAsia="Times New Roman" w:hAnsi="Georgia" w:cs="Calibri"/>
          <w:sz w:val="20"/>
          <w:szCs w:val="20"/>
          <w:lang w:val="en-GB" w:eastAsia="hu-HU"/>
        </w:rPr>
        <w:t>adoption</w:t>
      </w:r>
      <w:r>
        <w:rPr>
          <w:rFonts w:ascii="Georgia" w:eastAsia="Times New Roman" w:hAnsi="Georgia" w:cs="Calibri"/>
          <w:sz w:val="20"/>
          <w:szCs w:val="20"/>
          <w:lang w:val="en-GB" w:eastAsia="hu-HU"/>
        </w:rPr>
        <w:t xml:space="preserve"> of the NCCS-2, </w:t>
      </w:r>
      <w:r w:rsidR="00FC73D4">
        <w:rPr>
          <w:rFonts w:ascii="Georgia" w:eastAsia="Times New Roman" w:hAnsi="Georgia" w:cs="Calibri"/>
          <w:sz w:val="20"/>
          <w:szCs w:val="20"/>
          <w:lang w:val="en-GB" w:eastAsia="hu-HU"/>
        </w:rPr>
        <w:t>its 1</w:t>
      </w:r>
      <w:r w:rsidR="00FC73D4" w:rsidRPr="00FC73D4">
        <w:rPr>
          <w:rFonts w:ascii="Georgia" w:eastAsia="Times New Roman" w:hAnsi="Georgia" w:cs="Calibri"/>
          <w:sz w:val="20"/>
          <w:szCs w:val="20"/>
          <w:vertAlign w:val="superscript"/>
          <w:lang w:val="en-GB" w:eastAsia="hu-HU"/>
        </w:rPr>
        <w:t>st</w:t>
      </w:r>
      <w:r w:rsidR="00FC73D4">
        <w:rPr>
          <w:rFonts w:ascii="Georgia" w:eastAsia="Times New Roman" w:hAnsi="Georgia" w:cs="Calibri"/>
          <w:sz w:val="20"/>
          <w:szCs w:val="20"/>
          <w:lang w:val="en-GB" w:eastAsia="hu-HU"/>
        </w:rPr>
        <w:t xml:space="preserve"> </w:t>
      </w:r>
      <w:r>
        <w:rPr>
          <w:rFonts w:ascii="Georgia" w:eastAsia="Times New Roman" w:hAnsi="Georgia" w:cs="Calibri"/>
          <w:sz w:val="20"/>
          <w:szCs w:val="20"/>
          <w:lang w:val="en-GB" w:eastAsia="hu-HU"/>
        </w:rPr>
        <w:t>C</w:t>
      </w:r>
      <w:r w:rsidR="00FC73D4">
        <w:rPr>
          <w:rFonts w:ascii="Georgia" w:eastAsia="Times New Roman" w:hAnsi="Georgia" w:cs="Calibri"/>
          <w:sz w:val="20"/>
          <w:szCs w:val="20"/>
          <w:lang w:val="en-GB" w:eastAsia="hu-HU"/>
        </w:rPr>
        <w:t xml:space="preserve">limate </w:t>
      </w:r>
      <w:r>
        <w:rPr>
          <w:rFonts w:ascii="Georgia" w:eastAsia="Times New Roman" w:hAnsi="Georgia" w:cs="Calibri"/>
          <w:sz w:val="20"/>
          <w:szCs w:val="20"/>
          <w:lang w:val="en-GB" w:eastAsia="hu-HU"/>
        </w:rPr>
        <w:t>C</w:t>
      </w:r>
      <w:r w:rsidR="00FC73D4">
        <w:rPr>
          <w:rFonts w:ascii="Georgia" w:eastAsia="Times New Roman" w:hAnsi="Georgia" w:cs="Calibri"/>
          <w:sz w:val="20"/>
          <w:szCs w:val="20"/>
          <w:lang w:val="en-GB" w:eastAsia="hu-HU"/>
        </w:rPr>
        <w:t>hange</w:t>
      </w:r>
      <w:r>
        <w:rPr>
          <w:rFonts w:ascii="Georgia" w:eastAsia="Times New Roman" w:hAnsi="Georgia" w:cs="Calibri"/>
          <w:sz w:val="20"/>
          <w:szCs w:val="20"/>
          <w:lang w:val="en-GB" w:eastAsia="hu-HU"/>
        </w:rPr>
        <w:t xml:space="preserve"> Action Plan defined outcome indicators for the measures. These documents also defin</w:t>
      </w:r>
      <w:r w:rsidR="00FC73D4">
        <w:rPr>
          <w:rFonts w:ascii="Georgia" w:eastAsia="Times New Roman" w:hAnsi="Georgia" w:cs="Calibri"/>
          <w:sz w:val="20"/>
          <w:szCs w:val="20"/>
          <w:lang w:val="en-GB" w:eastAsia="hu-HU"/>
        </w:rPr>
        <w:t>e</w:t>
      </w:r>
      <w:r>
        <w:rPr>
          <w:rFonts w:ascii="Georgia" w:eastAsia="Times New Roman" w:hAnsi="Georgia" w:cs="Calibri"/>
          <w:sz w:val="20"/>
          <w:szCs w:val="20"/>
          <w:lang w:val="en-GB" w:eastAsia="hu-HU"/>
        </w:rPr>
        <w:t xml:space="preserve">d goals and measures for setting up a monitoring system, but this </w:t>
      </w:r>
      <w:r w:rsidR="00FC73D4">
        <w:rPr>
          <w:rFonts w:ascii="Georgia" w:eastAsia="Times New Roman" w:hAnsi="Georgia" w:cs="Calibri"/>
          <w:sz w:val="20"/>
          <w:szCs w:val="20"/>
          <w:lang w:val="en-GB" w:eastAsia="hu-HU"/>
        </w:rPr>
        <w:t>haven’t been</w:t>
      </w:r>
      <w:r>
        <w:rPr>
          <w:rFonts w:ascii="Georgia" w:eastAsia="Times New Roman" w:hAnsi="Georgia" w:cs="Calibri"/>
          <w:sz w:val="20"/>
          <w:szCs w:val="20"/>
          <w:lang w:val="en-GB" w:eastAsia="hu-HU"/>
        </w:rPr>
        <w:t xml:space="preserve"> developed</w:t>
      </w:r>
      <w:r w:rsidR="00FC73D4">
        <w:rPr>
          <w:rFonts w:ascii="Georgia" w:eastAsia="Times New Roman" w:hAnsi="Georgia" w:cs="Calibri"/>
          <w:sz w:val="20"/>
          <w:szCs w:val="20"/>
          <w:lang w:val="en-GB" w:eastAsia="hu-HU"/>
        </w:rPr>
        <w:t xml:space="preserve"> yet</w:t>
      </w:r>
      <w:r>
        <w:rPr>
          <w:rFonts w:ascii="Georgia" w:eastAsia="Times New Roman" w:hAnsi="Georgia" w:cs="Calibri"/>
          <w:sz w:val="20"/>
          <w:szCs w:val="20"/>
          <w:lang w:val="en-GB" w:eastAsia="hu-HU"/>
        </w:rPr>
        <w:t>.</w:t>
      </w:r>
    </w:p>
    <w:p w14:paraId="70365127" w14:textId="22E1EA5E" w:rsidR="00E100E8" w:rsidRPr="00FC73D4" w:rsidRDefault="004D6B81" w:rsidP="00E100E8">
      <w:pPr>
        <w:spacing w:before="120" w:after="120" w:line="240" w:lineRule="auto"/>
        <w:ind w:left="851"/>
        <w:jc w:val="both"/>
        <w:rPr>
          <w:rFonts w:ascii="Georgia" w:eastAsia="Times New Roman" w:hAnsi="Georgia" w:cs="Times New Roman"/>
          <w:i/>
          <w:iCs/>
          <w:color w:val="000000" w:themeColor="text1"/>
          <w:sz w:val="20"/>
          <w:szCs w:val="20"/>
          <w:lang w:val="en-GB" w:eastAsia="hu-HU"/>
        </w:rPr>
      </w:pPr>
      <w:r w:rsidRPr="007B1761">
        <w:rPr>
          <w:rFonts w:ascii="Georgia" w:eastAsia="Times New Roman" w:hAnsi="Georgia" w:cs="Calibri"/>
          <w:sz w:val="20"/>
          <w:szCs w:val="20"/>
          <w:lang w:val="en-GB" w:eastAsia="hu-HU"/>
        </w:rPr>
        <w:t xml:space="preserve">The NAGiS system monitors the changes in thematic and spatial vulnerability situation. </w:t>
      </w:r>
      <w:r w:rsidR="00E100E8" w:rsidRPr="007B1761">
        <w:rPr>
          <w:rFonts w:ascii="Georgia" w:eastAsia="Times New Roman" w:hAnsi="Georgia" w:cs="Calibri"/>
          <w:sz w:val="20"/>
          <w:szCs w:val="20"/>
          <w:lang w:val="en-GB" w:eastAsia="hu-HU"/>
        </w:rPr>
        <w:t>Moreover, as we wrote in our last BTR report to the UNFCCC in 2025, “</w:t>
      </w:r>
      <w:r w:rsidR="00E100E8" w:rsidRPr="00FC73D4">
        <w:rPr>
          <w:rFonts w:ascii="Georgia" w:hAnsi="Georgia" w:cs="Times New Roman"/>
          <w:i/>
          <w:iCs/>
          <w:sz w:val="20"/>
          <w:szCs w:val="20"/>
          <w:lang w:val="en-GB"/>
        </w:rPr>
        <w:t xml:space="preserve">In Hungary, </w:t>
      </w:r>
      <w:r w:rsidR="00E100E8" w:rsidRPr="00FC73D4">
        <w:rPr>
          <w:rFonts w:ascii="Georgia" w:eastAsia="Times New Roman" w:hAnsi="Georgia" w:cs="Times New Roman"/>
          <w:i/>
          <w:iCs/>
          <w:color w:val="000000" w:themeColor="text1"/>
          <w:sz w:val="20"/>
          <w:szCs w:val="20"/>
          <w:lang w:val="en-GB" w:eastAsia="hu-HU"/>
        </w:rPr>
        <w:t>actual adaptation priorities are identified in the second National Climate Change Strategy (NCCS-2) and its adaptation sub-strategy, the National Adaptation Strategy (NAS). Based on these and the short</w:t>
      </w:r>
      <w:r w:rsidR="007B1761" w:rsidRPr="00FC73D4">
        <w:rPr>
          <w:rFonts w:ascii="Georgia" w:eastAsia="Times New Roman" w:hAnsi="Georgia" w:cs="Times New Roman"/>
          <w:i/>
          <w:iCs/>
          <w:color w:val="000000" w:themeColor="text1"/>
          <w:sz w:val="20"/>
          <w:szCs w:val="20"/>
          <w:lang w:val="en-GB" w:eastAsia="hu-HU"/>
        </w:rPr>
        <w:t>-</w:t>
      </w:r>
      <w:r w:rsidR="00E100E8" w:rsidRPr="00FC73D4">
        <w:rPr>
          <w:rFonts w:ascii="Georgia" w:eastAsia="Times New Roman" w:hAnsi="Georgia" w:cs="Times New Roman"/>
          <w:i/>
          <w:iCs/>
          <w:color w:val="000000" w:themeColor="text1"/>
          <w:sz w:val="20"/>
          <w:szCs w:val="20"/>
          <w:lang w:val="en-GB" w:eastAsia="hu-HU"/>
        </w:rPr>
        <w:t xml:space="preserve"> and medium</w:t>
      </w:r>
      <w:r w:rsidR="007B1761" w:rsidRPr="00FC73D4">
        <w:rPr>
          <w:rFonts w:ascii="Georgia" w:eastAsia="Times New Roman" w:hAnsi="Georgia" w:cs="Times New Roman"/>
          <w:i/>
          <w:iCs/>
          <w:color w:val="000000" w:themeColor="text1"/>
          <w:sz w:val="20"/>
          <w:szCs w:val="20"/>
          <w:lang w:val="en-GB" w:eastAsia="hu-HU"/>
        </w:rPr>
        <w:t>-</w:t>
      </w:r>
      <w:r w:rsidR="00E100E8" w:rsidRPr="00FC73D4">
        <w:rPr>
          <w:rFonts w:ascii="Georgia" w:eastAsia="Times New Roman" w:hAnsi="Georgia" w:cs="Times New Roman"/>
          <w:i/>
          <w:iCs/>
          <w:color w:val="000000" w:themeColor="text1"/>
          <w:sz w:val="20"/>
          <w:szCs w:val="20"/>
          <w:lang w:val="en-GB" w:eastAsia="hu-HU"/>
        </w:rPr>
        <w:t>term sectoral action lines of NCCS-2, concrete adaptation measures were elaborated in the National Climate Change Action Plans (NCCAPs) of the NCCS-2. T</w:t>
      </w:r>
      <w:r w:rsidR="00E100E8" w:rsidRPr="00FC73D4">
        <w:rPr>
          <w:rFonts w:ascii="Georgia" w:hAnsi="Georgia" w:cs="Times New Roman"/>
          <w:i/>
          <w:iCs/>
          <w:sz w:val="20"/>
          <w:szCs w:val="20"/>
          <w:lang w:val="en-GB"/>
        </w:rPr>
        <w:t xml:space="preserve">he Ministry for Energy’s Deputy State Secretariat for Climate Policy, and within it the Climate Policy Department regularly monitors the status of the measurements of National Climate Change Actions Plans (NCCAPs) from time to time. However, a related wider goal of the Ministry is to set up a comprehensive monitoring and evaluation framework related to energy- and climate policy, as the existing monitoring practice can vary from sector to sector and their managed data are diverse. Frequency of data collection and date of data publishing are very diverse, too. </w:t>
      </w:r>
      <w:r w:rsidR="00E100E8" w:rsidRPr="00FC73D4">
        <w:rPr>
          <w:rFonts w:ascii="Georgia" w:eastAsia="Times New Roman" w:hAnsi="Georgia" w:cs="Times New Roman"/>
          <w:i/>
          <w:iCs/>
          <w:color w:val="000000" w:themeColor="text1"/>
          <w:sz w:val="20"/>
          <w:szCs w:val="20"/>
          <w:lang w:val="en-GB" w:eastAsia="hu-HU"/>
        </w:rPr>
        <w:t>The NCCS-2 and its first NACCP declared a definite demand for the establishment of a complex climate policy oriented MRE system in Hungary.</w:t>
      </w:r>
    </w:p>
    <w:p w14:paraId="37AA562C" w14:textId="50C25681" w:rsidR="004D6B81" w:rsidRPr="007B1761" w:rsidRDefault="00E100E8" w:rsidP="00E100E8">
      <w:pPr>
        <w:spacing w:before="120" w:after="120" w:line="240" w:lineRule="auto"/>
        <w:ind w:left="851"/>
        <w:jc w:val="both"/>
        <w:rPr>
          <w:rFonts w:ascii="Georgia" w:eastAsia="Times New Roman" w:hAnsi="Georgia" w:cs="Calibri"/>
          <w:sz w:val="20"/>
          <w:szCs w:val="20"/>
          <w:lang w:val="en-GB" w:eastAsia="hu-HU"/>
        </w:rPr>
      </w:pPr>
      <w:r w:rsidRPr="00FC73D4">
        <w:rPr>
          <w:rFonts w:ascii="Georgia" w:hAnsi="Georgia" w:cs="Times New Roman"/>
          <w:i/>
          <w:iCs/>
          <w:sz w:val="20"/>
          <w:szCs w:val="20"/>
          <w:lang w:val="en-GB"/>
        </w:rPr>
        <w:t xml:space="preserve">The highest challenge is that the given databases, inventories are not interconnected with each other into a single national database. Between 2019 and 2021 a project financed by the EU Structural Reform Support Programme was implemented to help Hungary in setting up this comprehensive MRE system, with recommendations. The project focused on European and Hungarian mitigation monitoring practices. Parallel with this, the National Adaptation Centre (today a unit of the HungaroMet Hungarian Meteorological Service) as the Ministry’s background institute in the field of climate adaptation conducted a complementary and wider survey about European and Hungarian adaptation-related monitoring, evaluation and assessment practices and the related system building processes. Based on the lessons learned from these two projects, </w:t>
      </w:r>
      <w:r w:rsidRPr="00FC73D4">
        <w:rPr>
          <w:rFonts w:ascii="Georgia" w:eastAsia="Times New Roman" w:hAnsi="Georgia" w:cs="Times New Roman"/>
          <w:i/>
          <w:iCs/>
          <w:color w:val="000000" w:themeColor="text1"/>
          <w:sz w:val="20"/>
          <w:szCs w:val="20"/>
          <w:lang w:val="en-GB" w:eastAsia="hu-HU"/>
        </w:rPr>
        <w:t xml:space="preserve">studies and experiences, international and domestic examples, in 2024 a restructured and expanded development idea was submitted by the National Adaptation Centre to the Deputy State Secretariat for Climate Policy about the directions of the planned MRE system. According to the plans the system will comprise 3 main parts: 1) an integrated database, comprising spatial climate vulnerability data based on the current NAGiS GeoDat database; spatial GHG emission data based on existing databases of the HungaroMet; and data on the implementation of climate policy objectives </w:t>
      </w:r>
      <w:r w:rsidRPr="00FC73D4">
        <w:rPr>
          <w:rFonts w:ascii="Georgia" w:eastAsia="Times New Roman" w:hAnsi="Georgia" w:cs="Times New Roman"/>
          <w:i/>
          <w:iCs/>
          <w:color w:val="000000" w:themeColor="text1"/>
          <w:sz w:val="20"/>
          <w:szCs w:val="20"/>
          <w:lang w:val="en-GB" w:eastAsia="hu-HU"/>
        </w:rPr>
        <w:lastRenderedPageBreak/>
        <w:t>and interventions. 2) a map displaying tool based on the current NAGiS mapping system; 3 and a group of interactive decision support tools, such as the municipal adaptation inventory; the municipal housing stock vulnerability estimator module; climate policy monitoring tool. The system’s set-up is planned to start in practice in the coming years, depending from political decision</w:t>
      </w:r>
      <w:r w:rsidRPr="007B1761">
        <w:rPr>
          <w:rFonts w:ascii="Georgia" w:eastAsia="Times New Roman" w:hAnsi="Georgia" w:cs="Times New Roman"/>
          <w:color w:val="000000" w:themeColor="text1"/>
          <w:sz w:val="20"/>
          <w:szCs w:val="20"/>
          <w:lang w:val="en-GB" w:eastAsia="hu-HU"/>
        </w:rPr>
        <w:t>.</w:t>
      </w:r>
      <w:r w:rsidRPr="007B1761">
        <w:rPr>
          <w:rFonts w:ascii="Georgia" w:eastAsia="Times New Roman" w:hAnsi="Georgia" w:cs="Calibri"/>
          <w:sz w:val="20"/>
          <w:szCs w:val="20"/>
          <w:lang w:val="en-GB" w:eastAsia="hu-HU"/>
        </w:rPr>
        <w:t>”</w:t>
      </w:r>
    </w:p>
    <w:p w14:paraId="0A427F59" w14:textId="77777777" w:rsidR="00A710B5" w:rsidRPr="0002056A" w:rsidRDefault="00A710B5" w:rsidP="00A710B5">
      <w:pPr>
        <w:pStyle w:val="Listaszerbekezds"/>
        <w:ind w:left="1440"/>
        <w:jc w:val="both"/>
        <w:rPr>
          <w:rFonts w:ascii="Georgia" w:eastAsia="Times New Roman" w:hAnsi="Georgia" w:cs="Calibri"/>
          <w:sz w:val="20"/>
          <w:szCs w:val="20"/>
          <w:lang w:val="en-GB" w:eastAsia="hu-HU"/>
        </w:rPr>
      </w:pPr>
    </w:p>
    <w:p w14:paraId="341C3DBE" w14:textId="77777777" w:rsidR="00A710B5"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44BA4E16" w14:textId="22FA7807" w:rsidR="00A710B5" w:rsidRPr="0002056A" w:rsidRDefault="007B1761" w:rsidP="003B11D9">
      <w:pPr>
        <w:ind w:firstLine="993"/>
        <w:jc w:val="both"/>
        <w:rPr>
          <w:rFonts w:ascii="Georgia" w:eastAsia="Times New Roman" w:hAnsi="Georgia" w:cs="Calibri"/>
          <w:sz w:val="20"/>
          <w:szCs w:val="20"/>
          <w:lang w:val="en-GB" w:eastAsia="hu-HU"/>
        </w:rPr>
      </w:pPr>
      <w:r>
        <w:rPr>
          <w:rFonts w:ascii="Georgia" w:eastAsia="Times New Roman" w:hAnsi="Georgia" w:cs="Calibri"/>
          <w:sz w:val="20"/>
          <w:szCs w:val="20"/>
          <w:lang w:val="en-GB" w:eastAsia="hu-HU"/>
        </w:rPr>
        <w:t>Currently rather the first but there is the intention to start even in the other direction, too.</w:t>
      </w:r>
    </w:p>
    <w:p w14:paraId="3A52857F"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246A6402" w14:textId="3565F1D0" w:rsidR="00A710B5" w:rsidRPr="0002056A" w:rsidRDefault="003B2A70" w:rsidP="003B11D9">
      <w:pPr>
        <w:spacing w:before="120" w:after="120" w:line="240" w:lineRule="auto"/>
        <w:ind w:left="851"/>
        <w:jc w:val="both"/>
        <w:rPr>
          <w:rFonts w:ascii="Georgia" w:eastAsia="Times New Roman" w:hAnsi="Georgia" w:cs="Calibri"/>
          <w:sz w:val="20"/>
          <w:szCs w:val="20"/>
          <w:lang w:val="en-GB" w:eastAsia="hu-HU"/>
        </w:rPr>
      </w:pPr>
      <w:r w:rsidRPr="003B2A70">
        <w:rPr>
          <w:rFonts w:ascii="Georgia" w:hAnsi="Georgia" w:cs="Times New Roman"/>
          <w:sz w:val="20"/>
          <w:szCs w:val="20"/>
          <w:lang w:val="en-GB"/>
        </w:rPr>
        <w:t xml:space="preserve">The above-mentioned hiatus also raises the question of ensuring the availability of an adequate data background, which points towards the need for further development/restructuring of the NAGiS and the establishment of a complex integrated climate policy MRE system. A strengthening of the complex, real-time forecasting functions of NAGiS, instead of the current approach favouring a once-per-development- cycle, end-of-period updates, have also been encouraged by many interviewees to move towards a regularly updated, functional monitoring system. The current NAGiS could be an excellent vulnerability assessment pillar for such a complex monitoring and evaluation system. </w:t>
      </w:r>
      <w:r>
        <w:rPr>
          <w:rFonts w:ascii="Georgia" w:eastAsia="Times New Roman" w:hAnsi="Georgia" w:cs="Calibri"/>
          <w:sz w:val="20"/>
          <w:szCs w:val="20"/>
          <w:lang w:val="en-GB" w:eastAsia="hu-HU"/>
        </w:rPr>
        <w:t xml:space="preserve"> </w:t>
      </w:r>
    </w:p>
    <w:p w14:paraId="208B78EB"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328BA3CC" w14:textId="05E0169B" w:rsidR="00E851D1" w:rsidRPr="00594102" w:rsidRDefault="003B2A70" w:rsidP="00594102">
      <w:pPr>
        <w:spacing w:before="120" w:after="120" w:line="240" w:lineRule="auto"/>
        <w:ind w:left="851"/>
        <w:jc w:val="both"/>
        <w:rPr>
          <w:rFonts w:ascii="Georgia" w:hAnsi="Georgia" w:cs="Times New Roman"/>
          <w:sz w:val="20"/>
          <w:szCs w:val="20"/>
          <w:lang w:val="en-GB"/>
        </w:rPr>
      </w:pPr>
      <w:r w:rsidRPr="00594102">
        <w:rPr>
          <w:rFonts w:ascii="Georgia" w:hAnsi="Georgia" w:cs="Times New Roman"/>
          <w:sz w:val="20"/>
          <w:szCs w:val="20"/>
          <w:lang w:val="en-GB"/>
        </w:rPr>
        <w:t xml:space="preserve">More or less. The </w:t>
      </w:r>
      <w:r w:rsidR="00E851D1" w:rsidRPr="00594102">
        <w:rPr>
          <w:rFonts w:ascii="Georgia" w:hAnsi="Georgia" w:cs="Times New Roman"/>
          <w:sz w:val="20"/>
          <w:szCs w:val="20"/>
          <w:lang w:val="en-GB"/>
        </w:rPr>
        <w:t xml:space="preserve">1st Action Plan of the NCCS-2 elaborated an output indicator system for the monitoring the achievement of the Action Plan’s measures and a result indicator system for the monitoring the achievement of the NCCS-2’s lower-level objectives. </w:t>
      </w:r>
      <w:r w:rsidR="00FB216A" w:rsidRPr="00594102">
        <w:rPr>
          <w:rFonts w:ascii="Georgia" w:hAnsi="Georgia" w:cs="Times New Roman"/>
          <w:sz w:val="20"/>
          <w:szCs w:val="20"/>
          <w:lang w:val="en-GB"/>
        </w:rPr>
        <w:t>Nonetheless, the regular gathering of the latter type of data has not been occurred yet.</w:t>
      </w:r>
    </w:p>
    <w:p w14:paraId="799C03F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715133F5" w14:textId="3A1322A9" w:rsidR="00A710B5" w:rsidRPr="0002056A" w:rsidRDefault="00FB216A" w:rsidP="003A30E5">
      <w:pPr>
        <w:ind w:left="1701"/>
        <w:jc w:val="both"/>
        <w:rPr>
          <w:rFonts w:ascii="Georgia" w:eastAsia="Times New Roman" w:hAnsi="Georgia" w:cs="Calibri"/>
          <w:sz w:val="20"/>
          <w:szCs w:val="20"/>
          <w:lang w:val="en-GB" w:eastAsia="hu-HU"/>
        </w:rPr>
      </w:pPr>
      <w:r>
        <w:rPr>
          <w:rFonts w:ascii="Georgia" w:eastAsia="Times New Roman" w:hAnsi="Georgia" w:cs="Calibri"/>
          <w:sz w:val="20"/>
          <w:szCs w:val="20"/>
          <w:lang w:val="en-GB" w:eastAsia="hu-HU"/>
        </w:rPr>
        <w:t>The final system has not been established yet. According to the plans, collection will be the responsibility of the NAC, under the supervision of the responsible Ministry.</w:t>
      </w:r>
    </w:p>
    <w:p w14:paraId="53432960" w14:textId="77777777" w:rsidR="00A710B5" w:rsidRPr="0002056A" w:rsidRDefault="00A710B5" w:rsidP="00A710B5">
      <w:pPr>
        <w:jc w:val="both"/>
        <w:rPr>
          <w:rFonts w:ascii="Georgia" w:eastAsia="Times New Roman" w:hAnsi="Georgia" w:cs="Calibri"/>
          <w:sz w:val="20"/>
          <w:szCs w:val="20"/>
          <w:lang w:val="en-GB" w:eastAsia="hu-HU"/>
        </w:rPr>
      </w:pPr>
    </w:p>
    <w:p w14:paraId="52972CF4"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5203DA97" w14:textId="0CFF3376" w:rsidR="00A710B5" w:rsidRPr="0002056A" w:rsidRDefault="003A30E5" w:rsidP="00A710B5">
      <w:pPr>
        <w:ind w:left="1701"/>
        <w:jc w:val="both"/>
        <w:rPr>
          <w:rFonts w:ascii="Georgia" w:hAnsi="Georgia" w:cs="Calibri"/>
          <w:sz w:val="20"/>
          <w:szCs w:val="20"/>
          <w:lang w:val="en-GB"/>
        </w:rPr>
      </w:pPr>
      <w:r>
        <w:rPr>
          <w:rFonts w:ascii="Georgia" w:hAnsi="Georgia" w:cs="Calibri"/>
          <w:sz w:val="20"/>
          <w:szCs w:val="20"/>
          <w:lang w:val="en-GB"/>
        </w:rPr>
        <w:t>The system has not been established yet.</w:t>
      </w:r>
    </w:p>
    <w:p w14:paraId="78E5A772" w14:textId="77777777" w:rsidR="00A710B5"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7E359A48" w14:textId="408A1973" w:rsidR="00A710B5" w:rsidRPr="0002056A" w:rsidRDefault="003A30E5" w:rsidP="00A710B5">
      <w:pPr>
        <w:ind w:left="1701"/>
        <w:jc w:val="both"/>
        <w:rPr>
          <w:rFonts w:ascii="Georgia" w:hAnsi="Georgia" w:cs="Calibri"/>
          <w:sz w:val="20"/>
          <w:szCs w:val="20"/>
          <w:lang w:val="en-GB"/>
        </w:rPr>
      </w:pPr>
      <w:r>
        <w:rPr>
          <w:rFonts w:ascii="Georgia" w:eastAsia="Times New Roman" w:hAnsi="Georgia" w:cs="Calibri"/>
          <w:sz w:val="20"/>
          <w:szCs w:val="20"/>
          <w:lang w:val="en-GB" w:eastAsia="hu-HU"/>
        </w:rPr>
        <w:t>Mostly policy effectiveness.</w:t>
      </w:r>
    </w:p>
    <w:p w14:paraId="696CBCE2" w14:textId="77777777" w:rsidR="00A710B5"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3BDB0216" w14:textId="2B143035" w:rsidR="00A710B5" w:rsidRPr="0002056A" w:rsidRDefault="003A30E5" w:rsidP="00A710B5">
      <w:pPr>
        <w:ind w:left="1701"/>
        <w:jc w:val="both"/>
        <w:rPr>
          <w:rFonts w:ascii="Georgia" w:hAnsi="Georgia" w:cs="Calibri"/>
          <w:sz w:val="20"/>
          <w:szCs w:val="20"/>
          <w:lang w:val="en-GB"/>
        </w:rPr>
      </w:pPr>
      <w:r>
        <w:rPr>
          <w:rFonts w:ascii="Georgia" w:eastAsia="Times New Roman" w:hAnsi="Georgia" w:cs="Calibri"/>
          <w:sz w:val="20"/>
          <w:szCs w:val="20"/>
          <w:lang w:val="en-GB" w:eastAsia="hu-HU"/>
        </w:rPr>
        <w:t xml:space="preserve">As I mentioned above, mostly output and results. With the future transformation of the NAGiS, even impact indicators could be available. </w:t>
      </w:r>
    </w:p>
    <w:p w14:paraId="5BEBCE99"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Does any GIS based DS system being used in climate (adaptation) policy in your country? </w:t>
      </w:r>
    </w:p>
    <w:p w14:paraId="00619DCD" w14:textId="77777777" w:rsidR="00A710B5" w:rsidRPr="0002056A" w:rsidRDefault="00A710B5" w:rsidP="00A710B5">
      <w:pPr>
        <w:pStyle w:val="Listaszerbekezds"/>
        <w:jc w:val="both"/>
        <w:rPr>
          <w:rFonts w:ascii="Georgia" w:hAnsi="Georgia" w:cs="Calibri"/>
          <w:sz w:val="20"/>
          <w:szCs w:val="20"/>
          <w:lang w:val="en-GB"/>
        </w:rPr>
      </w:pPr>
    </w:p>
    <w:p w14:paraId="0644AE23" w14:textId="057C2A53" w:rsidR="0039702E" w:rsidRPr="00BE4B07" w:rsidRDefault="0039702E" w:rsidP="0022652A">
      <w:pPr>
        <w:spacing w:before="120" w:after="120" w:line="240" w:lineRule="auto"/>
        <w:ind w:left="851"/>
        <w:jc w:val="both"/>
        <w:rPr>
          <w:rFonts w:ascii="Georgia" w:hAnsi="Georgia" w:cs="Times New Roman"/>
          <w:i/>
          <w:iCs/>
          <w:sz w:val="20"/>
          <w:szCs w:val="20"/>
          <w:lang w:val="en-GB"/>
        </w:rPr>
      </w:pPr>
      <w:r w:rsidRPr="0039702E">
        <w:rPr>
          <w:rFonts w:ascii="Georgia" w:hAnsi="Georgia" w:cs="Calibri"/>
          <w:sz w:val="20"/>
          <w:szCs w:val="20"/>
          <w:lang w:val="en-GB"/>
        </w:rPr>
        <w:t xml:space="preserve">As we wrote in the 2025 BTR report to the UNFCCC, </w:t>
      </w:r>
      <w:r w:rsidR="00BE4B07">
        <w:rPr>
          <w:rFonts w:ascii="Georgia" w:hAnsi="Georgia" w:cs="Times New Roman"/>
          <w:sz w:val="20"/>
          <w:szCs w:val="20"/>
          <w:lang w:val="en-GB"/>
        </w:rPr>
        <w:t>“</w:t>
      </w:r>
      <w:r w:rsidR="00BE4B07" w:rsidRPr="00BE4B07">
        <w:rPr>
          <w:rFonts w:ascii="Georgia" w:hAnsi="Georgia" w:cs="Times New Roman"/>
          <w:i/>
          <w:iCs/>
          <w:sz w:val="20"/>
          <w:szCs w:val="20"/>
          <w:lang w:val="en-GB"/>
        </w:rPr>
        <w:t>c</w:t>
      </w:r>
      <w:r w:rsidRPr="00BE4B07">
        <w:rPr>
          <w:rFonts w:ascii="Georgia" w:hAnsi="Georgia" w:cs="Times New Roman"/>
          <w:i/>
          <w:iCs/>
          <w:sz w:val="20"/>
          <w:szCs w:val="20"/>
          <w:lang w:val="en-GB"/>
        </w:rPr>
        <w:t xml:space="preserve">limate adaptation seeks spatially tailored responses to the geographically different climate change impacts of different territories. Since different regions of Hungary are vulnerable to climate impacts in adverse ways, a key task is the regional comparison of vulnerability levels. Regional-level climate vulnerability assessments reveal the relative spatial/territorial differences in climate change </w:t>
      </w:r>
      <w:r w:rsidRPr="00BE4B07">
        <w:rPr>
          <w:rFonts w:ascii="Georgia" w:hAnsi="Georgia" w:cs="Times New Roman"/>
          <w:i/>
          <w:iCs/>
          <w:sz w:val="20"/>
          <w:szCs w:val="20"/>
          <w:lang w:val="en-GB"/>
        </w:rPr>
        <w:lastRenderedPageBreak/>
        <w:t>risks across various areas and municipalities. In 2012, the government recognized the importance of this activity when it decided to establish a national-level, GIS-based adaptation system: the amendment of the 2007/LX Act ordered the establishment of the National Adaptation Geo-Information System (</w:t>
      </w:r>
      <w:r w:rsidRPr="00BE4B07">
        <w:rPr>
          <w:rFonts w:ascii="Georgia" w:eastAsia="Calibri" w:hAnsi="Georgia" w:cs="Times New Roman"/>
          <w:i/>
          <w:iCs/>
          <w:sz w:val="20"/>
          <w:szCs w:val="20"/>
          <w:lang w:val="en-GB"/>
        </w:rPr>
        <w:t>NAGiS</w:t>
      </w:r>
      <w:r w:rsidRPr="00BE4B07">
        <w:rPr>
          <w:rFonts w:ascii="Georgia" w:hAnsi="Georgia" w:cs="Times New Roman"/>
          <w:i/>
          <w:iCs/>
          <w:sz w:val="20"/>
          <w:szCs w:val="20"/>
          <w:lang w:val="en-GB"/>
        </w:rPr>
        <w:t xml:space="preserve">). The NAGiS serves the goals outlined above, functioning as a decision-support and strategic planning tool and a key instrument for planning adaptation measures. The rules for its operation were defined in Government Decree 94/2014. </w:t>
      </w:r>
    </w:p>
    <w:p w14:paraId="3ED197E4" w14:textId="65645A48" w:rsidR="0039702E" w:rsidRPr="00BE4B07" w:rsidRDefault="0039702E" w:rsidP="0022652A">
      <w:pPr>
        <w:spacing w:before="120" w:after="120" w:line="240" w:lineRule="auto"/>
        <w:ind w:left="851"/>
        <w:jc w:val="both"/>
        <w:rPr>
          <w:rFonts w:ascii="Georgia" w:hAnsi="Georgia" w:cs="Times New Roman"/>
          <w:i/>
          <w:iCs/>
          <w:sz w:val="20"/>
          <w:szCs w:val="20"/>
          <w:lang w:val="en-GB"/>
        </w:rPr>
      </w:pPr>
      <w:r w:rsidRPr="00BE4B07">
        <w:rPr>
          <w:rFonts w:ascii="Georgia" w:hAnsi="Georgia" w:cs="Times New Roman"/>
          <w:i/>
          <w:iCs/>
          <w:sz w:val="20"/>
          <w:szCs w:val="20"/>
          <w:lang w:val="en-GB"/>
        </w:rPr>
        <w:t>As a result of the first development phase (2013-2016), a multi-sectoral, versatile GIS system and database was created, which facilitates the identification of climate change impacts, the determination of vulnerability in different areas, and encourages adaptation to these impacts. Its 4 main pillars include: 1) Mapping system: A 10x10 km resolution system containing hundreds of layers, which visually shows how different climate impacts may affect various regions of the country. The mapping system is freely available. 2) GeoDat database: Contains observed and modelled climate exposure data, furthermore environmental, economic, and social sensitivity/expected impact/adaptability/vulnerability data across 16 vulnerability topics. Registered users can use the database for analyses and data extraction. 3) Metadata base: Helps users navigate the information, acting as a "data map" for what and where data can be found, with multiple search options across data layers. While the metadata base displays all data layers uploaded to GeoDat, only a narrow subset is represented on the map. 4) Document repository: Includes research reports, manuals, publications, handbooks and awareness-raising materials created during the different development phases.</w:t>
      </w:r>
    </w:p>
    <w:p w14:paraId="69D7207C" w14:textId="241DBCBD" w:rsidR="0039702E" w:rsidRPr="00BE4B07" w:rsidRDefault="0039702E" w:rsidP="0022652A">
      <w:pPr>
        <w:spacing w:before="120" w:after="120" w:line="240" w:lineRule="auto"/>
        <w:ind w:left="851"/>
        <w:jc w:val="both"/>
        <w:rPr>
          <w:rFonts w:ascii="Georgia" w:hAnsi="Georgia" w:cs="Times New Roman"/>
          <w:i/>
          <w:iCs/>
          <w:sz w:val="20"/>
          <w:szCs w:val="20"/>
          <w:lang w:val="en-GB"/>
        </w:rPr>
      </w:pPr>
      <w:r w:rsidRPr="00BE4B07">
        <w:rPr>
          <w:rFonts w:ascii="Georgia" w:hAnsi="Georgia" w:cs="Times New Roman"/>
          <w:i/>
          <w:iCs/>
          <w:sz w:val="20"/>
          <w:szCs w:val="20"/>
          <w:lang w:val="en-GB"/>
        </w:rPr>
        <w:t>Between 2017-2020 occurred the second development phase of the system. During this period 1) existing vulnerability topics were further developed and new ones (e.g., urban building stock vulnerability to storms, climate exposure of shallow geological hazards) were established; 2) the system’s user-friendliness and decision-support capabilities were improved, allowing the system to provide easily accessible, exportable thematic queries and reports and overviews of adaptation topics at municipal and regional levels, enabling stakeholders to access relevant data for their specific operational contexts (creating tools for policy and local government decision support; 3) the Settlement Adaptation Barometer (an online situation analysis-supporting survey facilitating local strategic planning by identifying key local climate impacts and potential responses, guiding and encouraging broader stakeholder engagement) and Municipal Decision Support Module (a tool supporting evidence-based preparatory studies for local strategy planning by making climate change impacts and responses more accessible and customizable for local governments) and the Municipal Housing Stock Vulnerability Estimator modules were activated with enhanced online access. These newly created modules support urban development, climate adaptation planning and implementation, project preparation, development, and implementation, as well as continuous information sharing with decision-makers and the local public.</w:t>
      </w:r>
    </w:p>
    <w:p w14:paraId="7D062596" w14:textId="76C6E491" w:rsidR="0039702E" w:rsidRPr="00BE4B07" w:rsidRDefault="0039702E" w:rsidP="0022652A">
      <w:pPr>
        <w:spacing w:before="120" w:after="120" w:line="240" w:lineRule="auto"/>
        <w:ind w:left="851"/>
        <w:jc w:val="both"/>
        <w:rPr>
          <w:rFonts w:ascii="Georgia" w:hAnsi="Georgia" w:cs="Times New Roman"/>
          <w:i/>
          <w:iCs/>
          <w:sz w:val="20"/>
          <w:szCs w:val="20"/>
          <w:lang w:val="en-GB"/>
        </w:rPr>
      </w:pPr>
      <w:r w:rsidRPr="00BE4B07">
        <w:rPr>
          <w:rFonts w:ascii="Georgia" w:hAnsi="Georgia" w:cs="Times New Roman"/>
          <w:i/>
          <w:iCs/>
          <w:sz w:val="20"/>
          <w:szCs w:val="20"/>
          <w:lang w:val="en-GB"/>
        </w:rPr>
        <w:t>After 2020 the further development of the system with the exclusion of a comprehensive project about vulnerability assessment of energy infrastructure (gas, district heating, electricity) networks and solar energy production, came to a halt. Currently the responsible Ministry is working on finding proper financial sources for the update and further development of the system. The directions of this further improvement and the intention of turning the NAGiS into an integrated MRE system is introduced in Chapter “Monitoring and evaluation of adaptation actions and processes” in a more detailed way.</w:t>
      </w:r>
    </w:p>
    <w:p w14:paraId="6FDCE4F3" w14:textId="1731FF08" w:rsidR="0039702E" w:rsidRPr="0039702E" w:rsidRDefault="0039702E" w:rsidP="0022652A">
      <w:pPr>
        <w:spacing w:before="120" w:after="120" w:line="240" w:lineRule="auto"/>
        <w:ind w:left="851"/>
        <w:jc w:val="both"/>
        <w:rPr>
          <w:rFonts w:ascii="Georgia" w:hAnsi="Georgia" w:cs="Times New Roman"/>
          <w:sz w:val="20"/>
          <w:szCs w:val="20"/>
          <w:lang w:val="en-GB"/>
        </w:rPr>
      </w:pPr>
      <w:r w:rsidRPr="00BE4B07">
        <w:rPr>
          <w:rFonts w:ascii="Georgia" w:hAnsi="Georgia" w:cs="Times New Roman"/>
          <w:i/>
          <w:iCs/>
          <w:sz w:val="20"/>
          <w:szCs w:val="20"/>
          <w:lang w:val="en-GB"/>
        </w:rPr>
        <w:t>The NAGiS currently holds data and conducted CVAs in the following thematic areas: demographics, climate, building vulnerability, forestry, groundwater level, land cover, geological hazards, economy, heatwaves, drinking water resources, climate change attitudes, ecology, ecosystem service indicators, field crop farming, tourism climatology, complex tourism sector vulnerability, and flash floods</w:t>
      </w:r>
      <w:r w:rsidR="00BE4B07">
        <w:rPr>
          <w:rFonts w:ascii="Georgia" w:hAnsi="Georgia" w:cs="Times New Roman"/>
          <w:sz w:val="20"/>
          <w:szCs w:val="20"/>
          <w:lang w:val="en-GB"/>
        </w:rPr>
        <w:t>”.</w:t>
      </w:r>
    </w:p>
    <w:p w14:paraId="3BEF6943" w14:textId="0848290E" w:rsidR="00A710B5" w:rsidRPr="0002056A" w:rsidRDefault="00A710B5" w:rsidP="00A710B5">
      <w:pPr>
        <w:pStyle w:val="Listaszerbekezds"/>
        <w:jc w:val="both"/>
        <w:rPr>
          <w:rFonts w:ascii="Georgia" w:hAnsi="Georgia" w:cs="Calibri"/>
          <w:sz w:val="20"/>
          <w:szCs w:val="20"/>
          <w:lang w:val="en-GB"/>
        </w:rPr>
      </w:pPr>
    </w:p>
    <w:p w14:paraId="6AA5F42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is it a mono- (it deals only with 1-2 vulnerability topics) or multi thematic DS (covering several climate impacts/vulnerability topics)? </w:t>
      </w:r>
    </w:p>
    <w:p w14:paraId="718CBB87" w14:textId="5B7ED091" w:rsidR="00A710B5" w:rsidRDefault="0039702E" w:rsidP="00A710B5">
      <w:pPr>
        <w:ind w:left="1701"/>
        <w:jc w:val="both"/>
        <w:rPr>
          <w:rFonts w:ascii="Georgia" w:hAnsi="Georgia" w:cs="Calibri"/>
          <w:sz w:val="20"/>
          <w:szCs w:val="20"/>
          <w:lang w:val="en-GB"/>
        </w:rPr>
      </w:pPr>
      <w:r>
        <w:rPr>
          <w:rFonts w:ascii="Georgia" w:hAnsi="Georgia" w:cs="Calibri"/>
          <w:sz w:val="20"/>
          <w:szCs w:val="20"/>
          <w:lang w:val="en-GB"/>
        </w:rPr>
        <w:t>Multi-thematic, as the previous point showed.</w:t>
      </w:r>
    </w:p>
    <w:p w14:paraId="46473525" w14:textId="77777777" w:rsidR="00F01EEF" w:rsidRPr="0002056A" w:rsidRDefault="00F01EEF" w:rsidP="00A710B5">
      <w:pPr>
        <w:ind w:left="1701"/>
        <w:jc w:val="both"/>
        <w:rPr>
          <w:rFonts w:ascii="Georgia" w:hAnsi="Georgia" w:cs="Calibri"/>
          <w:sz w:val="20"/>
          <w:szCs w:val="20"/>
          <w:lang w:val="en-GB"/>
        </w:rPr>
      </w:pPr>
    </w:p>
    <w:p w14:paraId="3F030F7F"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it utilised in adaptation planning and MRE?</w:t>
      </w:r>
    </w:p>
    <w:p w14:paraId="134C4261" w14:textId="51FE0D62" w:rsidR="00A710B5" w:rsidRPr="0002056A" w:rsidRDefault="004E4610" w:rsidP="00A710B5">
      <w:pPr>
        <w:ind w:left="1701"/>
        <w:jc w:val="both"/>
        <w:rPr>
          <w:rFonts w:ascii="Georgia" w:hAnsi="Georgia" w:cs="Calibri"/>
          <w:sz w:val="20"/>
          <w:szCs w:val="20"/>
          <w:lang w:val="en-GB"/>
        </w:rPr>
      </w:pPr>
      <w:r>
        <w:rPr>
          <w:rFonts w:ascii="Georgia" w:hAnsi="Georgia" w:cs="Calibri"/>
          <w:sz w:val="20"/>
          <w:szCs w:val="20"/>
          <w:lang w:val="en-GB"/>
        </w:rPr>
        <w:t xml:space="preserve">Yes, </w:t>
      </w:r>
      <w:r w:rsidR="00BE4B07">
        <w:rPr>
          <w:rFonts w:ascii="Georgia" w:hAnsi="Georgia" w:cs="Calibri"/>
          <w:sz w:val="20"/>
          <w:szCs w:val="20"/>
          <w:lang w:val="en-GB"/>
        </w:rPr>
        <w:t xml:space="preserve">it is utilised in adaptation planning. </w:t>
      </w:r>
      <w:r w:rsidR="002824FF">
        <w:rPr>
          <w:rFonts w:ascii="Georgia" w:hAnsi="Georgia" w:cs="Calibri"/>
          <w:sz w:val="20"/>
          <w:szCs w:val="20"/>
          <w:lang w:val="en-GB"/>
        </w:rPr>
        <w:t xml:space="preserve">However, </w:t>
      </w:r>
      <w:r>
        <w:rPr>
          <w:rFonts w:ascii="Georgia" w:hAnsi="Georgia" w:cs="Calibri"/>
          <w:sz w:val="20"/>
          <w:szCs w:val="20"/>
          <w:lang w:val="en-GB"/>
        </w:rPr>
        <w:t>its all potential has not exploited yet, either. It was and is used in NCCS and action plan planning, county and settlement level climate strategic planning and sectoral planning as well.</w:t>
      </w:r>
    </w:p>
    <w:p w14:paraId="6F9B2E8B"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Is there any other adaptation-related website functioning /planned (knowledge collector and dissemination sites)?</w:t>
      </w:r>
    </w:p>
    <w:p w14:paraId="0C4DFEF2" w14:textId="0038660F" w:rsidR="00A710B5" w:rsidRPr="0002056A" w:rsidRDefault="003B11D9" w:rsidP="00A710B5">
      <w:pPr>
        <w:ind w:left="1701"/>
        <w:jc w:val="both"/>
        <w:rPr>
          <w:rFonts w:ascii="Georgia" w:hAnsi="Georgia" w:cs="Calibri"/>
          <w:sz w:val="20"/>
          <w:szCs w:val="20"/>
          <w:lang w:val="en-GB"/>
        </w:rPr>
      </w:pPr>
      <w:r>
        <w:rPr>
          <w:rFonts w:ascii="Georgia" w:hAnsi="Georgia" w:cs="Calibri"/>
          <w:sz w:val="20"/>
          <w:szCs w:val="20"/>
          <w:lang w:val="en-GB"/>
        </w:rPr>
        <w:t xml:space="preserve">Yes, </w:t>
      </w:r>
      <w:r w:rsidR="002824FF">
        <w:rPr>
          <w:rFonts w:ascii="Georgia" w:hAnsi="Georgia" w:cs="Calibri"/>
          <w:sz w:val="20"/>
          <w:szCs w:val="20"/>
          <w:lang w:val="en-GB"/>
        </w:rPr>
        <w:t xml:space="preserve">there are many adaptation-related websites in Hungary: eghajlat.met.hu; klimadat.met.hu; nater.met.hu, masfelfok.hu. However, </w:t>
      </w:r>
      <w:r>
        <w:rPr>
          <w:rFonts w:ascii="Georgia" w:hAnsi="Georgia" w:cs="Calibri"/>
          <w:sz w:val="20"/>
          <w:szCs w:val="20"/>
          <w:lang w:val="en-GB"/>
        </w:rPr>
        <w:t>the NAGiS’ importance is overwhelming, it can be assessed as a benchmark example even in European terms.</w:t>
      </w:r>
    </w:p>
    <w:p w14:paraId="273A51C6"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does your country plan to set up such a system?</w:t>
      </w:r>
    </w:p>
    <w:p w14:paraId="035FD3D4" w14:textId="51192488" w:rsidR="00A710B5" w:rsidRPr="0002056A" w:rsidRDefault="006046E6" w:rsidP="00A710B5">
      <w:pPr>
        <w:ind w:left="1701"/>
        <w:jc w:val="both"/>
        <w:rPr>
          <w:rFonts w:ascii="Georgia" w:hAnsi="Georgia" w:cs="Calibri"/>
          <w:sz w:val="20"/>
          <w:szCs w:val="20"/>
          <w:lang w:val="en-GB"/>
        </w:rPr>
      </w:pPr>
      <w:r>
        <w:rPr>
          <w:rFonts w:ascii="Georgia" w:hAnsi="Georgia" w:cs="Calibri"/>
          <w:sz w:val="20"/>
          <w:szCs w:val="20"/>
          <w:lang w:val="en-GB"/>
        </w:rPr>
        <w:t>-.</w:t>
      </w:r>
    </w:p>
    <w:p w14:paraId="5EF87DB4"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7DFB5122" w14:textId="711BB5A7" w:rsidR="00A710B5" w:rsidRPr="00E7062F" w:rsidRDefault="004D0CE5" w:rsidP="00E7062F">
      <w:pPr>
        <w:spacing w:before="120" w:after="120" w:line="240" w:lineRule="auto"/>
        <w:ind w:left="1276"/>
        <w:jc w:val="both"/>
        <w:rPr>
          <w:rFonts w:ascii="Georgia" w:hAnsi="Georgia" w:cs="Calibri"/>
          <w:sz w:val="20"/>
          <w:szCs w:val="20"/>
          <w:lang w:val="en-GB"/>
        </w:rPr>
      </w:pPr>
      <w:r w:rsidRPr="00E7062F">
        <w:rPr>
          <w:rFonts w:ascii="Georgia" w:hAnsi="Georgia" w:cs="Calibri"/>
          <w:sz w:val="20"/>
          <w:szCs w:val="20"/>
          <w:lang w:val="en-GB"/>
        </w:rPr>
        <w:t>Not really. There was only one thematic , adaptation-</w:t>
      </w:r>
      <w:r w:rsidR="00E40254" w:rsidRPr="00E7062F">
        <w:rPr>
          <w:rFonts w:ascii="Georgia" w:hAnsi="Georgia" w:cs="Calibri"/>
          <w:sz w:val="20"/>
          <w:szCs w:val="20"/>
          <w:lang w:val="en-GB"/>
        </w:rPr>
        <w:t>oriented</w:t>
      </w:r>
      <w:r w:rsidRPr="00E7062F">
        <w:rPr>
          <w:rFonts w:ascii="Georgia" w:hAnsi="Georgia" w:cs="Calibri"/>
          <w:sz w:val="20"/>
          <w:szCs w:val="20"/>
          <w:lang w:val="en-GB"/>
        </w:rPr>
        <w:t xml:space="preserve"> OP-</w:t>
      </w:r>
      <w:r w:rsidR="00E40254" w:rsidRPr="00E7062F">
        <w:rPr>
          <w:rFonts w:ascii="Georgia" w:hAnsi="Georgia" w:cs="Calibri"/>
          <w:sz w:val="20"/>
          <w:szCs w:val="20"/>
          <w:lang w:val="en-GB"/>
        </w:rPr>
        <w:t>evaluation</w:t>
      </w:r>
      <w:r w:rsidRPr="00E7062F">
        <w:rPr>
          <w:rFonts w:ascii="Georgia" w:hAnsi="Georgia" w:cs="Calibri"/>
          <w:sz w:val="20"/>
          <w:szCs w:val="20"/>
          <w:lang w:val="en-GB"/>
        </w:rPr>
        <w:t xml:space="preserve"> in 2019-20 and the mid-term evaluation of the NCCS-2, conducted by NAC in 2022-23. The article of my colleague</w:t>
      </w:r>
      <w:r w:rsidR="00E7062F" w:rsidRPr="00E7062F">
        <w:rPr>
          <w:rFonts w:ascii="Georgia" w:hAnsi="Georgia" w:cs="Calibri"/>
          <w:sz w:val="20"/>
          <w:szCs w:val="20"/>
          <w:lang w:val="en-GB"/>
        </w:rPr>
        <w:t xml:space="preserve"> (the chief evaluator of the project) about the process is available here: https://www.ksh.hu/statszemle_archive/terstat/2025/2025_01/ts650101.pdf</w:t>
      </w:r>
    </w:p>
    <w:p w14:paraId="2D647106"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0150CDC6" w14:textId="235B447B" w:rsidR="00A710B5" w:rsidRPr="00E40254" w:rsidRDefault="00E40254" w:rsidP="00E40254">
      <w:pPr>
        <w:spacing w:before="120" w:after="120" w:line="240" w:lineRule="auto"/>
        <w:ind w:left="1276"/>
        <w:jc w:val="both"/>
        <w:rPr>
          <w:rFonts w:ascii="Georgia" w:hAnsi="Georgia" w:cs="Calibri"/>
          <w:sz w:val="20"/>
          <w:szCs w:val="20"/>
          <w:lang w:val="en-GB"/>
        </w:rPr>
      </w:pPr>
      <w:r w:rsidRPr="00E40254">
        <w:rPr>
          <w:rFonts w:ascii="Georgia" w:hAnsi="Georgia" w:cs="Calibri"/>
          <w:sz w:val="20"/>
          <w:szCs w:val="20"/>
          <w:lang w:val="en-GB"/>
        </w:rPr>
        <w:t>Plans and background documents of the future comprehensive Hungarian climate policy MRE system talks about a whole system of spatial analysis. But these plans have not been transformed into practice so far.</w:t>
      </w:r>
    </w:p>
    <w:p w14:paraId="641D59B5" w14:textId="77777777" w:rsidR="00A710B5" w:rsidRPr="0002056A" w:rsidRDefault="00A710B5" w:rsidP="00A710B5">
      <w:pPr>
        <w:jc w:val="both"/>
        <w:rPr>
          <w:rFonts w:ascii="Georgia" w:eastAsia="Times New Roman" w:hAnsi="Georgia" w:cs="Calibri"/>
          <w:sz w:val="20"/>
          <w:szCs w:val="20"/>
          <w:lang w:val="en-GB" w:eastAsia="hu-HU"/>
        </w:rPr>
      </w:pPr>
    </w:p>
    <w:p w14:paraId="5507523A"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14EA5895"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7D5519FA" w14:textId="12F16BD7" w:rsidR="00A710B5" w:rsidRPr="0002056A" w:rsidRDefault="00085F80" w:rsidP="00A710B5">
      <w:pPr>
        <w:ind w:left="1701"/>
        <w:jc w:val="both"/>
        <w:rPr>
          <w:rFonts w:ascii="Georgia" w:hAnsi="Georgia" w:cs="Calibri"/>
          <w:sz w:val="20"/>
          <w:szCs w:val="20"/>
          <w:lang w:val="en-GB"/>
        </w:rPr>
      </w:pPr>
      <w:r>
        <w:rPr>
          <w:rFonts w:ascii="Georgia" w:hAnsi="Georgia" w:cs="Calibri"/>
          <w:sz w:val="20"/>
          <w:szCs w:val="20"/>
          <w:lang w:val="en-GB"/>
        </w:rPr>
        <w:t>-.</w:t>
      </w:r>
    </w:p>
    <w:p w14:paraId="44D28175"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5ABD463C" w14:textId="149DC1EB" w:rsidR="00A710B5" w:rsidRPr="0002056A" w:rsidRDefault="00085F80" w:rsidP="00A710B5">
      <w:pPr>
        <w:ind w:left="1701"/>
        <w:jc w:val="both"/>
        <w:rPr>
          <w:rFonts w:ascii="Georgia" w:hAnsi="Georgia" w:cs="Calibri"/>
          <w:sz w:val="20"/>
          <w:szCs w:val="20"/>
          <w:lang w:val="en-GB"/>
        </w:rPr>
      </w:pPr>
      <w:r>
        <w:rPr>
          <w:rFonts w:ascii="Georgia" w:hAnsi="Georgia" w:cs="Calibri"/>
          <w:sz w:val="20"/>
          <w:szCs w:val="20"/>
          <w:lang w:val="en-GB"/>
        </w:rPr>
        <w:t>-.</w:t>
      </w:r>
    </w:p>
    <w:p w14:paraId="2A3C58BF"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68254EE8" w14:textId="41991FC0" w:rsidR="00A710B5" w:rsidRPr="0002056A" w:rsidRDefault="00085F80" w:rsidP="00A710B5">
      <w:pPr>
        <w:ind w:left="1701"/>
        <w:jc w:val="both"/>
        <w:rPr>
          <w:rFonts w:ascii="Georgia" w:hAnsi="Georgia" w:cs="Calibri"/>
          <w:sz w:val="20"/>
          <w:szCs w:val="20"/>
          <w:lang w:val="en-GB"/>
        </w:rPr>
      </w:pPr>
      <w:r>
        <w:rPr>
          <w:rFonts w:ascii="Georgia" w:hAnsi="Georgia" w:cs="Calibri"/>
          <w:sz w:val="20"/>
          <w:szCs w:val="20"/>
          <w:lang w:val="en-GB"/>
        </w:rPr>
        <w:t>-.</w:t>
      </w:r>
    </w:p>
    <w:p w14:paraId="7A510AF8" w14:textId="297434B8" w:rsidR="00A710B5"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The NAS/NAP aims to set up an evaluation system or elaboration of </w:t>
      </w:r>
      <w:r w:rsidR="00784322" w:rsidRPr="0002056A">
        <w:rPr>
          <w:rFonts w:ascii="Georgia" w:eastAsia="Times New Roman" w:hAnsi="Georgia" w:cs="Calibri"/>
          <w:sz w:val="20"/>
          <w:szCs w:val="20"/>
          <w:lang w:val="en-GB" w:eastAsia="hu-HU"/>
        </w:rPr>
        <w:t>products, but</w:t>
      </w:r>
      <w:r w:rsidRPr="0002056A">
        <w:rPr>
          <w:rFonts w:ascii="Georgia" w:eastAsia="Times New Roman" w:hAnsi="Georgia" w:cs="Calibri"/>
          <w:sz w:val="20"/>
          <w:szCs w:val="20"/>
          <w:lang w:val="en-GB" w:eastAsia="hu-HU"/>
        </w:rPr>
        <w:t xml:space="preserve"> no such products are in practice yet.</w:t>
      </w:r>
    </w:p>
    <w:p w14:paraId="54B0C6C3" w14:textId="3DF70C36" w:rsidR="00085F80" w:rsidRPr="00085F80" w:rsidRDefault="00085F80" w:rsidP="00085F80">
      <w:pPr>
        <w:spacing w:before="120" w:afterLines="120" w:after="288" w:line="240" w:lineRule="auto"/>
        <w:ind w:firstLine="2552"/>
        <w:jc w:val="both"/>
        <w:rPr>
          <w:rFonts w:ascii="Georgia" w:eastAsia="Times New Roman" w:hAnsi="Georgia" w:cs="Calibri"/>
          <w:sz w:val="20"/>
          <w:szCs w:val="20"/>
          <w:lang w:val="en-GB" w:eastAsia="hu-HU"/>
        </w:rPr>
      </w:pPr>
      <w:r>
        <w:rPr>
          <w:rFonts w:ascii="Georgia" w:eastAsia="Times New Roman" w:hAnsi="Georgia" w:cs="Calibri"/>
          <w:sz w:val="20"/>
          <w:szCs w:val="20"/>
          <w:lang w:val="en-GB" w:eastAsia="hu-HU"/>
        </w:rPr>
        <w:t>As I wrote above, this is exactly the situation.</w:t>
      </w:r>
    </w:p>
    <w:p w14:paraId="121ED37E" w14:textId="77777777" w:rsidR="00A710B5" w:rsidRPr="0002056A" w:rsidRDefault="00A710B5" w:rsidP="00A710B5">
      <w:pPr>
        <w:ind w:left="1701"/>
        <w:jc w:val="both"/>
        <w:rPr>
          <w:rFonts w:ascii="Georgia" w:hAnsi="Georgia" w:cs="Calibri"/>
          <w:sz w:val="20"/>
          <w:szCs w:val="20"/>
          <w:lang w:val="en-GB"/>
        </w:rPr>
      </w:pPr>
    </w:p>
    <w:p w14:paraId="43A444F1" w14:textId="77777777" w:rsidR="00A710B5" w:rsidRPr="0002056A" w:rsidRDefault="00A710B5" w:rsidP="00A710B5">
      <w:pPr>
        <w:ind w:left="1701"/>
        <w:jc w:val="both"/>
        <w:rPr>
          <w:rFonts w:ascii="Georgia" w:hAnsi="Georgia" w:cs="Calibri"/>
          <w:sz w:val="20"/>
          <w:szCs w:val="20"/>
          <w:lang w:val="en-GB"/>
        </w:rPr>
      </w:pPr>
    </w:p>
    <w:p w14:paraId="0FF5A5EC" w14:textId="77777777" w:rsidR="00A710B5" w:rsidRPr="0002056A" w:rsidRDefault="00A710B5" w:rsidP="00A710B5">
      <w:pPr>
        <w:ind w:left="1701"/>
        <w:jc w:val="both"/>
        <w:rPr>
          <w:rFonts w:ascii="Georgia" w:hAnsi="Georgia" w:cs="Calibri"/>
          <w:sz w:val="20"/>
          <w:szCs w:val="20"/>
          <w:lang w:val="en-GB"/>
        </w:rPr>
      </w:pPr>
    </w:p>
    <w:p w14:paraId="5DEB1670"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1EC8C060" w14:textId="77777777" w:rsidR="00A710B5" w:rsidRPr="0002056A" w:rsidRDefault="00A710B5" w:rsidP="0022652A">
      <w:pPr>
        <w:pStyle w:val="Listaszerbekezds"/>
        <w:numPr>
          <w:ilvl w:val="2"/>
          <w:numId w:val="12"/>
        </w:numPr>
        <w:spacing w:before="120" w:afterLines="120" w:after="288" w:line="240" w:lineRule="auto"/>
        <w:ind w:left="2154" w:hanging="357"/>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1688D5C1" w14:textId="0FA8EFCA" w:rsidR="00A710B5" w:rsidRPr="007F3F6B" w:rsidRDefault="00085F80" w:rsidP="00C73074">
      <w:pPr>
        <w:pStyle w:val="Listaszerbekezds"/>
        <w:spacing w:before="240" w:after="120" w:line="240" w:lineRule="auto"/>
        <w:ind w:left="2160"/>
        <w:contextualSpacing w:val="0"/>
        <w:jc w:val="both"/>
        <w:rPr>
          <w:rFonts w:ascii="Georgia" w:eastAsia="Times New Roman" w:hAnsi="Georgia" w:cs="Calibri"/>
          <w:sz w:val="20"/>
          <w:szCs w:val="20"/>
          <w:lang w:val="en-GB" w:eastAsia="hu-HU"/>
        </w:rPr>
      </w:pPr>
      <w:r w:rsidRPr="007F3F6B">
        <w:rPr>
          <w:rFonts w:ascii="Georgia" w:eastAsia="Times New Roman" w:hAnsi="Georgia" w:cs="Calibri"/>
          <w:sz w:val="20"/>
          <w:szCs w:val="20"/>
          <w:lang w:val="en-GB" w:eastAsia="hu-HU"/>
        </w:rPr>
        <w:t>Currently only national level evaluations exist, the above mentioned two.</w:t>
      </w:r>
    </w:p>
    <w:p w14:paraId="4782C939" w14:textId="77777777" w:rsidR="00A710B5" w:rsidRPr="0002056A" w:rsidRDefault="00A710B5" w:rsidP="007F3F6B">
      <w:pPr>
        <w:pStyle w:val="Listaszerbekezds"/>
        <w:numPr>
          <w:ilvl w:val="1"/>
          <w:numId w:val="12"/>
        </w:numPr>
        <w:spacing w:before="240" w:after="0" w:line="240" w:lineRule="auto"/>
        <w:ind w:left="1434" w:hanging="357"/>
        <w:contextualSpacing w:val="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7F6E6725" w14:textId="77777777" w:rsidR="00A710B5" w:rsidRPr="0002056A" w:rsidRDefault="00A710B5" w:rsidP="00A710B5">
      <w:pPr>
        <w:ind w:left="1701"/>
        <w:jc w:val="both"/>
        <w:rPr>
          <w:rFonts w:ascii="Georgia" w:hAnsi="Georgia" w:cs="Calibri"/>
          <w:sz w:val="20"/>
          <w:szCs w:val="20"/>
          <w:lang w:val="en-GB"/>
        </w:rPr>
      </w:pPr>
    </w:p>
    <w:p w14:paraId="4977F5AB" w14:textId="5419AD54" w:rsidR="00A710B5" w:rsidRPr="0002056A" w:rsidRDefault="007F3F6B" w:rsidP="00A710B5">
      <w:pPr>
        <w:ind w:left="1701"/>
        <w:jc w:val="both"/>
        <w:rPr>
          <w:rFonts w:ascii="Georgia" w:hAnsi="Georgia" w:cs="Calibri"/>
          <w:sz w:val="20"/>
          <w:szCs w:val="20"/>
          <w:lang w:val="en-GB"/>
        </w:rPr>
      </w:pPr>
      <w:r>
        <w:rPr>
          <w:rFonts w:ascii="Georgia" w:hAnsi="Georgia" w:cs="Calibri"/>
          <w:sz w:val="20"/>
          <w:szCs w:val="20"/>
          <w:lang w:val="en-GB"/>
        </w:rPr>
        <w:t xml:space="preserve">Not really. Only my colleague’s above-mentioned article started to deal with spatial visualization, but in an embryotic form. </w:t>
      </w:r>
    </w:p>
    <w:p w14:paraId="3AAA6497"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European level regional development objectives in your adaptation planning? </w:t>
      </w:r>
    </w:p>
    <w:p w14:paraId="2F0EBF04" w14:textId="06CCD5CC" w:rsidR="00A710B5" w:rsidRPr="0002056A" w:rsidRDefault="007F3F6B" w:rsidP="00A710B5">
      <w:pPr>
        <w:ind w:left="1276"/>
        <w:jc w:val="both"/>
        <w:rPr>
          <w:rFonts w:ascii="Georgia" w:hAnsi="Georgia" w:cs="Calibri"/>
          <w:sz w:val="20"/>
          <w:szCs w:val="20"/>
          <w:lang w:val="en-GB"/>
        </w:rPr>
      </w:pPr>
      <w:r>
        <w:rPr>
          <w:rFonts w:ascii="Georgia" w:hAnsi="Georgia" w:cs="Calibri"/>
          <w:sz w:val="20"/>
          <w:szCs w:val="20"/>
          <w:lang w:val="en-GB"/>
        </w:rPr>
        <w:t>Of course</w:t>
      </w:r>
      <w:r w:rsidR="0022652A">
        <w:rPr>
          <w:rFonts w:ascii="Georgia" w:hAnsi="Georgia" w:cs="Calibri"/>
          <w:sz w:val="20"/>
          <w:szCs w:val="20"/>
          <w:lang w:val="en-GB"/>
        </w:rPr>
        <w:t>,</w:t>
      </w:r>
      <w:r>
        <w:rPr>
          <w:rFonts w:ascii="Georgia" w:hAnsi="Georgia" w:cs="Calibri"/>
          <w:sz w:val="20"/>
          <w:szCs w:val="20"/>
          <w:lang w:val="en-GB"/>
        </w:rPr>
        <w:t xml:space="preserve"> yes.</w:t>
      </w:r>
    </w:p>
    <w:p w14:paraId="63C2C0B6" w14:textId="77777777" w:rsidR="00A710B5" w:rsidRPr="0002056A" w:rsidRDefault="00A710B5" w:rsidP="00C73074">
      <w:pPr>
        <w:pStyle w:val="Listaszerbekezds"/>
        <w:numPr>
          <w:ilvl w:val="1"/>
          <w:numId w:val="12"/>
        </w:numPr>
        <w:spacing w:before="120" w:after="120"/>
        <w:ind w:left="1434" w:hanging="357"/>
        <w:contextualSpacing w:val="0"/>
        <w:jc w:val="both"/>
        <w:rPr>
          <w:rFonts w:ascii="Georgia" w:hAnsi="Georgia" w:cs="Calibri"/>
          <w:sz w:val="20"/>
          <w:szCs w:val="20"/>
          <w:lang w:val="en-GB"/>
        </w:rPr>
      </w:pPr>
      <w:r w:rsidRPr="0002056A">
        <w:rPr>
          <w:rFonts w:ascii="Georgia" w:hAnsi="Georgia" w:cs="Calibri"/>
          <w:sz w:val="20"/>
          <w:szCs w:val="20"/>
          <w:lang w:val="en-GB"/>
        </w:rPr>
        <w:t>If so, how?</w:t>
      </w:r>
    </w:p>
    <w:p w14:paraId="4167F22A" w14:textId="2D8059DE" w:rsidR="00A710B5" w:rsidRPr="0002056A" w:rsidRDefault="007F3F6B" w:rsidP="00A710B5">
      <w:pPr>
        <w:ind w:left="1701"/>
        <w:jc w:val="both"/>
        <w:rPr>
          <w:rFonts w:ascii="Georgia" w:hAnsi="Georgia" w:cs="Calibri"/>
          <w:sz w:val="20"/>
          <w:szCs w:val="20"/>
          <w:lang w:val="en-GB"/>
        </w:rPr>
      </w:pPr>
      <w:r>
        <w:rPr>
          <w:rFonts w:ascii="Georgia" w:hAnsi="Georgia" w:cs="Calibri"/>
          <w:sz w:val="20"/>
          <w:szCs w:val="20"/>
          <w:lang w:val="en-GB"/>
        </w:rPr>
        <w:t>In the form of coherence analysis at the beginning of a national planning process</w:t>
      </w:r>
      <w:r w:rsidR="00875D47">
        <w:rPr>
          <w:rFonts w:ascii="Georgia" w:hAnsi="Georgia" w:cs="Calibri"/>
          <w:sz w:val="20"/>
          <w:szCs w:val="20"/>
          <w:lang w:val="en-GB"/>
        </w:rPr>
        <w:t>.</w:t>
      </w:r>
    </w:p>
    <w:p w14:paraId="4BC20C40" w14:textId="77777777" w:rsidR="00A710B5" w:rsidRPr="0002056A" w:rsidRDefault="00A710B5" w:rsidP="00A710B5">
      <w:pPr>
        <w:ind w:left="1701"/>
        <w:jc w:val="both"/>
        <w:rPr>
          <w:rFonts w:ascii="Georgia" w:hAnsi="Georgia" w:cs="Calibri"/>
          <w:sz w:val="20"/>
          <w:szCs w:val="20"/>
          <w:lang w:val="en-GB"/>
        </w:rPr>
      </w:pPr>
    </w:p>
    <w:p w14:paraId="6E5CC8AA"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 xml:space="preserve">Do you take into consideration national level regional development objectives in your adaptation planning? </w:t>
      </w:r>
    </w:p>
    <w:p w14:paraId="23447F90" w14:textId="7B329679" w:rsidR="00875D47" w:rsidRPr="00875D47" w:rsidRDefault="00875D47" w:rsidP="00875D47">
      <w:pPr>
        <w:pStyle w:val="Listaszerbekezds"/>
        <w:ind w:firstLine="556"/>
        <w:jc w:val="both"/>
        <w:rPr>
          <w:rFonts w:ascii="Georgia" w:hAnsi="Georgia" w:cs="Calibri"/>
          <w:sz w:val="20"/>
          <w:szCs w:val="20"/>
          <w:lang w:val="en-GB"/>
        </w:rPr>
      </w:pPr>
      <w:r w:rsidRPr="00875D47">
        <w:rPr>
          <w:rFonts w:ascii="Georgia" w:hAnsi="Georgia" w:cs="Calibri"/>
          <w:sz w:val="20"/>
          <w:szCs w:val="20"/>
          <w:lang w:val="en-GB"/>
        </w:rPr>
        <w:t>Of course</w:t>
      </w:r>
      <w:r w:rsidR="0022652A">
        <w:rPr>
          <w:rFonts w:ascii="Georgia" w:hAnsi="Georgia" w:cs="Calibri"/>
          <w:sz w:val="20"/>
          <w:szCs w:val="20"/>
          <w:lang w:val="en-GB"/>
        </w:rPr>
        <w:t>,</w:t>
      </w:r>
      <w:r w:rsidRPr="00875D47">
        <w:rPr>
          <w:rFonts w:ascii="Georgia" w:hAnsi="Georgia" w:cs="Calibri"/>
          <w:sz w:val="20"/>
          <w:szCs w:val="20"/>
          <w:lang w:val="en-GB"/>
        </w:rPr>
        <w:t xml:space="preserve"> yes.</w:t>
      </w:r>
    </w:p>
    <w:p w14:paraId="4E33A677" w14:textId="77777777" w:rsidR="00A710B5" w:rsidRPr="0002056A" w:rsidRDefault="00A710B5" w:rsidP="00C73074">
      <w:pPr>
        <w:pStyle w:val="Listaszerbekezds"/>
        <w:numPr>
          <w:ilvl w:val="1"/>
          <w:numId w:val="12"/>
        </w:numPr>
        <w:spacing w:before="120" w:after="120"/>
        <w:ind w:left="1434" w:hanging="357"/>
        <w:contextualSpacing w:val="0"/>
        <w:jc w:val="both"/>
        <w:rPr>
          <w:rFonts w:ascii="Georgia" w:hAnsi="Georgia" w:cs="Calibri"/>
          <w:sz w:val="20"/>
          <w:szCs w:val="20"/>
          <w:lang w:val="en-GB"/>
        </w:rPr>
      </w:pPr>
      <w:r w:rsidRPr="0002056A">
        <w:rPr>
          <w:rFonts w:ascii="Georgia" w:hAnsi="Georgia" w:cs="Calibri"/>
          <w:sz w:val="20"/>
          <w:szCs w:val="20"/>
          <w:lang w:val="en-GB"/>
        </w:rPr>
        <w:t>If so, how?</w:t>
      </w:r>
    </w:p>
    <w:p w14:paraId="746E02BF" w14:textId="77777777" w:rsidR="00875D47" w:rsidRPr="00875D47" w:rsidRDefault="00875D47" w:rsidP="00875D47">
      <w:pPr>
        <w:ind w:left="360" w:firstLine="1341"/>
        <w:jc w:val="both"/>
        <w:rPr>
          <w:rFonts w:ascii="Georgia" w:hAnsi="Georgia" w:cs="Calibri"/>
          <w:sz w:val="20"/>
          <w:szCs w:val="20"/>
          <w:lang w:val="en-GB"/>
        </w:rPr>
      </w:pPr>
      <w:r w:rsidRPr="00875D47">
        <w:rPr>
          <w:rFonts w:ascii="Georgia" w:hAnsi="Georgia" w:cs="Calibri"/>
          <w:sz w:val="20"/>
          <w:szCs w:val="20"/>
          <w:lang w:val="en-GB"/>
        </w:rPr>
        <w:t>In the form of coherence analysis at the beginning of a national planning process.</w:t>
      </w:r>
    </w:p>
    <w:p w14:paraId="5F8434E0" w14:textId="77777777" w:rsidR="00A710B5"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5378B765" w14:textId="6EFC4F2E" w:rsidR="00875D47" w:rsidRDefault="00875D47" w:rsidP="00875D47">
      <w:pPr>
        <w:pStyle w:val="Listaszerbekezds"/>
        <w:jc w:val="both"/>
        <w:rPr>
          <w:rFonts w:ascii="Georgia" w:hAnsi="Georgia" w:cs="Calibri"/>
          <w:sz w:val="20"/>
          <w:szCs w:val="20"/>
          <w:lang w:val="en-GB"/>
        </w:rPr>
      </w:pPr>
      <w:r>
        <w:rPr>
          <w:rFonts w:ascii="Georgia" w:hAnsi="Georgia" w:cs="Calibri"/>
          <w:sz w:val="20"/>
          <w:szCs w:val="20"/>
          <w:lang w:val="en-GB"/>
        </w:rPr>
        <w:t xml:space="preserve">NAGiS already in its current form a good example in GIS-based decision supporting; however, with its potential further transformation it could be </w:t>
      </w:r>
      <w:r w:rsidR="00DD5593">
        <w:rPr>
          <w:rFonts w:ascii="Georgia" w:hAnsi="Georgia" w:cs="Calibri"/>
          <w:sz w:val="20"/>
          <w:szCs w:val="20"/>
          <w:lang w:val="en-GB"/>
        </w:rPr>
        <w:t>a perfect policy MRE tool as well.</w:t>
      </w:r>
    </w:p>
    <w:p w14:paraId="57D46FA4" w14:textId="77777777" w:rsidR="0042041F" w:rsidRPr="0042041F" w:rsidRDefault="0042041F" w:rsidP="0042041F">
      <w:pPr>
        <w:jc w:val="both"/>
        <w:rPr>
          <w:rFonts w:ascii="Georgia" w:hAnsi="Georgia" w:cs="Calibri"/>
          <w:sz w:val="20"/>
          <w:szCs w:val="20"/>
          <w:lang w:val="en-GB"/>
        </w:rPr>
      </w:pPr>
    </w:p>
    <w:p w14:paraId="6DED6DEF" w14:textId="0F8A42D3" w:rsidR="00A710B5" w:rsidRPr="0002056A" w:rsidRDefault="00A710B5" w:rsidP="00A710B5">
      <w:pPr>
        <w:pStyle w:val="Cmsor3"/>
        <w:rPr>
          <w:lang w:val="en-GB"/>
        </w:rPr>
      </w:pPr>
      <w:bookmarkStart w:id="87" w:name="_Toc225578899"/>
      <w:r w:rsidRPr="0002056A">
        <w:rPr>
          <w:lang w:val="en-GB"/>
        </w:rPr>
        <w:t xml:space="preserve">Annex </w:t>
      </w:r>
      <w:r w:rsidR="00FF4969" w:rsidRPr="0002056A">
        <w:rPr>
          <w:lang w:val="en-GB"/>
        </w:rPr>
        <w:t>5</w:t>
      </w:r>
      <w:r w:rsidRPr="0002056A">
        <w:rPr>
          <w:lang w:val="en-GB"/>
        </w:rPr>
        <w:t>b) Former interviews from other research projects</w:t>
      </w:r>
      <w:bookmarkEnd w:id="87"/>
    </w:p>
    <w:p w14:paraId="489F4DA1" w14:textId="180F9BA6" w:rsidR="00A710B5" w:rsidRPr="0002056A" w:rsidRDefault="00A710B5" w:rsidP="00A710B5">
      <w:pPr>
        <w:jc w:val="both"/>
        <w:rPr>
          <w:rFonts w:ascii="Georgia" w:hAnsi="Georgia"/>
          <w:sz w:val="20"/>
          <w:szCs w:val="20"/>
          <w:lang w:val="en-GB"/>
        </w:rPr>
      </w:pPr>
      <w:r w:rsidRPr="0002056A">
        <w:rPr>
          <w:rFonts w:ascii="Georgia" w:hAnsi="Georgia"/>
          <w:sz w:val="20"/>
          <w:szCs w:val="20"/>
          <w:lang w:val="en-GB"/>
        </w:rPr>
        <w:t xml:space="preserve">In addition to the e-mail </w:t>
      </w:r>
      <w:r w:rsidR="00784322" w:rsidRPr="0002056A">
        <w:rPr>
          <w:rFonts w:ascii="Georgia" w:hAnsi="Georgia"/>
          <w:sz w:val="20"/>
          <w:szCs w:val="20"/>
          <w:lang w:val="en-GB"/>
        </w:rPr>
        <w:t>interviews,</w:t>
      </w:r>
      <w:r w:rsidRPr="0002056A">
        <w:rPr>
          <w:rFonts w:ascii="Georgia" w:hAnsi="Georgia"/>
          <w:sz w:val="20"/>
          <w:szCs w:val="20"/>
          <w:lang w:val="en-GB"/>
        </w:rPr>
        <w:t xml:space="preserve"> I conducted in the framework of this phD research project, there are additional interview results from another, related applied research project of mine, from 2020, with useful parts that have been utilised during my phD studies. </w:t>
      </w:r>
    </w:p>
    <w:p w14:paraId="2271F13B" w14:textId="77777777" w:rsidR="00A710B5" w:rsidRPr="0002056A" w:rsidRDefault="00A710B5" w:rsidP="00A710B5">
      <w:pPr>
        <w:jc w:val="both"/>
        <w:rPr>
          <w:rFonts w:ascii="Georgia" w:hAnsi="Georgia"/>
          <w:sz w:val="20"/>
          <w:szCs w:val="20"/>
          <w:lang w:val="en-GB"/>
        </w:rPr>
      </w:pPr>
      <w:r w:rsidRPr="0002056A">
        <w:rPr>
          <w:rFonts w:ascii="Georgia" w:hAnsi="Georgia"/>
          <w:sz w:val="20"/>
          <w:szCs w:val="20"/>
          <w:lang w:val="en-GB"/>
        </w:rPr>
        <w:t>As for the background of the mentioned earlier project, in the Hungarian climate policy, there has been a declared demand for years, both domestically and internationally, for information on the measurement of the effectiveness and efficiency of interventions and the development of the vulnerability of individual sectors and regions. The need for the establishment of a comprehensive system is clearly emphasized by numerous documents and reporting activities. Additionally, the NCCS-2 also indicated the lack of monitoring activity in climate policy, prescribing the development of a monitoring and evaluation plan, assigning this task to the framework of the 1</w:t>
      </w:r>
      <w:r w:rsidRPr="0002056A">
        <w:rPr>
          <w:rFonts w:ascii="Georgia" w:hAnsi="Georgia"/>
          <w:sz w:val="20"/>
          <w:szCs w:val="20"/>
          <w:vertAlign w:val="superscript"/>
          <w:lang w:val="en-GB"/>
        </w:rPr>
        <w:t>st</w:t>
      </w:r>
      <w:r w:rsidRPr="0002056A">
        <w:rPr>
          <w:rFonts w:ascii="Georgia" w:hAnsi="Georgia"/>
          <w:sz w:val="20"/>
          <w:szCs w:val="20"/>
          <w:lang w:val="en-GB"/>
        </w:rPr>
        <w:t xml:space="preserve"> NCCAP. The action plan did indeed develop a comprehensive concept for the monitoring and evaluation of domestic climate policy, in the form of its own chapter, and also designated the launch of research serving to establish the system as a measure. In the framework of this measure a European outlook and a summary of Hungarian </w:t>
      </w:r>
      <w:r w:rsidRPr="0002056A">
        <w:rPr>
          <w:rFonts w:ascii="Georgia" w:hAnsi="Georgia"/>
          <w:sz w:val="20"/>
          <w:szCs w:val="20"/>
          <w:lang w:val="en-GB"/>
        </w:rPr>
        <w:lastRenderedPageBreak/>
        <w:t>experiences on mitigation monitoring systems were prepared from the SRSP support of the measure, coordinated by the Swedish SEPA (Swedish Environment Agency). However, the specific system setup must be preceded by clarifying the concept of the system, clarifying the financial, human resource and institutional foundations of the setup, and specifying the basic principles of the system's operation. So parallel with the Swedish attempt, the National Adaptation Centre reviewed domestic and European adaptation monitoring, reporting and evaluation practices with a significantly broader spectrum than the previous study (examining the monitoring and evaluation systems of states leading in adaptation strategic planning, such as Germany, Switzerland, the United Kingdom, the Netherlands, and as a control group, the climate policy situation and the status of system building of the V4 states). The study formulates a system concept proposal necessary for the setup and launch of this Hungarian climate policy monitoring, reporting and evaluation system (KIMÉR), taking into account domestic and international experiences.</w:t>
      </w:r>
    </w:p>
    <w:p w14:paraId="084032D0" w14:textId="5BF651C1" w:rsidR="00A710B5" w:rsidRPr="0002056A" w:rsidRDefault="00A710B5" w:rsidP="00A710B5">
      <w:pPr>
        <w:jc w:val="both"/>
        <w:rPr>
          <w:rFonts w:ascii="Georgia" w:hAnsi="Georgia"/>
          <w:sz w:val="20"/>
          <w:szCs w:val="20"/>
          <w:lang w:val="en-GB"/>
        </w:rPr>
      </w:pPr>
      <w:r w:rsidRPr="0002056A">
        <w:rPr>
          <w:rFonts w:ascii="Georgia" w:hAnsi="Georgia"/>
          <w:sz w:val="20"/>
          <w:szCs w:val="20"/>
          <w:lang w:val="en-GB"/>
        </w:rPr>
        <w:t xml:space="preserve">In the following I publish the related parts of those interviews prepared with the experts of the aforementioned countries (Germany, the Netherlands, Switzerland and Wales) in 2020, that are relevant form the dissertation’s point of view. The </w:t>
      </w:r>
      <w:r w:rsidR="00784322" w:rsidRPr="0002056A">
        <w:rPr>
          <w:rFonts w:ascii="Georgia" w:hAnsi="Georgia"/>
          <w:sz w:val="20"/>
          <w:szCs w:val="20"/>
          <w:lang w:val="en-GB"/>
        </w:rPr>
        <w:t>interviews,</w:t>
      </w:r>
      <w:r w:rsidRPr="0002056A">
        <w:rPr>
          <w:rFonts w:ascii="Georgia" w:hAnsi="Georgia"/>
          <w:sz w:val="20"/>
          <w:szCs w:val="20"/>
          <w:lang w:val="en-GB"/>
        </w:rPr>
        <w:t xml:space="preserve"> </w:t>
      </w:r>
      <w:r w:rsidR="00784322" w:rsidRPr="0002056A">
        <w:rPr>
          <w:rFonts w:ascii="Georgia" w:hAnsi="Georgia"/>
          <w:sz w:val="20"/>
          <w:szCs w:val="20"/>
          <w:lang w:val="en-GB"/>
        </w:rPr>
        <w:t>similarly,</w:t>
      </w:r>
      <w:r w:rsidRPr="0002056A">
        <w:rPr>
          <w:rFonts w:ascii="Georgia" w:hAnsi="Georgia"/>
          <w:sz w:val="20"/>
          <w:szCs w:val="20"/>
          <w:lang w:val="en-GB"/>
        </w:rPr>
        <w:t xml:space="preserve"> to the whole research have not been published yet, but the information they contain proved to be useful additions to the recent phD research.</w:t>
      </w:r>
    </w:p>
    <w:p w14:paraId="21EA08E4" w14:textId="77777777" w:rsidR="00A710B5" w:rsidRPr="0002056A" w:rsidRDefault="00A710B5" w:rsidP="00A710B5">
      <w:pPr>
        <w:pStyle w:val="Cmsor4"/>
        <w:rPr>
          <w:sz w:val="24"/>
          <w:szCs w:val="24"/>
          <w:lang w:val="en-GB"/>
        </w:rPr>
      </w:pPr>
      <w:r w:rsidRPr="0002056A">
        <w:rPr>
          <w:sz w:val="24"/>
          <w:szCs w:val="24"/>
          <w:lang w:val="en-GB"/>
        </w:rPr>
        <w:t>Wales</w:t>
      </w:r>
    </w:p>
    <w:p w14:paraId="2A63D69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 Dr. Clive Walmsley</w:t>
      </w:r>
    </w:p>
    <w:p w14:paraId="532B33F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Wales</w:t>
      </w:r>
    </w:p>
    <w:p w14:paraId="3B749864"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Natural Resource Wales</w:t>
      </w:r>
    </w:p>
    <w:p w14:paraId="03070721"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expert</w:t>
      </w:r>
    </w:p>
    <w:p w14:paraId="3FA92573"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sz w:val="20"/>
          <w:szCs w:val="20"/>
          <w:lang w:val="en-GB"/>
        </w:rPr>
      </w:pPr>
      <w:r w:rsidRPr="0002056A">
        <w:rPr>
          <w:rFonts w:ascii="Georgia" w:hAnsi="Georgia" w:cs="Calibri"/>
          <w:b/>
          <w:bCs/>
          <w:sz w:val="20"/>
          <w:szCs w:val="20"/>
          <w:lang w:val="en-GB"/>
        </w:rPr>
        <w:t>Date of the interview:</w:t>
      </w:r>
      <w:r w:rsidRPr="0002056A">
        <w:rPr>
          <w:rFonts w:ascii="Georgia" w:hAnsi="Georgia"/>
          <w:b/>
          <w:bCs/>
          <w:sz w:val="20"/>
          <w:szCs w:val="20"/>
          <w:lang w:val="en-GB"/>
        </w:rPr>
        <w:t xml:space="preserve"> 2020</w:t>
      </w:r>
      <w:r w:rsidRPr="0002056A">
        <w:rPr>
          <w:rFonts w:ascii="Georgia" w:hAnsi="Georgia" w:cs="Calibri"/>
          <w:b/>
          <w:bCs/>
          <w:sz w:val="20"/>
          <w:szCs w:val="20"/>
          <w:lang w:val="en-GB"/>
        </w:rPr>
        <w:t>.08.17.</w:t>
      </w:r>
    </w:p>
    <w:p w14:paraId="570E89EA"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63CDBE62"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670D906A" w14:textId="77777777" w:rsidR="00A710B5" w:rsidRPr="0002056A" w:rsidRDefault="00A710B5" w:rsidP="00A710B5">
      <w:pPr>
        <w:ind w:left="1080"/>
        <w:jc w:val="both"/>
        <w:rPr>
          <w:rFonts w:ascii="Georgia" w:hAnsi="Georgia" w:cs="Calibri"/>
          <w:sz w:val="20"/>
          <w:szCs w:val="20"/>
          <w:lang w:val="en-GB"/>
        </w:rPr>
      </w:pPr>
      <w:r w:rsidRPr="0002056A">
        <w:rPr>
          <w:rFonts w:ascii="Georgia" w:hAnsi="Georgia" w:cs="Calibri"/>
          <w:sz w:val="20"/>
          <w:szCs w:val="20"/>
          <w:lang w:val="en-GB"/>
        </w:rPr>
        <w:t>Net Zero emissions in UK by 2050 with 95% emission reduction in Wales by 2050 with interim targets for 2030 and 2040, and also 5-yearly carbon budgets and low carbon delivery plan of mitigation actions to achieve that budget. Carbon neutral public sector by 2030 in Wales policy ambition/goal. Full details are set out in the Low Carbon Delivery Plan for Wales (</w:t>
      </w:r>
      <w:hyperlink r:id="rId237" w:history="1">
        <w:r w:rsidRPr="0002056A">
          <w:rPr>
            <w:rStyle w:val="Hiperhivatkozs"/>
            <w:rFonts w:ascii="Georgia" w:hAnsi="Georgia" w:cs="Calibri"/>
            <w:sz w:val="20"/>
            <w:szCs w:val="20"/>
            <w:lang w:val="en-GB"/>
          </w:rPr>
          <w:t>https://gov.wales/sites/default/files/publications/2019-06/low-carbon-delivery-plan_1.pdf</w:t>
        </w:r>
      </w:hyperlink>
      <w:r w:rsidRPr="0002056A">
        <w:rPr>
          <w:rFonts w:ascii="Georgia" w:hAnsi="Georgia" w:cs="Calibri"/>
          <w:sz w:val="20"/>
          <w:szCs w:val="20"/>
          <w:lang w:val="en-GB"/>
        </w:rPr>
        <w:t>). In terms of adaptation, there are some 113 sub-actions within the adaptation plan for Wales, with outputs and outcomes along with indicators identified within the Monitoring and Evaluation plan with a mix of qualitative and quantitative (see: https://gov.wales/sites/default/files/publications/2019-11/prosperityfor-all-a-climate-conscious-wales_0.pdf for the actions and https://gov.wales/sites/default/files/publications/2020-07/prosperity-for-all-a-climate-conscious-walesmonitoring-and-evaluation-framework.pdf for the outputs, outcomes and indicators). These are very specific to each action so hard to summarise.</w:t>
      </w:r>
    </w:p>
    <w:p w14:paraId="0E6A120B" w14:textId="77777777" w:rsidR="00A710B5" w:rsidRDefault="00A710B5" w:rsidP="00A710B5">
      <w:pPr>
        <w:ind w:left="1080"/>
        <w:jc w:val="both"/>
        <w:rPr>
          <w:rFonts w:ascii="Georgia" w:hAnsi="Georgia" w:cs="Calibri"/>
          <w:sz w:val="20"/>
          <w:szCs w:val="20"/>
          <w:lang w:val="en-GB"/>
        </w:rPr>
      </w:pPr>
      <w:r w:rsidRPr="0002056A">
        <w:rPr>
          <w:rFonts w:ascii="Georgia" w:hAnsi="Georgia" w:cs="Calibri"/>
          <w:sz w:val="20"/>
          <w:szCs w:val="20"/>
          <w:lang w:val="en-GB"/>
        </w:rPr>
        <w:t>The Welsh Government's Department for Environment, Energy and Rural Affairs is responsible for the production of both the mitigation and adaptation plans, including monitoring and evaluation with other organisations such as NRW providing input during development and MRE. The plans are official policy documents but are not legally adopted by the Welsh Parliament.</w:t>
      </w:r>
    </w:p>
    <w:p w14:paraId="743E8750" w14:textId="77777777" w:rsidR="00F01EEF" w:rsidRPr="0002056A" w:rsidRDefault="00F01EEF" w:rsidP="00A710B5">
      <w:pPr>
        <w:ind w:left="1080"/>
        <w:jc w:val="both"/>
        <w:rPr>
          <w:rFonts w:ascii="Georgia" w:hAnsi="Georgia" w:cs="Calibri"/>
          <w:sz w:val="20"/>
          <w:szCs w:val="20"/>
          <w:lang w:val="en-GB"/>
        </w:rPr>
      </w:pPr>
    </w:p>
    <w:p w14:paraId="1642FA2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22846372"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Both regional and sectoral adaptation strategies are there in Wales.</w:t>
      </w:r>
    </w:p>
    <w:p w14:paraId="4BE7D0C0"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17402268" w14:textId="77777777" w:rsidR="00A710B5" w:rsidRPr="0002056A" w:rsidRDefault="00A710B5" w:rsidP="00A710B5">
      <w:pPr>
        <w:autoSpaceDE w:val="0"/>
        <w:autoSpaceDN w:val="0"/>
        <w:adjustRightInd w:val="0"/>
        <w:spacing w:after="0" w:line="240" w:lineRule="auto"/>
        <w:ind w:left="1701"/>
        <w:jc w:val="both"/>
        <w:rPr>
          <w:rFonts w:ascii="Georgia" w:hAnsi="Georgia" w:cs="Calibri"/>
          <w:sz w:val="20"/>
          <w:szCs w:val="20"/>
          <w:lang w:val="en-GB"/>
        </w:rPr>
      </w:pPr>
      <w:r w:rsidRPr="0002056A">
        <w:rPr>
          <w:rFonts w:ascii="Georgia" w:hAnsi="Georgia" w:cs="Roboto-Regular"/>
          <w:color w:val="202124"/>
          <w:sz w:val="20"/>
          <w:szCs w:val="20"/>
          <w:lang w:val="en-GB"/>
        </w:rPr>
        <w:t>The original Climate Change Strategy for Wales did not have the statutory legal underpin of the legislation, and it set out a desire for sectoral adaptation planning that unfortunately was neither properly resourced or driven forward by the Welsh Government so certain sectors ensured delivery through their own recognition of the value of a sectoral process while other sectors did not.</w:t>
      </w:r>
    </w:p>
    <w:p w14:paraId="12749C4B" w14:textId="77777777" w:rsidR="00A710B5" w:rsidRPr="0002056A" w:rsidRDefault="00A710B5" w:rsidP="00A710B5">
      <w:pPr>
        <w:jc w:val="both"/>
        <w:rPr>
          <w:rFonts w:ascii="Georgia" w:hAnsi="Georgia" w:cs="Calibri"/>
          <w:sz w:val="20"/>
          <w:szCs w:val="20"/>
          <w:lang w:val="en-GB"/>
        </w:rPr>
      </w:pPr>
    </w:p>
    <w:p w14:paraId="1E9C98AE"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 </w:t>
      </w:r>
    </w:p>
    <w:p w14:paraId="7899FDDC" w14:textId="77777777" w:rsidR="00A710B5" w:rsidRPr="0002056A" w:rsidRDefault="00A710B5" w:rsidP="00A710B5">
      <w:pPr>
        <w:autoSpaceDE w:val="0"/>
        <w:autoSpaceDN w:val="0"/>
        <w:adjustRightInd w:val="0"/>
        <w:spacing w:after="0" w:line="240" w:lineRule="auto"/>
        <w:ind w:left="1134"/>
        <w:jc w:val="both"/>
        <w:rPr>
          <w:rFonts w:ascii="Georgia" w:hAnsi="Georgia" w:cs="Calibri"/>
          <w:sz w:val="20"/>
          <w:szCs w:val="20"/>
          <w:lang w:val="en-GB"/>
        </w:rPr>
      </w:pPr>
      <w:r w:rsidRPr="0002056A">
        <w:rPr>
          <w:rFonts w:ascii="Georgia" w:hAnsi="Georgia" w:cs="Calibri"/>
          <w:sz w:val="20"/>
          <w:szCs w:val="20"/>
          <w:lang w:val="en-GB"/>
        </w:rPr>
        <w:t>Yes.</w:t>
      </w:r>
      <w:r w:rsidRPr="0002056A">
        <w:rPr>
          <w:rFonts w:ascii="Georgia" w:hAnsi="Georgia" w:cs="Roboto-Regular"/>
          <w:color w:val="202124"/>
          <w:sz w:val="20"/>
          <w:szCs w:val="20"/>
          <w:lang w:val="en-GB"/>
        </w:rPr>
        <w:t xml:space="preserve">  However, as outlined below there is no single system so it is not really possible to say what the focus is but all the above elements, outputs, outcomes, impacts, risks are covered by different components of the devolved or non-devolved system.</w:t>
      </w:r>
    </w:p>
    <w:p w14:paraId="46ACD908" w14:textId="77777777" w:rsidR="00A710B5" w:rsidRPr="0002056A" w:rsidRDefault="00A710B5" w:rsidP="00A710B5">
      <w:pPr>
        <w:ind w:left="360" w:firstLine="916"/>
        <w:jc w:val="both"/>
        <w:rPr>
          <w:rFonts w:ascii="Georgia" w:hAnsi="Georgia" w:cs="Calibri"/>
          <w:sz w:val="20"/>
          <w:szCs w:val="20"/>
          <w:lang w:val="en-GB"/>
        </w:rPr>
      </w:pPr>
    </w:p>
    <w:p w14:paraId="700EE856"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06F422AF"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GHG emissions are collated at UK level in UK GHG Emissions Inventory with separate data available for each nation in the UK. Monitoring of the actions within the Low Carbon Delivery Plan for Wales is undertaken by Welsh Government with input from others such as NRW. Monitoring of adaptation activities in terms of their governance and institutional process are clearly set out in Part 1 of the Monitoring and Evaluation plan - see: https://gov.wales/sites/default/files/publications/2020-</w:t>
      </w:r>
    </w:p>
    <w:p w14:paraId="5EE3355E" w14:textId="77777777" w:rsidR="00A710B5" w:rsidRPr="0002056A" w:rsidRDefault="00A710B5" w:rsidP="00A710B5">
      <w:pPr>
        <w:autoSpaceDE w:val="0"/>
        <w:autoSpaceDN w:val="0"/>
        <w:adjustRightInd w:val="0"/>
        <w:spacing w:after="0" w:line="240" w:lineRule="auto"/>
        <w:ind w:left="1701"/>
        <w:jc w:val="both"/>
        <w:rPr>
          <w:rFonts w:ascii="Georgia" w:eastAsia="Times New Roman" w:hAnsi="Georgia" w:cs="Calibri"/>
          <w:sz w:val="20"/>
          <w:szCs w:val="20"/>
          <w:lang w:val="en-GB" w:eastAsia="hu-HU"/>
        </w:rPr>
      </w:pPr>
      <w:r w:rsidRPr="0002056A">
        <w:rPr>
          <w:rFonts w:ascii="Georgia" w:hAnsi="Georgia" w:cs="Roboto-Regular"/>
          <w:color w:val="202124"/>
          <w:sz w:val="20"/>
          <w:szCs w:val="20"/>
          <w:lang w:val="en-GB"/>
        </w:rPr>
        <w:t xml:space="preserve">07/prosperity-for-all-a-climate-conscious-wales-monitoring-and-evaluation-framework.pdf. </w:t>
      </w:r>
      <w:r w:rsidRPr="0002056A">
        <w:rPr>
          <w:rFonts w:ascii="Georgia" w:eastAsia="Times New Roman" w:hAnsi="Georgia" w:cs="Calibri"/>
          <w:sz w:val="20"/>
          <w:szCs w:val="20"/>
          <w:lang w:val="en-GB" w:eastAsia="hu-HU"/>
        </w:rPr>
        <w:t>The monitoring of each action is delivered by those responsible for each sub-action i.e. stakeholders/delivery partners. There is no specific separate budget for MRE. However, there is no integrated climate change MRE system as suggested for Hungary. Within the UK this is complicated by adaptation and many aspects of GHG mitigation being a devolved area while international reporting, some aspects of energy and climate change research are undertaken at the UK-level.</w:t>
      </w:r>
    </w:p>
    <w:p w14:paraId="4D832DEA"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As a result, there is a UK Climate Change Risk Assessment that drives development of separate national Low Carbon Delivery Plans and Adaptation Plans that have separate national MRE. While it may appear (particularly from outside the UK) that there is a complex and uncoordinated approach due to devolution the combination of independent policy advice and evaluation from the UKCCC with Welsh Government led policy development with input from a wide range of stakeholders/delivery partners including NRW does deliver a systematic approach. with the UK wide research led CCRA providing the underpinning input to help develop adaptation policy at the national level. As the UK Climate Change Act and Welsh Environment Act set a legislative framework requiring UKCCC advice, and requiring 5 yearly carbon budgets and Low Carbon Delivery Plans the approach is underpinned in law - particularly so for mitigation and to a lesser extent for adaptation too.</w:t>
      </w:r>
    </w:p>
    <w:p w14:paraId="3C8550E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617CD700" w14:textId="77777777" w:rsidR="00A710B5" w:rsidRPr="0002056A" w:rsidRDefault="00A710B5" w:rsidP="00A710B5">
      <w:pPr>
        <w:pStyle w:val="Listaszerbekezds"/>
        <w:ind w:firstLine="112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D51003B"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77829A1E" w14:textId="2B35DC26" w:rsidR="00A710B5" w:rsidRDefault="00A710B5" w:rsidP="00A710B5">
      <w:pPr>
        <w:ind w:left="360" w:firstLine="1058"/>
        <w:jc w:val="both"/>
        <w:rPr>
          <w:rFonts w:ascii="Georgia" w:hAnsi="Georgia" w:cs="Calibri"/>
          <w:sz w:val="20"/>
          <w:szCs w:val="20"/>
          <w:lang w:val="en-GB"/>
        </w:rPr>
      </w:pPr>
      <w:r w:rsidRPr="0002056A">
        <w:rPr>
          <w:rFonts w:ascii="Georgia" w:hAnsi="Georgia" w:cs="Calibri"/>
          <w:sz w:val="20"/>
          <w:szCs w:val="20"/>
          <w:lang w:val="en-GB"/>
        </w:rPr>
        <w:t xml:space="preserve">Yes, related to the NAS/NAP </w:t>
      </w:r>
      <w:r w:rsidR="00784322" w:rsidRPr="0002056A">
        <w:rPr>
          <w:rFonts w:ascii="Georgia" w:hAnsi="Georgia" w:cs="Calibri"/>
          <w:sz w:val="20"/>
          <w:szCs w:val="20"/>
          <w:lang w:val="en-GB"/>
        </w:rPr>
        <w:t>document.</w:t>
      </w:r>
    </w:p>
    <w:p w14:paraId="4D7F4CDA" w14:textId="77777777" w:rsidR="00F01EEF" w:rsidRDefault="00F01EEF" w:rsidP="00A710B5">
      <w:pPr>
        <w:ind w:left="360" w:firstLine="1058"/>
        <w:jc w:val="both"/>
        <w:rPr>
          <w:rFonts w:ascii="Georgia" w:hAnsi="Georgia" w:cs="Calibri"/>
          <w:sz w:val="20"/>
          <w:szCs w:val="20"/>
          <w:lang w:val="en-GB"/>
        </w:rPr>
      </w:pPr>
    </w:p>
    <w:p w14:paraId="42EB98E2" w14:textId="77777777" w:rsidR="00F01EEF" w:rsidRPr="0002056A" w:rsidRDefault="00F01EEF" w:rsidP="00A710B5">
      <w:pPr>
        <w:ind w:left="360" w:firstLine="1058"/>
        <w:jc w:val="both"/>
        <w:rPr>
          <w:rFonts w:ascii="Georgia" w:hAnsi="Georgia" w:cs="Calibri"/>
          <w:sz w:val="20"/>
          <w:szCs w:val="20"/>
          <w:lang w:val="en-GB"/>
        </w:rPr>
      </w:pPr>
    </w:p>
    <w:p w14:paraId="685F641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2E8E9AB2"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The Welsh Government coordinates monitoring and evaluation with input from a wide range of partners set out as Stakeholders and delivery partners in the adaptation plan.</w:t>
      </w:r>
    </w:p>
    <w:p w14:paraId="2FD1732F"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113CA7B8" w14:textId="77777777" w:rsidR="00A710B5" w:rsidRPr="0002056A" w:rsidRDefault="00A710B5" w:rsidP="00A710B5">
      <w:pPr>
        <w:ind w:firstLine="226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National level spatial resolution, policy level monitoring.</w:t>
      </w:r>
    </w:p>
    <w:p w14:paraId="5EFB08E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5F921FB9"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As outlined above there is no single system so it is not really possible to say what the focus is but all the above elements, outputs, outcomes, impacts, risks are covered by different components of the devolved or non-devolved system.</w:t>
      </w:r>
    </w:p>
    <w:p w14:paraId="03D7DBD2"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0B18B214" w14:textId="77777777" w:rsidR="00A710B5" w:rsidRPr="0002056A" w:rsidRDefault="00A710B5" w:rsidP="00A710B5">
      <w:pPr>
        <w:pStyle w:val="Listaszerbekezds"/>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All in all: mostly output indies for the current NAS/NAP; majority of them general, sectoral, not spatial. Spatial hints only in a few.</w:t>
      </w:r>
    </w:p>
    <w:p w14:paraId="4D7451E0"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0275E974" w14:textId="05A23D0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xml:space="preserve">I think my answers to the last section covering monitoring cover MRE, in that there </w:t>
      </w:r>
      <w:r w:rsidR="00784322" w:rsidRPr="0002056A">
        <w:rPr>
          <w:rFonts w:ascii="Georgia" w:hAnsi="Georgia" w:cs="Roboto-Regular"/>
          <w:color w:val="202124"/>
          <w:sz w:val="20"/>
          <w:szCs w:val="20"/>
          <w:lang w:val="en-GB"/>
        </w:rPr>
        <w:t>are</w:t>
      </w:r>
      <w:r w:rsidRPr="0002056A">
        <w:rPr>
          <w:rFonts w:ascii="Georgia" w:hAnsi="Georgia" w:cs="Roboto-Regular"/>
          <w:color w:val="202124"/>
          <w:sz w:val="20"/>
          <w:szCs w:val="20"/>
          <w:lang w:val="en-GB"/>
        </w:rPr>
        <w:t xml:space="preserve"> a combined Monitoring and Evaluation Framework for reporting progress of the Adaptation Plan for Wales. However, with regards mitigation monitoring of GHG emissions is undertaken by UK GHG Inventory that is produced by an independent contractor to the UK BEIS Ministry while the overall evaluation of policy for UK Government and Welsh/Scottish Governments is undertaken by the joint UK Govt and Devolved Administration funded UK Committee on Climate Change who advise on policy and review progress including Annual reports to the UK Govt, and periodic reports to Welsh and Scottish Governments. I think this is covered above - not entirely clear what is meant by institutional vs organisational as much the same thing. There are specific budgets to fund the UK Emissions Inventory contract (for monitoring) and to run the UKCCC (for evaluation) provided by UK and devolved governments.</w:t>
      </w:r>
    </w:p>
    <w:p w14:paraId="0089A9E9" w14:textId="32D71562"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xml:space="preserve">The UK Committee on Climate Change provides independent review of progress in delivery of the various UK and Welsh/Scottish mitigation and adaptation plans, including an </w:t>
      </w:r>
      <w:r w:rsidR="00784322" w:rsidRPr="0002056A">
        <w:rPr>
          <w:rFonts w:ascii="Georgia" w:hAnsi="Georgia" w:cs="Roboto-Regular"/>
          <w:color w:val="202124"/>
          <w:sz w:val="20"/>
          <w:szCs w:val="20"/>
          <w:lang w:val="en-GB"/>
        </w:rPr>
        <w:t>annual</w:t>
      </w:r>
      <w:r w:rsidRPr="0002056A">
        <w:rPr>
          <w:rFonts w:ascii="Georgia" w:hAnsi="Georgia" w:cs="Roboto-Regular"/>
          <w:color w:val="202124"/>
          <w:sz w:val="20"/>
          <w:szCs w:val="20"/>
          <w:lang w:val="en-GB"/>
        </w:rPr>
        <w:t xml:space="preserve"> report.</w:t>
      </w:r>
    </w:p>
    <w:p w14:paraId="3C480DE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334A924F" w14:textId="77777777" w:rsidR="00A710B5" w:rsidRPr="0002056A" w:rsidRDefault="00A710B5"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EDBB24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5D53E007"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75C66540"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No particularly special methods are used - the UKCCC evaluates GHG emissions generally annually to assess progress versus the 5 yearly carbon budgets that were recommended by the Committee and set by the Government. As set out earlier/above, the system isn’t integrated due to the combination of UK level and nation level elements as set out under monitoring. In many ways the structure is driven by what is or isn’t devolved.</w:t>
      </w:r>
    </w:p>
    <w:p w14:paraId="572739FD"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16E894ED" w14:textId="77777777" w:rsidR="00A710B5" w:rsidRPr="0002056A" w:rsidRDefault="00A710B5" w:rsidP="00A710B5">
      <w:pPr>
        <w:autoSpaceDE w:val="0"/>
        <w:autoSpaceDN w:val="0"/>
        <w:adjustRightInd w:val="0"/>
        <w:spacing w:after="0" w:line="240" w:lineRule="auto"/>
        <w:ind w:left="1701"/>
        <w:jc w:val="both"/>
        <w:rPr>
          <w:rFonts w:ascii="Georgia" w:eastAsia="Times New Roman" w:hAnsi="Georgia" w:cs="Calibri"/>
          <w:sz w:val="20"/>
          <w:szCs w:val="20"/>
          <w:lang w:val="en-GB" w:eastAsia="hu-HU"/>
        </w:rPr>
      </w:pPr>
      <w:r w:rsidRPr="0002056A">
        <w:rPr>
          <w:rFonts w:ascii="Georgia" w:hAnsi="Georgia" w:cs="Roboto-Regular"/>
          <w:color w:val="202124"/>
          <w:sz w:val="20"/>
          <w:szCs w:val="20"/>
          <w:lang w:val="en-GB"/>
        </w:rPr>
        <w:t xml:space="preserve">The UK Climate Change Risk Assessment has previously not considered progress in delivering adaptation action. It has been focussed on the assessment of risk and </w:t>
      </w:r>
      <w:r w:rsidRPr="0002056A">
        <w:rPr>
          <w:rFonts w:ascii="Georgia" w:hAnsi="Georgia" w:cs="Roboto-Regular"/>
          <w:color w:val="202124"/>
          <w:sz w:val="20"/>
          <w:szCs w:val="20"/>
          <w:lang w:val="en-GB"/>
        </w:rPr>
        <w:lastRenderedPageBreak/>
        <w:t>vulnerability but the latest CCRA3 which is under development has considered qualitatively the extent of adaptation action and its impact on risk for the first time. It will be published 2021. Its focus will be the assessment of mitigation/adaptation activities’ effectiveness</w:t>
      </w:r>
      <w:r w:rsidRPr="0002056A">
        <w:rPr>
          <w:rFonts w:ascii="Georgia" w:eastAsia="Times New Roman" w:hAnsi="Georgia" w:cs="Calibri"/>
          <w:sz w:val="20"/>
          <w:szCs w:val="20"/>
          <w:lang w:val="en-GB" w:eastAsia="hu-HU"/>
        </w:rPr>
        <w:t>.</w:t>
      </w:r>
    </w:p>
    <w:p w14:paraId="73A5FECB"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422CA283" w14:textId="2CC5ED3F"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xml:space="preserve">The UKCCC has produced specific sectoral reports for many topics, such as energy, land use, domestic etc. </w:t>
      </w:r>
      <w:r w:rsidR="00784322" w:rsidRPr="0002056A">
        <w:rPr>
          <w:rFonts w:ascii="Georgia" w:hAnsi="Georgia" w:cs="Roboto-Regular"/>
          <w:color w:val="202124"/>
          <w:sz w:val="20"/>
          <w:szCs w:val="20"/>
          <w:lang w:val="en-GB"/>
        </w:rPr>
        <w:t>However,</w:t>
      </w:r>
      <w:r w:rsidRPr="0002056A">
        <w:rPr>
          <w:rFonts w:ascii="Georgia" w:hAnsi="Georgia" w:cs="Roboto-Regular"/>
          <w:color w:val="202124"/>
          <w:sz w:val="20"/>
          <w:szCs w:val="20"/>
          <w:lang w:val="en-GB"/>
        </w:rPr>
        <w:t xml:space="preserve"> these specific sectoral reports are not produced in a systematic way to specific timescales unlike the evaluation of progress in relation to the 5 yearly GHG emission budgets that the UK, Welsh and Scottish Governments each produce that are based on earlier advice from the UKCCC.</w:t>
      </w:r>
    </w:p>
    <w:p w14:paraId="456363A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NAS/NAP aims to set up an evaluation system or elaboration of products, but no such products are in practice yet.</w:t>
      </w:r>
    </w:p>
    <w:p w14:paraId="10F35610"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2396D77"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50295D46"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5DEC279C"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47B87C10"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Mostly national level ones.</w:t>
      </w:r>
    </w:p>
    <w:p w14:paraId="0B7C5D57"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3D1578D2"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7BC8DC30"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63B41DB6"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In the first Climate Change Strategy for Wales (2010) there was an attempt to create Sectoral Adaptation Plans for a series of areas. e.g. Health, Natural Environment, Communities, Business etc. However, only some e.g. Health and Historic Environment were developed to a conclusion so rather than a one size fits all approach different sectors are adopting different approaches to adaptation but with their outputs, outcomes feeding into the MRE for the Welsh Adaptation Plan.</w:t>
      </w:r>
    </w:p>
    <w:p w14:paraId="0FE4CE20"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Having independent advice and evaluation from the UKCCC on setting carbon budgets and targets along with evaluation of progress in reducing emissions is a real benefit rather than the whole process being dealt with within the Ministry/Agency. The UKCCC also provide an overview evaluation of progress with adaptation objectives for each nation but their main focus in evaluation is the NAS for England, with relatively little assessment of Welsh adaptation.</w:t>
      </w:r>
    </w:p>
    <w:p w14:paraId="57C45087" w14:textId="6354F243" w:rsidR="00F01EEF" w:rsidRDefault="00F01EEF">
      <w:pPr>
        <w:spacing w:after="160" w:line="259" w:lineRule="auto"/>
        <w:rPr>
          <w:rFonts w:ascii="Georgia" w:hAnsi="Georgia"/>
          <w:sz w:val="20"/>
          <w:szCs w:val="20"/>
          <w:lang w:val="en-GB"/>
        </w:rPr>
      </w:pPr>
      <w:r>
        <w:rPr>
          <w:rFonts w:ascii="Georgia" w:hAnsi="Georgia"/>
          <w:sz w:val="20"/>
          <w:szCs w:val="20"/>
          <w:lang w:val="en-GB"/>
        </w:rPr>
        <w:br w:type="page"/>
      </w:r>
    </w:p>
    <w:p w14:paraId="4CDEDE37" w14:textId="77777777" w:rsidR="00A710B5" w:rsidRPr="0002056A" w:rsidRDefault="00A710B5" w:rsidP="00A710B5">
      <w:pPr>
        <w:ind w:left="360"/>
        <w:rPr>
          <w:rFonts w:ascii="Georgia" w:hAnsi="Georgia"/>
          <w:sz w:val="20"/>
          <w:szCs w:val="20"/>
          <w:lang w:val="en-GB"/>
        </w:rPr>
      </w:pPr>
    </w:p>
    <w:p w14:paraId="21524002" w14:textId="77777777" w:rsidR="00A710B5" w:rsidRPr="0002056A" w:rsidRDefault="00A710B5" w:rsidP="00A710B5">
      <w:pPr>
        <w:pStyle w:val="Cmsor4"/>
        <w:rPr>
          <w:sz w:val="24"/>
          <w:szCs w:val="24"/>
          <w:lang w:val="en-GB"/>
        </w:rPr>
      </w:pPr>
      <w:r w:rsidRPr="0002056A">
        <w:rPr>
          <w:sz w:val="24"/>
          <w:szCs w:val="24"/>
          <w:lang w:val="en-GB"/>
        </w:rPr>
        <w:t>Switzerland</w:t>
      </w:r>
    </w:p>
    <w:p w14:paraId="6B6E54F5"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Martina Zoller</w:t>
      </w:r>
    </w:p>
    <w:p w14:paraId="02BE18BE"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Switzerland</w:t>
      </w:r>
    </w:p>
    <w:p w14:paraId="51C7ED7D"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Federal Office for the Environment</w:t>
      </w:r>
    </w:p>
    <w:p w14:paraId="7DEEC4A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expert</w:t>
      </w:r>
    </w:p>
    <w:p w14:paraId="4BFB2F4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 2020.09.08.</w:t>
      </w:r>
    </w:p>
    <w:p w14:paraId="7E50C2BA" w14:textId="77777777" w:rsidR="00A710B5" w:rsidRPr="0002056A" w:rsidRDefault="00A710B5" w:rsidP="00A710B5">
      <w:pPr>
        <w:jc w:val="center"/>
        <w:rPr>
          <w:rFonts w:ascii="Georgia" w:hAnsi="Georgia" w:cs="Calibri"/>
          <w:b/>
          <w:sz w:val="20"/>
          <w:szCs w:val="20"/>
          <w:lang w:val="en-GB"/>
        </w:rPr>
      </w:pPr>
    </w:p>
    <w:p w14:paraId="7B4B4BE8"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12AC0AAE"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6D227160"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Adaptation:</w:t>
      </w:r>
    </w:p>
    <w:p w14:paraId="5D646A9B"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Law: CO2 Act, Art. 7</w:t>
      </w:r>
    </w:p>
    <w:p w14:paraId="705AAA87"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Strategy: Adaptation to climate change in Switzerland - First part of the Federal Council’s strategy.</w:t>
      </w:r>
    </w:p>
    <w:p w14:paraId="614CDE4C"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Adopted on 2 March 2012 (first part of strategy)</w:t>
      </w:r>
    </w:p>
    <w:p w14:paraId="5CF9011E"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Action plan 2014–2019. Part 2 of the Federal Council strategy of 9 April 2014. 2014 (second part of strategy)</w:t>
      </w:r>
    </w:p>
    <w:p w14:paraId="57ACD13C"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 Action plan 2020–2025. Part 3 of the Federal Council strategy of 19 April 2020. 2020 (third part of strategy)</w:t>
      </w:r>
    </w:p>
    <w:p w14:paraId="1BE3D5DF" w14:textId="77777777" w:rsidR="00A710B5" w:rsidRPr="0002056A" w:rsidRDefault="00A710B5" w:rsidP="00A710B5">
      <w:pPr>
        <w:autoSpaceDE w:val="0"/>
        <w:autoSpaceDN w:val="0"/>
        <w:adjustRightInd w:val="0"/>
        <w:spacing w:after="0" w:line="240" w:lineRule="auto"/>
        <w:ind w:left="1701"/>
        <w:jc w:val="both"/>
        <w:rPr>
          <w:rFonts w:ascii="Georgia" w:hAnsi="Georgia" w:cs="Roboto-Regular"/>
          <w:color w:val="202124"/>
          <w:sz w:val="20"/>
          <w:szCs w:val="20"/>
          <w:lang w:val="en-GB"/>
        </w:rPr>
      </w:pPr>
      <w:r w:rsidRPr="0002056A">
        <w:rPr>
          <w:rFonts w:ascii="Georgia" w:hAnsi="Georgia" w:cs="Roboto-Regular"/>
          <w:color w:val="202124"/>
          <w:sz w:val="20"/>
          <w:szCs w:val="20"/>
          <w:lang w:val="en-GB"/>
        </w:rPr>
        <w:t>Federal Office for the Environment (lead), in collaboration with the other federal office involved in climate change adaptation.</w:t>
      </w:r>
    </w:p>
    <w:p w14:paraId="0E909525"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5BB66AB5" w14:textId="58D1E871"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 xml:space="preserve">There are cantonal documents/activities as well. Cantonal heat measures </w:t>
      </w:r>
      <w:r w:rsidR="00784322" w:rsidRPr="0002056A">
        <w:rPr>
          <w:rFonts w:ascii="Georgia" w:hAnsi="Georgia" w:cs="Calibri"/>
          <w:sz w:val="20"/>
          <w:szCs w:val="20"/>
          <w:lang w:val="en-GB"/>
        </w:rPr>
        <w:t>plan</w:t>
      </w:r>
      <w:r w:rsidRPr="0002056A">
        <w:rPr>
          <w:rFonts w:ascii="Georgia" w:hAnsi="Georgia" w:cs="Calibri"/>
          <w:sz w:val="20"/>
          <w:szCs w:val="20"/>
          <w:lang w:val="en-GB"/>
        </w:rPr>
        <w:t xml:space="preserve"> to protect vulnerable population groups during heat waves. While the most western Swiss cantons and the canton Ticino have developed such plans, they exist not in the German-speaking Swiss cantons. The picture is heterogeneous depending on the cantonal water strategies.</w:t>
      </w:r>
    </w:p>
    <w:p w14:paraId="0028796D"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Ten cantons have such a strategy. One is currently being developed in four cantons One is planned in two cantons.</w:t>
      </w:r>
    </w:p>
    <w:p w14:paraId="2BC6EBA5" w14:textId="77777777" w:rsidR="00A710B5" w:rsidRPr="0002056A" w:rsidRDefault="00A710B5" w:rsidP="00A710B5">
      <w:pPr>
        <w:ind w:left="1843"/>
        <w:jc w:val="both"/>
        <w:rPr>
          <w:rFonts w:ascii="Georgia" w:hAnsi="Georgia" w:cs="Calibri"/>
          <w:sz w:val="20"/>
          <w:szCs w:val="20"/>
          <w:lang w:val="en-GB"/>
        </w:rPr>
      </w:pPr>
    </w:p>
    <w:p w14:paraId="094AD065"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Do you have a</w:t>
      </w:r>
      <w:r w:rsidRPr="0002056A">
        <w:rPr>
          <w:rFonts w:ascii="Georgia" w:eastAsia="Times New Roman" w:hAnsi="Georgia" w:cs="Calibri"/>
          <w:sz w:val="20"/>
          <w:szCs w:val="20"/>
          <w:lang w:val="en-GB" w:eastAsia="hu-HU"/>
        </w:rPr>
        <w:t xml:space="preserve"> functioning monitoring system in adaptation? </w:t>
      </w:r>
    </w:p>
    <w:p w14:paraId="16295E14" w14:textId="77777777" w:rsidR="00A710B5" w:rsidRPr="0002056A" w:rsidRDefault="00A710B5" w:rsidP="00A710B5">
      <w:pPr>
        <w:ind w:left="360" w:firstLine="916"/>
        <w:jc w:val="both"/>
        <w:rPr>
          <w:rFonts w:ascii="Georgia" w:hAnsi="Georgia" w:cs="Calibri"/>
          <w:sz w:val="20"/>
          <w:szCs w:val="20"/>
          <w:lang w:val="en-GB"/>
        </w:rPr>
      </w:pPr>
      <w:r w:rsidRPr="0002056A">
        <w:rPr>
          <w:rFonts w:ascii="Georgia" w:hAnsi="Georgia" w:cs="Calibri"/>
          <w:sz w:val="20"/>
          <w:szCs w:val="20"/>
          <w:lang w:val="en-GB"/>
        </w:rPr>
        <w:t>Yes.</w:t>
      </w:r>
    </w:p>
    <w:p w14:paraId="4C0ADF42"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5823D771" w14:textId="77777777"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Adaptation: MRE of climate change adaptation, led by Federal Office for the Environment. Adaptation: MRE is based on a logic model. We monitor Mitigation/adaptation activities’ results, impacts.</w:t>
      </w:r>
    </w:p>
    <w:p w14:paraId="720CFC8A" w14:textId="77777777"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MRE concentrates on the national level and the project level.</w:t>
      </w:r>
    </w:p>
    <w:p w14:paraId="774128F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If not, is there a plan to implement / develop such a system?</w:t>
      </w:r>
    </w:p>
    <w:p w14:paraId="19CCE4FF" w14:textId="77777777" w:rsidR="00A710B5" w:rsidRPr="0002056A" w:rsidRDefault="00A710B5" w:rsidP="00A710B5">
      <w:pPr>
        <w:pStyle w:val="Listaszerbekezds"/>
        <w:ind w:firstLine="112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479C1B5"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2E092A00" w14:textId="77777777" w:rsidR="00A710B5" w:rsidRPr="0002056A" w:rsidRDefault="00A710B5" w:rsidP="00A710B5">
      <w:pPr>
        <w:spacing w:before="120" w:afterLines="120" w:after="288" w:line="240" w:lineRule="auto"/>
        <w:ind w:left="1134"/>
        <w:jc w:val="both"/>
        <w:rPr>
          <w:rFonts w:ascii="Georgia" w:hAnsi="Georgia" w:cs="Calibri"/>
          <w:sz w:val="20"/>
          <w:szCs w:val="20"/>
          <w:lang w:val="en-GB"/>
        </w:rPr>
      </w:pPr>
      <w:r w:rsidRPr="0002056A">
        <w:rPr>
          <w:rFonts w:ascii="Georgia" w:hAnsi="Georgia" w:cs="Calibri"/>
          <w:sz w:val="20"/>
          <w:szCs w:val="20"/>
          <w:lang w:val="en-GB"/>
        </w:rPr>
        <w:t xml:space="preserve">Yes. </w:t>
      </w:r>
      <w:r w:rsidRPr="0002056A">
        <w:rPr>
          <w:rFonts w:ascii="Georgia" w:eastAsia="Times New Roman" w:hAnsi="Georgia" w:cs="Calibri"/>
          <w:sz w:val="20"/>
          <w:szCs w:val="20"/>
          <w:lang w:val="en-GB" w:eastAsia="hu-HU"/>
        </w:rPr>
        <w:t xml:space="preserve">The first action plan defines 63 adaptation indicators, of which 54 focus on individual sectors, while another 9 reflect cross-sectoral aspects, such as the available scientific knowledge on adaptation and mitigation, the coordination of adaptation, or citizen awareness (Nauser et al., 2014). The latest action plan, adopted in 2020, defines the goals and tools for 2020-2025 (Il Consiglio federale, 2020). </w:t>
      </w:r>
    </w:p>
    <w:p w14:paraId="309D156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154AA3E7" w14:textId="77777777" w:rsidR="00A710B5" w:rsidRPr="0002056A" w:rsidRDefault="00A710B5" w:rsidP="00A710B5">
      <w:pPr>
        <w:pStyle w:val="Listaszerbekezds"/>
        <w:numPr>
          <w:ilvl w:val="2"/>
          <w:numId w:val="12"/>
        </w:numPr>
        <w:spacing w:after="160" w:line="259"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6B7E9115" w14:textId="77777777" w:rsidR="00A710B5" w:rsidRPr="0002056A" w:rsidRDefault="00A710B5" w:rsidP="00A710B5">
      <w:pPr>
        <w:ind w:left="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Indicators are developed on national level in collaboration with cantonal representatives with the goal to have a final set of indicators for monitoring of climate change adaptation that is accepted on both federal and cantonal level.</w:t>
      </w:r>
    </w:p>
    <w:p w14:paraId="7190CD5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5B2330A4" w14:textId="77777777"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Assessment of mitigation/adaptation activities’ effectiveness.</w:t>
      </w:r>
    </w:p>
    <w:p w14:paraId="700DE4E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6013969C" w14:textId="77777777" w:rsidR="00A710B5" w:rsidRPr="0002056A" w:rsidRDefault="00A710B5" w:rsidP="00A710B5">
      <w:pPr>
        <w:spacing w:before="120" w:afterLines="120" w:after="288" w:line="240" w:lineRule="auto"/>
        <w:ind w:left="1843"/>
        <w:jc w:val="both"/>
        <w:rPr>
          <w:rFonts w:ascii="Georgia" w:hAnsi="Georgia" w:cs="Calibri"/>
          <w:sz w:val="20"/>
          <w:szCs w:val="20"/>
          <w:lang w:val="en-GB"/>
        </w:rPr>
      </w:pPr>
      <w:r w:rsidRPr="0002056A">
        <w:rPr>
          <w:rFonts w:ascii="Georgia" w:hAnsi="Georgia" w:cs="Calibri"/>
          <w:sz w:val="20"/>
          <w:szCs w:val="20"/>
          <w:lang w:val="en-GB"/>
        </w:rPr>
        <w:t>On the FOEN website, the indicators monitored as a result of the monitoring activities are listed item by key area (Figure 16) (https://www.bafu.admin.ch/bafu/en/home/state/indicators.html). Most of these are impact indicators, but there are also some response indicators. For example, the emission of various greenhouse gases related to the atmosphere, while the level of underground water resources appears as an impact indicator in relation to water. At the same time, in these sectors, citizens' awareness of air pollution or awareness of wastewater treatment can be considered as response indicators (the Swiss response indicator definition broadly corresponds to the result indicators of Hungarian practice).</w:t>
      </w:r>
    </w:p>
    <w:p w14:paraId="6A85C219"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28743AB6" w14:textId="77777777" w:rsidR="00A710B5" w:rsidRPr="0002056A" w:rsidRDefault="00A710B5" w:rsidP="00A710B5">
      <w:pPr>
        <w:spacing w:before="120" w:afterLines="120" w:after="288" w:line="240" w:lineRule="auto"/>
        <w:ind w:firstLine="993"/>
        <w:jc w:val="both"/>
        <w:rPr>
          <w:rFonts w:ascii="Georgia" w:hAnsi="Georgia" w:cs="Calibri"/>
          <w:sz w:val="20"/>
          <w:szCs w:val="20"/>
          <w:lang w:val="en-GB"/>
        </w:rPr>
      </w:pPr>
      <w:r w:rsidRPr="0002056A">
        <w:rPr>
          <w:rFonts w:ascii="Georgia" w:hAnsi="Georgia" w:cs="Calibri"/>
          <w:sz w:val="20"/>
          <w:szCs w:val="20"/>
          <w:lang w:val="en-GB"/>
        </w:rPr>
        <w:t xml:space="preserve">Yes. </w:t>
      </w:r>
    </w:p>
    <w:p w14:paraId="0DFD14BD"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4111481D" w14:textId="77777777" w:rsidR="00A710B5" w:rsidRPr="0002056A" w:rsidRDefault="00A710B5"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4F0855E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0DD36E4F"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033B90D0" w14:textId="77777777" w:rsidR="00A710B5" w:rsidRPr="0002056A" w:rsidRDefault="00A710B5" w:rsidP="00A710B5">
      <w:pPr>
        <w:spacing w:before="120" w:afterLines="120" w:after="288" w:line="240" w:lineRule="auto"/>
        <w:ind w:left="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really.</w:t>
      </w:r>
    </w:p>
    <w:p w14:paraId="1F2F3350"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70D03CEF" w14:textId="77777777" w:rsidR="00A710B5" w:rsidRPr="0002056A" w:rsidRDefault="00A710B5" w:rsidP="00A710B5">
      <w:pPr>
        <w:spacing w:before="120" w:afterLines="120" w:after="288" w:line="240" w:lineRule="auto"/>
        <w:ind w:left="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There are reports on:</w:t>
      </w:r>
    </w:p>
    <w:p w14:paraId="7FBE887E" w14:textId="77777777" w:rsidR="00A710B5" w:rsidRPr="0002056A" w:rsidRDefault="00A710B5" w:rsidP="00A710B5">
      <w:pPr>
        <w:pStyle w:val="Listaszerbekezds"/>
        <w:numPr>
          <w:ilvl w:val="3"/>
          <w:numId w:val="26"/>
        </w:numPr>
        <w:spacing w:before="120" w:afterLines="120" w:after="288" w:line="240" w:lineRule="auto"/>
        <w:ind w:left="2977" w:hanging="28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Evaluation of Strategy on Climate Change Adaptation in Switzerland</w:t>
      </w:r>
    </w:p>
    <w:p w14:paraId="4B874ABA" w14:textId="77777777" w:rsidR="00A710B5" w:rsidRPr="0002056A" w:rsidRDefault="00A710B5" w:rsidP="00A710B5">
      <w:pPr>
        <w:pStyle w:val="Listaszerbekezds"/>
        <w:numPr>
          <w:ilvl w:val="3"/>
          <w:numId w:val="26"/>
        </w:numPr>
        <w:spacing w:before="120" w:afterLines="120" w:after="288" w:line="240" w:lineRule="auto"/>
        <w:ind w:left="2977" w:hanging="28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Reporting of Climate Change Adaptation on cantonal level</w:t>
      </w:r>
    </w:p>
    <w:p w14:paraId="204A8C47" w14:textId="77777777" w:rsidR="00A710B5" w:rsidRPr="0002056A" w:rsidRDefault="00A710B5" w:rsidP="00A710B5">
      <w:pPr>
        <w:pStyle w:val="Listaszerbekezds"/>
        <w:numPr>
          <w:ilvl w:val="3"/>
          <w:numId w:val="26"/>
        </w:numPr>
        <w:spacing w:before="120" w:afterLines="120" w:after="288" w:line="240" w:lineRule="auto"/>
        <w:ind w:left="2977" w:hanging="28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Reporting of Climate Change Adaptation on federal level.</w:t>
      </w:r>
    </w:p>
    <w:p w14:paraId="66F436F0" w14:textId="77777777" w:rsidR="00A710B5" w:rsidRPr="0002056A" w:rsidRDefault="00A710B5" w:rsidP="00A710B5">
      <w:pPr>
        <w:spacing w:before="120" w:afterLines="120" w:after="288" w:line="240" w:lineRule="auto"/>
        <w:jc w:val="both"/>
        <w:rPr>
          <w:rFonts w:ascii="Georgia" w:eastAsia="Times New Roman" w:hAnsi="Georgia" w:cs="Calibri"/>
          <w:sz w:val="20"/>
          <w:szCs w:val="20"/>
          <w:lang w:val="en-GB" w:eastAsia="hu-HU"/>
        </w:rPr>
      </w:pPr>
    </w:p>
    <w:p w14:paraId="41EC8967"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2A6003B2" w14:textId="77777777" w:rsidR="00A710B5" w:rsidRPr="0002056A" w:rsidRDefault="00A710B5" w:rsidP="00A710B5">
      <w:pPr>
        <w:spacing w:before="120" w:afterLines="120" w:after="288" w:line="240" w:lineRule="auto"/>
        <w:ind w:left="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Water management, Agriculture, Forestry, Energy, Tourism, Biodiversity management, Health, Spatial development.</w:t>
      </w:r>
    </w:p>
    <w:p w14:paraId="407A7DE2"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NAS/NAP aims to set up an evaluation system or elaboration of products, but no such products are in practice yet.</w:t>
      </w:r>
    </w:p>
    <w:p w14:paraId="363C261D"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C8EE64D"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5125E18D"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354AC64D"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10A636EA"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Mostly national.</w:t>
      </w:r>
    </w:p>
    <w:p w14:paraId="539578A9"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2842DA7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27C2DBDF" w14:textId="77777777" w:rsidR="00A710B5" w:rsidRPr="0002056A" w:rsidRDefault="00A710B5" w:rsidP="00A710B5">
      <w:pPr>
        <w:pStyle w:val="Listaszerbekezds"/>
        <w:spacing w:before="120" w:afterLines="120" w:after="288" w:line="240" w:lineRule="auto"/>
        <w:ind w:left="1440"/>
        <w:jc w:val="both"/>
        <w:rPr>
          <w:rFonts w:ascii="Georgia" w:eastAsia="Times New Roman" w:hAnsi="Georgia" w:cs="Calibri"/>
          <w:sz w:val="20"/>
          <w:szCs w:val="20"/>
          <w:lang w:val="en-GB" w:eastAsia="hu-HU"/>
        </w:rPr>
      </w:pPr>
    </w:p>
    <w:p w14:paraId="7979C40A"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Qualitative method based on a logic model is used.</w:t>
      </w:r>
    </w:p>
    <w:p w14:paraId="4F629F28"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adaptation an evaluation methodology is based on logic model. Institutionally a working group exists on federal level (horizontal working group), on cantonal level as well, led by the federal level (vertical working group).</w:t>
      </w:r>
    </w:p>
    <w:p w14:paraId="15808E30"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7FDB73F1" w14:textId="77777777" w:rsidR="00A710B5" w:rsidRPr="0002056A" w:rsidRDefault="00A710B5" w:rsidP="00A710B5">
      <w:pPr>
        <w:ind w:left="993"/>
        <w:rPr>
          <w:rFonts w:ascii="Georgia" w:hAnsi="Georgia"/>
          <w:sz w:val="20"/>
          <w:szCs w:val="20"/>
          <w:lang w:val="en-GB"/>
        </w:rPr>
      </w:pPr>
      <w:r w:rsidRPr="0002056A">
        <w:rPr>
          <w:rFonts w:ascii="Georgia" w:hAnsi="Georgia"/>
          <w:sz w:val="20"/>
          <w:szCs w:val="20"/>
          <w:lang w:val="en-GB"/>
        </w:rPr>
        <w:t>-.</w:t>
      </w:r>
    </w:p>
    <w:p w14:paraId="20FBE0B6" w14:textId="77777777" w:rsidR="00A710B5" w:rsidRPr="0002056A" w:rsidRDefault="00A710B5" w:rsidP="00A710B5">
      <w:pPr>
        <w:pStyle w:val="Cmsor4"/>
        <w:rPr>
          <w:sz w:val="24"/>
          <w:szCs w:val="24"/>
          <w:lang w:val="en-GB"/>
        </w:rPr>
      </w:pPr>
      <w:r w:rsidRPr="0002056A">
        <w:rPr>
          <w:sz w:val="24"/>
          <w:szCs w:val="24"/>
          <w:lang w:val="en-GB"/>
        </w:rPr>
        <w:t>Germany</w:t>
      </w:r>
    </w:p>
    <w:p w14:paraId="79E858D7"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 Petra van Rüth</w:t>
      </w:r>
      <w:r w:rsidRPr="0002056A">
        <w:rPr>
          <w:rFonts w:ascii="Georgia" w:hAnsi="Georgia"/>
          <w:b/>
          <w:bCs/>
          <w:sz w:val="20"/>
          <w:szCs w:val="20"/>
          <w:lang w:val="en-GB"/>
        </w:rPr>
        <w:t xml:space="preserve"> </w:t>
      </w:r>
    </w:p>
    <w:p w14:paraId="61A52F2F"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Germany</w:t>
      </w:r>
    </w:p>
    <w:p w14:paraId="190FFA50"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UBA Germany, KomPass</w:t>
      </w:r>
    </w:p>
    <w:p w14:paraId="1502998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scientific employee</w:t>
      </w:r>
    </w:p>
    <w:p w14:paraId="1FC9321B"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w:t>
      </w:r>
      <w:r w:rsidRPr="0002056A">
        <w:rPr>
          <w:rFonts w:ascii="Georgia" w:hAnsi="Georgia"/>
          <w:b/>
          <w:bCs/>
          <w:sz w:val="20"/>
          <w:szCs w:val="20"/>
          <w:lang w:val="en-GB"/>
        </w:rPr>
        <w:t xml:space="preserve"> 2020.08.17</w:t>
      </w:r>
      <w:r w:rsidRPr="0002056A">
        <w:rPr>
          <w:rFonts w:ascii="Georgia" w:hAnsi="Georgia" w:cs="Calibri"/>
          <w:b/>
          <w:bCs/>
          <w:sz w:val="20"/>
          <w:szCs w:val="20"/>
          <w:lang w:val="en-GB"/>
        </w:rPr>
        <w:t>.</w:t>
      </w:r>
    </w:p>
    <w:p w14:paraId="0493E9AA" w14:textId="77777777" w:rsidR="00A710B5" w:rsidRPr="0002056A" w:rsidRDefault="00A710B5" w:rsidP="00A710B5">
      <w:pPr>
        <w:jc w:val="center"/>
        <w:rPr>
          <w:rFonts w:ascii="Georgia" w:hAnsi="Georgia" w:cs="Calibri"/>
          <w:b/>
          <w:sz w:val="20"/>
          <w:szCs w:val="20"/>
          <w:lang w:val="en-GB"/>
        </w:rPr>
      </w:pPr>
    </w:p>
    <w:p w14:paraId="3977C68C"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4308ADA5"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3EFA630A" w14:textId="4AAF14AB"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 xml:space="preserve">In Germany, separate policy fields have been developed for climate protection and adaptation. The following comments refer to adaptation to climate change. The German Adaptation Strategy aims to reduce the vulnerability to climate change </w:t>
      </w:r>
      <w:r w:rsidRPr="0002056A">
        <w:rPr>
          <w:rFonts w:ascii="Georgia" w:hAnsi="Georgia" w:cs="Calibri"/>
          <w:sz w:val="20"/>
          <w:szCs w:val="20"/>
          <w:lang w:val="en-GB"/>
        </w:rPr>
        <w:lastRenderedPageBreak/>
        <w:t xml:space="preserve">impacts, sustaining or enhancing the adaptive capacity of natural, societal and economic systems. In Germany, adaptation to climate change is a permanent task established along an agreed and politically adopted institutional and methodological framework. Scientific research programmes, participation and consultation processes as well as the establishment of ongoing reporting systems are set up. On the national level </w:t>
      </w:r>
      <w:r w:rsidR="00784322" w:rsidRPr="0002056A">
        <w:rPr>
          <w:rFonts w:ascii="Georgia" w:hAnsi="Georgia" w:cs="Calibri"/>
          <w:sz w:val="20"/>
          <w:szCs w:val="20"/>
          <w:lang w:val="en-GB"/>
        </w:rPr>
        <w:t>nearly,</w:t>
      </w:r>
      <w:r w:rsidRPr="0002056A">
        <w:rPr>
          <w:rFonts w:ascii="Georgia" w:hAnsi="Georgia" w:cs="Calibri"/>
          <w:sz w:val="20"/>
          <w:szCs w:val="20"/>
          <w:lang w:val="en-GB"/>
        </w:rPr>
        <w:t xml:space="preserve"> all federal ministries are represented in the “Interministerial Working Group on Adaptation to Climate Change” (IWG Adaptation), led by the German Federal Ministry for the Environment, Nature Conservation and Nuclear Safety. To coordinate adaptation activities with the federal states the Conference of Environmental Ministers established in June 2009 a standing committee for the adaptation to climate change impacts. On the national level near-all federal ministries are represented in the “Interministerial Working Group on Adaptation to Climate Change” (IWG Adaptation), led by the German Federal Ministry for the Environment, Nature Conservation and Nuclear Safety.</w:t>
      </w:r>
    </w:p>
    <w:p w14:paraId="26B65724"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 Action plans of the German Adaptation Strategy are updated every five years together with “progress reports” and adopted by the Cabinet. The progress reports contain an updated action plan with concrete steps for the further development and implementation of the German Adaptation Strategy. The reports draw on findings and results from the Monitoring Report (second report November 2019, the English Version will be published soon), Vulnerability Assessments (next in summer 2021), the Adaptation Action Plan and the Evaluation of the adaptation strategy (published in November 2019). Together, they form a reporting system for the planning process for adaptation to climate change in Germany. The process can be divided into four phases based on the adaptation policy cycle.</w:t>
      </w:r>
    </w:p>
    <w:p w14:paraId="3C39D81F" w14:textId="5C727ECE"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In 2015 the Federal Government of Germany adopted the first progress report of the DAS. This report gives an overview of the primarily federal activities since the adoption of the DAS in 2008 and the Adaptation Action Plan APA I (2011). The German Adaptation Strategy is updated every five years in the form of “progress reports” and adopted by the Cabinet, next progress report with Action Plan III is foreseen for November 2020. The progress reports present concrete steps for the further development and implementation of the German Adaptation Strategy. The reports draw on findings and results from the Monitoring Report, Vulnerability Assessments, the Adaptation Action Plan and the Evaluation of the adaptation strategy. Together, they form a reporting system for the planning process for adaptation to climate change in Germany.</w:t>
      </w:r>
    </w:p>
    <w:p w14:paraId="1224E126"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2BDE3803" w14:textId="77777777" w:rsidR="00A710B5" w:rsidRPr="0002056A" w:rsidRDefault="00A710B5" w:rsidP="00A710B5">
      <w:pPr>
        <w:pStyle w:val="Listaszerbekezds"/>
        <w:ind w:left="1701"/>
        <w:rPr>
          <w:rFonts w:ascii="Georgia" w:hAnsi="Georgia" w:cs="Calibri"/>
          <w:sz w:val="20"/>
          <w:szCs w:val="20"/>
          <w:lang w:val="en-GB"/>
        </w:rPr>
      </w:pPr>
      <w:r w:rsidRPr="0002056A">
        <w:rPr>
          <w:rFonts w:ascii="Georgia" w:hAnsi="Georgia" w:cs="Calibri"/>
          <w:sz w:val="20"/>
          <w:szCs w:val="20"/>
          <w:lang w:val="en-GB"/>
        </w:rPr>
        <w:t>Yes, all states have their own adaptation strategies.</w:t>
      </w:r>
    </w:p>
    <w:p w14:paraId="07179054"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2E0893B3" w14:textId="77777777" w:rsidR="00A710B5" w:rsidRPr="0002056A" w:rsidRDefault="00A710B5" w:rsidP="00A710B5">
      <w:pPr>
        <w:pStyle w:val="Listaszerbekezds"/>
        <w:ind w:left="1701"/>
        <w:rPr>
          <w:lang w:val="en-GB"/>
        </w:rPr>
      </w:pPr>
      <w:r w:rsidRPr="0002056A">
        <w:rPr>
          <w:rFonts w:ascii="Georgia" w:hAnsi="Georgia" w:cs="Calibri"/>
          <w:sz w:val="20"/>
          <w:szCs w:val="20"/>
          <w:lang w:val="en-GB"/>
        </w:rPr>
        <w:t>Yes, sectoral adaptation strategies exist.</w:t>
      </w:r>
    </w:p>
    <w:p w14:paraId="1A1701D0" w14:textId="77777777" w:rsidR="00A710B5" w:rsidRPr="0002056A" w:rsidRDefault="00A710B5" w:rsidP="00A710B5">
      <w:pPr>
        <w:pStyle w:val="Listaszerbekezds"/>
        <w:numPr>
          <w:ilvl w:val="0"/>
          <w:numId w:val="12"/>
        </w:numPr>
        <w:ind w:left="1440"/>
        <w:jc w:val="both"/>
        <w:rPr>
          <w:rFonts w:ascii="Georgia" w:hAnsi="Georgia" w:cs="Calibri"/>
          <w:sz w:val="20"/>
          <w:szCs w:val="20"/>
          <w:lang w:val="en-GB"/>
        </w:rPr>
      </w:pPr>
      <w:r w:rsidRPr="0002056A">
        <w:rPr>
          <w:rFonts w:ascii="Georgia" w:hAnsi="Georgia" w:cs="Calibri"/>
          <w:sz w:val="20"/>
          <w:szCs w:val="20"/>
          <w:lang w:val="en-GB"/>
        </w:rPr>
        <w:t>Which logic is prevailing in your country regarding climate policy strategic planning, regional or sectoral in strategic planning? (if they vary, please describe in detail which document follows which logic, and why). In our approach “regional” means: the document’s situation analysis and objective system are structured according to different region hit differently by climate change. “Sectoral” means: the document’s situation analysis and objective system are structured according to different sectors /thematic fields hit differently by climate change.</w:t>
      </w:r>
      <w:r w:rsidRPr="0002056A">
        <w:rPr>
          <w:rFonts w:ascii="Georgia" w:hAnsi="Georgia" w:cs="Calibri"/>
          <w:sz w:val="20"/>
          <w:szCs w:val="20"/>
          <w:lang w:val="en-GB"/>
        </w:rPr>
        <w:tab/>
      </w:r>
    </w:p>
    <w:p w14:paraId="7FAD3C7C" w14:textId="77777777" w:rsidR="00A710B5" w:rsidRPr="0002056A" w:rsidRDefault="00A710B5" w:rsidP="00A710B5">
      <w:pPr>
        <w:ind w:left="1418" w:firstLine="425"/>
        <w:jc w:val="both"/>
        <w:rPr>
          <w:rFonts w:ascii="Georgia" w:hAnsi="Georgia" w:cs="Calibri"/>
          <w:sz w:val="20"/>
          <w:szCs w:val="20"/>
          <w:lang w:val="en-GB"/>
        </w:rPr>
      </w:pPr>
      <w:r w:rsidRPr="0002056A">
        <w:rPr>
          <w:rFonts w:ascii="Georgia" w:hAnsi="Georgia" w:cs="Calibri"/>
          <w:sz w:val="20"/>
          <w:szCs w:val="20"/>
          <w:lang w:val="en-GB"/>
        </w:rPr>
        <w:t>Rather sectoral.</w:t>
      </w:r>
    </w:p>
    <w:p w14:paraId="33F65C88"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lastRenderedPageBreak/>
        <w:t>Do you have a</w:t>
      </w:r>
      <w:r w:rsidRPr="0002056A">
        <w:rPr>
          <w:rFonts w:ascii="Georgia" w:eastAsia="Times New Roman" w:hAnsi="Georgia" w:cs="Calibri"/>
          <w:sz w:val="20"/>
          <w:szCs w:val="20"/>
          <w:lang w:val="en-GB" w:eastAsia="hu-HU"/>
        </w:rPr>
        <w:t xml:space="preserve"> functioning monitoring system in adaptation? </w:t>
      </w:r>
    </w:p>
    <w:p w14:paraId="0D488E13" w14:textId="77777777" w:rsidR="00A710B5" w:rsidRPr="0002056A" w:rsidRDefault="00A710B5" w:rsidP="00A710B5">
      <w:pPr>
        <w:ind w:left="1418"/>
        <w:jc w:val="both"/>
        <w:rPr>
          <w:rFonts w:ascii="Georgia" w:hAnsi="Georgia" w:cs="Calibri"/>
          <w:sz w:val="20"/>
          <w:szCs w:val="20"/>
          <w:lang w:val="en-GB"/>
        </w:rPr>
      </w:pPr>
      <w:r w:rsidRPr="0002056A">
        <w:rPr>
          <w:rFonts w:ascii="Georgia" w:hAnsi="Georgia" w:cs="Calibri"/>
          <w:sz w:val="20"/>
          <w:szCs w:val="20"/>
          <w:lang w:val="en-GB"/>
        </w:rPr>
        <w:t>Yes. Measuring the effects of climate change on natural, social and economic systems is easier to implement than a monitoring system for the effects of adaptation at national level. Challenges are posed in particular by the availability of measured data, so that the assessment of adaptation is more qualitative in the context of evaluation. The monitoring system supports the evaluation with its results based on measured data. In Germany, we have developed monitoring of climate impacts and adaptation, evaluation of the policy process and the implementation of action plans, and reporting in progress reports as different products that constitute the reporting system for adaptation to climate change. This is regularly supplemented by vulnerability analyses.</w:t>
      </w:r>
    </w:p>
    <w:p w14:paraId="337F190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2DEF6514" w14:textId="77777777" w:rsidR="00A710B5" w:rsidRPr="0002056A" w:rsidRDefault="00A710B5" w:rsidP="00A710B5">
      <w:pPr>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Rather the latter.</w:t>
      </w:r>
    </w:p>
    <w:p w14:paraId="540573B3"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70348625" w14:textId="77777777" w:rsidR="00A710B5" w:rsidRPr="0002056A" w:rsidRDefault="00A710B5" w:rsidP="00A710B5">
      <w:pPr>
        <w:pStyle w:val="Listaszerbekezds"/>
        <w:ind w:firstLine="112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2A0B3DC4"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0C4D59A7" w14:textId="77777777" w:rsidR="00A710B5" w:rsidRPr="0002056A" w:rsidRDefault="00A710B5" w:rsidP="00A710B5">
      <w:pPr>
        <w:ind w:left="360" w:firstLine="1058"/>
        <w:jc w:val="both"/>
        <w:rPr>
          <w:rFonts w:ascii="Georgia" w:hAnsi="Georgia" w:cs="Calibri"/>
          <w:sz w:val="20"/>
          <w:szCs w:val="20"/>
          <w:lang w:val="en-GB"/>
        </w:rPr>
      </w:pPr>
      <w:r w:rsidRPr="0002056A">
        <w:rPr>
          <w:rFonts w:ascii="Georgia" w:hAnsi="Georgia" w:cs="Calibri"/>
          <w:sz w:val="20"/>
          <w:szCs w:val="20"/>
          <w:lang w:val="en-GB"/>
        </w:rPr>
        <w:t>Yes.</w:t>
      </w:r>
    </w:p>
    <w:p w14:paraId="0E75202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3E5F52C2"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 Federal Environment Agency is responsible for coordinating the work. Almost all national federal authorities contribute with their knowledge and data to updating and further developing the content of the monitoring system. The indicator system was developed within the framework of research projects financed by the Ministry of the Environment. The technical work of the authorities is carried out as part of their regular tasks.</w:t>
      </w:r>
    </w:p>
    <w:p w14:paraId="69F6A71A"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36758D5A" w14:textId="77777777" w:rsidR="00A710B5" w:rsidRPr="0002056A" w:rsidRDefault="00A710B5" w:rsidP="00A710B5">
      <w:pPr>
        <w:ind w:left="2410"/>
        <w:jc w:val="both"/>
        <w:rPr>
          <w:rFonts w:ascii="Georgia" w:hAnsi="Georgia" w:cs="Calibri"/>
          <w:sz w:val="20"/>
          <w:szCs w:val="20"/>
          <w:lang w:val="en-GB"/>
        </w:rPr>
      </w:pPr>
      <w:r w:rsidRPr="0002056A">
        <w:rPr>
          <w:rFonts w:ascii="Georgia" w:hAnsi="Georgia" w:cs="Calibri"/>
          <w:sz w:val="20"/>
          <w:szCs w:val="20"/>
          <w:lang w:val="en-GB"/>
        </w:rPr>
        <w:t>The Indicator System underlying the Monitoring Report and the overall report itself were created and agreed politically in an inter-departmental process with the participation of numerous experts from the competent sectors of agencies at Federal and Länder level and from scientific and private institutions. Spatial resolution is mainly national, level is strategic.</w:t>
      </w:r>
    </w:p>
    <w:p w14:paraId="56BC87AA"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19AD7A06" w14:textId="77777777" w:rsidR="00A710B5" w:rsidRPr="0002056A" w:rsidRDefault="00A710B5" w:rsidP="00A710B5">
      <w:pPr>
        <w:ind w:left="1701"/>
        <w:jc w:val="both"/>
        <w:rPr>
          <w:rFonts w:ascii="Georgia" w:hAnsi="Georgia" w:cs="Calibri"/>
          <w:sz w:val="20"/>
          <w:szCs w:val="20"/>
          <w:lang w:val="en-GB"/>
        </w:rPr>
      </w:pPr>
      <w:r w:rsidRPr="0002056A">
        <w:rPr>
          <w:rFonts w:ascii="Georgia" w:hAnsi="Georgia" w:cs="Calibri"/>
          <w:sz w:val="20"/>
          <w:szCs w:val="20"/>
          <w:lang w:val="en-GB"/>
        </w:rPr>
        <w:t>The monitoring system is structured according to the 15 fields of action of the German Strategy for Adaptation to Climate Change. Indicators have been developed for the fields of action that map the impacts of climate change and adaptation to these impacts. In addition, there are indicators for overarching activities for adaptation to climate change. The climate development in Germany is presented in a separate chapter. It focuses on mitigation/adaptation measures’ implementation, results and impacts.</w:t>
      </w:r>
    </w:p>
    <w:p w14:paraId="2F2EF5EC"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379D2BFC" w14:textId="77777777" w:rsidR="00A710B5" w:rsidRPr="0002056A" w:rsidRDefault="00A710B5" w:rsidP="00A710B5">
      <w:pPr>
        <w:ind w:left="1418" w:firstLine="283"/>
        <w:jc w:val="both"/>
        <w:rPr>
          <w:rFonts w:ascii="Georgia" w:eastAsia="Times New Roman" w:hAnsi="Georgia" w:cs="Calibri"/>
          <w:sz w:val="20"/>
          <w:szCs w:val="20"/>
          <w:lang w:val="en-GB" w:eastAsia="hu-HU"/>
        </w:rPr>
      </w:pPr>
      <w:r w:rsidRPr="0002056A">
        <w:rPr>
          <w:rFonts w:ascii="Georgia" w:hAnsi="Georgia" w:cs="Calibri"/>
          <w:sz w:val="20"/>
          <w:szCs w:val="20"/>
          <w:lang w:val="en-GB"/>
        </w:rPr>
        <w:t>All of them.</w:t>
      </w:r>
    </w:p>
    <w:p w14:paraId="23AD46CE"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lastRenderedPageBreak/>
        <w:t xml:space="preserve">Are there any climate adaptation related evaluations in your country? </w:t>
      </w:r>
    </w:p>
    <w:p w14:paraId="498201A9" w14:textId="1BC57711" w:rsidR="00A710B5" w:rsidRPr="0002056A" w:rsidRDefault="00A710B5" w:rsidP="00A710B5">
      <w:pPr>
        <w:ind w:left="1418"/>
        <w:jc w:val="both"/>
        <w:rPr>
          <w:rFonts w:ascii="Georgia" w:hAnsi="Georgia" w:cs="Calibri"/>
          <w:sz w:val="20"/>
          <w:szCs w:val="20"/>
          <w:lang w:val="en-GB"/>
        </w:rPr>
      </w:pPr>
      <w:r w:rsidRPr="0002056A">
        <w:rPr>
          <w:rFonts w:ascii="Georgia" w:hAnsi="Georgia" w:cs="Calibri"/>
          <w:sz w:val="20"/>
          <w:szCs w:val="20"/>
          <w:lang w:val="en-GB"/>
        </w:rPr>
        <w:t xml:space="preserve">So </w:t>
      </w:r>
      <w:r w:rsidR="006A6912" w:rsidRPr="0002056A">
        <w:rPr>
          <w:rFonts w:ascii="Georgia" w:hAnsi="Georgia" w:cs="Calibri"/>
          <w:sz w:val="20"/>
          <w:szCs w:val="20"/>
          <w:lang w:val="en-GB"/>
        </w:rPr>
        <w:t>far,</w:t>
      </w:r>
      <w:r w:rsidRPr="0002056A">
        <w:rPr>
          <w:rFonts w:ascii="Georgia" w:hAnsi="Georgia" w:cs="Calibri"/>
          <w:sz w:val="20"/>
          <w:szCs w:val="20"/>
          <w:lang w:val="en-GB"/>
        </w:rPr>
        <w:t xml:space="preserve"> we can say little about effectiveness assessment of measures / strategy as a whole. In Germany we put further effort on the determination of concrete adaptation targets set against the background of resilience / sustainable development. The interministerial working group has commissioned an external evaluation. An evaluation method was initially developed and agreed with the working group. The evaluation was carried out by a research group. The project was technically supervised by the Federal Environment Agency. The methodology is presented in the following report: </w:t>
      </w:r>
      <w:hyperlink r:id="rId238" w:history="1">
        <w:r w:rsidRPr="0002056A">
          <w:rPr>
            <w:rFonts w:ascii="Georgia" w:hAnsi="Georgia" w:cs="Calibri"/>
            <w:sz w:val="20"/>
            <w:szCs w:val="20"/>
            <w:lang w:val="en-GB"/>
          </w:rPr>
          <w:t>https://www.umweltbundesamt.de/publikationen/methodology-for-the-evaluation-of-the-german</w:t>
        </w:r>
      </w:hyperlink>
      <w:r w:rsidRPr="0002056A">
        <w:rPr>
          <w:rFonts w:ascii="Georgia" w:hAnsi="Georgia" w:cs="Calibri"/>
          <w:sz w:val="20"/>
          <w:szCs w:val="20"/>
          <w:lang w:val="en-GB"/>
        </w:rPr>
        <w:t>. It focuses on accomplishment of strategic objectives.</w:t>
      </w:r>
    </w:p>
    <w:p w14:paraId="1B868C69"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13C54DB9" w14:textId="77777777" w:rsidR="00A710B5" w:rsidRPr="0002056A" w:rsidRDefault="00A710B5"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134360D1"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1AE5E4A8"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0081B363"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really.</w:t>
      </w:r>
    </w:p>
    <w:p w14:paraId="0ACB92D8"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3ECD0C96" w14:textId="77777777" w:rsidR="00A710B5" w:rsidRPr="0002056A" w:rsidRDefault="00A710B5" w:rsidP="00A710B5">
      <w:pPr>
        <w:ind w:left="2410"/>
        <w:jc w:val="both"/>
        <w:rPr>
          <w:rFonts w:ascii="Georgia" w:eastAsia="Times New Roman" w:hAnsi="Georgia" w:cs="Calibri"/>
          <w:sz w:val="20"/>
          <w:szCs w:val="20"/>
          <w:lang w:val="en-GB" w:eastAsia="hu-HU"/>
        </w:rPr>
      </w:pPr>
      <w:r w:rsidRPr="0002056A">
        <w:rPr>
          <w:rFonts w:ascii="Georgia" w:hAnsi="Georgia" w:cs="Calibri"/>
          <w:sz w:val="20"/>
          <w:szCs w:val="20"/>
          <w:lang w:val="en-GB"/>
        </w:rPr>
        <w:t>As the main product, the evaluation team wrote an evaluation report, which was submitted to the Interministerial Working Group in early 2019 to reflect on the findings and recommendations. The evaluation report was published in autumn 2019 and contains an English summary of the main findings and recommendations. https://www.umweltbundesamt.de/publikationen/politikanalyse-zur-evaluationder-deutschen.</w:t>
      </w:r>
      <w:r w:rsidRPr="0002056A">
        <w:rPr>
          <w:rFonts w:ascii="Georgia" w:eastAsia="Times New Roman" w:hAnsi="Georgia" w:cs="Calibri"/>
          <w:sz w:val="20"/>
          <w:szCs w:val="20"/>
          <w:lang w:val="en-GB" w:eastAsia="hu-HU"/>
        </w:rPr>
        <w:t>.</w:t>
      </w:r>
    </w:p>
    <w:p w14:paraId="5B68AA99"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5965987B"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This is the situation.</w:t>
      </w:r>
    </w:p>
    <w:p w14:paraId="29978BE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NAS/NAP aims to set up an evaluation system or elaboration of products, but no such products are in practice yet.</w:t>
      </w:r>
    </w:p>
    <w:p w14:paraId="35DF52B2" w14:textId="77777777" w:rsidR="00A710B5" w:rsidRPr="0002056A" w:rsidRDefault="00A710B5" w:rsidP="00A710B5">
      <w:pPr>
        <w:spacing w:before="120" w:afterLines="120" w:after="288"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3744377"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2E4D0D0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5CFA062F"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7ECC12D6"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Mainly national.</w:t>
      </w:r>
    </w:p>
    <w:p w14:paraId="75FB8CCE"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4E55BEC9"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4A84F9EA" w14:textId="77777777" w:rsidR="00A710B5" w:rsidRPr="0002056A" w:rsidRDefault="00A710B5" w:rsidP="00A710B5">
      <w:pPr>
        <w:tabs>
          <w:tab w:val="left" w:pos="3600"/>
        </w:tabs>
        <w:spacing w:before="120" w:afterLines="120" w:after="288" w:line="240" w:lineRule="auto"/>
        <w:ind w:left="2127"/>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Partly.</w:t>
      </w:r>
    </w:p>
    <w:p w14:paraId="6A745821"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0C65C6D4" w14:textId="77777777" w:rsidR="00A710B5" w:rsidRPr="0002056A" w:rsidRDefault="00A710B5" w:rsidP="00A710B5">
      <w:pPr>
        <w:pStyle w:val="Listaszerbekezds"/>
        <w:spacing w:before="120" w:afterLines="120" w:after="288" w:line="240" w:lineRule="auto"/>
        <w:ind w:left="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We have had good experience with cooperation between the federal authorities; this cooperation on the cross-cutting issue of adaptation to climate change has been </w:t>
      </w:r>
      <w:r w:rsidRPr="0002056A">
        <w:rPr>
          <w:rFonts w:ascii="Georgia" w:eastAsia="Times New Roman" w:hAnsi="Georgia" w:cs="Calibri"/>
          <w:sz w:val="20"/>
          <w:szCs w:val="20"/>
          <w:lang w:val="en-GB" w:eastAsia="hu-HU"/>
        </w:rPr>
        <w:lastRenderedPageBreak/>
        <w:t>developed since 2008. The cooperation of the Federal Environment Agency and the other federal authorities for the development and updating of the indicator system was part of the development process. Structured documents are used to document the technical principles and to collect data. These are reviewed and updated in the updating process.</w:t>
      </w:r>
    </w:p>
    <w:p w14:paraId="37896884" w14:textId="77777777" w:rsidR="00A710B5" w:rsidRPr="0002056A" w:rsidRDefault="00A710B5" w:rsidP="00A710B5">
      <w:pPr>
        <w:pStyle w:val="Listaszerbekezds"/>
        <w:spacing w:before="120" w:afterLines="120" w:after="288" w:line="240" w:lineRule="auto"/>
        <w:ind w:left="1418"/>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It has proven successful to have the evaluation carried out by an external team of experts. We have had good experience with a consortium consisting of experts for the evaluation of political strategies and experts for adaptation to climate change. The evaluation team worked independently of the interministerial working group. However, it has proved to be a good idea to coordinate the methods of the evaluation with the working group in order to prepare the best possible support for the work and the acceptance of the evaluation results.</w:t>
      </w:r>
    </w:p>
    <w:p w14:paraId="2D7B5DF4" w14:textId="77777777" w:rsidR="00A710B5" w:rsidRPr="0002056A" w:rsidRDefault="00A710B5" w:rsidP="00A710B5">
      <w:pPr>
        <w:pStyle w:val="Cmsor4"/>
        <w:rPr>
          <w:sz w:val="24"/>
          <w:szCs w:val="24"/>
          <w:lang w:val="en-GB"/>
        </w:rPr>
      </w:pPr>
      <w:r w:rsidRPr="0002056A">
        <w:rPr>
          <w:sz w:val="24"/>
          <w:szCs w:val="24"/>
          <w:lang w:val="en-GB"/>
        </w:rPr>
        <w:t>The Netherlands</w:t>
      </w:r>
    </w:p>
    <w:p w14:paraId="70D036D9"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Name of the expert:</w:t>
      </w:r>
      <w:r w:rsidRPr="0002056A">
        <w:rPr>
          <w:rFonts w:ascii="Georgia" w:hAnsi="Georgia"/>
          <w:b/>
          <w:bCs/>
          <w:sz w:val="20"/>
          <w:szCs w:val="20"/>
          <w:lang w:val="en-GB"/>
        </w:rPr>
        <w:t xml:space="preserve"> Jelle van Minnen</w:t>
      </w:r>
    </w:p>
    <w:p w14:paraId="7ED52188"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Country: The Netherlands</w:t>
      </w:r>
    </w:p>
    <w:p w14:paraId="5174649A"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Organisation:</w:t>
      </w:r>
      <w:r w:rsidRPr="0002056A">
        <w:rPr>
          <w:rFonts w:ascii="Georgia" w:hAnsi="Georgia"/>
          <w:b/>
          <w:bCs/>
          <w:sz w:val="20"/>
          <w:szCs w:val="20"/>
          <w:lang w:val="en-GB"/>
        </w:rPr>
        <w:t xml:space="preserve"> PBL</w:t>
      </w:r>
    </w:p>
    <w:p w14:paraId="79444E12" w14:textId="7777777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b/>
          <w:bCs/>
          <w:sz w:val="20"/>
          <w:szCs w:val="20"/>
          <w:lang w:val="en-GB"/>
        </w:rPr>
      </w:pPr>
      <w:r w:rsidRPr="0002056A">
        <w:rPr>
          <w:rFonts w:ascii="Georgia" w:hAnsi="Georgia" w:cs="Calibri"/>
          <w:b/>
          <w:bCs/>
          <w:sz w:val="20"/>
          <w:szCs w:val="20"/>
          <w:lang w:val="en-GB"/>
        </w:rPr>
        <w:t>Position:</w:t>
      </w:r>
      <w:r w:rsidRPr="0002056A">
        <w:rPr>
          <w:rFonts w:ascii="Georgia" w:hAnsi="Georgia"/>
          <w:b/>
          <w:bCs/>
          <w:sz w:val="20"/>
          <w:szCs w:val="20"/>
          <w:lang w:val="en-GB"/>
        </w:rPr>
        <w:t xml:space="preserve"> senior expert</w:t>
      </w:r>
    </w:p>
    <w:p w14:paraId="4C73F87B" w14:textId="22B01687" w:rsidR="00A710B5" w:rsidRPr="0002056A" w:rsidRDefault="00A710B5" w:rsidP="00A710B5">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Georgia" w:hAnsi="Georgia" w:cs="Calibri"/>
          <w:b/>
          <w:bCs/>
          <w:sz w:val="20"/>
          <w:szCs w:val="20"/>
          <w:lang w:val="en-GB"/>
        </w:rPr>
      </w:pPr>
      <w:r w:rsidRPr="0002056A">
        <w:rPr>
          <w:rFonts w:ascii="Georgia" w:hAnsi="Georgia" w:cs="Calibri"/>
          <w:b/>
          <w:bCs/>
          <w:sz w:val="20"/>
          <w:szCs w:val="20"/>
          <w:lang w:val="en-GB"/>
        </w:rPr>
        <w:t>Date of the interview:</w:t>
      </w:r>
      <w:r w:rsidRPr="0002056A">
        <w:rPr>
          <w:rFonts w:ascii="Georgia" w:hAnsi="Georgia"/>
          <w:b/>
          <w:bCs/>
          <w:sz w:val="20"/>
          <w:szCs w:val="20"/>
          <w:lang w:val="en-GB"/>
        </w:rPr>
        <w:t xml:space="preserve"> </w:t>
      </w:r>
      <w:r w:rsidR="006A6912">
        <w:rPr>
          <w:rFonts w:ascii="Georgia" w:hAnsi="Georgia"/>
          <w:b/>
          <w:bCs/>
          <w:sz w:val="20"/>
          <w:szCs w:val="20"/>
          <w:lang w:val="en-GB"/>
        </w:rPr>
        <w:t>08.08.2020.</w:t>
      </w:r>
    </w:p>
    <w:p w14:paraId="18106EE9" w14:textId="77777777" w:rsidR="00A710B5" w:rsidRPr="0002056A" w:rsidRDefault="00A710B5" w:rsidP="00A710B5">
      <w:pPr>
        <w:jc w:val="center"/>
        <w:rPr>
          <w:rFonts w:ascii="Georgia" w:hAnsi="Georgia" w:cs="Calibri"/>
          <w:b/>
          <w:sz w:val="20"/>
          <w:szCs w:val="20"/>
          <w:lang w:val="en-GB"/>
        </w:rPr>
      </w:pPr>
    </w:p>
    <w:p w14:paraId="497BAD85"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Please introduce shortly your country’s climate adaptation –related strategic planning background!</w:t>
      </w:r>
    </w:p>
    <w:p w14:paraId="28BCAF18"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What kind of planning documents does exist in your country at national level? NAS? NAP? CCRA? CVA? Please name the actual documents with exact title and availability.</w:t>
      </w:r>
    </w:p>
    <w:p w14:paraId="6995F525" w14:textId="77777777" w:rsidR="00A710B5" w:rsidRPr="0002056A" w:rsidRDefault="00A710B5" w:rsidP="00A710B5">
      <w:pPr>
        <w:ind w:firstLine="1843"/>
        <w:rPr>
          <w:rFonts w:ascii="Georgia" w:hAnsi="Georgia"/>
          <w:color w:val="000000" w:themeColor="text1"/>
          <w:sz w:val="20"/>
          <w:szCs w:val="20"/>
          <w:lang w:val="en-GB"/>
        </w:rPr>
      </w:pPr>
      <w:r w:rsidRPr="0002056A">
        <w:rPr>
          <w:rFonts w:ascii="Georgia" w:hAnsi="Georgia"/>
          <w:color w:val="000000" w:themeColor="text1"/>
          <w:sz w:val="20"/>
          <w:szCs w:val="20"/>
          <w:lang w:val="en-GB"/>
        </w:rPr>
        <w:t>Important documents:</w:t>
      </w:r>
    </w:p>
    <w:p w14:paraId="38EA8CF2" w14:textId="0B505569" w:rsidR="00A710B5" w:rsidRPr="0002056A" w:rsidRDefault="00A710B5" w:rsidP="00A710B5">
      <w:pPr>
        <w:pStyle w:val="Listaszerbekezds"/>
        <w:numPr>
          <w:ilvl w:val="0"/>
          <w:numId w:val="27"/>
        </w:numPr>
        <w:spacing w:after="160" w:line="259" w:lineRule="auto"/>
        <w:rPr>
          <w:rFonts w:ascii="Georgia" w:hAnsi="Georgia"/>
          <w:color w:val="000000" w:themeColor="text1"/>
          <w:sz w:val="20"/>
          <w:szCs w:val="20"/>
          <w:lang w:val="en-GB"/>
        </w:rPr>
      </w:pPr>
      <w:r w:rsidRPr="0002056A">
        <w:rPr>
          <w:rFonts w:ascii="Georgia" w:hAnsi="Georgia"/>
          <w:color w:val="000000" w:themeColor="text1"/>
          <w:sz w:val="20"/>
          <w:szCs w:val="20"/>
          <w:lang w:val="en-GB"/>
        </w:rPr>
        <w:t>Dutch Deltaprogramme (</w:t>
      </w:r>
      <w:r w:rsidR="007133D4" w:rsidRPr="0002056A">
        <w:rPr>
          <w:rFonts w:ascii="Georgia" w:hAnsi="Georgia"/>
          <w:color w:val="000000" w:themeColor="text1"/>
          <w:sz w:val="20"/>
          <w:szCs w:val="20"/>
          <w:lang w:val="en-GB"/>
        </w:rPr>
        <w:t>concerning</w:t>
      </w:r>
      <w:r w:rsidRPr="0002056A">
        <w:rPr>
          <w:rFonts w:ascii="Georgia" w:hAnsi="Georgia"/>
          <w:color w:val="000000" w:themeColor="text1"/>
          <w:sz w:val="20"/>
          <w:szCs w:val="20"/>
          <w:lang w:val="en-GB"/>
        </w:rPr>
        <w:t xml:space="preserve"> 3 themes; </w:t>
      </w:r>
      <w:r w:rsidR="00A83A27" w:rsidRPr="0002056A">
        <w:rPr>
          <w:rFonts w:ascii="Georgia" w:hAnsi="Georgia"/>
          <w:color w:val="000000" w:themeColor="text1"/>
          <w:sz w:val="20"/>
          <w:szCs w:val="20"/>
          <w:lang w:val="en-GB"/>
        </w:rPr>
        <w:t>flood risk</w:t>
      </w:r>
      <w:r w:rsidRPr="0002056A">
        <w:rPr>
          <w:rFonts w:ascii="Georgia" w:hAnsi="Georgia"/>
          <w:color w:val="000000" w:themeColor="text1"/>
          <w:sz w:val="20"/>
          <w:szCs w:val="20"/>
          <w:lang w:val="en-GB"/>
        </w:rPr>
        <w:t xml:space="preserve"> management, </w:t>
      </w:r>
      <w:r w:rsidR="007133D4" w:rsidRPr="0002056A">
        <w:rPr>
          <w:rFonts w:ascii="Georgia" w:hAnsi="Georgia"/>
          <w:color w:val="000000" w:themeColor="text1"/>
          <w:sz w:val="20"/>
          <w:szCs w:val="20"/>
          <w:lang w:val="en-GB"/>
        </w:rPr>
        <w:t>freshwater supply</w:t>
      </w:r>
      <w:r w:rsidRPr="0002056A">
        <w:rPr>
          <w:rFonts w:ascii="Georgia" w:hAnsi="Georgia"/>
          <w:color w:val="000000" w:themeColor="text1"/>
          <w:sz w:val="20"/>
          <w:szCs w:val="20"/>
          <w:lang w:val="en-GB"/>
        </w:rPr>
        <w:t>, spatial planning and 8 geographical regions)</w:t>
      </w:r>
    </w:p>
    <w:p w14:paraId="192DE719" w14:textId="77777777" w:rsidR="00A710B5" w:rsidRPr="0002056A" w:rsidRDefault="00A710B5" w:rsidP="00A710B5">
      <w:pPr>
        <w:pStyle w:val="Listaszerbekezds"/>
        <w:ind w:left="1560"/>
        <w:rPr>
          <w:rFonts w:ascii="Georgia" w:hAnsi="Georgia"/>
          <w:color w:val="000000" w:themeColor="text1"/>
          <w:sz w:val="20"/>
          <w:szCs w:val="20"/>
          <w:lang w:val="en-GB"/>
        </w:rPr>
      </w:pPr>
      <w:hyperlink r:id="rId239" w:history="1">
        <w:r w:rsidRPr="0002056A">
          <w:rPr>
            <w:rStyle w:val="Hiperhivatkozs"/>
            <w:rFonts w:ascii="Georgia" w:hAnsi="Georgia"/>
            <w:color w:val="000000" w:themeColor="text1"/>
            <w:sz w:val="20"/>
            <w:szCs w:val="20"/>
            <w:lang w:val="en-GB"/>
          </w:rPr>
          <w:t>https://english.deltacommissaris.nl/delta-programme/what-is-the-delta-programme</w:t>
        </w:r>
      </w:hyperlink>
      <w:r w:rsidRPr="0002056A">
        <w:rPr>
          <w:rFonts w:ascii="Georgia" w:hAnsi="Georgia"/>
          <w:color w:val="000000" w:themeColor="text1"/>
          <w:sz w:val="20"/>
          <w:szCs w:val="20"/>
          <w:lang w:val="en-GB"/>
        </w:rPr>
        <w:t xml:space="preserve">  )</w:t>
      </w:r>
    </w:p>
    <w:p w14:paraId="110772FE" w14:textId="77777777" w:rsidR="00A710B5" w:rsidRPr="0002056A" w:rsidRDefault="00A710B5" w:rsidP="003A774F">
      <w:pPr>
        <w:pStyle w:val="Listaszerbekezds"/>
        <w:spacing w:after="160" w:line="259" w:lineRule="auto"/>
        <w:ind w:left="2268"/>
        <w:rPr>
          <w:rFonts w:ascii="Georgia" w:hAnsi="Georgia"/>
          <w:color w:val="000000" w:themeColor="text1"/>
          <w:sz w:val="20"/>
          <w:szCs w:val="20"/>
          <w:lang w:val="en-GB"/>
        </w:rPr>
      </w:pPr>
      <w:r w:rsidRPr="0002056A">
        <w:rPr>
          <w:rFonts w:ascii="Georgia" w:hAnsi="Georgia"/>
          <w:color w:val="000000" w:themeColor="text1"/>
          <w:sz w:val="20"/>
          <w:szCs w:val="20"/>
          <w:lang w:val="en-GB"/>
        </w:rPr>
        <w:t>The aim is to ensure that our flood risk management, freshwater supply, and spatial planning will be climate-proof and water-resilient by 2050, so that our country will continue to be able to cope with the increasing weather extremes. This time around we will try and prevent a disaster, rather than devise measures on the aftermath.</w:t>
      </w:r>
    </w:p>
    <w:p w14:paraId="65D323A2" w14:textId="77777777" w:rsidR="00A710B5" w:rsidRPr="0002056A" w:rsidRDefault="00A710B5" w:rsidP="003A774F">
      <w:pPr>
        <w:pStyle w:val="Listaszerbekezds"/>
        <w:spacing w:after="160" w:line="259" w:lineRule="auto"/>
        <w:ind w:left="2268"/>
        <w:rPr>
          <w:rFonts w:ascii="Georgia" w:hAnsi="Georgia"/>
          <w:color w:val="000000" w:themeColor="text1"/>
          <w:sz w:val="20"/>
          <w:szCs w:val="20"/>
          <w:lang w:val="en-GB"/>
        </w:rPr>
      </w:pPr>
      <w:r w:rsidRPr="0002056A">
        <w:rPr>
          <w:rFonts w:ascii="Georgia" w:hAnsi="Georgia"/>
          <w:color w:val="000000" w:themeColor="text1"/>
          <w:sz w:val="20"/>
          <w:szCs w:val="20"/>
          <w:lang w:val="en-GB"/>
        </w:rPr>
        <w:t>For that reason, the government has adopted a new approach to working on the delta, in concert with other organisations, focusing on three areas:</w:t>
      </w:r>
    </w:p>
    <w:p w14:paraId="700AE1E1" w14:textId="77777777" w:rsidR="00A710B5" w:rsidRPr="0002056A" w:rsidRDefault="00A710B5" w:rsidP="00A710B5">
      <w:pPr>
        <w:pStyle w:val="Listaszerbekezds"/>
        <w:numPr>
          <w:ilvl w:val="1"/>
          <w:numId w:val="24"/>
        </w:numPr>
        <w:spacing w:after="160" w:line="259" w:lineRule="auto"/>
        <w:ind w:left="2694" w:hanging="284"/>
        <w:rPr>
          <w:rFonts w:ascii="Georgia" w:hAnsi="Georgia"/>
          <w:color w:val="000000" w:themeColor="text1"/>
          <w:sz w:val="20"/>
          <w:szCs w:val="20"/>
          <w:lang w:val="en-GB"/>
        </w:rPr>
      </w:pPr>
      <w:r w:rsidRPr="0002056A">
        <w:rPr>
          <w:rFonts w:ascii="Georgia" w:hAnsi="Georgia"/>
          <w:color w:val="000000" w:themeColor="text1"/>
          <w:sz w:val="20"/>
          <w:szCs w:val="20"/>
          <w:lang w:val="en-GB"/>
        </w:rPr>
        <w:t>New flood protection standards have been implemented: these are not only linked to the probability of flooding, but also to the impact of a flood (risk-based approach). The stringency of the standards is determined by the scope of the potential impact.</w:t>
      </w:r>
    </w:p>
    <w:p w14:paraId="6C886162" w14:textId="77777777" w:rsidR="00A710B5" w:rsidRPr="0002056A" w:rsidRDefault="00A710B5" w:rsidP="00A710B5">
      <w:pPr>
        <w:pStyle w:val="Listaszerbekezds"/>
        <w:numPr>
          <w:ilvl w:val="1"/>
          <w:numId w:val="24"/>
        </w:numPr>
        <w:spacing w:after="160" w:line="259" w:lineRule="auto"/>
        <w:ind w:left="2694" w:hanging="284"/>
        <w:rPr>
          <w:rFonts w:ascii="Georgia" w:hAnsi="Georgia"/>
          <w:color w:val="000000" w:themeColor="text1"/>
          <w:sz w:val="20"/>
          <w:szCs w:val="20"/>
          <w:lang w:val="en-GB"/>
        </w:rPr>
      </w:pPr>
      <w:r w:rsidRPr="0002056A">
        <w:rPr>
          <w:rFonts w:ascii="Georgia" w:hAnsi="Georgia"/>
          <w:color w:val="000000" w:themeColor="text1"/>
          <w:sz w:val="20"/>
          <w:szCs w:val="20"/>
          <w:lang w:val="en-GB"/>
        </w:rPr>
        <w:t>The availability of fresh water for agriculture, industry, and nature must become more predictable.</w:t>
      </w:r>
    </w:p>
    <w:p w14:paraId="470CD520" w14:textId="77777777" w:rsidR="00A710B5" w:rsidRPr="0002056A" w:rsidRDefault="00A710B5" w:rsidP="00A710B5">
      <w:pPr>
        <w:pStyle w:val="Listaszerbekezds"/>
        <w:numPr>
          <w:ilvl w:val="1"/>
          <w:numId w:val="24"/>
        </w:numPr>
        <w:spacing w:after="160" w:line="259" w:lineRule="auto"/>
        <w:ind w:left="2694" w:hanging="284"/>
        <w:rPr>
          <w:rFonts w:ascii="Georgia" w:hAnsi="Georgia"/>
          <w:color w:val="000000" w:themeColor="text1"/>
          <w:sz w:val="20"/>
          <w:szCs w:val="20"/>
          <w:lang w:val="en-GB"/>
        </w:rPr>
      </w:pPr>
      <w:r w:rsidRPr="0002056A">
        <w:rPr>
          <w:rFonts w:ascii="Georgia" w:hAnsi="Georgia"/>
          <w:color w:val="000000" w:themeColor="text1"/>
          <w:sz w:val="20"/>
          <w:szCs w:val="20"/>
          <w:lang w:val="en-GB"/>
        </w:rPr>
        <w:t>Spatial planning must become more climate-proof and water-resilient.</w:t>
      </w:r>
    </w:p>
    <w:p w14:paraId="52591573" w14:textId="77777777" w:rsidR="00A710B5" w:rsidRPr="0002056A" w:rsidRDefault="00A710B5" w:rsidP="00A710B5">
      <w:pPr>
        <w:pStyle w:val="Listaszerbekezds"/>
        <w:rPr>
          <w:rFonts w:ascii="Georgia" w:hAnsi="Georgia"/>
          <w:color w:val="000000" w:themeColor="text1"/>
          <w:sz w:val="20"/>
          <w:szCs w:val="20"/>
          <w:lang w:val="en-GB"/>
        </w:rPr>
      </w:pPr>
    </w:p>
    <w:p w14:paraId="3E98BB0A" w14:textId="77777777" w:rsidR="00A710B5" w:rsidRPr="0002056A" w:rsidRDefault="00A710B5" w:rsidP="00A710B5">
      <w:pPr>
        <w:pStyle w:val="Listaszerbekezds"/>
        <w:numPr>
          <w:ilvl w:val="0"/>
          <w:numId w:val="27"/>
        </w:numPr>
        <w:spacing w:after="160" w:line="259" w:lineRule="auto"/>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National adaptation strategy </w:t>
      </w:r>
    </w:p>
    <w:p w14:paraId="044C3572" w14:textId="77777777" w:rsidR="00A710B5" w:rsidRPr="0002056A" w:rsidRDefault="00A710B5" w:rsidP="003A774F">
      <w:pPr>
        <w:pStyle w:val="Listaszerbekezds"/>
        <w:spacing w:after="160" w:line="259" w:lineRule="auto"/>
        <w:ind w:left="2268"/>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Concerning climate adaptation of 10 sectors. Link to the document: </w:t>
      </w:r>
      <w:hyperlink r:id="rId240" w:history="1">
        <w:r w:rsidRPr="0002056A">
          <w:rPr>
            <w:lang w:val="en-GB"/>
          </w:rPr>
          <w:t>https://ruimtelijkeadaptatie.nl/english/policy-programmes/nas/</w:t>
        </w:r>
      </w:hyperlink>
      <w:r w:rsidRPr="0002056A">
        <w:rPr>
          <w:rFonts w:ascii="Georgia" w:hAnsi="Georgia"/>
          <w:color w:val="000000" w:themeColor="text1"/>
          <w:sz w:val="20"/>
          <w:szCs w:val="20"/>
          <w:lang w:val="en-GB"/>
        </w:rPr>
        <w:t xml:space="preserve">. </w:t>
      </w:r>
    </w:p>
    <w:p w14:paraId="7AAAFC79" w14:textId="77777777" w:rsidR="00A710B5" w:rsidRPr="0002056A" w:rsidRDefault="00A710B5" w:rsidP="003A774F">
      <w:pPr>
        <w:pStyle w:val="Listaszerbekezds"/>
        <w:spacing w:after="160" w:line="259" w:lineRule="auto"/>
        <w:ind w:left="2268"/>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The NAS uses four diagrams (‘Hotter’, ‘Wetter’, ‘Drier’ and ‘Rising Sea Level’) to visualize the effects of climate change within nine sectors: water </w:t>
      </w:r>
      <w:r w:rsidRPr="0002056A">
        <w:rPr>
          <w:rFonts w:ascii="Georgia" w:hAnsi="Georgia"/>
          <w:color w:val="000000" w:themeColor="text1"/>
          <w:sz w:val="20"/>
          <w:szCs w:val="20"/>
          <w:lang w:val="en-GB"/>
        </w:rPr>
        <w:lastRenderedPageBreak/>
        <w:t>and spatial management; nature; agriculture, horticulture and fisheries; health and welfare; recreation and tourism; infrastructure (road, rail, water and aviation); energy; IT and telecommunications; public safety and security and the ‘building environment’.</w:t>
      </w:r>
    </w:p>
    <w:p w14:paraId="0CA4B8A7" w14:textId="77777777" w:rsidR="00A710B5" w:rsidRPr="0002056A" w:rsidRDefault="00A710B5" w:rsidP="003A774F">
      <w:pPr>
        <w:pStyle w:val="Listaszerbekezds"/>
        <w:spacing w:after="160" w:line="259" w:lineRule="auto"/>
        <w:ind w:left="2268"/>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Six climate effects which call for immediate action have been identified: </w:t>
      </w:r>
    </w:p>
    <w:p w14:paraId="264C9A8A"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Greater heat stress leading to increased morbidity, hospital admissions and mortality, as well as reduced productivity. </w:t>
      </w:r>
    </w:p>
    <w:p w14:paraId="63D158A0"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More frequent failure of vital systems: energy, telecommunications, IT and transport infrastructures. </w:t>
      </w:r>
    </w:p>
    <w:p w14:paraId="7141F0AD"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More frequent crop failures or other problems in the agricultural sector, such as decreased yields or damage to production resources. </w:t>
      </w:r>
    </w:p>
    <w:p w14:paraId="09BB1509"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Shifting climate zones whereby some flora and fauna species will be unable to migrate or adapt, due in part to the lack of an internationally coordinated spatial policy. </w:t>
      </w:r>
    </w:p>
    <w:p w14:paraId="6922BB3B"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Greater health burden and loss of productivity due to possible increase in infectious diseases or allergic (respiratory) conditions such as hay fever. </w:t>
      </w:r>
    </w:p>
    <w:p w14:paraId="7475B2C7" w14:textId="77777777" w:rsidR="00A710B5" w:rsidRPr="0002056A" w:rsidRDefault="00A710B5" w:rsidP="00A710B5">
      <w:pPr>
        <w:pStyle w:val="Listaszerbekezds"/>
        <w:numPr>
          <w:ilvl w:val="0"/>
          <w:numId w:val="28"/>
        </w:numPr>
        <w:spacing w:after="160" w:line="259" w:lineRule="auto"/>
        <w:ind w:left="2977"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Cumulative effects whereby a systems failure in one sector or at one location triggers further problems elsewhere.</w:t>
      </w:r>
    </w:p>
    <w:p w14:paraId="62586F28"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 xml:space="preserve">Do you have subnational/regional and local strategic documents in the field of adaptation? (local/regional adaptation strategies, programs, action plans)? </w:t>
      </w:r>
    </w:p>
    <w:p w14:paraId="75AD3CE7" w14:textId="77777777" w:rsidR="00A710B5" w:rsidRPr="003A774F" w:rsidRDefault="00A710B5" w:rsidP="003A774F">
      <w:pPr>
        <w:spacing w:after="160" w:line="259" w:lineRule="auto"/>
        <w:ind w:left="1985"/>
        <w:rPr>
          <w:rFonts w:ascii="Georgia" w:hAnsi="Georgia"/>
          <w:sz w:val="20"/>
          <w:szCs w:val="20"/>
          <w:lang w:val="en-GB"/>
        </w:rPr>
      </w:pPr>
      <w:r w:rsidRPr="003A774F">
        <w:rPr>
          <w:rFonts w:ascii="Georgia" w:hAnsi="Georgia"/>
          <w:sz w:val="20"/>
          <w:szCs w:val="20"/>
          <w:lang w:val="en-GB"/>
        </w:rPr>
        <w:t xml:space="preserve">The Delta Programme 2014. Working on the delta. Promising solutions for tasking and ambitions. </w:t>
      </w:r>
      <w:hyperlink r:id="rId241" w:history="1">
        <w:r w:rsidRPr="003A774F">
          <w:rPr>
            <w:rStyle w:val="Hiperhivatkozs"/>
            <w:rFonts w:ascii="Georgia" w:hAnsi="Georgia"/>
            <w:sz w:val="20"/>
            <w:szCs w:val="20"/>
            <w:lang w:val="en-GB"/>
          </w:rPr>
          <w:t>https://english.deltacommissaris.nl/deltaprogramme/documents/publications/2013/09/17/delta-programme-2014</w:t>
        </w:r>
      </w:hyperlink>
      <w:r w:rsidRPr="003A774F">
        <w:rPr>
          <w:rFonts w:ascii="Georgia" w:hAnsi="Georgia"/>
          <w:sz w:val="20"/>
          <w:szCs w:val="20"/>
          <w:lang w:val="en-GB"/>
        </w:rPr>
        <w:t xml:space="preserve"> I</w:t>
      </w:r>
    </w:p>
    <w:p w14:paraId="12064EED" w14:textId="77777777" w:rsidR="00A710B5" w:rsidRPr="0002056A" w:rsidRDefault="00A710B5" w:rsidP="00A710B5">
      <w:pPr>
        <w:pStyle w:val="Listaszerbekezds"/>
        <w:numPr>
          <w:ilvl w:val="1"/>
          <w:numId w:val="12"/>
        </w:numPr>
        <w:spacing w:after="160" w:line="259" w:lineRule="auto"/>
        <w:ind w:left="2835" w:hanging="425"/>
        <w:jc w:val="both"/>
        <w:rPr>
          <w:rFonts w:ascii="Georgia" w:hAnsi="Georgia"/>
          <w:sz w:val="20"/>
          <w:szCs w:val="20"/>
          <w:lang w:val="en-GB"/>
        </w:rPr>
      </w:pPr>
      <w:r w:rsidRPr="0002056A">
        <w:rPr>
          <w:rFonts w:ascii="Georgia" w:hAnsi="Georgia"/>
          <w:sz w:val="20"/>
          <w:szCs w:val="20"/>
          <w:lang w:val="en-GB"/>
        </w:rPr>
        <w:t xml:space="preserve">Every year there is a publication of the progress of the Delta programme. </w:t>
      </w:r>
      <w:hyperlink r:id="rId242" w:history="1">
        <w:r w:rsidRPr="0002056A">
          <w:rPr>
            <w:rStyle w:val="Hiperhivatkozs"/>
            <w:rFonts w:ascii="Georgia" w:hAnsi="Georgia"/>
            <w:sz w:val="20"/>
            <w:szCs w:val="20"/>
            <w:lang w:val="en-GB"/>
          </w:rPr>
          <w:t>https://english.deltacommissaris.nl/delta-programme/delta-programme-2020</w:t>
        </w:r>
      </w:hyperlink>
      <w:r w:rsidRPr="0002056A">
        <w:rPr>
          <w:rFonts w:ascii="Georgia" w:hAnsi="Georgia"/>
          <w:sz w:val="20"/>
          <w:szCs w:val="20"/>
          <w:lang w:val="en-GB"/>
        </w:rPr>
        <w:t xml:space="preserve"> </w:t>
      </w:r>
    </w:p>
    <w:p w14:paraId="170E87E2" w14:textId="77777777" w:rsidR="00A710B5" w:rsidRPr="0002056A" w:rsidRDefault="00A710B5" w:rsidP="00A710B5">
      <w:pPr>
        <w:pStyle w:val="Listaszerbekezds"/>
        <w:numPr>
          <w:ilvl w:val="1"/>
          <w:numId w:val="12"/>
        </w:numPr>
        <w:spacing w:after="160" w:line="259" w:lineRule="auto"/>
        <w:ind w:left="2835" w:hanging="425"/>
        <w:jc w:val="both"/>
        <w:rPr>
          <w:rFonts w:ascii="Georgia" w:hAnsi="Georgia"/>
          <w:sz w:val="20"/>
          <w:szCs w:val="20"/>
          <w:lang w:val="en-GB"/>
        </w:rPr>
      </w:pPr>
      <w:r w:rsidRPr="0002056A">
        <w:rPr>
          <w:rFonts w:ascii="Georgia" w:hAnsi="Georgia"/>
          <w:sz w:val="20"/>
          <w:szCs w:val="20"/>
          <w:lang w:val="en-GB"/>
        </w:rPr>
        <w:t>In the Delta programme 2021 the tasks and ambitions of the Delta programme are recalibrated; the publication will become available this year.</w:t>
      </w:r>
    </w:p>
    <w:p w14:paraId="237F9BE8" w14:textId="77777777" w:rsidR="00A710B5" w:rsidRPr="0002056A" w:rsidRDefault="00A710B5" w:rsidP="00A710B5">
      <w:pPr>
        <w:pStyle w:val="Listaszerbekezds"/>
        <w:numPr>
          <w:ilvl w:val="1"/>
          <w:numId w:val="12"/>
        </w:numPr>
        <w:spacing w:after="160" w:line="259" w:lineRule="auto"/>
        <w:ind w:left="2835" w:hanging="425"/>
        <w:jc w:val="both"/>
        <w:rPr>
          <w:rFonts w:ascii="Georgia" w:hAnsi="Georgia"/>
          <w:sz w:val="20"/>
          <w:szCs w:val="20"/>
          <w:lang w:val="en-GB"/>
        </w:rPr>
      </w:pPr>
      <w:r w:rsidRPr="0002056A">
        <w:rPr>
          <w:rFonts w:ascii="Georgia" w:hAnsi="Georgia"/>
          <w:sz w:val="20"/>
          <w:szCs w:val="20"/>
          <w:lang w:val="en-GB"/>
        </w:rPr>
        <w:t>Delta programme commissioner. The Delta Programme Commissioner is a government commissioner. The Delta Programme Commissioner serves as a liaison between the government, the provinces, water boards, and local authorities. He involves NGOs, knowledge institutes, and the business community in the programme, and monitors the cohesion between the various component parts of the Delta Programme.</w:t>
      </w:r>
    </w:p>
    <w:p w14:paraId="718CCC99" w14:textId="77777777" w:rsidR="00A710B5" w:rsidRPr="0002056A" w:rsidRDefault="00A710B5" w:rsidP="003A774F">
      <w:pPr>
        <w:pStyle w:val="Listaszerbekezds"/>
        <w:ind w:left="1701"/>
        <w:jc w:val="both"/>
        <w:rPr>
          <w:rFonts w:ascii="Georgia" w:hAnsi="Georgia" w:cs="Calibri"/>
          <w:sz w:val="20"/>
          <w:szCs w:val="20"/>
          <w:lang w:val="en-GB"/>
        </w:rPr>
      </w:pPr>
      <w:r w:rsidRPr="0002056A">
        <w:rPr>
          <w:rFonts w:ascii="Georgia" w:hAnsi="Georgia"/>
          <w:sz w:val="20"/>
          <w:szCs w:val="20"/>
          <w:lang w:val="en-GB"/>
        </w:rPr>
        <w:t xml:space="preserve">The Delta Programme Commissioner falls under the political responsibility of the Minister of Infrastructure and Water Management. </w:t>
      </w:r>
      <w:hyperlink r:id="rId243" w:history="1">
        <w:r w:rsidRPr="0002056A">
          <w:rPr>
            <w:lang w:val="en-GB"/>
          </w:rPr>
          <w:t>https://english.deltacommissaris.nl/delta-programme/question-and-answer</w:t>
        </w:r>
      </w:hyperlink>
      <w:r w:rsidRPr="0002056A">
        <w:rPr>
          <w:rFonts w:ascii="Georgia" w:hAnsi="Georgia"/>
          <w:sz w:val="20"/>
          <w:szCs w:val="20"/>
          <w:lang w:val="en-GB"/>
        </w:rPr>
        <w:t>.</w:t>
      </w:r>
    </w:p>
    <w:p w14:paraId="41920810" w14:textId="77777777" w:rsidR="00A710B5" w:rsidRPr="0002056A" w:rsidRDefault="00A710B5" w:rsidP="00A710B5">
      <w:pPr>
        <w:pStyle w:val="Listaszerbekezds"/>
        <w:numPr>
          <w:ilvl w:val="1"/>
          <w:numId w:val="12"/>
        </w:numPr>
        <w:jc w:val="both"/>
        <w:rPr>
          <w:rFonts w:ascii="Georgia" w:hAnsi="Georgia" w:cs="Calibri"/>
          <w:sz w:val="20"/>
          <w:szCs w:val="20"/>
          <w:lang w:val="en-GB"/>
        </w:rPr>
      </w:pPr>
      <w:r w:rsidRPr="0002056A">
        <w:rPr>
          <w:rFonts w:ascii="Georgia" w:hAnsi="Georgia" w:cs="Calibri"/>
          <w:sz w:val="20"/>
          <w:szCs w:val="20"/>
          <w:lang w:val="en-GB"/>
        </w:rPr>
        <w:t>Do you have sectoral strategic documents dealing directly with adaptation? (sectoral adaptation strategies, programs, action plans)?</w:t>
      </w:r>
    </w:p>
    <w:p w14:paraId="1A4C18AB" w14:textId="5BB08BE5" w:rsidR="00A710B5" w:rsidRDefault="00A710B5" w:rsidP="00A710B5">
      <w:pPr>
        <w:ind w:left="2127"/>
        <w:jc w:val="both"/>
        <w:rPr>
          <w:rFonts w:ascii="Georgia" w:hAnsi="Georgia" w:cs="Calibri"/>
          <w:sz w:val="20"/>
          <w:szCs w:val="20"/>
          <w:lang w:val="en-GB"/>
        </w:rPr>
      </w:pPr>
      <w:r w:rsidRPr="0002056A">
        <w:rPr>
          <w:rFonts w:ascii="Georgia" w:hAnsi="Georgia" w:cs="Calibri"/>
          <w:sz w:val="20"/>
          <w:szCs w:val="20"/>
          <w:lang w:val="en-GB"/>
        </w:rPr>
        <w:t xml:space="preserve">Sectoral adaptation is strong: There are some climate effects for which the relevant sectors are well prepared: their adaptation capacity is </w:t>
      </w:r>
      <w:r w:rsidR="006A6912" w:rsidRPr="0002056A">
        <w:rPr>
          <w:rFonts w:ascii="Georgia" w:hAnsi="Georgia" w:cs="Calibri"/>
          <w:sz w:val="20"/>
          <w:szCs w:val="20"/>
          <w:lang w:val="en-GB"/>
        </w:rPr>
        <w:t>high,</w:t>
      </w:r>
      <w:r w:rsidRPr="0002056A">
        <w:rPr>
          <w:rFonts w:ascii="Georgia" w:hAnsi="Georgia" w:cs="Calibri"/>
          <w:sz w:val="20"/>
          <w:szCs w:val="20"/>
          <w:lang w:val="en-GB"/>
        </w:rPr>
        <w:t xml:space="preserve"> and measures have been incorporated into policy and implementation programmes. For this reason, the NAS does not devote special attention to aspects such as water management and flood safety in the urban area. Several action programs are being put up under the NAS – partly based in the NAS implementation programme 2018-2019.</w:t>
      </w:r>
    </w:p>
    <w:p w14:paraId="09FDEA6B" w14:textId="77777777" w:rsidR="004A03DA" w:rsidRDefault="004A03DA" w:rsidP="00A710B5">
      <w:pPr>
        <w:ind w:left="2127"/>
        <w:jc w:val="both"/>
        <w:rPr>
          <w:rFonts w:ascii="Georgia" w:hAnsi="Georgia" w:cs="Calibri"/>
          <w:sz w:val="20"/>
          <w:szCs w:val="20"/>
          <w:lang w:val="en-GB"/>
        </w:rPr>
      </w:pPr>
    </w:p>
    <w:p w14:paraId="05151A67" w14:textId="77777777" w:rsidR="003A774F" w:rsidRPr="0002056A" w:rsidRDefault="003A774F" w:rsidP="00A710B5">
      <w:pPr>
        <w:ind w:left="2127"/>
        <w:jc w:val="both"/>
        <w:rPr>
          <w:rFonts w:ascii="Georgia" w:hAnsi="Georgia" w:cs="Calibri"/>
          <w:sz w:val="20"/>
          <w:szCs w:val="20"/>
          <w:lang w:val="en-GB"/>
        </w:rPr>
      </w:pPr>
    </w:p>
    <w:p w14:paraId="745B1D34"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lastRenderedPageBreak/>
        <w:t>Do you have a</w:t>
      </w:r>
      <w:r w:rsidRPr="0002056A">
        <w:rPr>
          <w:rFonts w:ascii="Georgia" w:eastAsia="Times New Roman" w:hAnsi="Georgia" w:cs="Calibri"/>
          <w:sz w:val="20"/>
          <w:szCs w:val="20"/>
          <w:lang w:val="en-GB" w:eastAsia="hu-HU"/>
        </w:rPr>
        <w:t xml:space="preserve"> functioning monitoring system in adaptation? </w:t>
      </w:r>
    </w:p>
    <w:p w14:paraId="667C3FDC" w14:textId="044D7ACA" w:rsidR="00A710B5" w:rsidRPr="0002056A" w:rsidRDefault="00A710B5" w:rsidP="00A710B5">
      <w:pPr>
        <w:ind w:left="1134" w:firstLine="142"/>
        <w:rPr>
          <w:rFonts w:ascii="Georgia" w:hAnsi="Georgia"/>
          <w:color w:val="000000" w:themeColor="text1"/>
          <w:sz w:val="20"/>
          <w:szCs w:val="20"/>
          <w:lang w:val="en-GB"/>
        </w:rPr>
      </w:pPr>
      <w:r w:rsidRPr="0002056A">
        <w:rPr>
          <w:rFonts w:ascii="Georgia" w:eastAsia="Times New Roman" w:hAnsi="Georgia" w:cs="Calibri"/>
          <w:sz w:val="20"/>
          <w:szCs w:val="20"/>
          <w:lang w:val="en-GB" w:eastAsia="hu-HU"/>
        </w:rPr>
        <w:t xml:space="preserve">Yes. </w:t>
      </w:r>
      <w:r w:rsidRPr="0002056A">
        <w:rPr>
          <w:rFonts w:ascii="Georgia" w:hAnsi="Georgia"/>
          <w:color w:val="000000" w:themeColor="text1"/>
          <w:sz w:val="20"/>
          <w:szCs w:val="20"/>
          <w:lang w:val="en-GB"/>
        </w:rPr>
        <w:t xml:space="preserve">Legally required and funded. More </w:t>
      </w:r>
      <w:r w:rsidR="006A6912" w:rsidRPr="0002056A">
        <w:rPr>
          <w:rFonts w:ascii="Georgia" w:hAnsi="Georgia"/>
          <w:color w:val="000000" w:themeColor="text1"/>
          <w:sz w:val="20"/>
          <w:szCs w:val="20"/>
          <w:lang w:val="en-GB"/>
        </w:rPr>
        <w:t>than</w:t>
      </w:r>
      <w:r w:rsidRPr="0002056A">
        <w:rPr>
          <w:rFonts w:ascii="Georgia" w:hAnsi="Georgia"/>
          <w:color w:val="000000" w:themeColor="text1"/>
          <w:sz w:val="20"/>
          <w:szCs w:val="20"/>
          <w:lang w:val="en-GB"/>
        </w:rPr>
        <w:t xml:space="preserve"> 95% of the national funding (with respect to climate adaptation) is spend on flood protection. </w:t>
      </w:r>
    </w:p>
    <w:p w14:paraId="5BDF7336"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so, do you actually monitor spatial changes in vulnerability and/or spatial differences in adaptation action’s effectiveness?</w:t>
      </w:r>
    </w:p>
    <w:p w14:paraId="2653C8F1" w14:textId="77777777" w:rsidR="00A710B5" w:rsidRPr="0002056A" w:rsidRDefault="00A710B5" w:rsidP="00A710B5">
      <w:pPr>
        <w:pStyle w:val="Listaszerbekezds"/>
        <w:ind w:left="1985"/>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The main objectives of national monitoring activities: a</w:t>
      </w:r>
      <w:r w:rsidRPr="0002056A">
        <w:rPr>
          <w:rFonts w:ascii="Georgia" w:hAnsi="Georgia"/>
          <w:sz w:val="20"/>
          <w:szCs w:val="20"/>
          <w:lang w:val="en-GB"/>
        </w:rPr>
        <w:t>ssessment of mitigation/adaptation activities’ effectiveness, accomplishment of objectives, assessing the quality of implementation, analysing cross-cutting development topics.</w:t>
      </w:r>
    </w:p>
    <w:p w14:paraId="775095B9" w14:textId="6935485F" w:rsidR="00A710B5" w:rsidRPr="0002056A" w:rsidRDefault="00A710B5" w:rsidP="00A710B5">
      <w:pPr>
        <w:pStyle w:val="Listaszerbekezds"/>
        <w:ind w:left="1985"/>
        <w:jc w:val="both"/>
        <w:rPr>
          <w:rFonts w:ascii="Georgia" w:hAnsi="Georgia"/>
          <w:sz w:val="20"/>
          <w:szCs w:val="20"/>
          <w:lang w:val="en-GB"/>
        </w:rPr>
      </w:pPr>
      <w:r w:rsidRPr="0002056A">
        <w:rPr>
          <w:rFonts w:ascii="Georgia" w:hAnsi="Georgia"/>
          <w:color w:val="000000" w:themeColor="text1"/>
          <w:sz w:val="20"/>
          <w:szCs w:val="20"/>
          <w:lang w:val="en-GB"/>
        </w:rPr>
        <w:t xml:space="preserve">There is a special monitoring progress for </w:t>
      </w:r>
      <w:r w:rsidR="007133D4" w:rsidRPr="0002056A">
        <w:rPr>
          <w:rFonts w:ascii="Georgia" w:hAnsi="Georgia"/>
          <w:color w:val="000000" w:themeColor="text1"/>
          <w:sz w:val="20"/>
          <w:szCs w:val="20"/>
          <w:lang w:val="en-GB"/>
        </w:rPr>
        <w:t>delta plans</w:t>
      </w:r>
      <w:r w:rsidRPr="0002056A">
        <w:rPr>
          <w:rFonts w:ascii="Georgia" w:hAnsi="Georgia"/>
          <w:color w:val="000000" w:themeColor="text1"/>
          <w:sz w:val="20"/>
          <w:szCs w:val="20"/>
          <w:lang w:val="en-GB"/>
        </w:rPr>
        <w:t>.</w:t>
      </w:r>
    </w:p>
    <w:p w14:paraId="698CC1AE" w14:textId="358436E7" w:rsidR="00A710B5" w:rsidRPr="0002056A" w:rsidRDefault="00A710B5" w:rsidP="00A710B5">
      <w:pPr>
        <w:pStyle w:val="Listaszerbekezds"/>
        <w:numPr>
          <w:ilvl w:val="0"/>
          <w:numId w:val="22"/>
        </w:numPr>
        <w:spacing w:after="160" w:line="259" w:lineRule="auto"/>
        <w:ind w:left="1985" w:firstLine="0"/>
        <w:jc w:val="both"/>
        <w:rPr>
          <w:rFonts w:ascii="Georgia" w:hAnsi="Georgia"/>
          <w:sz w:val="20"/>
          <w:szCs w:val="20"/>
          <w:lang w:val="en-GB"/>
        </w:rPr>
      </w:pPr>
      <w:r w:rsidRPr="0002056A">
        <w:rPr>
          <w:rFonts w:ascii="Georgia" w:hAnsi="Georgia"/>
          <w:sz w:val="20"/>
          <w:szCs w:val="20"/>
          <w:lang w:val="en-GB"/>
        </w:rPr>
        <w:t xml:space="preserve">The progress of actions (‘Deltaplans’) are published every year in the </w:t>
      </w:r>
      <w:r w:rsidR="007133D4" w:rsidRPr="0002056A">
        <w:rPr>
          <w:rFonts w:ascii="Georgia" w:hAnsi="Georgia"/>
          <w:sz w:val="20"/>
          <w:szCs w:val="20"/>
          <w:lang w:val="en-GB"/>
        </w:rPr>
        <w:t>Delta programme</w:t>
      </w:r>
      <w:r w:rsidRPr="0002056A">
        <w:rPr>
          <w:rFonts w:ascii="Georgia" w:hAnsi="Georgia"/>
          <w:sz w:val="20"/>
          <w:szCs w:val="20"/>
          <w:lang w:val="en-GB"/>
        </w:rPr>
        <w:t xml:space="preserve"> publication. </w:t>
      </w:r>
      <w:hyperlink r:id="rId244" w:history="1">
        <w:r w:rsidRPr="0002056A">
          <w:rPr>
            <w:rStyle w:val="Hiperhivatkozs"/>
            <w:rFonts w:ascii="Georgia" w:hAnsi="Georgia"/>
            <w:sz w:val="20"/>
            <w:szCs w:val="20"/>
            <w:lang w:val="en-GB"/>
          </w:rPr>
          <w:t>https://english.deltacommissaris.nl/delta-programme/delta-programme-2020</w:t>
        </w:r>
      </w:hyperlink>
    </w:p>
    <w:p w14:paraId="57EF2A91" w14:textId="77777777" w:rsidR="00A710B5" w:rsidRPr="0002056A" w:rsidRDefault="00A710B5" w:rsidP="00A710B5">
      <w:pPr>
        <w:pStyle w:val="Listaszerbekezds"/>
        <w:numPr>
          <w:ilvl w:val="0"/>
          <w:numId w:val="22"/>
        </w:numPr>
        <w:spacing w:after="160" w:line="259" w:lineRule="auto"/>
        <w:ind w:left="1985"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Progress of flood protection measures is annually reported </w:t>
      </w:r>
      <w:bookmarkStart w:id="88" w:name="_Hlk51246639"/>
      <w:r w:rsidRPr="0002056A">
        <w:rPr>
          <w:rFonts w:ascii="Georgia" w:hAnsi="Georgia"/>
          <w:color w:val="000000" w:themeColor="text1"/>
          <w:sz w:val="20"/>
          <w:szCs w:val="20"/>
          <w:lang w:val="en-GB"/>
        </w:rPr>
        <w:t xml:space="preserve">by the Flood Protection Programma (HWBP Hoogwaterbeschermingsprogramma). </w:t>
      </w:r>
      <w:bookmarkEnd w:id="88"/>
      <w:r w:rsidRPr="0002056A">
        <w:rPr>
          <w:rFonts w:ascii="Georgia" w:hAnsi="Georgia"/>
          <w:color w:val="000000" w:themeColor="text1"/>
          <w:sz w:val="20"/>
          <w:szCs w:val="20"/>
          <w:lang w:val="en-GB"/>
        </w:rPr>
        <w:t>Once in 12 year there is an evaluation by the Human Environment and Transport Inspectorate of the Ministry of Infrastructure and Water Management.</w:t>
      </w:r>
    </w:p>
    <w:p w14:paraId="0D40EE45" w14:textId="5CA527DC" w:rsidR="00A710B5" w:rsidRPr="0002056A" w:rsidRDefault="00A710B5" w:rsidP="00A710B5">
      <w:pPr>
        <w:pStyle w:val="Listaszerbekezds"/>
        <w:numPr>
          <w:ilvl w:val="0"/>
          <w:numId w:val="22"/>
        </w:numPr>
        <w:spacing w:after="160" w:line="259" w:lineRule="auto"/>
        <w:ind w:left="1985"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Fresh </w:t>
      </w:r>
      <w:r w:rsidR="007133D4" w:rsidRPr="0002056A">
        <w:rPr>
          <w:rFonts w:ascii="Georgia" w:hAnsi="Georgia"/>
          <w:color w:val="000000" w:themeColor="text1"/>
          <w:sz w:val="20"/>
          <w:szCs w:val="20"/>
          <w:lang w:val="en-GB"/>
        </w:rPr>
        <w:t>water supply</w:t>
      </w:r>
      <w:r w:rsidRPr="0002056A">
        <w:rPr>
          <w:rFonts w:ascii="Georgia" w:hAnsi="Georgia"/>
          <w:color w:val="000000" w:themeColor="text1"/>
          <w:sz w:val="20"/>
          <w:szCs w:val="20"/>
          <w:lang w:val="en-GB"/>
        </w:rPr>
        <w:t xml:space="preserve"> (of the main water system) is monitored by Rijkswaterstaat. https://www.rijkswaterstaat.nl/english/water/index.aspx</w:t>
      </w:r>
    </w:p>
    <w:p w14:paraId="0F018EA2" w14:textId="77777777" w:rsidR="00A710B5" w:rsidRPr="0002056A" w:rsidRDefault="00A710B5" w:rsidP="00A710B5">
      <w:pPr>
        <w:pStyle w:val="Listaszerbekezds"/>
        <w:numPr>
          <w:ilvl w:val="0"/>
          <w:numId w:val="22"/>
        </w:numPr>
        <w:spacing w:after="160" w:line="259" w:lineRule="auto"/>
        <w:ind w:left="1985"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Progress of other climate adaptation items are reported on ad hoc basis. PBL is working on monitoring system with output and outcome indicators. </w:t>
      </w:r>
    </w:p>
    <w:p w14:paraId="49C98DDB" w14:textId="0BFF49DC" w:rsidR="00A710B5" w:rsidRPr="0002056A" w:rsidRDefault="00A710B5" w:rsidP="00A710B5">
      <w:pPr>
        <w:pStyle w:val="Listaszerbekezds"/>
        <w:numPr>
          <w:ilvl w:val="0"/>
          <w:numId w:val="22"/>
        </w:numPr>
        <w:spacing w:after="160" w:line="259" w:lineRule="auto"/>
        <w:ind w:left="1985" w:firstLine="0"/>
        <w:jc w:val="both"/>
        <w:rPr>
          <w:rFonts w:ascii="Georgia" w:hAnsi="Georgia"/>
          <w:color w:val="000000" w:themeColor="text1"/>
          <w:sz w:val="20"/>
          <w:szCs w:val="20"/>
          <w:lang w:val="en-GB"/>
        </w:rPr>
      </w:pPr>
      <w:r w:rsidRPr="0002056A">
        <w:rPr>
          <w:rFonts w:ascii="Georgia" w:hAnsi="Georgia"/>
          <w:color w:val="000000" w:themeColor="text1"/>
          <w:sz w:val="20"/>
          <w:szCs w:val="20"/>
          <w:lang w:val="en-GB"/>
        </w:rPr>
        <w:t xml:space="preserve">Main findings of the progress (flood protection </w:t>
      </w:r>
      <w:r w:rsidR="006A6912" w:rsidRPr="0002056A">
        <w:rPr>
          <w:rFonts w:ascii="Georgia" w:hAnsi="Georgia"/>
          <w:color w:val="000000" w:themeColor="text1"/>
          <w:sz w:val="20"/>
          <w:szCs w:val="20"/>
          <w:lang w:val="en-GB"/>
        </w:rPr>
        <w:t>and fresh</w:t>
      </w:r>
      <w:r w:rsidRPr="0002056A">
        <w:rPr>
          <w:rFonts w:ascii="Georgia" w:hAnsi="Georgia"/>
          <w:color w:val="000000" w:themeColor="text1"/>
          <w:sz w:val="20"/>
          <w:szCs w:val="20"/>
          <w:lang w:val="en-GB"/>
        </w:rPr>
        <w:t xml:space="preserve"> water supply) </w:t>
      </w:r>
      <w:r w:rsidR="006A6912" w:rsidRPr="0002056A">
        <w:rPr>
          <w:rFonts w:ascii="Georgia" w:hAnsi="Georgia"/>
          <w:color w:val="000000" w:themeColor="text1"/>
          <w:sz w:val="20"/>
          <w:szCs w:val="20"/>
          <w:lang w:val="en-GB"/>
        </w:rPr>
        <w:t>are</w:t>
      </w:r>
      <w:r w:rsidRPr="0002056A">
        <w:rPr>
          <w:rFonts w:ascii="Georgia" w:hAnsi="Georgia"/>
          <w:color w:val="000000" w:themeColor="text1"/>
          <w:sz w:val="20"/>
          <w:szCs w:val="20"/>
          <w:lang w:val="en-GB"/>
        </w:rPr>
        <w:t xml:space="preserve"> annually reported in the Delta programme. </w:t>
      </w:r>
    </w:p>
    <w:p w14:paraId="5453DC74"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there a plan to implement / develop such a system?</w:t>
      </w:r>
    </w:p>
    <w:p w14:paraId="303D3C70" w14:textId="77777777" w:rsidR="00A710B5" w:rsidRPr="0002056A" w:rsidRDefault="00A710B5" w:rsidP="00A710B5">
      <w:pPr>
        <w:pStyle w:val="Listaszerbekezds"/>
        <w:ind w:firstLine="112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3844568D" w14:textId="77777777" w:rsidR="00A710B5" w:rsidRPr="0002056A" w:rsidRDefault="00A710B5" w:rsidP="00A710B5">
      <w:pPr>
        <w:pStyle w:val="Listaszerbekezds"/>
        <w:numPr>
          <w:ilvl w:val="0"/>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 xml:space="preserve">Do you have applied indicator sets in adaptation? </w:t>
      </w:r>
    </w:p>
    <w:p w14:paraId="30B92C1A" w14:textId="77777777" w:rsidR="00A710B5" w:rsidRPr="0002056A" w:rsidRDefault="00A710B5" w:rsidP="00A710B5">
      <w:pPr>
        <w:ind w:left="360" w:firstLine="1058"/>
        <w:jc w:val="both"/>
        <w:rPr>
          <w:rFonts w:ascii="Georgia" w:hAnsi="Georgia" w:cs="Calibri"/>
          <w:sz w:val="20"/>
          <w:szCs w:val="20"/>
          <w:lang w:val="en-GB"/>
        </w:rPr>
      </w:pPr>
      <w:r w:rsidRPr="0002056A">
        <w:rPr>
          <w:rFonts w:ascii="Georgia" w:hAnsi="Georgia" w:cs="Calibri"/>
          <w:sz w:val="20"/>
          <w:szCs w:val="20"/>
          <w:lang w:val="en-GB"/>
        </w:rPr>
        <w:t>In progress.</w:t>
      </w:r>
    </w:p>
    <w:p w14:paraId="4ADDA2DB"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yes, who collect (and process and make available) these indicators?</w:t>
      </w:r>
    </w:p>
    <w:p w14:paraId="33BD9B5A" w14:textId="77777777" w:rsidR="00A710B5" w:rsidRPr="0002056A" w:rsidRDefault="00A710B5" w:rsidP="00A710B5">
      <w:pPr>
        <w:ind w:firstLine="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BFDA5D6" w14:textId="77777777" w:rsidR="00A710B5" w:rsidRPr="0002056A" w:rsidRDefault="00A710B5" w:rsidP="00A710B5">
      <w:pPr>
        <w:pStyle w:val="Listaszerbekezds"/>
        <w:numPr>
          <w:ilvl w:val="2"/>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these indicators collected from all spatial levels? Does your monitoring system do any spatial aggregation of indices?</w:t>
      </w:r>
    </w:p>
    <w:p w14:paraId="1CCFC9ED" w14:textId="77777777" w:rsidR="00A710B5" w:rsidRPr="0002056A" w:rsidRDefault="00A710B5" w:rsidP="00A710B5">
      <w:pPr>
        <w:pStyle w:val="Listaszerbekezds"/>
        <w:ind w:left="2410"/>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In progress. Among other things, the </w:t>
      </w:r>
      <w:r w:rsidRPr="0002056A">
        <w:rPr>
          <w:rFonts w:ascii="Georgia" w:hAnsi="Georgia"/>
          <w:color w:val="000000" w:themeColor="text1"/>
          <w:sz w:val="20"/>
          <w:szCs w:val="20"/>
          <w:lang w:val="en-GB"/>
        </w:rPr>
        <w:t xml:space="preserve">annual publication of the progress of the Delta programme is used for reporting to parliament. </w:t>
      </w:r>
    </w:p>
    <w:p w14:paraId="6A825200"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hAnsi="Georgia" w:cs="Calibri"/>
          <w:sz w:val="20"/>
          <w:szCs w:val="20"/>
          <w:lang w:val="en-GB"/>
        </w:rPr>
        <w:t>If yes, what do they measure</w:t>
      </w:r>
      <w:r w:rsidRPr="0002056A">
        <w:rPr>
          <w:rFonts w:ascii="Georgia" w:eastAsia="Times New Roman" w:hAnsi="Georgia" w:cs="Calibri"/>
          <w:sz w:val="20"/>
          <w:szCs w:val="20"/>
          <w:lang w:val="en-GB" w:eastAsia="hu-HU"/>
        </w:rPr>
        <w:t>? (e.g.: Changes in climatic factors? Spatial vulnerability? Policy effectiveness?)</w:t>
      </w:r>
    </w:p>
    <w:p w14:paraId="2490C017" w14:textId="77777777" w:rsidR="00A710B5" w:rsidRPr="0002056A" w:rsidRDefault="00A710B5" w:rsidP="00A710B5">
      <w:pPr>
        <w:pStyle w:val="Listaszerbekezds"/>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In progress.</w:t>
      </w:r>
    </w:p>
    <w:p w14:paraId="6025F005"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kind of indicators do you use? (impact, outcome, output, financial, performance, etc.)? </w:t>
      </w:r>
    </w:p>
    <w:p w14:paraId="2A75DC77" w14:textId="1B8D6032" w:rsidR="00A710B5" w:rsidRPr="0002056A" w:rsidRDefault="00A710B5" w:rsidP="00A710B5">
      <w:pPr>
        <w:pStyle w:val="Listaszerbekezds"/>
        <w:ind w:left="184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In </w:t>
      </w:r>
      <w:r w:rsidR="006A6912" w:rsidRPr="0002056A">
        <w:rPr>
          <w:rFonts w:ascii="Georgia" w:eastAsia="Times New Roman" w:hAnsi="Georgia" w:cs="Calibri"/>
          <w:sz w:val="20"/>
          <w:szCs w:val="20"/>
          <w:lang w:val="en-GB" w:eastAsia="hu-HU"/>
        </w:rPr>
        <w:t>progress.</w:t>
      </w:r>
    </w:p>
    <w:p w14:paraId="0697833F" w14:textId="77777777" w:rsidR="00A710B5" w:rsidRPr="0002056A" w:rsidRDefault="00A710B5" w:rsidP="00A710B5">
      <w:pPr>
        <w:pStyle w:val="Listaszerbekezds"/>
        <w:numPr>
          <w:ilvl w:val="0"/>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any climate adaptation related evaluations in your country? </w:t>
      </w:r>
    </w:p>
    <w:p w14:paraId="7D92BC55" w14:textId="77777777" w:rsidR="00A710B5" w:rsidRPr="0002056A" w:rsidRDefault="00A710B5" w:rsidP="00A710B5">
      <w:pPr>
        <w:ind w:left="993"/>
        <w:rPr>
          <w:rFonts w:ascii="Georgia" w:hAnsi="Georgia"/>
          <w:sz w:val="20"/>
          <w:szCs w:val="20"/>
          <w:lang w:val="en-GB"/>
        </w:rPr>
      </w:pPr>
      <w:r w:rsidRPr="0002056A">
        <w:rPr>
          <w:rFonts w:ascii="Georgia" w:hAnsi="Georgia"/>
          <w:sz w:val="20"/>
          <w:szCs w:val="20"/>
          <w:lang w:val="en-GB"/>
        </w:rPr>
        <w:t>For adaptation, PBL was asked to develop a framework for the monitoring and evaluation of the Delta Programme:</w:t>
      </w:r>
    </w:p>
    <w:p w14:paraId="01500EC8" w14:textId="77777777" w:rsidR="00A710B5" w:rsidRPr="0002056A" w:rsidRDefault="00A710B5" w:rsidP="00A710B5">
      <w:pPr>
        <w:pStyle w:val="Listaszerbekezds"/>
        <w:numPr>
          <w:ilvl w:val="1"/>
          <w:numId w:val="12"/>
        </w:numPr>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If not, is it planned to elaborate such documents?</w:t>
      </w:r>
    </w:p>
    <w:p w14:paraId="7753B28B" w14:textId="77777777" w:rsidR="00A710B5" w:rsidRPr="0002056A" w:rsidRDefault="00A710B5" w:rsidP="00A710B5">
      <w:pPr>
        <w:pStyle w:val="Listaszerbekezds"/>
        <w:spacing w:before="120" w:afterLines="120" w:after="288" w:line="240" w:lineRule="auto"/>
        <w:ind w:left="1440" w:firstLine="403"/>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60F57EE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If so, </w:t>
      </w:r>
    </w:p>
    <w:p w14:paraId="451315DA"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are there among them explicitly (in some cases even in their title) geographically/spatially oriented evaluation products, rich in territorial chapters, analytical aspects, evaluation questions? </w:t>
      </w:r>
    </w:p>
    <w:p w14:paraId="107F57C9" w14:textId="2470DF3F" w:rsidR="00A710B5" w:rsidRPr="0002056A" w:rsidRDefault="00A710B5" w:rsidP="00E24EFB">
      <w:pPr>
        <w:ind w:left="2410"/>
        <w:jc w:val="both"/>
        <w:rPr>
          <w:rFonts w:ascii="Georgia" w:hAnsi="Georgia"/>
          <w:bCs/>
          <w:sz w:val="20"/>
          <w:szCs w:val="20"/>
          <w:lang w:val="en-GB"/>
        </w:rPr>
      </w:pPr>
      <w:r w:rsidRPr="0002056A">
        <w:rPr>
          <w:rFonts w:ascii="Georgia" w:hAnsi="Georgia"/>
          <w:bCs/>
          <w:sz w:val="20"/>
          <w:szCs w:val="20"/>
          <w:lang w:val="en-GB"/>
        </w:rPr>
        <w:lastRenderedPageBreak/>
        <w:t>A mention must be made abo the document “Keeping track of adaptation in the Dutch delta (2016)”. The Delta Programme is a nation-wide initiative with a complex network structure involving many parties, such as provincial authorities, municipalities, district water boards, social organisations and private stakeholders. Together, they form the delta community. In line with the characteristics of the Delta Programme and at the request of the Delta Programme Commissioner, PBL’s design for a monitoring and evaluation framework is based on a reflexive approach, in combination with the challenges related to adaptation. The report presents concrete recommendations for the set-up of a monitoring and evaluation system, with respect to:</w:t>
      </w:r>
      <w:r w:rsidR="00E24EFB">
        <w:rPr>
          <w:rFonts w:ascii="Georgia" w:hAnsi="Georgia"/>
          <w:bCs/>
          <w:sz w:val="20"/>
          <w:szCs w:val="20"/>
          <w:lang w:val="en-GB"/>
        </w:rPr>
        <w:t xml:space="preserve"> 1) </w:t>
      </w:r>
      <w:r w:rsidRPr="0002056A">
        <w:rPr>
          <w:rFonts w:ascii="Georgia" w:hAnsi="Georgia"/>
          <w:bCs/>
          <w:sz w:val="20"/>
          <w:szCs w:val="20"/>
          <w:lang w:val="en-GB"/>
        </w:rPr>
        <w:t>Increasing the Delta Programme's capacity for systemic learning</w:t>
      </w:r>
      <w:r w:rsidR="00E24EFB">
        <w:rPr>
          <w:rFonts w:ascii="Georgia" w:hAnsi="Georgia"/>
          <w:bCs/>
          <w:sz w:val="20"/>
          <w:szCs w:val="20"/>
          <w:lang w:val="en-GB"/>
        </w:rPr>
        <w:t xml:space="preserve">; 2) </w:t>
      </w:r>
      <w:r w:rsidRPr="0002056A">
        <w:rPr>
          <w:rFonts w:ascii="Georgia" w:hAnsi="Georgia"/>
          <w:bCs/>
          <w:sz w:val="20"/>
          <w:szCs w:val="20"/>
          <w:lang w:val="en-GB"/>
        </w:rPr>
        <w:t>Integrating adaptive management</w:t>
      </w:r>
      <w:r w:rsidR="00E24EFB">
        <w:rPr>
          <w:rFonts w:ascii="Georgia" w:hAnsi="Georgia"/>
          <w:bCs/>
          <w:sz w:val="20"/>
          <w:szCs w:val="20"/>
          <w:lang w:val="en-GB"/>
        </w:rPr>
        <w:t xml:space="preserve">; 3) </w:t>
      </w:r>
      <w:r w:rsidRPr="0002056A">
        <w:rPr>
          <w:rFonts w:ascii="Georgia" w:hAnsi="Georgia"/>
          <w:bCs/>
          <w:sz w:val="20"/>
          <w:szCs w:val="20"/>
          <w:lang w:val="en-GB"/>
        </w:rPr>
        <w:t>Creating a basis for shared accountability</w:t>
      </w:r>
      <w:r w:rsidR="00E24EFB">
        <w:rPr>
          <w:rFonts w:ascii="Georgia" w:hAnsi="Georgia"/>
          <w:bCs/>
          <w:sz w:val="20"/>
          <w:szCs w:val="20"/>
          <w:lang w:val="en-GB"/>
        </w:rPr>
        <w:t xml:space="preserve">; 4) </w:t>
      </w:r>
      <w:r w:rsidRPr="0002056A">
        <w:rPr>
          <w:rFonts w:ascii="Georgia" w:hAnsi="Georgia"/>
          <w:bCs/>
          <w:sz w:val="20"/>
          <w:szCs w:val="20"/>
          <w:lang w:val="en-GB"/>
        </w:rPr>
        <w:t>Creating a basis for trust and transparency</w:t>
      </w:r>
      <w:r w:rsidR="00E24EFB">
        <w:rPr>
          <w:rFonts w:ascii="Georgia" w:hAnsi="Georgia"/>
          <w:bCs/>
          <w:sz w:val="20"/>
          <w:szCs w:val="20"/>
          <w:lang w:val="en-GB"/>
        </w:rPr>
        <w:t>.</w:t>
      </w:r>
    </w:p>
    <w:p w14:paraId="00576DA6" w14:textId="77777777" w:rsidR="00A710B5" w:rsidRPr="0002056A" w:rsidRDefault="00A710B5" w:rsidP="00A710B5">
      <w:pPr>
        <w:ind w:left="2410"/>
        <w:rPr>
          <w:rFonts w:ascii="Georgia" w:eastAsia="Times New Roman" w:hAnsi="Georgia" w:cs="Calibri"/>
          <w:bCs/>
          <w:sz w:val="20"/>
          <w:szCs w:val="20"/>
          <w:lang w:val="en-GB" w:eastAsia="hu-HU"/>
        </w:rPr>
      </w:pPr>
      <w:hyperlink r:id="rId245" w:history="1">
        <w:r w:rsidRPr="0002056A">
          <w:rPr>
            <w:rStyle w:val="Hiperhivatkozs"/>
            <w:rFonts w:ascii="Georgia" w:hAnsi="Georgia"/>
            <w:bCs/>
            <w:sz w:val="20"/>
            <w:szCs w:val="20"/>
            <w:lang w:val="en-GB"/>
          </w:rPr>
          <w:t>https://www.pbl.nl/en/publications/keeping-track-of-adaptation-in-the-dutch-delta</w:t>
        </w:r>
      </w:hyperlink>
      <w:r w:rsidRPr="0002056A">
        <w:rPr>
          <w:rFonts w:ascii="Georgia" w:eastAsia="Times New Roman" w:hAnsi="Georgia" w:cs="Calibri"/>
          <w:bCs/>
          <w:sz w:val="20"/>
          <w:szCs w:val="20"/>
          <w:lang w:val="en-GB" w:eastAsia="hu-HU"/>
        </w:rPr>
        <w:t>.</w:t>
      </w:r>
    </w:p>
    <w:p w14:paraId="3516328D"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are there large number of adaptation evaluation products, established system but with minor or no territorial content? </w:t>
      </w:r>
    </w:p>
    <w:p w14:paraId="2F9E1C5F" w14:textId="77777777" w:rsidR="00A710B5" w:rsidRPr="0002056A" w:rsidRDefault="00A710B5" w:rsidP="00E24EFB">
      <w:pPr>
        <w:spacing w:after="0"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FB345DF"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Or only sectoral /thematic/general evaluations exist? </w:t>
      </w:r>
    </w:p>
    <w:p w14:paraId="7B8C6249" w14:textId="77777777" w:rsidR="00A710B5" w:rsidRPr="0002056A" w:rsidRDefault="00A710B5" w:rsidP="00E24EFB">
      <w:pPr>
        <w:spacing w:after="0"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53A38866"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NAS/NAP aims to set up an evaluation system or elaboration of products, but no such products are in practice yet.</w:t>
      </w:r>
    </w:p>
    <w:p w14:paraId="43B490E3" w14:textId="77777777" w:rsidR="00A710B5" w:rsidRPr="0002056A" w:rsidRDefault="00A710B5" w:rsidP="00E24EFB">
      <w:pPr>
        <w:spacing w:after="0" w:line="240" w:lineRule="auto"/>
        <w:ind w:firstLine="241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w:t>
      </w:r>
    </w:p>
    <w:p w14:paraId="01273A85"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 xml:space="preserve">What are the spatial levels of evaluations? </w:t>
      </w:r>
    </w:p>
    <w:p w14:paraId="58FCC2ED" w14:textId="77777777" w:rsidR="00A710B5" w:rsidRPr="0002056A" w:rsidRDefault="00A710B5" w:rsidP="00A710B5">
      <w:pPr>
        <w:pStyle w:val="Listaszerbekezds"/>
        <w:numPr>
          <w:ilvl w:val="2"/>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Are there only national level evaluations, or even regional/local ones, too (does explicitly territorially oriented evaluation reports in adaptation at subnational and local levels emerge)?</w:t>
      </w:r>
    </w:p>
    <w:p w14:paraId="73CEEA4B"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63FF2FA3"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The Delta programme and its evaluations are themselves the manifestation of spatially focussed evaluation.</w:t>
      </w:r>
    </w:p>
    <w:p w14:paraId="4FD36BBC" w14:textId="77777777" w:rsidR="00A710B5" w:rsidRPr="0002056A" w:rsidRDefault="00A710B5" w:rsidP="00A710B5">
      <w:pPr>
        <w:pStyle w:val="Listaszerbekezds"/>
        <w:spacing w:before="120" w:afterLines="120" w:after="288" w:line="240" w:lineRule="auto"/>
        <w:ind w:left="2160"/>
        <w:jc w:val="both"/>
        <w:rPr>
          <w:rFonts w:ascii="Georgia" w:eastAsia="Times New Roman" w:hAnsi="Georgia" w:cs="Calibri"/>
          <w:sz w:val="20"/>
          <w:szCs w:val="20"/>
          <w:lang w:val="en-GB" w:eastAsia="hu-HU"/>
        </w:rPr>
      </w:pPr>
    </w:p>
    <w:p w14:paraId="7CD8FE3C" w14:textId="77777777" w:rsidR="00A710B5" w:rsidRPr="0002056A" w:rsidRDefault="00A710B5" w:rsidP="00A710B5">
      <w:pPr>
        <w:pStyle w:val="Listaszerbekezds"/>
        <w:numPr>
          <w:ilvl w:val="1"/>
          <w:numId w:val="12"/>
        </w:numPr>
        <w:spacing w:before="120" w:afterLines="120" w:after="288" w:line="240" w:lineRule="auto"/>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Does spatial visualization (graphic solutions to present territorial differences, characteristics) emerge in adaptation evaluations and reports?</w:t>
      </w:r>
    </w:p>
    <w:p w14:paraId="2B9E3610" w14:textId="77777777" w:rsidR="00A710B5" w:rsidRPr="0002056A" w:rsidRDefault="00A710B5" w:rsidP="00A710B5">
      <w:pPr>
        <w:tabs>
          <w:tab w:val="left" w:pos="3600"/>
        </w:tabs>
        <w:spacing w:before="120" w:afterLines="120" w:after="288" w:line="240" w:lineRule="auto"/>
        <w:ind w:firstLine="1701"/>
        <w:jc w:val="both"/>
        <w:rPr>
          <w:rFonts w:ascii="Georgia" w:eastAsia="Times New Roman" w:hAnsi="Georgia" w:cs="Calibri"/>
          <w:sz w:val="20"/>
          <w:szCs w:val="20"/>
          <w:lang w:val="en-GB" w:eastAsia="hu-HU"/>
        </w:rPr>
      </w:pPr>
      <w:r w:rsidRPr="0002056A">
        <w:rPr>
          <w:rFonts w:ascii="Georgia" w:eastAsia="Times New Roman" w:hAnsi="Georgia" w:cs="Calibri"/>
          <w:sz w:val="20"/>
          <w:szCs w:val="20"/>
          <w:lang w:val="en-GB" w:eastAsia="hu-HU"/>
        </w:rPr>
        <w:t>Not really.</w:t>
      </w:r>
    </w:p>
    <w:p w14:paraId="6F8CDDCC" w14:textId="77777777" w:rsidR="00A710B5" w:rsidRPr="0002056A" w:rsidRDefault="00A710B5" w:rsidP="00A710B5">
      <w:pPr>
        <w:pStyle w:val="Listaszerbekezds"/>
        <w:numPr>
          <w:ilvl w:val="0"/>
          <w:numId w:val="12"/>
        </w:numPr>
        <w:jc w:val="both"/>
        <w:rPr>
          <w:rFonts w:ascii="Georgia" w:hAnsi="Georgia" w:cs="Calibri"/>
          <w:sz w:val="20"/>
          <w:szCs w:val="20"/>
          <w:lang w:val="en-GB"/>
        </w:rPr>
      </w:pPr>
      <w:r w:rsidRPr="0002056A">
        <w:rPr>
          <w:rFonts w:ascii="Georgia" w:hAnsi="Georgia" w:cs="Calibri"/>
          <w:sz w:val="20"/>
          <w:szCs w:val="20"/>
          <w:lang w:val="en-GB"/>
        </w:rPr>
        <w:t>Can you mention any good practice in your country from national or regional level about planning/monitoring/evaluation practices in adaptation that takes into consideration spatial issues significantly?</w:t>
      </w:r>
    </w:p>
    <w:p w14:paraId="0A25E116" w14:textId="46FA34B8" w:rsidR="00A710B5" w:rsidRPr="0002056A" w:rsidRDefault="00A710B5" w:rsidP="00A710B5">
      <w:pPr>
        <w:ind w:left="993"/>
        <w:jc w:val="both"/>
        <w:rPr>
          <w:rFonts w:ascii="Georgia" w:hAnsi="Georgia"/>
          <w:sz w:val="20"/>
          <w:szCs w:val="20"/>
          <w:lang w:val="en-GB"/>
        </w:rPr>
      </w:pPr>
      <w:r w:rsidRPr="0002056A">
        <w:rPr>
          <w:rFonts w:ascii="Georgia" w:hAnsi="Georgia"/>
          <w:sz w:val="20"/>
          <w:szCs w:val="20"/>
          <w:lang w:val="en-GB"/>
        </w:rPr>
        <w:t xml:space="preserve">The difficulty with adaptation on local level (municipalities) is that they are many and there is no strict format for reporting progress on climate adaptation. </w:t>
      </w:r>
      <w:r w:rsidR="006A6912" w:rsidRPr="0002056A">
        <w:rPr>
          <w:rFonts w:ascii="Georgia" w:hAnsi="Georgia"/>
          <w:sz w:val="20"/>
          <w:szCs w:val="20"/>
          <w:lang w:val="en-GB"/>
        </w:rPr>
        <w:t>So,</w:t>
      </w:r>
      <w:r w:rsidRPr="0002056A">
        <w:rPr>
          <w:rFonts w:ascii="Georgia" w:hAnsi="Georgia"/>
          <w:sz w:val="20"/>
          <w:szCs w:val="20"/>
          <w:lang w:val="en-GB"/>
        </w:rPr>
        <w:t xml:space="preserve"> it is difficult to monitor progress.</w:t>
      </w:r>
    </w:p>
    <w:p w14:paraId="7F389403" w14:textId="0E9782C3" w:rsidR="00A710B5" w:rsidRPr="0002056A" w:rsidRDefault="00A710B5" w:rsidP="00E24EFB">
      <w:pPr>
        <w:ind w:left="993"/>
        <w:jc w:val="both"/>
        <w:rPr>
          <w:kern w:val="2"/>
          <w:lang w:val="en-GB"/>
          <w14:ligatures w14:val="standardContextual"/>
        </w:rPr>
      </w:pPr>
      <w:r w:rsidRPr="0002056A">
        <w:rPr>
          <w:rFonts w:ascii="Georgia" w:hAnsi="Georgia"/>
          <w:sz w:val="20"/>
          <w:szCs w:val="20"/>
          <w:lang w:val="en-GB"/>
        </w:rPr>
        <w:t>Municipalities are stimulated to engage with climate adaptation (to make a ‘stress test’ to find out adaptation bottle necks and to develop an adaptation plan) but small municipalities sometimes fail because lack of capacity (or other priorities). Municipalities have no budget for climate adaptation, problems have to be solved with existing budgets (for sewer, green maintenance etc.).</w:t>
      </w:r>
    </w:p>
    <w:sectPr w:rsidR="00A710B5" w:rsidRPr="0002056A" w:rsidSect="001470D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B70B0A" w14:textId="77777777" w:rsidR="003945C1" w:rsidRDefault="003945C1" w:rsidP="00B63D5E">
      <w:pPr>
        <w:spacing w:after="0" w:line="240" w:lineRule="auto"/>
      </w:pPr>
      <w:r>
        <w:separator/>
      </w:r>
    </w:p>
  </w:endnote>
  <w:endnote w:type="continuationSeparator" w:id="0">
    <w:p w14:paraId="18233102" w14:textId="77777777" w:rsidR="003945C1" w:rsidRDefault="003945C1" w:rsidP="00B63D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Baskerville">
    <w:altName w:val="Times New Roman"/>
    <w:panose1 w:val="00000000000000000000"/>
    <w:charset w:val="00"/>
    <w:family w:val="roman"/>
    <w:notTrueType/>
    <w:pitch w:val="default"/>
    <w:sig w:usb0="00000003" w:usb1="00000000" w:usb2="00000000" w:usb3="00000000" w:csb0="00000001" w:csb1="00000000"/>
  </w:font>
  <w:font w:name="FrutigerLTPro-BoldCn">
    <w:altName w:val="Calibri"/>
    <w:panose1 w:val="00000000000000000000"/>
    <w:charset w:val="EE"/>
    <w:family w:val="swiss"/>
    <w:notTrueType/>
    <w:pitch w:val="default"/>
    <w:sig w:usb0="00000005" w:usb1="00000000" w:usb2="00000000" w:usb3="00000000" w:csb0="00000002" w:csb1="00000000"/>
  </w:font>
  <w:font w:name="FrutigerLTPro-Condensed">
    <w:altName w:val="Calibri"/>
    <w:panose1 w:val="00000000000000000000"/>
    <w:charset w:val="EE"/>
    <w:family w:val="swiss"/>
    <w:notTrueType/>
    <w:pitch w:val="default"/>
    <w:sig w:usb0="00000005" w:usb1="00000000" w:usb2="00000000" w:usb3="00000000" w:csb0="00000002" w:csb1="00000000"/>
  </w:font>
  <w:font w:name="STIX-Regular">
    <w:altName w:val="Times New Roman"/>
    <w:panose1 w:val="00000000000000000000"/>
    <w:charset w:val="A1"/>
    <w:family w:val="roman"/>
    <w:notTrueType/>
    <w:pitch w:val="default"/>
    <w:sig w:usb0="00000081" w:usb1="00000000" w:usb2="00000000" w:usb3="00000000" w:csb0="00000008" w:csb1="00000000"/>
  </w:font>
  <w:font w:name="GrotesqueMTStd">
    <w:altName w:val="Calibri"/>
    <w:panose1 w:val="00000000000000000000"/>
    <w:charset w:val="EE"/>
    <w:family w:val="swiss"/>
    <w:notTrueType/>
    <w:pitch w:val="default"/>
    <w:sig w:usb0="00000005" w:usb1="00000000" w:usb2="00000000" w:usb3="00000000" w:csb0="00000002" w:csb1="00000000"/>
  </w:font>
  <w:font w:name="STIX-Italic">
    <w:altName w:val="Cambria"/>
    <w:panose1 w:val="00000000000000000000"/>
    <w:charset w:val="EE"/>
    <w:family w:val="roman"/>
    <w:notTrueType/>
    <w:pitch w:val="default"/>
    <w:sig w:usb0="00000005" w:usb1="00000000" w:usb2="00000000" w:usb3="00000000" w:csb0="00000002" w:csb1="00000000"/>
  </w:font>
  <w:font w:name="AGaramondPro-Regular">
    <w:altName w:val="Malgun Gothic"/>
    <w:panose1 w:val="00000000000000000000"/>
    <w:charset w:val="81"/>
    <w:family w:val="roman"/>
    <w:notTrueType/>
    <w:pitch w:val="default"/>
    <w:sig w:usb0="00000001" w:usb1="09060000" w:usb2="00000010" w:usb3="00000000" w:csb0="00080000" w:csb1="00000000"/>
  </w:font>
  <w:font w:name="Arial">
    <w:panose1 w:val="020B0604020202020204"/>
    <w:charset w:val="EE"/>
    <w:family w:val="swiss"/>
    <w:pitch w:val="variable"/>
    <w:sig w:usb0="E0002EFF" w:usb1="C000785B" w:usb2="00000009" w:usb3="00000000" w:csb0="000001FF" w:csb1="00000000"/>
  </w:font>
  <w:font w:name="AGaramondPro-Italic">
    <w:altName w:val="Cambria"/>
    <w:panose1 w:val="00000000000000000000"/>
    <w:charset w:val="EE"/>
    <w:family w:val="roman"/>
    <w:notTrueType/>
    <w:pitch w:val="default"/>
    <w:sig w:usb0="00000005" w:usb1="00000000" w:usb2="00000000" w:usb3="00000000" w:csb0="00000002" w:csb1="00000000"/>
  </w:font>
  <w:font w:name="BookAntiqua">
    <w:altName w:val="Arial"/>
    <w:panose1 w:val="00000000000000000000"/>
    <w:charset w:val="00"/>
    <w:family w:val="swiss"/>
    <w:notTrueType/>
    <w:pitch w:val="default"/>
    <w:sig w:usb0="00000003" w:usb1="00000000" w:usb2="00000000" w:usb3="00000000" w:csb0="00000001" w:csb1="00000000"/>
  </w:font>
  <w:font w:name="BookAntiqua-Bold">
    <w:altName w:val="Arial"/>
    <w:panose1 w:val="00000000000000000000"/>
    <w:charset w:val="00"/>
    <w:family w:val="swiss"/>
    <w:notTrueType/>
    <w:pitch w:val="default"/>
    <w:sig w:usb0="00000003" w:usb1="00000000" w:usb2="00000000" w:usb3="00000000" w:csb0="00000001" w:csb1="00000000"/>
  </w:font>
  <w:font w:name="AGaramondPro-Semibold">
    <w:altName w:val="Cambria"/>
    <w:panose1 w:val="00000000000000000000"/>
    <w:charset w:val="EE"/>
    <w:family w:val="roman"/>
    <w:notTrueType/>
    <w:pitch w:val="default"/>
    <w:sig w:usb0="00000005" w:usb1="00000000" w:usb2="00000000" w:usb3="00000000" w:csb0="00000002" w:csb1="00000000"/>
  </w:font>
  <w:font w:name="ArialMT">
    <w:altName w:val="MS Gothic"/>
    <w:panose1 w:val="00000000000000000000"/>
    <w:charset w:val="EE"/>
    <w:family w:val="auto"/>
    <w:notTrueType/>
    <w:pitch w:val="default"/>
    <w:sig w:usb0="00000003" w:usb1="08070000" w:usb2="00000010" w:usb3="00000000" w:csb0="00020003" w:csb1="00000000"/>
  </w:font>
  <w:font w:name="Marianne">
    <w:altName w:val="Arial"/>
    <w:panose1 w:val="00000000000000000000"/>
    <w:charset w:val="00"/>
    <w:family w:val="swiss"/>
    <w:notTrueType/>
    <w:pitch w:val="default"/>
    <w:sig w:usb0="00000003" w:usb1="00000000" w:usb2="00000000" w:usb3="00000000" w:csb0="00000001" w:csb1="00000000"/>
  </w:font>
  <w:font w:name="STIX">
    <w:altName w:val="Arial"/>
    <w:panose1 w:val="00000000000000000000"/>
    <w:charset w:val="00"/>
    <w:family w:val="swiss"/>
    <w:notTrueType/>
    <w:pitch w:val="default"/>
    <w:sig w:usb0="00000003" w:usb1="00000000" w:usb2="00000000" w:usb3="00000000" w:csb0="00000001" w:csb1="00000000"/>
  </w:font>
  <w:font w:name="Charis SI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FairfieldLH-Light">
    <w:altName w:val="Cambria"/>
    <w:panose1 w:val="00000000000000000000"/>
    <w:charset w:val="EE"/>
    <w:family w:val="roman"/>
    <w:notTrueType/>
    <w:pitch w:val="default"/>
    <w:sig w:usb0="00000005" w:usb1="00000000" w:usb2="00000000" w:usb3="00000000" w:csb0="00000002" w:csb1="00000000"/>
  </w:font>
  <w:font w:name="Open Sans">
    <w:charset w:val="00"/>
    <w:family w:val="swiss"/>
    <w:pitch w:val="variable"/>
    <w:sig w:usb0="E00002EF" w:usb1="4000205B" w:usb2="00000028" w:usb3="00000000" w:csb0="0000019F" w:csb1="00000000"/>
  </w:font>
  <w:font w:name="FranklinGothic-Book">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7" w:usb1="00000000" w:usb2="00000000" w:usb3="00000000" w:csb0="00000003" w:csb1="00000000"/>
  </w:font>
  <w:font w:name="Arial-ItalicMT">
    <w:altName w:val="Times New Roman"/>
    <w:panose1 w:val="00000000000000000000"/>
    <w:charset w:val="EE"/>
    <w:family w:val="auto"/>
    <w:notTrueType/>
    <w:pitch w:val="default"/>
    <w:sig w:usb0="00000001" w:usb1="00000000" w:usb2="00000000" w:usb3="00000000" w:csb0="00000003" w:csb1="00000000"/>
  </w:font>
  <w:font w:name="ArialNarrow">
    <w:altName w:val="MS Gothic"/>
    <w:panose1 w:val="00000000000000000000"/>
    <w:charset w:val="80"/>
    <w:family w:val="auto"/>
    <w:notTrueType/>
    <w:pitch w:val="default"/>
    <w:sig w:usb0="00000000" w:usb1="08070000" w:usb2="00000010" w:usb3="00000000" w:csb0="00020000" w:csb1="00000000"/>
  </w:font>
  <w:font w:name="Verdana">
    <w:panose1 w:val="020B0604030504040204"/>
    <w:charset w:val="EE"/>
    <w:family w:val="swiss"/>
    <w:pitch w:val="variable"/>
    <w:sig w:usb0="A00006FF" w:usb1="4000205B" w:usb2="00000010" w:usb3="00000000" w:csb0="0000019F" w:csb1="00000000"/>
  </w:font>
  <w:font w:name="Cambria Math">
    <w:panose1 w:val="02040503050406030204"/>
    <w:charset w:val="EE"/>
    <w:family w:val="roman"/>
    <w:pitch w:val="variable"/>
    <w:sig w:usb0="E00006FF" w:usb1="420024FF" w:usb2="02000000" w:usb3="00000000" w:csb0="0000019F" w:csb1="00000000"/>
  </w:font>
  <w:font w:name="MyriadPro-SemiCn">
    <w:altName w:val="Calibri"/>
    <w:panose1 w:val="00000000000000000000"/>
    <w:charset w:val="EE"/>
    <w:family w:val="swiss"/>
    <w:notTrueType/>
    <w:pitch w:val="default"/>
    <w:sig w:usb0="00000005" w:usb1="00000000" w:usb2="00000000" w:usb3="00000000" w:csb0="00000002" w:csb1="00000000"/>
  </w:font>
  <w:font w:name="Helvetica">
    <w:panose1 w:val="020B0604020202020204"/>
    <w:charset w:val="00"/>
    <w:family w:val="swiss"/>
    <w:pitch w:val="variable"/>
    <w:sig w:usb0="E0002EFF" w:usb1="C000785B" w:usb2="00000009" w:usb3="00000000" w:csb0="000001FF" w:csb1="00000000"/>
  </w:font>
  <w:font w:name="Slimbach-Book">
    <w:altName w:val="Times New Roman"/>
    <w:panose1 w:val="00000000000000000000"/>
    <w:charset w:val="00"/>
    <w:family w:val="roman"/>
    <w:notTrueType/>
    <w:pitch w:val="default"/>
    <w:sig w:usb0="00000003" w:usb1="00000000" w:usb2="00000000" w:usb3="00000000" w:csb0="00000001" w:csb1="00000000"/>
  </w:font>
  <w:font w:name="Roboto-Regular">
    <w:altName w:val="Roboto"/>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0112271"/>
      <w:docPartObj>
        <w:docPartGallery w:val="Page Numbers (Bottom of Page)"/>
        <w:docPartUnique/>
      </w:docPartObj>
    </w:sdtPr>
    <w:sdtContent>
      <w:p w14:paraId="146DFAF9" w14:textId="5D24C461" w:rsidR="00A35FAF" w:rsidRDefault="00A35FAF">
        <w:pPr>
          <w:pStyle w:val="llb"/>
          <w:jc w:val="right"/>
        </w:pPr>
        <w:r>
          <w:fldChar w:fldCharType="begin"/>
        </w:r>
        <w:r>
          <w:instrText>PAGE   \* MERGEFORMAT</w:instrText>
        </w:r>
        <w:r>
          <w:fldChar w:fldCharType="separate"/>
        </w:r>
        <w:r w:rsidR="00400046">
          <w:rPr>
            <w:noProof/>
          </w:rPr>
          <w:t>93</w:t>
        </w:r>
        <w:r>
          <w:fldChar w:fldCharType="end"/>
        </w:r>
      </w:p>
    </w:sdtContent>
  </w:sdt>
  <w:p w14:paraId="5A41D089" w14:textId="77777777" w:rsidR="00A35FAF" w:rsidRDefault="00A35FAF">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4108517"/>
      <w:docPartObj>
        <w:docPartGallery w:val="Page Numbers (Bottom of Page)"/>
        <w:docPartUnique/>
      </w:docPartObj>
    </w:sdtPr>
    <w:sdtContent>
      <w:p w14:paraId="0240FB68" w14:textId="77777777" w:rsidR="0065651F" w:rsidRDefault="0065651F">
        <w:pPr>
          <w:pStyle w:val="llb"/>
          <w:jc w:val="right"/>
        </w:pPr>
      </w:p>
      <w:p w14:paraId="7B72B073" w14:textId="098C7A7F" w:rsidR="00004788" w:rsidRDefault="00000000">
        <w:pPr>
          <w:pStyle w:val="llb"/>
          <w:jc w:val="right"/>
        </w:pPr>
      </w:p>
    </w:sdtContent>
  </w:sdt>
  <w:p w14:paraId="7F4A21D6" w14:textId="77777777" w:rsidR="00E50B57" w:rsidRDefault="00E50B57">
    <w:pPr>
      <w:pStyle w:val="ll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1920421"/>
      <w:docPartObj>
        <w:docPartGallery w:val="Page Numbers (Bottom of Page)"/>
        <w:docPartUnique/>
      </w:docPartObj>
    </w:sdtPr>
    <w:sdtContent>
      <w:p w14:paraId="0ADBA687" w14:textId="77777777" w:rsidR="0004008A" w:rsidRDefault="0004008A">
        <w:pPr>
          <w:pStyle w:val="llb"/>
          <w:jc w:val="right"/>
        </w:pPr>
        <w:r>
          <w:fldChar w:fldCharType="begin"/>
        </w:r>
        <w:r>
          <w:instrText>PAGE   \* MERGEFORMAT</w:instrText>
        </w:r>
        <w:r>
          <w:fldChar w:fldCharType="separate"/>
        </w:r>
        <w:r>
          <w:rPr>
            <w:noProof/>
          </w:rPr>
          <w:t>3</w:t>
        </w:r>
        <w:r>
          <w:fldChar w:fldCharType="end"/>
        </w:r>
      </w:p>
    </w:sdtContent>
  </w:sdt>
  <w:p w14:paraId="27902E22" w14:textId="77777777" w:rsidR="0004008A" w:rsidRDefault="0004008A">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4DE729" w14:textId="77777777" w:rsidR="003945C1" w:rsidRDefault="003945C1" w:rsidP="00B63D5E">
      <w:pPr>
        <w:spacing w:after="0" w:line="240" w:lineRule="auto"/>
      </w:pPr>
      <w:r>
        <w:separator/>
      </w:r>
    </w:p>
  </w:footnote>
  <w:footnote w:type="continuationSeparator" w:id="0">
    <w:p w14:paraId="76844DF5" w14:textId="77777777" w:rsidR="003945C1" w:rsidRDefault="003945C1" w:rsidP="00B63D5E">
      <w:pPr>
        <w:spacing w:after="0" w:line="240" w:lineRule="auto"/>
      </w:pPr>
      <w:r>
        <w:continuationSeparator/>
      </w:r>
    </w:p>
  </w:footnote>
  <w:footnote w:id="1">
    <w:p w14:paraId="4F5EDD3D" w14:textId="635A8319" w:rsidR="00976C04" w:rsidRPr="00C12200" w:rsidRDefault="00976C04">
      <w:pPr>
        <w:pStyle w:val="Lbjegyzetszveg"/>
        <w:rPr>
          <w:rFonts w:ascii="Georgia" w:hAnsi="Georgia"/>
          <w:sz w:val="14"/>
          <w:szCs w:val="14"/>
        </w:rPr>
      </w:pPr>
      <w:r w:rsidRPr="00C12200">
        <w:rPr>
          <w:rStyle w:val="Lbjegyzet-hivatkozs"/>
          <w:rFonts w:ascii="Georgia" w:hAnsi="Georgia"/>
          <w:sz w:val="14"/>
          <w:szCs w:val="14"/>
        </w:rPr>
        <w:footnoteRef/>
      </w:r>
      <w:r w:rsidRPr="00C12200">
        <w:rPr>
          <w:rFonts w:ascii="Georgia" w:hAnsi="Georgia"/>
          <w:sz w:val="14"/>
          <w:szCs w:val="14"/>
        </w:rPr>
        <w:t xml:space="preserve"> https://unfccc.int/topics/adaptation-and-resilience/the-big-picture/introduction, </w:t>
      </w:r>
      <w:r w:rsidR="00FA0E36" w:rsidRPr="00C12200">
        <w:rPr>
          <w:rFonts w:ascii="Georgia" w:hAnsi="Georgia"/>
          <w:sz w:val="14"/>
          <w:szCs w:val="14"/>
        </w:rPr>
        <w:t>date of downloading</w:t>
      </w:r>
      <w:r w:rsidRPr="00C12200">
        <w:rPr>
          <w:rFonts w:ascii="Georgia" w:hAnsi="Georgia"/>
          <w:sz w:val="14"/>
          <w:szCs w:val="14"/>
        </w:rPr>
        <w:t xml:space="preserve">: </w:t>
      </w:r>
      <w:r w:rsidR="002E7EA7" w:rsidRPr="00C12200">
        <w:rPr>
          <w:rFonts w:ascii="Georgia" w:hAnsi="Georgia"/>
          <w:sz w:val="14"/>
          <w:szCs w:val="14"/>
        </w:rPr>
        <w:t>01/08/</w:t>
      </w:r>
      <w:r w:rsidRPr="00C12200">
        <w:rPr>
          <w:rFonts w:ascii="Georgia" w:hAnsi="Georgia"/>
          <w:sz w:val="14"/>
          <w:szCs w:val="14"/>
        </w:rPr>
        <w:t>2025.</w:t>
      </w:r>
    </w:p>
  </w:footnote>
  <w:footnote w:id="2">
    <w:p w14:paraId="7C1D9568" w14:textId="4F11DD53" w:rsidR="00FA0E36" w:rsidRPr="00C12200" w:rsidRDefault="00FA0E36">
      <w:pPr>
        <w:pStyle w:val="Lbjegyzetszveg"/>
        <w:rPr>
          <w:rStyle w:val="Lbjegyzet-hivatkozs"/>
          <w:rFonts w:ascii="Georgia" w:hAnsi="Georgia"/>
          <w:sz w:val="14"/>
          <w:szCs w:val="14"/>
        </w:rPr>
      </w:pPr>
      <w:r w:rsidRPr="00C12200">
        <w:rPr>
          <w:rStyle w:val="Lbjegyzet-hivatkozs"/>
          <w:rFonts w:ascii="Georgia" w:hAnsi="Georgia"/>
          <w:sz w:val="14"/>
          <w:szCs w:val="14"/>
        </w:rPr>
        <w:footnoteRef/>
      </w:r>
      <w:r w:rsidRPr="00C12200">
        <w:rPr>
          <w:rStyle w:val="Lbjegyzet-hivatkozs"/>
          <w:rFonts w:ascii="Georgia" w:hAnsi="Georgia"/>
          <w:sz w:val="14"/>
          <w:szCs w:val="14"/>
        </w:rPr>
        <w:t xml:space="preserve"> </w:t>
      </w:r>
      <w:hyperlink r:id="rId1" w:history="1">
        <w:r w:rsidRPr="00C12200">
          <w:rPr>
            <w:rStyle w:val="Hiperhivatkozs"/>
            <w:rFonts w:ascii="Georgia" w:hAnsi="Georgia"/>
            <w:sz w:val="14"/>
            <w:szCs w:val="14"/>
          </w:rPr>
          <w:t>https://www.unep.org/topics/climate-action/adaptation</w:t>
        </w:r>
      </w:hyperlink>
      <w:r w:rsidRPr="00C12200">
        <w:rPr>
          <w:rFonts w:ascii="Georgia" w:hAnsi="Georgia"/>
          <w:sz w:val="14"/>
          <w:szCs w:val="14"/>
        </w:rPr>
        <w:t xml:space="preserve">, letöltés dátuma: </w:t>
      </w:r>
      <w:r w:rsidR="002E7EA7" w:rsidRPr="00C12200">
        <w:rPr>
          <w:rFonts w:ascii="Georgia" w:hAnsi="Georgia"/>
          <w:sz w:val="14"/>
          <w:szCs w:val="14"/>
        </w:rPr>
        <w:t>date of downloading: 16/09/2025.</w:t>
      </w:r>
    </w:p>
  </w:footnote>
  <w:footnote w:id="3">
    <w:p w14:paraId="5BE2347E" w14:textId="34B9AA62" w:rsidR="00007DB3" w:rsidRPr="00C12200" w:rsidRDefault="00007DB3">
      <w:pPr>
        <w:pStyle w:val="Lbjegyzetszveg"/>
        <w:rPr>
          <w:rFonts w:ascii="Georgia" w:hAnsi="Georgia"/>
          <w:sz w:val="14"/>
          <w:szCs w:val="14"/>
        </w:rPr>
      </w:pPr>
      <w:r w:rsidRPr="00C12200">
        <w:rPr>
          <w:rStyle w:val="Lbjegyzet-hivatkozs"/>
          <w:rFonts w:ascii="Georgia" w:hAnsi="Georgia"/>
          <w:sz w:val="14"/>
          <w:szCs w:val="14"/>
        </w:rPr>
        <w:footnoteRef/>
      </w:r>
      <w:r w:rsidRPr="00C12200">
        <w:rPr>
          <w:rFonts w:ascii="Georgia" w:hAnsi="Georgia"/>
          <w:sz w:val="14"/>
          <w:szCs w:val="14"/>
        </w:rPr>
        <w:t xml:space="preserve"> </w:t>
      </w:r>
      <w:r w:rsidR="00890CFC" w:rsidRPr="00C12200">
        <w:rPr>
          <w:rFonts w:ascii="Georgia" w:hAnsi="Georgia"/>
          <w:sz w:val="14"/>
          <w:szCs w:val="14"/>
        </w:rPr>
        <w:t xml:space="preserve">https://www.ukcip.org.uk/wizard/adaptation-options/, </w:t>
      </w:r>
      <w:r w:rsidR="002E7EA7" w:rsidRPr="00C12200">
        <w:rPr>
          <w:rFonts w:ascii="Georgia" w:hAnsi="Georgia"/>
          <w:sz w:val="14"/>
          <w:szCs w:val="14"/>
        </w:rPr>
        <w:t>date of downloading: 10/05/2025.</w:t>
      </w:r>
    </w:p>
  </w:footnote>
  <w:footnote w:id="4">
    <w:p w14:paraId="715FE5F3" w14:textId="453D4EE8" w:rsidR="00FC2D49" w:rsidRPr="00FC2D49" w:rsidRDefault="00FC2D49">
      <w:pPr>
        <w:pStyle w:val="Lbjegyzetszveg"/>
        <w:rPr>
          <w:rFonts w:ascii="Georgia" w:hAnsi="Georgia"/>
          <w:sz w:val="14"/>
          <w:szCs w:val="14"/>
        </w:rPr>
      </w:pPr>
      <w:r w:rsidRPr="00C12200">
        <w:rPr>
          <w:rStyle w:val="Lbjegyzet-hivatkozs"/>
          <w:rFonts w:ascii="Georgia" w:hAnsi="Georgia"/>
          <w:sz w:val="14"/>
          <w:szCs w:val="14"/>
        </w:rPr>
        <w:footnoteRef/>
      </w:r>
      <w:r w:rsidRPr="00C12200">
        <w:rPr>
          <w:rFonts w:ascii="Georgia" w:hAnsi="Georgia"/>
          <w:sz w:val="14"/>
          <w:szCs w:val="14"/>
        </w:rPr>
        <w:t xml:space="preserve"> </w:t>
      </w:r>
      <w:hyperlink r:id="rId2" w:history="1">
        <w:r w:rsidRPr="00C12200">
          <w:rPr>
            <w:rStyle w:val="Hiperhivatkozs"/>
            <w:rFonts w:ascii="Georgia" w:hAnsi="Georgia"/>
            <w:sz w:val="14"/>
            <w:szCs w:val="14"/>
          </w:rPr>
          <w:t>https://climate-adapt.eea.europa.eu/en/mission/knowledge-and-data/regional-adaptation-support-tool/step-2-assessing-climate-change-risks-and-vulnerabilities</w:t>
        </w:r>
      </w:hyperlink>
      <w:r w:rsidRPr="00C12200">
        <w:rPr>
          <w:rFonts w:ascii="Georgia" w:hAnsi="Georgia"/>
          <w:sz w:val="14"/>
          <w:szCs w:val="14"/>
        </w:rPr>
        <w:t>, letöltés dátuma: 2025.09.3</w:t>
      </w:r>
      <w:r w:rsidR="00890CFC" w:rsidRPr="00C12200">
        <w:rPr>
          <w:rFonts w:ascii="Georgia" w:hAnsi="Georgia"/>
          <w:sz w:val="14"/>
          <w:szCs w:val="14"/>
        </w:rPr>
        <w:t>0</w:t>
      </w:r>
      <w:r w:rsidRPr="00C12200">
        <w:rPr>
          <w:rFonts w:ascii="Georgia" w:hAnsi="Georgia"/>
          <w:sz w:val="14"/>
          <w:szCs w:val="14"/>
        </w:rPr>
        <w:t>.</w:t>
      </w:r>
    </w:p>
  </w:footnote>
  <w:footnote w:id="5">
    <w:p w14:paraId="389FB381" w14:textId="44FBBEFB" w:rsidR="00307963" w:rsidRPr="007133D4" w:rsidRDefault="00307963" w:rsidP="00080516">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004909DF" w:rsidRPr="007133D4">
        <w:rPr>
          <w:rFonts w:ascii="Georgia" w:hAnsi="Georgia"/>
          <w:sz w:val="14"/>
          <w:szCs w:val="14"/>
          <w:lang w:val="en-GB"/>
        </w:rPr>
        <w:t xml:space="preserve">Even the current Austrian NAS mentions that though both the UNFCCC and the Kyoto protocol concentrate overwhelmingly on mitigation, the parties to the UNFCCC have also been required to adopt measures to minimise the negative effects of climate change (adaptation). </w:t>
      </w:r>
      <w:r w:rsidRPr="007133D4">
        <w:rPr>
          <w:rFonts w:ascii="Georgia" w:hAnsi="Georgia" w:cs="Calibri"/>
          <w:sz w:val="14"/>
          <w:szCs w:val="14"/>
          <w:lang w:val="en-GB"/>
          <w14:ligatures w14:val="standardContextual"/>
        </w:rPr>
        <w:t xml:space="preserve">It was the first and fundamental international agreement aimed at addressing climate change. Formally, it entered into force on 21 March 1994. </w:t>
      </w:r>
      <w:r w:rsidRPr="007133D4">
        <w:rPr>
          <w:rFonts w:ascii="Georgia" w:hAnsi="Georgia"/>
          <w:sz w:val="14"/>
          <w:szCs w:val="14"/>
          <w:lang w:val="en-GB"/>
        </w:rPr>
        <w:t>The EU and its member countries were among the 197 Parties to the Convention. The Conference of the Parties (COP) is the decision-making body gathering annually, involving states, business organizations’ representatives, international bodies, interest groups and associations can also join as observers to the COPs.</w:t>
      </w:r>
    </w:p>
  </w:footnote>
  <w:footnote w:id="6">
    <w:p w14:paraId="13A631FC" w14:textId="77777777" w:rsidR="00363702" w:rsidRPr="00080516" w:rsidRDefault="00363702" w:rsidP="00363702">
      <w:pPr>
        <w:pStyle w:val="Lbjegyzetszveg"/>
        <w:jc w:val="both"/>
        <w:rPr>
          <w:rFonts w:ascii="Georgia" w:hAnsi="Georgia"/>
          <w:sz w:val="14"/>
          <w:szCs w:val="14"/>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hAnsi="Georgia" w:cs="STIX-Regular"/>
          <w:sz w:val="14"/>
          <w:szCs w:val="14"/>
          <w:u w:val="single"/>
          <w:lang w:val="en-GB"/>
        </w:rPr>
        <w:t>A new</w:t>
      </w:r>
      <w:r w:rsidRPr="007133D4">
        <w:rPr>
          <w:rFonts w:ascii="Georgia" w:hAnsi="Georgia" w:cs="STIX-Regular"/>
          <w:sz w:val="14"/>
          <w:szCs w:val="14"/>
          <w:lang w:val="en-GB"/>
        </w:rPr>
        <w:t xml:space="preserve"> norm emerged with the establishment of the 1992 UNFCCC Convention text: “All </w:t>
      </w:r>
      <w:r w:rsidRPr="007133D4">
        <w:rPr>
          <w:rFonts w:ascii="Georgia" w:hAnsi="Georgia" w:cs="STIX-Italic"/>
          <w:i/>
          <w:iCs/>
          <w:sz w:val="14"/>
          <w:szCs w:val="14"/>
          <w:lang w:val="en-GB"/>
        </w:rPr>
        <w:t xml:space="preserve">Parties </w:t>
      </w:r>
      <w:r w:rsidRPr="007133D4">
        <w:rPr>
          <w:rFonts w:ascii="Georgia" w:hAnsi="Georgia" w:cs="STIX-Regular"/>
          <w:sz w:val="14"/>
          <w:szCs w:val="14"/>
          <w:lang w:val="en-GB"/>
        </w:rPr>
        <w:t xml:space="preserve">shall… formulate, implement, publish and regularly update </w:t>
      </w:r>
      <w:r w:rsidRPr="007133D4">
        <w:rPr>
          <w:rFonts w:ascii="Georgia" w:hAnsi="Georgia" w:cs="STIX-Italic"/>
          <w:i/>
          <w:iCs/>
          <w:sz w:val="14"/>
          <w:szCs w:val="14"/>
          <w:lang w:val="en-GB"/>
        </w:rPr>
        <w:t xml:space="preserve">national </w:t>
      </w:r>
      <w:r w:rsidRPr="007133D4">
        <w:rPr>
          <w:rFonts w:ascii="Georgia" w:hAnsi="Georgia" w:cs="STIX-Regular"/>
          <w:sz w:val="14"/>
          <w:szCs w:val="14"/>
          <w:lang w:val="en-GB"/>
        </w:rPr>
        <w:t xml:space="preserve">and, where appropriate, </w:t>
      </w:r>
      <w:r w:rsidRPr="007133D4">
        <w:rPr>
          <w:rFonts w:ascii="Georgia" w:hAnsi="Georgia" w:cs="STIX-Italic"/>
          <w:i/>
          <w:iCs/>
          <w:sz w:val="14"/>
          <w:szCs w:val="14"/>
          <w:lang w:val="en-GB"/>
        </w:rPr>
        <w:t xml:space="preserve">regional </w:t>
      </w:r>
      <w:r w:rsidRPr="007133D4">
        <w:rPr>
          <w:rFonts w:ascii="Georgia" w:hAnsi="Georgia" w:cs="STIX-Regular"/>
          <w:sz w:val="14"/>
          <w:szCs w:val="14"/>
          <w:lang w:val="en-GB"/>
        </w:rPr>
        <w:t>programmes containing measures to mitigate climate change… and measures to facilitate adequate adaptation to climate change” (Article 4.1(b)).</w:t>
      </w:r>
    </w:p>
  </w:footnote>
  <w:footnote w:id="7">
    <w:p w14:paraId="7C123C2E" w14:textId="77777777" w:rsidR="004E603D" w:rsidRPr="00080516" w:rsidRDefault="004E603D" w:rsidP="00080516">
      <w:pPr>
        <w:pStyle w:val="Lbjegyzetszveg"/>
        <w:jc w:val="both"/>
        <w:rPr>
          <w:rFonts w:ascii="Georgia" w:hAnsi="Georgia"/>
          <w:sz w:val="14"/>
          <w:szCs w:val="14"/>
          <w:lang w:val="en-GB"/>
        </w:rPr>
      </w:pPr>
      <w:r w:rsidRPr="00080516">
        <w:rPr>
          <w:rFonts w:ascii="Georgia" w:hAnsi="Georgia"/>
          <w:sz w:val="14"/>
          <w:szCs w:val="14"/>
          <w:vertAlign w:val="superscript"/>
          <w:lang w:val="en-GB"/>
        </w:rPr>
        <w:footnoteRef/>
      </w:r>
      <w:r w:rsidRPr="00080516">
        <w:rPr>
          <w:rFonts w:ascii="Georgia" w:hAnsi="Georgia"/>
          <w:sz w:val="14"/>
          <w:szCs w:val="14"/>
          <w:lang w:val="en-GB"/>
        </w:rPr>
        <w:t xml:space="preserve"> The Accord created even new funding mechanisms to help developing nations to adapt to climate impacts.</w:t>
      </w:r>
    </w:p>
  </w:footnote>
  <w:footnote w:id="8">
    <w:p w14:paraId="1C7E8FE0" w14:textId="77777777" w:rsidR="00CF4CBD" w:rsidRPr="00B773D1" w:rsidRDefault="00CF4CBD" w:rsidP="00CF4CBD">
      <w:pPr>
        <w:pStyle w:val="Lbjegyzetszveg"/>
        <w:jc w:val="both"/>
        <w:rPr>
          <w:sz w:val="14"/>
          <w:szCs w:val="14"/>
        </w:rPr>
      </w:pPr>
      <w:r w:rsidRPr="00B773D1">
        <w:rPr>
          <w:rStyle w:val="Lbjegyzet-hivatkozs"/>
          <w:rFonts w:ascii="Georgia" w:hAnsi="Georgia"/>
          <w:sz w:val="14"/>
          <w:szCs w:val="14"/>
        </w:rPr>
        <w:footnoteRef/>
      </w:r>
      <w:r w:rsidRPr="00B773D1">
        <w:rPr>
          <w:rFonts w:ascii="Georgia" w:hAnsi="Georgia"/>
          <w:sz w:val="14"/>
          <w:szCs w:val="14"/>
        </w:rPr>
        <w:t xml:space="preserve"> </w:t>
      </w:r>
      <w:r w:rsidRPr="00B773D1">
        <w:rPr>
          <w:rFonts w:ascii="Georgia" w:eastAsia="AGaramondPro-Regular" w:hAnsi="Georgia" w:cs="AGaramondPro-Regular"/>
          <w:color w:val="262626"/>
          <w:sz w:val="14"/>
          <w:szCs w:val="14"/>
          <w:lang w:val="en-GB"/>
          <w14:ligatures w14:val="standardContextual"/>
        </w:rPr>
        <w:t>T</w:t>
      </w:r>
      <w:r w:rsidRPr="00B773D1">
        <w:rPr>
          <w:rFonts w:ascii="Georgia" w:hAnsi="Georgia" w:cs="Arial"/>
          <w:color w:val="1F1F1F"/>
          <w:sz w:val="14"/>
          <w:szCs w:val="14"/>
          <w:shd w:val="clear" w:color="auto" w:fill="F8F9FA"/>
          <w:lang w:val="en-GB"/>
        </w:rPr>
        <w:t>he Austrian NAS also underlines that obligation to develop a national climate change adaptation strategy was already included in Article 10 (b) of the UNFCCC and in Article 10 (b) of the Kyoto Protocol (Austrian NAS, 2024).</w:t>
      </w:r>
    </w:p>
  </w:footnote>
  <w:footnote w:id="9">
    <w:p w14:paraId="0B3D82FB" w14:textId="77777777" w:rsidR="004E603D" w:rsidRPr="007133D4" w:rsidRDefault="004E603D" w:rsidP="004E603D">
      <w:pPr>
        <w:spacing w:after="0" w:line="240" w:lineRule="auto"/>
        <w:jc w:val="both"/>
        <w:rPr>
          <w:rFonts w:ascii="Georgia" w:hAnsi="Georgia"/>
          <w:sz w:val="14"/>
          <w:szCs w:val="14"/>
          <w:lang w:val="en-GB"/>
        </w:rPr>
      </w:pPr>
      <w:r w:rsidRPr="007133D4">
        <w:rPr>
          <w:rFonts w:ascii="Georgia" w:hAnsi="Georgia"/>
          <w:sz w:val="14"/>
          <w:szCs w:val="14"/>
          <w:vertAlign w:val="superscript"/>
          <w:lang w:val="en-GB"/>
        </w:rPr>
        <w:footnoteRef/>
      </w:r>
      <w:r w:rsidRPr="007133D4">
        <w:rPr>
          <w:rFonts w:ascii="Georgia" w:hAnsi="Georgia"/>
          <w:sz w:val="14"/>
          <w:szCs w:val="14"/>
          <w:vertAlign w:val="superscript"/>
          <w:lang w:val="en-GB"/>
        </w:rPr>
        <w:t xml:space="preserve"> </w:t>
      </w:r>
      <w:r w:rsidRPr="007133D4">
        <w:rPr>
          <w:rFonts w:ascii="Georgia" w:hAnsi="Georgia"/>
          <w:sz w:val="14"/>
          <w:szCs w:val="14"/>
          <w:lang w:val="en-GB"/>
        </w:rPr>
        <w:t>„Extreme climate events cause huge economic and social impacts. Infrastructure (buildings, transport, energy and water supply) is affected, posing a specific threat to densely populated areas. The situation could be exacerbated by the rise in sea level. A more strategic and long-term approach to spatial planning will be necessary, both on land and on marine areas, including in transport, regional development, industry, tourism and energy policies.”</w:t>
      </w:r>
    </w:p>
  </w:footnote>
  <w:footnote w:id="10">
    <w:p w14:paraId="0A611DD7" w14:textId="0F08F6F6" w:rsidR="00DF0C07" w:rsidRPr="007133D4" w:rsidRDefault="00DF0C07" w:rsidP="00DF0C07">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Although no significant progress has been made in the Bali Action Plan’s implementation since 2012, although its importance was restated at COP 16 in Cancún, where elaboration of a strategy was required for the least developed countries to reduce foreseeable disasters, through international cooperation and financing (VELAZQUEZ, 2012). In Cancun an Adaptation Framework was established in 2010 as a first step into the direction that adaptation must be addressed with the same level of priority as mitigation, and adaptation efforts were </w:t>
      </w:r>
      <w:r w:rsidR="007133D4" w:rsidRPr="007133D4">
        <w:rPr>
          <w:rFonts w:ascii="Georgia" w:hAnsi="Georgia"/>
          <w:sz w:val="14"/>
          <w:szCs w:val="14"/>
          <w:lang w:val="en-GB"/>
        </w:rPr>
        <w:t>endorsed</w:t>
      </w:r>
      <w:r w:rsidRPr="007133D4">
        <w:rPr>
          <w:rFonts w:ascii="Georgia" w:hAnsi="Georgia"/>
          <w:sz w:val="14"/>
          <w:szCs w:val="14"/>
          <w:lang w:val="en-GB"/>
        </w:rPr>
        <w:t xml:space="preserve"> by a strong structure of international cooperation The Cancun Adaptation Framework (CAF) was structured into five main clusters. Among these implementation of adaptation activities and information channels, National Adaptation Plans and considering approaches to address loss and damage; supporting developing countries; establishment of an institutional background to promote the implementation of enhanced action on adaptation; taking into account principles such as country-driven approach, gender sensitivity, participation and transparency, guidance by science</w:t>
      </w:r>
      <w:r w:rsidRPr="007133D4">
        <w:rPr>
          <w:rFonts w:ascii="Georgia" w:hAnsi="Georgia"/>
          <w:sz w:val="16"/>
          <w:szCs w:val="16"/>
          <w:lang w:val="en-GB"/>
        </w:rPr>
        <w:t xml:space="preserve"> </w:t>
      </w:r>
      <w:r w:rsidRPr="007133D4">
        <w:rPr>
          <w:rFonts w:ascii="Georgia" w:hAnsi="Georgia"/>
          <w:sz w:val="14"/>
          <w:szCs w:val="14"/>
          <w:lang w:val="en-GB"/>
        </w:rPr>
        <w:t xml:space="preserve">&amp; local knowledge and adaptation mainstreaming; and stakeholder engagement emerge. These are strongly adaptation planning-related points, without spatial flavours, unfortunately. </w:t>
      </w:r>
    </w:p>
  </w:footnote>
  <w:footnote w:id="11">
    <w:p w14:paraId="2EF122CD" w14:textId="7A942A0A" w:rsidR="004E603D" w:rsidRPr="007133D4" w:rsidRDefault="004E603D" w:rsidP="004E603D">
      <w:pPr>
        <w:pStyle w:val="Lbjegyzetszveg"/>
        <w:jc w:val="both"/>
        <w:rPr>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It focuses on three key objectives: 1) Promoting action by Member States through elaboration and adoption of comprehensive adaptation strategies and supporting adaptation in cities based on the Global Covenant of Mayors for Climate &amp; Energy initiative. 2) Climate change adaptation measures at EU level by further promoting adaptation in key vulnerable sectors such as agriculture, fisheries and cohesion policy, ensuring that Europe’s infrastructure is made more resilient, and encouraging the use of insurance against natural and man-made disasters. 3) Better informed decision-making by addressing gaps in knowledge about adaptation and further developing the European Climate Adaptation Platform (Climate-ADAPT)</w:t>
      </w:r>
      <w:r w:rsidR="00FB4989" w:rsidRPr="007133D4">
        <w:rPr>
          <w:rFonts w:ascii="Georgia" w:hAnsi="Georgia"/>
          <w:sz w:val="14"/>
          <w:szCs w:val="14"/>
          <w:lang w:val="en-GB"/>
        </w:rPr>
        <w:t>.</w:t>
      </w:r>
    </w:p>
  </w:footnote>
  <w:footnote w:id="12">
    <w:p w14:paraId="73D0D6F4" w14:textId="77777777" w:rsidR="004E603D" w:rsidRPr="00B773D1" w:rsidRDefault="004E603D" w:rsidP="004E603D">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eastAsia="Times New Roman" w:hAnsi="Georgia" w:cs="Times New Roman"/>
          <w:sz w:val="14"/>
          <w:szCs w:val="14"/>
          <w:lang w:val="en-GB" w:eastAsia="hu-HU"/>
        </w:rPr>
        <w:t>NAS is a planning document with adaptation vision to deal with climate impacts, clarify coordination structures, identify objectives and stakeholders to be involved.</w:t>
      </w:r>
    </w:p>
  </w:footnote>
  <w:footnote w:id="13">
    <w:p w14:paraId="55023AAB" w14:textId="7422CCAA" w:rsidR="00893BB1" w:rsidRPr="00B773D1" w:rsidRDefault="00893BB1" w:rsidP="004D3FAC">
      <w:pPr>
        <w:pStyle w:val="Lbjegyzetszveg"/>
        <w:jc w:val="both"/>
        <w:rPr>
          <w:rFonts w:ascii="Georgia" w:hAnsi="Georgia"/>
          <w:sz w:val="14"/>
          <w:szCs w:val="14"/>
        </w:rPr>
      </w:pPr>
      <w:r w:rsidRPr="00B773D1">
        <w:rPr>
          <w:rStyle w:val="Lbjegyzet-hivatkozs"/>
          <w:rFonts w:ascii="Georgia" w:hAnsi="Georgia"/>
          <w:sz w:val="14"/>
          <w:szCs w:val="14"/>
        </w:rPr>
        <w:footnoteRef/>
      </w:r>
      <w:r w:rsidRPr="00B773D1">
        <w:rPr>
          <w:rFonts w:ascii="Georgia" w:hAnsi="Georgia"/>
          <w:sz w:val="14"/>
          <w:szCs w:val="14"/>
        </w:rPr>
        <w:t xml:space="preserve"> </w:t>
      </w:r>
      <w:r w:rsidRPr="007133D4">
        <w:rPr>
          <w:rFonts w:ascii="Georgia" w:hAnsi="Georgia"/>
          <w:sz w:val="14"/>
          <w:szCs w:val="14"/>
          <w:lang w:val="en-GB"/>
        </w:rPr>
        <w:t xml:space="preserve">As a good example, </w:t>
      </w:r>
      <w:r w:rsidR="004D3FAC" w:rsidRPr="007133D4">
        <w:rPr>
          <w:rFonts w:ascii="Georgia" w:hAnsi="Georgia"/>
          <w:sz w:val="14"/>
          <w:szCs w:val="14"/>
          <w:lang w:val="en-GB"/>
        </w:rPr>
        <w:t>Christiansen</w:t>
      </w:r>
      <w:r w:rsidR="004D3FAC" w:rsidRPr="00B773D1">
        <w:rPr>
          <w:rFonts w:ascii="Georgia" w:hAnsi="Georgia"/>
          <w:sz w:val="14"/>
          <w:szCs w:val="14"/>
          <w:lang w:val="en-GB"/>
        </w:rPr>
        <w:t xml:space="preserve"> and his colleagues elaborated a comprehensive overview of the key challenges and emerging practices of MRE in adaptation worldwide and introduced 5 fact sheets on 5 challenges (lack of standard off the shelf methodology; baseline problems; timing; proxy indicators; problem of attribution) (</w:t>
      </w:r>
      <w:r w:rsidR="004D3FAC" w:rsidRPr="00B773D1">
        <w:rPr>
          <w:rFonts w:ascii="Georgia" w:hAnsi="Georgia" w:cstheme="minorHAnsi"/>
          <w:smallCaps/>
          <w:sz w:val="14"/>
          <w:szCs w:val="14"/>
          <w:lang w:val="en-GB"/>
        </w:rPr>
        <w:t>Christiansen et al</w:t>
      </w:r>
      <w:r w:rsidR="004D3FAC" w:rsidRPr="00B773D1">
        <w:rPr>
          <w:rFonts w:ascii="Georgia" w:hAnsi="Georgia"/>
          <w:sz w:val="14"/>
          <w:szCs w:val="14"/>
          <w:lang w:val="en-GB"/>
        </w:rPr>
        <w:t>., 2016).</w:t>
      </w:r>
    </w:p>
  </w:footnote>
  <w:footnote w:id="14">
    <w:p w14:paraId="1EA144ED" w14:textId="77777777" w:rsidR="004E603D" w:rsidRPr="00994B85" w:rsidRDefault="004E603D" w:rsidP="004E603D">
      <w:pPr>
        <w:pStyle w:val="Lbjegyzetszveg"/>
        <w:jc w:val="both"/>
        <w:rPr>
          <w:rFonts w:ascii="Georgia" w:hAnsi="Georgia"/>
          <w:sz w:val="16"/>
          <w:szCs w:val="16"/>
        </w:rPr>
      </w:pPr>
      <w:r w:rsidRPr="00B773D1">
        <w:rPr>
          <w:rStyle w:val="Lbjegyzet-hivatkozs"/>
          <w:rFonts w:ascii="Georgia" w:hAnsi="Georgia"/>
          <w:sz w:val="14"/>
          <w:szCs w:val="14"/>
        </w:rPr>
        <w:footnoteRef/>
      </w:r>
      <w:r w:rsidRPr="00B773D1">
        <w:rPr>
          <w:rFonts w:ascii="Georgia" w:hAnsi="Georgia"/>
          <w:sz w:val="14"/>
          <w:szCs w:val="14"/>
        </w:rPr>
        <w:t xml:space="preserve"> </w:t>
      </w:r>
      <w:r w:rsidRPr="00B773D1">
        <w:rPr>
          <w:rFonts w:ascii="Georgia" w:hAnsi="Georgia" w:cs="Baskerville"/>
          <w:color w:val="000000"/>
          <w:sz w:val="14"/>
          <w:szCs w:val="14"/>
          <w:lang w:val="en-GB"/>
        </w:rPr>
        <w:t>Article 7.1, in particular, guides countries toward a global adaptation goal: “Parties hereby establish the global goal on adaptation of enhancing adaptive capacity, strengthening resilience and reducing vulnerability to climate change, with a view to contributing to sustainable development and ensuring an adequate adaptation response in the context of the temperature referred to in Article 2” (UNFCCC, 2015).</w:t>
      </w:r>
    </w:p>
  </w:footnote>
  <w:footnote w:id="15">
    <w:p w14:paraId="23821040" w14:textId="77777777" w:rsidR="003A3EFF" w:rsidRPr="005A57D6" w:rsidRDefault="003A3EFF" w:rsidP="003A3EFF">
      <w:pPr>
        <w:pStyle w:val="Lbjegyzetszveg"/>
        <w:jc w:val="both"/>
        <w:rPr>
          <w:rFonts w:ascii="Georgia" w:hAnsi="Georgia"/>
          <w:sz w:val="14"/>
          <w:szCs w:val="14"/>
        </w:rPr>
      </w:pPr>
      <w:r w:rsidRPr="005A57D6">
        <w:rPr>
          <w:rStyle w:val="Lbjegyzet-hivatkozs"/>
          <w:rFonts w:ascii="Georgia" w:hAnsi="Georgia"/>
          <w:sz w:val="14"/>
          <w:szCs w:val="14"/>
        </w:rPr>
        <w:footnoteRef/>
      </w:r>
      <w:r w:rsidRPr="005A57D6">
        <w:rPr>
          <w:rFonts w:ascii="Georgia" w:hAnsi="Georgia"/>
          <w:sz w:val="14"/>
          <w:szCs w:val="14"/>
        </w:rPr>
        <w:t xml:space="preserve"> </w:t>
      </w:r>
      <w:r w:rsidRPr="005A57D6">
        <w:rPr>
          <w:rFonts w:ascii="Georgia" w:hAnsi="Georgia"/>
          <w:sz w:val="14"/>
          <w:szCs w:val="14"/>
          <w:lang w:val="en-GB"/>
        </w:rPr>
        <w:t>For example, some countries have action plans that jointly cover mitigation and adaptation (e.g., the Philippines) or use other designations such as a national adaptation strategy (e.g., South Africa) or a national adaptation programme (e.g., the United Kingdom).</w:t>
      </w:r>
    </w:p>
  </w:footnote>
  <w:footnote w:id="16">
    <w:p w14:paraId="3206478E" w14:textId="02D864F0" w:rsidR="006654BC" w:rsidRPr="0033725E" w:rsidRDefault="006654BC" w:rsidP="006654BC">
      <w:pPr>
        <w:pStyle w:val="Lbjegyzetszveg"/>
        <w:jc w:val="both"/>
        <w:rPr>
          <w:rFonts w:ascii="Georgia" w:hAnsi="Georgia"/>
          <w:sz w:val="14"/>
          <w:szCs w:val="14"/>
        </w:rPr>
      </w:pPr>
      <w:r w:rsidRPr="0033725E">
        <w:rPr>
          <w:rStyle w:val="Lbjegyzet-hivatkozs"/>
          <w:rFonts w:ascii="Georgia" w:hAnsi="Georgia"/>
          <w:sz w:val="14"/>
          <w:szCs w:val="14"/>
        </w:rPr>
        <w:footnoteRef/>
      </w:r>
      <w:r w:rsidRPr="0033725E">
        <w:rPr>
          <w:rFonts w:ascii="Georgia" w:hAnsi="Georgia"/>
          <w:sz w:val="14"/>
          <w:szCs w:val="14"/>
        </w:rPr>
        <w:t xml:space="preserve"> </w:t>
      </w:r>
      <w:r w:rsidRPr="0033725E">
        <w:rPr>
          <w:rFonts w:ascii="Georgia" w:hAnsi="Georgia"/>
          <w:sz w:val="14"/>
          <w:szCs w:val="14"/>
          <w:lang w:val="en-GB"/>
        </w:rPr>
        <w:t xml:space="preserve">The article clearly stipulates that the Parties to the Agreement should develop, implement, and update national and, where appropriate, regional </w:t>
      </w:r>
      <w:r w:rsidR="007133D4" w:rsidRPr="0033725E">
        <w:rPr>
          <w:rFonts w:ascii="Georgia" w:hAnsi="Georgia"/>
          <w:sz w:val="14"/>
          <w:szCs w:val="14"/>
          <w:lang w:val="en-GB"/>
        </w:rPr>
        <w:t>programs. The</w:t>
      </w:r>
      <w:r w:rsidRPr="0033725E">
        <w:rPr>
          <w:rFonts w:ascii="Georgia" w:hAnsi="Georgia"/>
          <w:sz w:val="14"/>
          <w:szCs w:val="14"/>
          <w:lang w:val="en-GB"/>
        </w:rPr>
        <w:t xml:space="preserve"> 2020 progress report on national adaptation plans (NAPs) by the secretariat of the United Nations Framework Convention on Climate Change (UNFCCC) found that out of the 154 developing countries 125 had undertaken activities related to the formulation of a NAP (</w:t>
      </w:r>
      <w:r w:rsidRPr="0033725E">
        <w:rPr>
          <w:rFonts w:ascii="Georgia" w:hAnsi="Georgia" w:cstheme="minorHAnsi"/>
          <w:smallCaps/>
          <w:sz w:val="14"/>
          <w:szCs w:val="14"/>
          <w:lang w:val="en-GB"/>
        </w:rPr>
        <w:t>UNFCCC, 2021</w:t>
      </w:r>
      <w:r w:rsidRPr="0033725E">
        <w:rPr>
          <w:rFonts w:ascii="Georgia" w:hAnsi="Georgia"/>
          <w:sz w:val="14"/>
          <w:szCs w:val="14"/>
          <w:lang w:val="en-GB"/>
        </w:rPr>
        <w:t>). However, little is known about the extent to which these plans have been implemented and even less about their effects. (</w:t>
      </w:r>
      <w:r w:rsidRPr="0033725E">
        <w:rPr>
          <w:rFonts w:ascii="Georgia" w:hAnsi="Georgia" w:cstheme="minorHAnsi"/>
          <w:smallCaps/>
          <w:sz w:val="14"/>
          <w:szCs w:val="14"/>
          <w:lang w:val="en-GB"/>
        </w:rPr>
        <w:t>Austrian NAS, 2025</w:t>
      </w:r>
      <w:r w:rsidRPr="0033725E">
        <w:rPr>
          <w:rFonts w:ascii="Georgia" w:hAnsi="Georgia"/>
          <w:sz w:val="14"/>
          <w:szCs w:val="14"/>
          <w:lang w:val="en-GB"/>
        </w:rPr>
        <w:t>)</w:t>
      </w:r>
    </w:p>
  </w:footnote>
  <w:footnote w:id="17">
    <w:p w14:paraId="6C52830B" w14:textId="371D5AC1" w:rsidR="00932196" w:rsidRDefault="00932196" w:rsidP="008726BA">
      <w:pPr>
        <w:spacing w:after="0" w:line="240" w:lineRule="auto"/>
        <w:jc w:val="both"/>
      </w:pPr>
      <w:r w:rsidRPr="00932196">
        <w:rPr>
          <w:rStyle w:val="Lbjegyzet-hivatkozs"/>
          <w:rFonts w:ascii="Georgia" w:hAnsi="Georgia"/>
          <w:sz w:val="14"/>
          <w:szCs w:val="14"/>
        </w:rPr>
        <w:footnoteRef/>
      </w:r>
      <w:r w:rsidRPr="00932196">
        <w:rPr>
          <w:rFonts w:ascii="Georgia" w:hAnsi="Georgia"/>
          <w:sz w:val="14"/>
          <w:szCs w:val="14"/>
        </w:rPr>
        <w:t xml:space="preserve"> </w:t>
      </w:r>
      <w:r w:rsidRPr="00932196">
        <w:rPr>
          <w:rFonts w:ascii="Georgia" w:hAnsi="Georgia" w:cs="Marianne"/>
          <w:sz w:val="14"/>
          <w:szCs w:val="14"/>
          <w:lang w:val="en-GB"/>
          <w14:ligatures w14:val="standardContextual"/>
        </w:rPr>
        <w:t xml:space="preserve">The Global Goal On Adaptation (GGA) aims at creating a global framework, with specific objectives, to guide adaptation action around the world </w:t>
      </w:r>
      <w:r w:rsidRPr="00932196">
        <w:rPr>
          <w:rFonts w:ascii="Georgia" w:hAnsi="Georgia"/>
          <w:sz w:val="14"/>
          <w:szCs w:val="14"/>
          <w:lang w:val="en-GB"/>
        </w:rPr>
        <w:t>to improve adaptive capacity, strengthen resilience and reduce vulnerability to climate change in order to contribute to sustainable development and ensure appropriate adaptation measures within the framework of the temperature goal of the Paris Agreement</w:t>
      </w:r>
      <w:r w:rsidRPr="00932196">
        <w:rPr>
          <w:rFonts w:ascii="Georgia" w:hAnsi="Georgia" w:cs="Marianne"/>
          <w:sz w:val="14"/>
          <w:szCs w:val="14"/>
          <w:lang w:val="en-GB"/>
          <w14:ligatures w14:val="standardContextual"/>
        </w:rPr>
        <w:t xml:space="preserve"> (</w:t>
      </w:r>
      <w:r w:rsidRPr="006D20F3">
        <w:rPr>
          <w:rFonts w:ascii="Georgia" w:hAnsi="Georgia" w:cs="Marianne"/>
          <w:smallCaps/>
          <w:sz w:val="14"/>
          <w:szCs w:val="14"/>
          <w:lang w:val="en-GB"/>
          <w14:ligatures w14:val="standardContextual"/>
        </w:rPr>
        <w:t>French NAS, 2024; Swedish NAS, 2024</w:t>
      </w:r>
      <w:r w:rsidRPr="00932196">
        <w:rPr>
          <w:rFonts w:ascii="Georgia" w:hAnsi="Georgia" w:cs="Marianne"/>
          <w:sz w:val="14"/>
          <w:szCs w:val="14"/>
          <w:lang w:val="en-GB"/>
          <w14:ligatures w14:val="standardContextual"/>
        </w:rPr>
        <w:t>).</w:t>
      </w:r>
    </w:p>
  </w:footnote>
  <w:footnote w:id="18">
    <w:p w14:paraId="2BDDEF3F" w14:textId="2D6CC208" w:rsidR="004E603D" w:rsidRDefault="004E603D" w:rsidP="0033725E">
      <w:pPr>
        <w:pStyle w:val="Lbjegyzetszveg"/>
        <w:jc w:val="both"/>
      </w:pPr>
      <w:r w:rsidRPr="0033725E">
        <w:rPr>
          <w:rStyle w:val="Lbjegyzet-hivatkozs"/>
          <w:rFonts w:ascii="Georgia" w:hAnsi="Georgia"/>
          <w:sz w:val="14"/>
          <w:szCs w:val="14"/>
        </w:rPr>
        <w:footnoteRef/>
      </w:r>
      <w:r w:rsidRPr="0033725E">
        <w:rPr>
          <w:rFonts w:ascii="Georgia" w:hAnsi="Georgia"/>
          <w:sz w:val="14"/>
          <w:szCs w:val="14"/>
        </w:rPr>
        <w:t xml:space="preserve"> </w:t>
      </w:r>
      <w:r w:rsidR="0087668A" w:rsidRPr="0087668A">
        <w:rPr>
          <w:rFonts w:ascii="Georgia" w:hAnsi="Georgia"/>
          <w:sz w:val="14"/>
          <w:szCs w:val="14"/>
          <w:lang w:val="en-GB"/>
        </w:rPr>
        <w:t xml:space="preserve">The meeting was an important milestone, having the biggest audience in the history of COPs, high level notabilities represented their countries, even thousands of representatives of the coal, gas and oil industry emerged. Several participants showed positive attitude to change, due to the increasing frequency and intensity of catastrophic events. Decision was made about the establishment of the Loss and damage fund supporting the developing </w:t>
      </w:r>
      <w:r w:rsidR="007133D4" w:rsidRPr="0087668A">
        <w:rPr>
          <w:rFonts w:ascii="Georgia" w:hAnsi="Georgia"/>
          <w:sz w:val="14"/>
          <w:szCs w:val="14"/>
          <w:lang w:val="en-GB"/>
        </w:rPr>
        <w:t>countries.</w:t>
      </w:r>
      <w:r w:rsidR="007133D4" w:rsidRPr="0033725E">
        <w:rPr>
          <w:rFonts w:ascii="Georgia" w:hAnsi="Georgia"/>
          <w:sz w:val="14"/>
          <w:szCs w:val="14"/>
          <w:lang w:val="en-GB"/>
        </w:rPr>
        <w:t xml:space="preserve"> The</w:t>
      </w:r>
      <w:r w:rsidRPr="0033725E">
        <w:rPr>
          <w:rFonts w:ascii="Georgia" w:hAnsi="Georgia"/>
          <w:sz w:val="14"/>
          <w:szCs w:val="14"/>
          <w:lang w:val="en-GB"/>
        </w:rPr>
        <w:t xml:space="preserve"> central outcome was the so-called global stocktake that contains every element that was under negotiation. It recognizes that global GHG-emissions need to be cut 43% by 2030, compared to 2019 levels, to limit global warming to 1.5°C.</w:t>
      </w:r>
      <w:r w:rsidR="0087668A">
        <w:rPr>
          <w:rFonts w:ascii="Georgia" w:hAnsi="Georgia"/>
          <w:sz w:val="14"/>
          <w:szCs w:val="14"/>
          <w:lang w:val="en-GB"/>
        </w:rPr>
        <w:t xml:space="preserve"> </w:t>
      </w:r>
    </w:p>
  </w:footnote>
  <w:footnote w:id="19">
    <w:p w14:paraId="466DC108" w14:textId="06076607" w:rsidR="001F7D5D" w:rsidRPr="001F7D5D" w:rsidRDefault="001F7D5D" w:rsidP="001F7D5D">
      <w:pPr>
        <w:pStyle w:val="Lbjegyzetszveg"/>
        <w:jc w:val="both"/>
        <w:rPr>
          <w:rFonts w:ascii="Georgia" w:hAnsi="Georgia"/>
          <w:sz w:val="14"/>
          <w:szCs w:val="14"/>
        </w:rPr>
      </w:pPr>
      <w:r w:rsidRPr="001F7D5D">
        <w:rPr>
          <w:rStyle w:val="Lbjegyzet-hivatkozs"/>
          <w:rFonts w:ascii="Georgia" w:hAnsi="Georgia"/>
          <w:sz w:val="14"/>
          <w:szCs w:val="14"/>
        </w:rPr>
        <w:footnoteRef/>
      </w:r>
      <w:r w:rsidRPr="001F7D5D">
        <w:rPr>
          <w:rFonts w:ascii="Georgia" w:hAnsi="Georgia"/>
          <w:sz w:val="14"/>
          <w:szCs w:val="14"/>
        </w:rPr>
        <w:t xml:space="preserve"> </w:t>
      </w:r>
      <w:r w:rsidRPr="001F7D5D">
        <w:rPr>
          <w:rFonts w:ascii="Georgia" w:hAnsi="Georgia"/>
          <w:sz w:val="14"/>
          <w:szCs w:val="14"/>
          <w:lang w:val="en-GB"/>
        </w:rPr>
        <w:t>In accordance with the Article 5 of the EU Climate Law and Article 7 of the Paris Agreement, Member States shall adopt and implement national adaptation strategies and adaptation plans, taking into account the Union Strategy on Adaptation to Climate Change to ensure continuous progress in increasing adaptive capacity, strengthening resilience and reducing vulnerability to climate change. (SWE NAS, 2024)</w:t>
      </w:r>
    </w:p>
  </w:footnote>
  <w:footnote w:id="20">
    <w:p w14:paraId="08D15C49" w14:textId="580FFC2B" w:rsidR="005A57D6" w:rsidRPr="008E52FC" w:rsidRDefault="005A57D6" w:rsidP="005A57D6">
      <w:pPr>
        <w:pStyle w:val="Lbjegyzetszveg"/>
        <w:jc w:val="both"/>
        <w:rPr>
          <w:rFonts w:ascii="Georgia" w:hAnsi="Georgia"/>
          <w:sz w:val="14"/>
          <w:szCs w:val="14"/>
        </w:rPr>
      </w:pPr>
      <w:r w:rsidRPr="008E52FC">
        <w:rPr>
          <w:rStyle w:val="Lbjegyzet-hivatkozs"/>
          <w:rFonts w:ascii="Georgia" w:hAnsi="Georgia"/>
          <w:sz w:val="14"/>
          <w:szCs w:val="14"/>
        </w:rPr>
        <w:footnoteRef/>
      </w:r>
      <w:r w:rsidRPr="008E52FC">
        <w:rPr>
          <w:rFonts w:ascii="Georgia" w:hAnsi="Georgia"/>
          <w:sz w:val="14"/>
          <w:szCs w:val="14"/>
        </w:rPr>
        <w:t xml:space="preserve"> </w:t>
      </w:r>
      <w:r w:rsidRPr="008E52FC">
        <w:rPr>
          <w:rFonts w:ascii="Georgia" w:hAnsi="Georgia"/>
          <w:sz w:val="14"/>
          <w:szCs w:val="14"/>
          <w:lang w:val="en-GB"/>
        </w:rPr>
        <w:t>The draft proposes improving data availability in relation to the priority of climate resilience in the insurance sector. Moreover, in relation to the priority of strengthening the legal framework, it calls for the renewal of EUCRA and the promotion and framing of national climate risk assessment activities based on appropriate information, alongside the establishment of a legal basis for monitoring, assessment and reporting activities. It urges “resilience by design” or in other words, the integration of adaptation aspects into relevant sectoral policies. In relation to the priority of reaching risk bearers, the development of appropriate digital decision support tools and GIS-based tools is also given high priority.</w:t>
      </w:r>
    </w:p>
  </w:footnote>
  <w:footnote w:id="21">
    <w:p w14:paraId="05894119" w14:textId="77777777" w:rsidR="00A35FAF" w:rsidRPr="00F63057" w:rsidRDefault="00A35FAF" w:rsidP="00D8464C">
      <w:pPr>
        <w:pStyle w:val="Lbjegyzetszveg"/>
        <w:jc w:val="both"/>
        <w:rPr>
          <w:rFonts w:ascii="Georgia" w:hAnsi="Georgia"/>
          <w:sz w:val="16"/>
          <w:szCs w:val="16"/>
        </w:rPr>
      </w:pPr>
      <w:r w:rsidRPr="008E52FC">
        <w:rPr>
          <w:rStyle w:val="Lbjegyzet-hivatkozs"/>
          <w:rFonts w:ascii="Georgia" w:hAnsi="Georgia"/>
          <w:sz w:val="14"/>
          <w:szCs w:val="14"/>
        </w:rPr>
        <w:footnoteRef/>
      </w:r>
      <w:r w:rsidRPr="008E52FC">
        <w:rPr>
          <w:rFonts w:ascii="Georgia" w:hAnsi="Georgia"/>
          <w:sz w:val="14"/>
          <w:szCs w:val="14"/>
        </w:rPr>
        <w:t xml:space="preserve"> </w:t>
      </w:r>
      <w:r w:rsidRPr="008E52FC">
        <w:rPr>
          <w:rFonts w:ascii="Georgia" w:hAnsi="Georgia"/>
          <w:sz w:val="14"/>
          <w:szCs w:val="14"/>
          <w:lang w:val="en-GB"/>
        </w:rPr>
        <w:t>We can see the development of vertical evaluation systems across several territorial levels to coordinate the growing volume of evaluation activities: at Community level in the case of individual EU policies; and as a framework for evaluating the implementation of ESIF supports in each Member State.</w:t>
      </w:r>
    </w:p>
  </w:footnote>
  <w:footnote w:id="22">
    <w:p w14:paraId="52CCDE48" w14:textId="4D2FD9AA" w:rsidR="00143407" w:rsidRPr="008E52FC" w:rsidRDefault="00143407">
      <w:pPr>
        <w:pStyle w:val="Lbjegyzetszveg"/>
        <w:rPr>
          <w:rFonts w:ascii="Georgia" w:hAnsi="Georgia"/>
          <w:sz w:val="14"/>
          <w:szCs w:val="14"/>
        </w:rPr>
      </w:pPr>
      <w:r w:rsidRPr="008E52FC">
        <w:rPr>
          <w:rStyle w:val="Lbjegyzet-hivatkozs"/>
          <w:rFonts w:ascii="Georgia" w:hAnsi="Georgia"/>
          <w:sz w:val="14"/>
          <w:szCs w:val="14"/>
        </w:rPr>
        <w:footnoteRef/>
      </w:r>
      <w:r w:rsidRPr="008E52FC">
        <w:rPr>
          <w:rFonts w:ascii="Georgia" w:hAnsi="Georgia"/>
          <w:sz w:val="14"/>
          <w:szCs w:val="14"/>
        </w:rPr>
        <w:t xml:space="preserve"> E.g. </w:t>
      </w:r>
      <w:r w:rsidRPr="008E52FC">
        <w:rPr>
          <w:rFonts w:ascii="Georgia" w:hAnsi="Georgia" w:cs="Times New Roman"/>
          <w:sz w:val="14"/>
          <w:szCs w:val="14"/>
          <w:lang w:val="en-GB"/>
        </w:rPr>
        <w:t>the need for credible and legitimate indicators, based on precise, robust objectives; indicators must be linked to appropriate datasets and meet the SMART criteria, meanwhile the MRE itself should be implemented by an independent organization</w:t>
      </w:r>
      <w:r w:rsidR="008E52FC">
        <w:rPr>
          <w:rFonts w:ascii="Georgia" w:hAnsi="Georgia" w:cs="Times New Roman"/>
          <w:sz w:val="14"/>
          <w:szCs w:val="14"/>
          <w:lang w:val="en-GB"/>
        </w:rPr>
        <w:t>.</w:t>
      </w:r>
    </w:p>
  </w:footnote>
  <w:footnote w:id="23">
    <w:p w14:paraId="77576DDA" w14:textId="77777777" w:rsidR="000609ED" w:rsidRPr="00456626" w:rsidRDefault="000609ED" w:rsidP="000609ED">
      <w:pPr>
        <w:pStyle w:val="Lbjegyzetszveg"/>
        <w:jc w:val="both"/>
        <w:rPr>
          <w:rFonts w:ascii="Georgia" w:hAnsi="Georgia"/>
          <w:sz w:val="14"/>
          <w:szCs w:val="14"/>
        </w:rPr>
      </w:pPr>
      <w:r w:rsidRPr="00456626">
        <w:rPr>
          <w:rStyle w:val="Lbjegyzet-hivatkozs"/>
          <w:rFonts w:ascii="Georgia" w:hAnsi="Georgia"/>
          <w:sz w:val="14"/>
          <w:szCs w:val="14"/>
        </w:rPr>
        <w:footnoteRef/>
      </w:r>
      <w:r w:rsidRPr="00456626">
        <w:rPr>
          <w:rFonts w:ascii="Georgia" w:hAnsi="Georgia"/>
          <w:sz w:val="14"/>
          <w:szCs w:val="14"/>
        </w:rPr>
        <w:t xml:space="preserve"> E.g. I</w:t>
      </w:r>
      <w:r w:rsidRPr="00456626">
        <w:rPr>
          <w:rFonts w:ascii="Georgia" w:hAnsi="Georgia" w:cstheme="minorHAnsi"/>
          <w:sz w:val="14"/>
          <w:szCs w:val="14"/>
          <w:lang w:val="en-GB"/>
        </w:rPr>
        <w:t>CT development, increasing global connections, globalization of economies and the environmental consequences of these (rising level of production &amp; consumption and emissions, relocation of industry, population movements, export-based economies causing disrupted local economies and livelihoods).</w:t>
      </w:r>
    </w:p>
  </w:footnote>
  <w:footnote w:id="24">
    <w:p w14:paraId="720F4A49" w14:textId="77777777" w:rsidR="00A35FAF" w:rsidRPr="006C6F06" w:rsidRDefault="00A35FAF" w:rsidP="006C6F06">
      <w:pPr>
        <w:pStyle w:val="Lbjegyzetszveg"/>
        <w:jc w:val="both"/>
        <w:rPr>
          <w:rFonts w:ascii="Georgia" w:hAnsi="Georgia"/>
          <w:sz w:val="14"/>
          <w:szCs w:val="14"/>
          <w:lang w:val="en-GB"/>
        </w:rPr>
      </w:pPr>
      <w:r w:rsidRPr="006C6F06">
        <w:rPr>
          <w:rStyle w:val="Lbjegyzet-hivatkozs"/>
          <w:rFonts w:ascii="Georgia" w:hAnsi="Georgia"/>
          <w:sz w:val="14"/>
          <w:szCs w:val="14"/>
          <w:lang w:val="en-GB"/>
        </w:rPr>
        <w:footnoteRef/>
      </w:r>
      <w:r w:rsidRPr="006C6F06">
        <w:rPr>
          <w:rFonts w:ascii="Georgia" w:hAnsi="Georgia"/>
          <w:sz w:val="14"/>
          <w:szCs w:val="14"/>
          <w:lang w:val="en-GB"/>
        </w:rPr>
        <w:t xml:space="preserve"> The Intergovernmental Panel on Climate Change (IPCC) defined vulnerability as "</w:t>
      </w:r>
      <w:r w:rsidRPr="006C6F06">
        <w:rPr>
          <w:rFonts w:ascii="Georgia" w:hAnsi="Georgia"/>
          <w:i/>
          <w:sz w:val="14"/>
          <w:szCs w:val="14"/>
          <w:lang w:val="en-GB"/>
        </w:rPr>
        <w:t>the degree to which a system is susceptible to and unable to cope with adverse effects of climate change, including climate variability and extremes</w:t>
      </w:r>
      <w:r w:rsidRPr="006C6F06">
        <w:rPr>
          <w:rFonts w:ascii="Georgia" w:hAnsi="Georgia"/>
          <w:sz w:val="14"/>
          <w:szCs w:val="14"/>
          <w:lang w:val="en-GB"/>
        </w:rPr>
        <w:t>". Vulnerability can vary depending on a system's characteristics (exposure, sensitivity, and adaptive capacity). (</w:t>
      </w:r>
      <w:r w:rsidRPr="006C6F06">
        <w:rPr>
          <w:rFonts w:ascii="Georgia" w:hAnsi="Georgia"/>
          <w:smallCaps/>
          <w:sz w:val="14"/>
          <w:szCs w:val="14"/>
          <w:lang w:val="en-GB"/>
        </w:rPr>
        <w:t>IPCC, 2007</w:t>
      </w:r>
      <w:r w:rsidRPr="006C6F06">
        <w:rPr>
          <w:rFonts w:ascii="Georgia" w:hAnsi="Georgia"/>
          <w:sz w:val="14"/>
          <w:szCs w:val="14"/>
          <w:lang w:val="en-GB"/>
        </w:rPr>
        <w:t>).</w:t>
      </w:r>
    </w:p>
  </w:footnote>
  <w:footnote w:id="25">
    <w:p w14:paraId="67A613AB" w14:textId="1AC0044D" w:rsidR="00D26376" w:rsidRPr="006C6F06" w:rsidRDefault="00D26376" w:rsidP="006C6F06">
      <w:pPr>
        <w:pStyle w:val="Lbjegyzetszveg"/>
        <w:jc w:val="both"/>
        <w:rPr>
          <w:rFonts w:ascii="Georgia" w:hAnsi="Georgia"/>
          <w:sz w:val="14"/>
          <w:szCs w:val="14"/>
        </w:rPr>
      </w:pPr>
      <w:r w:rsidRPr="006C6F06">
        <w:rPr>
          <w:rStyle w:val="Lbjegyzet-hivatkozs"/>
          <w:rFonts w:ascii="Georgia" w:hAnsi="Georgia"/>
          <w:sz w:val="14"/>
          <w:szCs w:val="14"/>
        </w:rPr>
        <w:footnoteRef/>
      </w:r>
      <w:r w:rsidRPr="006C6F06">
        <w:rPr>
          <w:rFonts w:ascii="Georgia" w:hAnsi="Georgia"/>
          <w:sz w:val="14"/>
          <w:szCs w:val="14"/>
        </w:rPr>
        <w:t xml:space="preserve"> </w:t>
      </w:r>
      <w:r w:rsidRPr="006C6F06">
        <w:rPr>
          <w:rFonts w:ascii="Georgia" w:hAnsi="Georgia"/>
          <w:sz w:val="14"/>
          <w:szCs w:val="14"/>
          <w:lang w:val="en-GB"/>
        </w:rPr>
        <w:t xml:space="preserve">In </w:t>
      </w:r>
      <w:r w:rsidRPr="006C6F06">
        <w:rPr>
          <w:rFonts w:ascii="Georgia" w:hAnsi="Georgia" w:cs="FrutigerLTPro-Condensed"/>
          <w:sz w:val="14"/>
          <w:szCs w:val="14"/>
          <w:lang w:val="en-GB"/>
          <w14:ligatures w14:val="standardContextual"/>
        </w:rPr>
        <w:t>IPCC AR 5-6 (though separates vulnerability from climatic drivers) the final target they strive for is the identification of risks still consider spatial implications. Exposure, independently from the climate-driven hazards, is now defined as the presence of affected parties (people, livelihood, species or ecosystems, services, resources, infrastr</w:t>
      </w:r>
      <w:r w:rsidR="007133D4">
        <w:rPr>
          <w:rFonts w:ascii="Georgia" w:hAnsi="Georgia" w:cs="FrutigerLTPro-Condensed"/>
          <w:sz w:val="14"/>
          <w:szCs w:val="14"/>
          <w:lang w:val="en-GB"/>
          <w14:ligatures w14:val="standardContextual"/>
        </w:rPr>
        <w:t>uctu</w:t>
      </w:r>
      <w:r w:rsidRPr="006C6F06">
        <w:rPr>
          <w:rFonts w:ascii="Georgia" w:hAnsi="Georgia" w:cs="FrutigerLTPro-Condensed"/>
          <w:sz w:val="14"/>
          <w:szCs w:val="14"/>
          <w:lang w:val="en-GB"/>
          <w14:ligatures w14:val="standardContextual"/>
        </w:rPr>
        <w:t>res) in places and settings that could be adversely affected by climate change. The definition put special emphasis on geographic location, and its biophysical attributes</w:t>
      </w:r>
    </w:p>
  </w:footnote>
  <w:footnote w:id="26">
    <w:p w14:paraId="71D14D35" w14:textId="2538050F" w:rsidR="003E3BF3" w:rsidRPr="003E3BF3" w:rsidRDefault="003E3BF3" w:rsidP="003E3BF3">
      <w:pPr>
        <w:autoSpaceDE w:val="0"/>
        <w:autoSpaceDN w:val="0"/>
        <w:adjustRightInd w:val="0"/>
        <w:spacing w:after="0" w:line="240" w:lineRule="auto"/>
        <w:jc w:val="both"/>
        <w:rPr>
          <w:rFonts w:ascii="Georgia" w:hAnsi="Georgia"/>
          <w:sz w:val="14"/>
          <w:szCs w:val="14"/>
        </w:rPr>
      </w:pPr>
      <w:r w:rsidRPr="003E3BF3">
        <w:rPr>
          <w:rStyle w:val="Lbjegyzet-hivatkozs"/>
          <w:rFonts w:ascii="Georgia" w:hAnsi="Georgia"/>
          <w:sz w:val="14"/>
          <w:szCs w:val="14"/>
        </w:rPr>
        <w:footnoteRef/>
      </w:r>
      <w:r w:rsidRPr="003E3BF3">
        <w:rPr>
          <w:rFonts w:ascii="Georgia" w:hAnsi="Georgia"/>
          <w:sz w:val="14"/>
          <w:szCs w:val="14"/>
        </w:rPr>
        <w:t xml:space="preserve"> </w:t>
      </w:r>
      <w:r w:rsidRPr="003E3BF3">
        <w:rPr>
          <w:rFonts w:ascii="Georgia" w:hAnsi="Georgia"/>
          <w:sz w:val="14"/>
          <w:szCs w:val="14"/>
          <w:lang w:val="en-GB"/>
        </w:rPr>
        <w:t>Although the new methodology focusing on risks (</w:t>
      </w:r>
      <w:r w:rsidRPr="003E3BF3">
        <w:rPr>
          <w:rFonts w:ascii="Georgia" w:hAnsi="Georgia"/>
          <w:smallCaps/>
          <w:sz w:val="14"/>
          <w:szCs w:val="14"/>
          <w:lang w:val="en-GB"/>
        </w:rPr>
        <w:t>IPCC, 2014; IPCC, 2022)</w:t>
      </w:r>
      <w:r w:rsidRPr="003E3BF3">
        <w:rPr>
          <w:rFonts w:ascii="Georgia" w:hAnsi="Georgia"/>
          <w:sz w:val="14"/>
          <w:szCs w:val="14"/>
          <w:lang w:val="en-GB"/>
        </w:rPr>
        <w:t xml:space="preserve">, as opposed to the previous IPCC methodology, which put vulnerabilities at the centre </w:t>
      </w:r>
      <w:r w:rsidRPr="003E3BF3">
        <w:rPr>
          <w:rFonts w:ascii="Georgia" w:hAnsi="Georgia"/>
          <w:smallCaps/>
          <w:sz w:val="14"/>
          <w:szCs w:val="14"/>
          <w:lang w:val="en-GB"/>
        </w:rPr>
        <w:t>(IPCC, 2013</w:t>
      </w:r>
      <w:r w:rsidRPr="003E3BF3">
        <w:rPr>
          <w:rFonts w:ascii="Georgia" w:hAnsi="Georgia"/>
          <w:sz w:val="14"/>
          <w:szCs w:val="14"/>
          <w:lang w:val="en-GB"/>
        </w:rPr>
        <w:t>), however, due to methodological inconsistencies and difficulties of the new methodology, in practical evaluations and planning the vulnerability assessment framework introduced in the IPCC 4</w:t>
      </w:r>
      <w:r w:rsidRPr="003E3BF3">
        <w:rPr>
          <w:rFonts w:ascii="Georgia" w:hAnsi="Georgia"/>
          <w:sz w:val="14"/>
          <w:szCs w:val="14"/>
          <w:vertAlign w:val="superscript"/>
          <w:lang w:val="en-GB"/>
        </w:rPr>
        <w:t>th</w:t>
      </w:r>
      <w:r w:rsidRPr="003E3BF3">
        <w:rPr>
          <w:rFonts w:ascii="Georgia" w:hAnsi="Georgia"/>
          <w:sz w:val="14"/>
          <w:szCs w:val="14"/>
          <w:lang w:val="en-GB"/>
        </w:rPr>
        <w:t xml:space="preserve"> Assessment Report is still frequently applied (</w:t>
      </w:r>
      <w:r w:rsidRPr="003E3BF3">
        <w:rPr>
          <w:rFonts w:ascii="Georgia" w:hAnsi="Georgia"/>
          <w:smallCaps/>
          <w:sz w:val="14"/>
          <w:szCs w:val="14"/>
          <w:lang w:val="en-GB"/>
        </w:rPr>
        <w:t>Sharma &amp; Ravindranath, 2019</w:t>
      </w:r>
      <w:r w:rsidRPr="003E3BF3">
        <w:rPr>
          <w:rFonts w:ascii="Georgia" w:hAnsi="Georgia"/>
          <w:sz w:val="14"/>
          <w:szCs w:val="14"/>
          <w:lang w:val="en-GB"/>
        </w:rPr>
        <w:t xml:space="preserve">), for example, by the Hungarian NAGiS. </w:t>
      </w:r>
    </w:p>
  </w:footnote>
  <w:footnote w:id="27">
    <w:p w14:paraId="280EA1FF" w14:textId="556F34EA" w:rsidR="00834183" w:rsidRPr="00834183" w:rsidRDefault="00834183" w:rsidP="006C6F06">
      <w:pPr>
        <w:pStyle w:val="Lbjegyzetszveg"/>
        <w:jc w:val="both"/>
        <w:rPr>
          <w:rFonts w:ascii="Georgia" w:hAnsi="Georgia"/>
          <w:sz w:val="14"/>
          <w:szCs w:val="14"/>
        </w:rPr>
      </w:pPr>
      <w:r w:rsidRPr="00834183">
        <w:rPr>
          <w:rStyle w:val="Lbjegyzet-hivatkozs"/>
          <w:rFonts w:ascii="Georgia" w:hAnsi="Georgia"/>
          <w:sz w:val="14"/>
          <w:szCs w:val="14"/>
        </w:rPr>
        <w:footnoteRef/>
      </w:r>
      <w:r w:rsidRPr="00834183">
        <w:rPr>
          <w:rFonts w:ascii="Georgia" w:hAnsi="Georgia"/>
          <w:sz w:val="14"/>
          <w:szCs w:val="14"/>
        </w:rPr>
        <w:t xml:space="preserve"> </w:t>
      </w:r>
      <w:r w:rsidRPr="00834183">
        <w:rPr>
          <w:rFonts w:ascii="Georgia" w:hAnsi="Georgia" w:cs="FrutigerLTPro-Condensed"/>
          <w:sz w:val="14"/>
          <w:szCs w:val="14"/>
          <w:lang w:val="en-GB"/>
          <w14:ligatures w14:val="standardContextual"/>
        </w:rPr>
        <w:t>Riskscapes here encompass different points of view in time and space on risk that highlight the “real-and-imagined geographies based on individual and collective experience. However, according to the authors, using the concept of riskscapes highlights the social, temporal and spatial texture of risk and calls attention to interactions among risks and their “cumulative impact” across several dimensions of human life and the biophysical environment; identifying, mapping and managing risks and socio-spatial relations of the resulting riskscapes.</w:t>
      </w:r>
    </w:p>
  </w:footnote>
  <w:footnote w:id="28">
    <w:p w14:paraId="6E17DAE6" w14:textId="69FAE1EE" w:rsidR="0084039E" w:rsidRPr="007133D4" w:rsidRDefault="0084039E" w:rsidP="006C6F06">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Respective climate reports to examine how certain discourses, such as the Israeli plan, gain the status of </w:t>
      </w:r>
      <w:r w:rsidRPr="007133D4">
        <w:rPr>
          <w:rFonts w:ascii="Georgia" w:hAnsi="Georgia" w:cs="STIX"/>
          <w:sz w:val="14"/>
          <w:szCs w:val="14"/>
          <w:lang w:val="en-GB"/>
        </w:rPr>
        <w:t>“</w:t>
      </w:r>
      <w:r w:rsidRPr="007133D4">
        <w:rPr>
          <w:rFonts w:ascii="Georgia" w:hAnsi="Georgia"/>
          <w:sz w:val="14"/>
          <w:szCs w:val="14"/>
          <w:lang w:val="en-GB"/>
        </w:rPr>
        <w:t>truth</w:t>
      </w:r>
      <w:r w:rsidRPr="007133D4">
        <w:rPr>
          <w:rFonts w:ascii="Georgia" w:hAnsi="Georgia" w:cs="STIX"/>
          <w:sz w:val="14"/>
          <w:szCs w:val="14"/>
          <w:lang w:val="en-GB"/>
        </w:rPr>
        <w:t xml:space="preserve">” </w:t>
      </w:r>
      <w:r w:rsidRPr="007133D4">
        <w:rPr>
          <w:rFonts w:ascii="Georgia" w:hAnsi="Georgia"/>
          <w:sz w:val="14"/>
          <w:szCs w:val="14"/>
          <w:lang w:val="en-GB"/>
        </w:rPr>
        <w:t>and in effect determine what can be said or known about reality. Alternative discourses, such as Palestine</w:t>
      </w:r>
      <w:r w:rsidRPr="007133D4">
        <w:rPr>
          <w:rFonts w:ascii="Georgia" w:hAnsi="Georgia" w:cs="STIX"/>
          <w:sz w:val="14"/>
          <w:szCs w:val="14"/>
          <w:lang w:val="en-GB"/>
        </w:rPr>
        <w:t>’</w:t>
      </w:r>
      <w:r w:rsidRPr="007133D4">
        <w:rPr>
          <w:rFonts w:ascii="Georgia" w:hAnsi="Georgia"/>
          <w:sz w:val="14"/>
          <w:szCs w:val="14"/>
          <w:lang w:val="en-GB"/>
        </w:rPr>
        <w:t>s plan, contest and resist this hegemonic exercise of power, while also exposing a form of entrapment. Climate reports are thereby positioned as discursive constructions, opening and foreclosing divergent realities. In the context of Israel/Palestine, climate discourses remain performative enactments of competing exercises of sovereignty, self-determination, occupation, and resistance that have long characterized the political geography of this territory</w:t>
      </w:r>
      <w:r w:rsidR="007133D4">
        <w:rPr>
          <w:rFonts w:ascii="Georgia" w:hAnsi="Georgia"/>
          <w:sz w:val="14"/>
          <w:szCs w:val="14"/>
          <w:lang w:val="en-GB"/>
        </w:rPr>
        <w:t xml:space="preserve"> </w:t>
      </w:r>
      <w:r w:rsidRPr="007133D4">
        <w:rPr>
          <w:rFonts w:ascii="Georgia" w:hAnsi="Georgia"/>
          <w:sz w:val="14"/>
          <w:szCs w:val="14"/>
          <w:lang w:val="en-GB"/>
        </w:rPr>
        <w:t>(</w:t>
      </w:r>
      <w:r w:rsidRPr="007133D4">
        <w:rPr>
          <w:rFonts w:ascii="Georgia" w:hAnsi="Georgia" w:cstheme="minorHAnsi"/>
          <w:smallCaps/>
          <w:sz w:val="14"/>
          <w:szCs w:val="14"/>
          <w:lang w:val="en-GB"/>
        </w:rPr>
        <w:t>Weinger, 2021</w:t>
      </w:r>
      <w:r w:rsidRPr="007133D4">
        <w:rPr>
          <w:rFonts w:ascii="Georgia" w:hAnsi="Georgia"/>
          <w:sz w:val="14"/>
          <w:szCs w:val="14"/>
          <w:lang w:val="en-GB"/>
        </w:rPr>
        <w:t>).</w:t>
      </w:r>
    </w:p>
  </w:footnote>
  <w:footnote w:id="29">
    <w:p w14:paraId="243598AD" w14:textId="704BDC1F" w:rsidR="0084039E" w:rsidRDefault="0084039E" w:rsidP="006C6F06">
      <w:pPr>
        <w:pStyle w:val="Lbjegyzetszveg"/>
        <w:jc w:val="both"/>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hAnsi="Georgia" w:cs="Charis SIL"/>
          <w:sz w:val="14"/>
          <w:szCs w:val="14"/>
          <w:lang w:val="en-GB"/>
          <w14:ligatures w14:val="standardContextual"/>
        </w:rPr>
        <w:t xml:space="preserve">Contemporary political geographers questioned the coherency of the state as a unitary entity and the only legitimate arbiter of international politics. </w:t>
      </w:r>
      <w:r w:rsidRPr="007133D4">
        <w:rPr>
          <w:rFonts w:ascii="Georgia" w:hAnsi="Georgia"/>
          <w:sz w:val="14"/>
          <w:szCs w:val="14"/>
          <w:lang w:val="en-GB"/>
        </w:rPr>
        <w:t>literatures ultimately move us toward the need to critically scrutinize the coherency of state climate planning. Weinger says that s</w:t>
      </w:r>
      <w:r w:rsidRPr="007133D4">
        <w:rPr>
          <w:rFonts w:ascii="Georgia" w:hAnsi="Georgia" w:cs="Charis SIL"/>
          <w:sz w:val="14"/>
          <w:szCs w:val="14"/>
          <w:lang w:val="en-GB"/>
          <w14:ligatures w14:val="standardContextual"/>
        </w:rPr>
        <w:t xml:space="preserve">ince 1992, the UNFCCC as the global governing apparatus of climate planning, has privileged the sovereignty of territorial states. Territorial politics are deeply embedded in climate change planning as climatic changes surely transcend political boundaries and logically invite cause for collective action. The UNFCCC serves in this framework as the supranational governing apparatus that organizes nationally </w:t>
      </w:r>
      <w:r w:rsidRPr="007133D4">
        <w:rPr>
          <w:rFonts w:ascii="Georgia" w:hAnsi="Georgia"/>
          <w:sz w:val="14"/>
          <w:szCs w:val="14"/>
          <w:lang w:val="en-GB"/>
        </w:rPr>
        <w:t xml:space="preserve">coordinated adaptation and mitigation projects to climate change. Urgent questions arise around the role of non-sovereign states under military occupation or armed conflict within the project of planetary climate planning. Existing normative principles and the planetary scale of climate planning fail to perceive the systemic vulnerabilities that non-sovereign entities in protracted crises like Palestine bring forth. He used cartographic analysis as well as narrative analysis in the comparison of the IRS/PAL national reports. this comparative analysis of Israeli and Palestinian climate planning, Second, the histories, geopolitics, and settler colonial relations informing performances of Israeli sovereign violence and Palestinian territorial uncertainty render visible the power of discourse to script climate futures. Finally, positioning these discourses together, despite the oppositional paradigm that may speciously result, aims to defy the very territorial logics by holding Israeli and Palestinian. </w:t>
      </w:r>
      <w:r w:rsidR="007133D4" w:rsidRPr="007133D4">
        <w:rPr>
          <w:rFonts w:ascii="Georgia" w:hAnsi="Georgia"/>
          <w:sz w:val="14"/>
          <w:szCs w:val="14"/>
          <w:lang w:val="en-GB"/>
        </w:rPr>
        <w:t>What</w:t>
      </w:r>
      <w:r w:rsidRPr="007133D4">
        <w:rPr>
          <w:rFonts w:ascii="Georgia" w:hAnsi="Georgia"/>
          <w:sz w:val="14"/>
          <w:szCs w:val="14"/>
          <w:lang w:val="en-GB"/>
        </w:rPr>
        <w:t xml:space="preserve"> environmental histories and new environmental futures are invented through climate discourses and the </w:t>
      </w:r>
      <w:r w:rsidR="007133D4" w:rsidRPr="007133D4">
        <w:rPr>
          <w:rFonts w:ascii="Georgia" w:hAnsi="Georgia"/>
          <w:sz w:val="14"/>
          <w:szCs w:val="14"/>
          <w:lang w:val="en-GB"/>
        </w:rPr>
        <w:t>spatiality</w:t>
      </w:r>
      <w:r w:rsidRPr="007133D4">
        <w:rPr>
          <w:rFonts w:ascii="Georgia" w:hAnsi="Georgia"/>
          <w:sz w:val="14"/>
          <w:szCs w:val="14"/>
          <w:lang w:val="en-GB"/>
        </w:rPr>
        <w:t xml:space="preserve"> they produce (</w:t>
      </w:r>
      <w:r w:rsidRPr="007133D4">
        <w:rPr>
          <w:rFonts w:ascii="Georgia" w:hAnsi="Georgia" w:cstheme="minorHAnsi"/>
          <w:smallCaps/>
          <w:sz w:val="14"/>
          <w:szCs w:val="14"/>
          <w:lang w:val="en-GB"/>
        </w:rPr>
        <w:t>Weinger, 2021</w:t>
      </w:r>
      <w:r w:rsidRPr="007133D4">
        <w:rPr>
          <w:rFonts w:ascii="Georgia" w:hAnsi="Georgia"/>
          <w:sz w:val="14"/>
          <w:szCs w:val="14"/>
          <w:lang w:val="en-GB"/>
        </w:rPr>
        <w:t>).</w:t>
      </w:r>
    </w:p>
  </w:footnote>
  <w:footnote w:id="30">
    <w:p w14:paraId="510A7B0C" w14:textId="1E029318" w:rsidR="0029207E" w:rsidRPr="007133D4" w:rsidRDefault="0029207E">
      <w:pPr>
        <w:pStyle w:val="Lbjegyzetszveg"/>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hAnsi="Georgia" w:cs="Times New Roman"/>
          <w:sz w:val="14"/>
          <w:szCs w:val="14"/>
          <w:lang w:val="en-GB"/>
        </w:rPr>
        <w:t>This Swedish group examined the case of two Swedish cities’ different business structures and other local conditions that significantly influence both the ambition and quality of their climate-policy strategies</w:t>
      </w:r>
    </w:p>
  </w:footnote>
  <w:footnote w:id="31">
    <w:p w14:paraId="0046EE08" w14:textId="7F7B767D" w:rsidR="009A351B" w:rsidRPr="007133D4" w:rsidRDefault="009A351B" w:rsidP="004B7BA3">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Recent economic geography works, according to the authors, have employed the concept of “</w:t>
      </w:r>
      <w:r w:rsidR="00904353" w:rsidRPr="007133D4">
        <w:rPr>
          <w:rFonts w:ascii="Georgia" w:hAnsi="Georgia"/>
          <w:sz w:val="14"/>
          <w:szCs w:val="14"/>
          <w:lang w:val="en-GB"/>
        </w:rPr>
        <w:t>spatially bounded</w:t>
      </w:r>
      <w:r w:rsidRPr="007133D4">
        <w:rPr>
          <w:rFonts w:ascii="Georgia" w:hAnsi="Georgia"/>
          <w:sz w:val="14"/>
          <w:szCs w:val="14"/>
          <w:lang w:val="en-GB"/>
        </w:rPr>
        <w:t xml:space="preserve"> rationality” and explored the behavioural foundations of populations in cities and regions, with a focus on </w:t>
      </w:r>
      <w:r w:rsidR="00606AFF" w:rsidRPr="007133D4">
        <w:rPr>
          <w:rFonts w:ascii="Georgia" w:hAnsi="Georgia"/>
          <w:sz w:val="14"/>
          <w:szCs w:val="14"/>
          <w:lang w:val="en-GB"/>
        </w:rPr>
        <w:t>geographically specific</w:t>
      </w:r>
      <w:r w:rsidRPr="007133D4">
        <w:rPr>
          <w:rFonts w:ascii="Georgia" w:hAnsi="Georgia"/>
          <w:sz w:val="14"/>
          <w:szCs w:val="14"/>
          <w:lang w:val="en-GB"/>
        </w:rPr>
        <w:t xml:space="preserve"> economic outcomes.</w:t>
      </w:r>
      <w:r w:rsidR="004B7BA3" w:rsidRPr="007133D4">
        <w:rPr>
          <w:rFonts w:ascii="Georgia" w:hAnsi="Georgia"/>
          <w:sz w:val="14"/>
          <w:szCs w:val="14"/>
          <w:lang w:val="en-GB"/>
        </w:rPr>
        <w:t xml:space="preserve"> The authors say, that on the one hand, these differences can be identified on the geographical (urban–rural and regional) dimension and on the other hand, personal socioeconomic positions and related wellbeing also influence the picture Consequently, say the authors, environmental (and within it: climate) policies must be better linked to regional policy for making the urgent climate policy interventions more acceptable for everyone.</w:t>
      </w:r>
    </w:p>
  </w:footnote>
  <w:footnote w:id="32">
    <w:p w14:paraId="47D90A4C" w14:textId="29488B66" w:rsidR="00D91906" w:rsidRPr="007133D4" w:rsidRDefault="00D91906">
      <w:pPr>
        <w:pStyle w:val="Lbjegyzetszveg"/>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hAnsi="Georgia" w:cs="Times New Roman"/>
          <w:sz w:val="14"/>
          <w:szCs w:val="14"/>
          <w:lang w:val="en-GB"/>
        </w:rPr>
        <w:t>Referring back to the previous list, although McGranahan et al. dealt with a global</w:t>
      </w:r>
      <w:r w:rsidRPr="007133D4">
        <w:rPr>
          <w:rFonts w:ascii="Georgia" w:eastAsia="Times New Roman" w:hAnsi="Georgia" w:cs="Times New Roman"/>
          <w:color w:val="000000"/>
          <w:sz w:val="14"/>
          <w:szCs w:val="14"/>
          <w:lang w:val="en-GB" w:eastAsia="hu-HU"/>
        </w:rPr>
        <w:t xml:space="preserve"> review of the population and urban settlement patterns in the Low Elevation Coastal Zone, their study is typically a single climate challenge-oriented analysis /coastal vulnerability/ and not a comprehensive adaptation policy overview.</w:t>
      </w:r>
    </w:p>
  </w:footnote>
  <w:footnote w:id="33">
    <w:p w14:paraId="16D9E92F" w14:textId="77777777" w:rsidR="00C54FBE" w:rsidRPr="007133D4" w:rsidRDefault="00C54FBE" w:rsidP="00C54FBE">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w:t>
      </w:r>
      <w:r w:rsidRPr="007133D4">
        <w:rPr>
          <w:rFonts w:ascii="Georgia" w:eastAsia="Times New Roman" w:hAnsi="Georgia" w:cs="Open Sans"/>
          <w:sz w:val="14"/>
          <w:szCs w:val="14"/>
          <w:lang w:val="en-GB" w:eastAsia="hu-HU"/>
        </w:rPr>
        <w:t>Bridging these two forms of knowledge having the potential to become strategically relevant in the concept of risk that links environment and people from the Natural Hazards paradigm - holistic Geography can take an important lead in worldwide – say Taylor and O’Keefe.</w:t>
      </w:r>
    </w:p>
  </w:footnote>
  <w:footnote w:id="34">
    <w:p w14:paraId="40D366D9" w14:textId="63559A29" w:rsidR="00C54FBE" w:rsidRPr="006C6F06" w:rsidRDefault="00C54FBE" w:rsidP="00C54FBE">
      <w:pPr>
        <w:pStyle w:val="Lbjegyzetszveg"/>
        <w:jc w:val="both"/>
        <w:rPr>
          <w:rFonts w:ascii="Georgia" w:hAnsi="Georgia"/>
          <w:sz w:val="14"/>
          <w:szCs w:val="14"/>
          <w:lang w:val="en-GB"/>
        </w:rPr>
      </w:pPr>
      <w:r w:rsidRPr="007133D4">
        <w:rPr>
          <w:rStyle w:val="Lbjegyzet-hivatkozs"/>
          <w:rFonts w:ascii="Georgia" w:hAnsi="Georgia"/>
          <w:sz w:val="14"/>
          <w:szCs w:val="14"/>
          <w:lang w:val="en-GB"/>
        </w:rPr>
        <w:footnoteRef/>
      </w:r>
      <w:r w:rsidRPr="007133D4">
        <w:rPr>
          <w:rFonts w:ascii="Georgia" w:hAnsi="Georgia"/>
          <w:sz w:val="14"/>
          <w:szCs w:val="14"/>
          <w:lang w:val="en-GB"/>
        </w:rPr>
        <w:t xml:space="preserve"> Looking at adaptation, the geographical literature highlights the need to link adaptation policies to broader processes of socioenvironmental change considering sociocultural, economic, political, financial, and governance processes and involving relations and negotiations at different geographical scales. Geographers are giving an important contribution in asking for a cultural shift on developing and managing climate change responses also thanks to the debate on scales, giving insights on the kind of processes that determine the production of scales of action, the kind of knowledge and expertise that dominate, and the priorities </w:t>
      </w:r>
      <w:r w:rsidR="007133D4" w:rsidRPr="007133D4">
        <w:rPr>
          <w:rFonts w:ascii="Georgia" w:hAnsi="Georgia"/>
          <w:sz w:val="14"/>
          <w:szCs w:val="14"/>
          <w:lang w:val="en-GB"/>
        </w:rPr>
        <w:t>favoured</w:t>
      </w:r>
      <w:r w:rsidRPr="007133D4">
        <w:rPr>
          <w:rFonts w:ascii="Georgia" w:hAnsi="Georgia"/>
          <w:sz w:val="14"/>
          <w:szCs w:val="14"/>
          <w:lang w:val="en-GB"/>
        </w:rPr>
        <w:t xml:space="preserve"> at different scales. In particular, the geographical literature is focusing on the role of the rescaling of environmental governance in creating its own governance objects, like “the global climate”</w:t>
      </w:r>
      <w:r w:rsidRPr="007133D4">
        <w:rPr>
          <w:rFonts w:ascii="Georgia" w:hAnsi="Georgia" w:cstheme="minorHAnsi"/>
          <w:smallCaps/>
          <w:sz w:val="14"/>
          <w:szCs w:val="14"/>
          <w:lang w:val="en-GB"/>
        </w:rPr>
        <w:t xml:space="preserve"> (Pietta, 2023)</w:t>
      </w:r>
      <w:r w:rsidRPr="007133D4">
        <w:rPr>
          <w:rFonts w:ascii="Georgia" w:hAnsi="Georgia"/>
          <w:sz w:val="14"/>
          <w:szCs w:val="14"/>
          <w:lang w:val="en-GB"/>
        </w:rPr>
        <w:t>.</w:t>
      </w:r>
    </w:p>
  </w:footnote>
  <w:footnote w:id="35">
    <w:p w14:paraId="5C1EEEF8" w14:textId="368D0891" w:rsidR="00D71FAE" w:rsidRPr="006C6F06" w:rsidRDefault="00D71FAE" w:rsidP="00D71FAE">
      <w:pPr>
        <w:pStyle w:val="Lbjegyzetszveg"/>
        <w:jc w:val="both"/>
        <w:rPr>
          <w:rFonts w:ascii="Georgia" w:hAnsi="Georgia"/>
          <w:sz w:val="14"/>
          <w:szCs w:val="14"/>
        </w:rPr>
      </w:pPr>
      <w:r w:rsidRPr="006C6F06">
        <w:rPr>
          <w:rStyle w:val="Lbjegyzet-hivatkozs"/>
          <w:rFonts w:ascii="Georgia" w:hAnsi="Georgia"/>
          <w:sz w:val="14"/>
          <w:szCs w:val="14"/>
        </w:rPr>
        <w:footnoteRef/>
      </w:r>
      <w:r w:rsidRPr="006C6F06">
        <w:rPr>
          <w:rFonts w:ascii="Georgia" w:hAnsi="Georgia"/>
          <w:sz w:val="14"/>
          <w:szCs w:val="14"/>
        </w:rPr>
        <w:t xml:space="preserve"> </w:t>
      </w:r>
      <w:r w:rsidRPr="006C6F06">
        <w:rPr>
          <w:rFonts w:ascii="Georgia" w:eastAsia="Times New Roman" w:hAnsi="Georgia" w:cs="Open Sans"/>
          <w:sz w:val="14"/>
          <w:szCs w:val="14"/>
          <w:lang w:val="en-GB" w:eastAsia="hu-HU"/>
        </w:rPr>
        <w:t xml:space="preserve">He found that there </w:t>
      </w:r>
      <w:r w:rsidR="006A6912" w:rsidRPr="006C6F06">
        <w:rPr>
          <w:rFonts w:ascii="Georgia" w:eastAsia="Times New Roman" w:hAnsi="Georgia" w:cs="Open Sans"/>
          <w:sz w:val="14"/>
          <w:szCs w:val="14"/>
          <w:lang w:val="en-GB" w:eastAsia="hu-HU"/>
        </w:rPr>
        <w:t>is</w:t>
      </w:r>
      <w:r w:rsidRPr="006C6F06">
        <w:rPr>
          <w:rFonts w:ascii="Georgia" w:eastAsia="Times New Roman" w:hAnsi="Georgia" w:cs="Open Sans"/>
          <w:sz w:val="14"/>
          <w:szCs w:val="14"/>
          <w:lang w:val="en-GB" w:eastAsia="hu-HU"/>
        </w:rPr>
        <w:t xml:space="preserve"> far more research on the climate change by physical than human geographers despite the fact that regional research in geography has been made largely by human geographers, often along with regional planning. Regions, says Taylor, are today understood dynamically as results of territorial/relational processes that are constructed, reproduced and annihilated by active human interventions – so understanding regions is of key importance in the context of climate change.</w:t>
      </w:r>
    </w:p>
  </w:footnote>
  <w:footnote w:id="36">
    <w:p w14:paraId="091D6435" w14:textId="77777777" w:rsidR="00C54FBE" w:rsidRPr="006C6F06" w:rsidRDefault="00C54FBE" w:rsidP="00C54FBE">
      <w:pPr>
        <w:pStyle w:val="Lbjegyzetszveg"/>
        <w:jc w:val="both"/>
        <w:rPr>
          <w:rFonts w:ascii="Georgia" w:hAnsi="Georgia"/>
          <w:sz w:val="14"/>
          <w:szCs w:val="14"/>
          <w:lang w:val="en-GB"/>
        </w:rPr>
      </w:pPr>
      <w:r w:rsidRPr="006C6F06">
        <w:rPr>
          <w:rStyle w:val="Lbjegyzet-hivatkozs"/>
          <w:rFonts w:ascii="Georgia" w:hAnsi="Georgia"/>
          <w:sz w:val="14"/>
          <w:szCs w:val="14"/>
          <w:lang w:val="en-GB"/>
        </w:rPr>
        <w:footnoteRef/>
      </w:r>
      <w:r w:rsidRPr="006C6F06">
        <w:rPr>
          <w:rFonts w:ascii="Georgia" w:hAnsi="Georgia"/>
          <w:sz w:val="14"/>
          <w:szCs w:val="14"/>
          <w:lang w:val="en-GB"/>
        </w:rPr>
        <w:t xml:space="preserve"> Producing credible sustainability regions requires identification of a different economic process that can generate localizations at one meaningful scale of activities - cities in their functional regions. Sustainable regions are urban regions: including their relations with their hinterland, their taking part in a regional group of cities and city networks through which individual city innovations are diffused (Taylor, 2023).</w:t>
      </w:r>
    </w:p>
  </w:footnote>
  <w:footnote w:id="37">
    <w:p w14:paraId="479A02C5" w14:textId="77777777" w:rsidR="00C54FBE" w:rsidRPr="006C6F06" w:rsidRDefault="00C54FBE" w:rsidP="00C54FBE">
      <w:pPr>
        <w:pStyle w:val="Lbjegyzetszveg"/>
        <w:jc w:val="both"/>
        <w:rPr>
          <w:rFonts w:ascii="Georgia" w:hAnsi="Georgia"/>
          <w:sz w:val="14"/>
          <w:szCs w:val="14"/>
          <w:lang w:val="en-GB"/>
        </w:rPr>
      </w:pPr>
      <w:r w:rsidRPr="006C6F06">
        <w:rPr>
          <w:rStyle w:val="Lbjegyzet-hivatkozs"/>
          <w:rFonts w:ascii="Georgia" w:hAnsi="Georgia"/>
          <w:sz w:val="14"/>
          <w:szCs w:val="14"/>
        </w:rPr>
        <w:footnoteRef/>
      </w:r>
      <w:r w:rsidRPr="006C6F06">
        <w:rPr>
          <w:rFonts w:ascii="Georgia" w:hAnsi="Georgia"/>
          <w:sz w:val="14"/>
          <w:szCs w:val="14"/>
        </w:rPr>
        <w:t xml:space="preserve"> </w:t>
      </w:r>
      <w:r w:rsidRPr="006C6F06">
        <w:rPr>
          <w:rFonts w:ascii="Georgia" w:hAnsi="Georgia"/>
          <w:sz w:val="14"/>
          <w:szCs w:val="14"/>
          <w:lang w:val="en-GB"/>
        </w:rPr>
        <w:t>The latter formation is, according to the author, about „outliving today's climate change through an ecological focus on mutuality rather than hierarchy. And this must include cities. Regions for mitigating change are defined by physical processes; the regions for building sustainability by social processes, meanwhile regions of stewardship as humans-in-nature bring forth the immensely difficult task of synthesis” (Taylor, 2023, pp…)</w:t>
      </w:r>
    </w:p>
  </w:footnote>
  <w:footnote w:id="38">
    <w:p w14:paraId="7A0E7B51" w14:textId="77777777" w:rsidR="004128E6" w:rsidRPr="00AC1256" w:rsidRDefault="004128E6" w:rsidP="004128E6">
      <w:pPr>
        <w:pStyle w:val="Lbjegyzetszveg"/>
        <w:jc w:val="both"/>
        <w:rPr>
          <w:rFonts w:ascii="Georgia" w:hAnsi="Georgia"/>
          <w:sz w:val="14"/>
          <w:szCs w:val="14"/>
        </w:rPr>
      </w:pPr>
      <w:r w:rsidRPr="00AC1256">
        <w:rPr>
          <w:rStyle w:val="Lbjegyzet-hivatkozs"/>
          <w:rFonts w:ascii="Georgia" w:hAnsi="Georgia"/>
          <w:sz w:val="14"/>
          <w:szCs w:val="14"/>
        </w:rPr>
        <w:footnoteRef/>
      </w:r>
      <w:r w:rsidRPr="00AC1256">
        <w:rPr>
          <w:rFonts w:ascii="Georgia" w:hAnsi="Georgia"/>
          <w:sz w:val="14"/>
          <w:szCs w:val="14"/>
        </w:rPr>
        <w:t xml:space="preserve"> </w:t>
      </w:r>
      <w:r w:rsidRPr="00AC1256">
        <w:rPr>
          <w:rFonts w:ascii="Georgia" w:hAnsi="Georgia" w:cs="Times New Roman"/>
          <w:sz w:val="14"/>
          <w:szCs w:val="14"/>
          <w:lang w:val="en-GB"/>
        </w:rPr>
        <w:t>Sectoral planning authorities frequently undervalue the significance of spatial patterns.</w:t>
      </w:r>
    </w:p>
  </w:footnote>
  <w:footnote w:id="39">
    <w:p w14:paraId="4A0282EF" w14:textId="77777777" w:rsidR="00C956D2" w:rsidRPr="006515C5" w:rsidRDefault="00C956D2" w:rsidP="006515C5">
      <w:pPr>
        <w:pStyle w:val="Lbjegyzetszveg"/>
        <w:jc w:val="both"/>
        <w:rPr>
          <w:rFonts w:ascii="Georgia" w:hAnsi="Georgia"/>
          <w:sz w:val="14"/>
          <w:szCs w:val="14"/>
        </w:rPr>
      </w:pPr>
      <w:r w:rsidRPr="006515C5">
        <w:rPr>
          <w:rStyle w:val="Lbjegyzet-hivatkozs"/>
          <w:rFonts w:ascii="Georgia" w:hAnsi="Georgia"/>
          <w:sz w:val="14"/>
          <w:szCs w:val="14"/>
        </w:rPr>
        <w:footnoteRef/>
      </w:r>
      <w:r w:rsidRPr="006515C5">
        <w:rPr>
          <w:rFonts w:ascii="Georgia" w:hAnsi="Georgia"/>
          <w:sz w:val="14"/>
          <w:szCs w:val="14"/>
        </w:rPr>
        <w:t xml:space="preserve"> </w:t>
      </w:r>
      <w:r w:rsidRPr="006515C5">
        <w:rPr>
          <w:rFonts w:ascii="Georgia" w:hAnsi="Georgia" w:cs="Times New Roman"/>
          <w:sz w:val="14"/>
          <w:szCs w:val="14"/>
          <w:lang w:val="en-GB"/>
        </w:rPr>
        <w:t>After they had examined national level spatial plans in Europe, they found that risk assessments are not part of these and their elaboration is rather the responsibility of sectoral planning. However, spatial planning can also make use of hazard information and risk assessments’ results at regional and local level. So, the authors say that spatial planning should undertake a coordinative role conducting multi risk assessments considering all relevant hazards for given regions (</w:t>
      </w:r>
      <w:r w:rsidRPr="006515C5">
        <w:rPr>
          <w:rFonts w:ascii="Georgia" w:hAnsi="Georgia" w:cs="Times New Roman"/>
          <w:smallCaps/>
          <w:sz w:val="14"/>
          <w:szCs w:val="14"/>
          <w:lang w:val="en-GB"/>
        </w:rPr>
        <w:t>Greiving-Schmidt-Thomé</w:t>
      </w:r>
      <w:r w:rsidRPr="006515C5">
        <w:rPr>
          <w:rFonts w:ascii="Georgia" w:hAnsi="Georgia" w:cs="Times New Roman"/>
          <w:sz w:val="14"/>
          <w:szCs w:val="14"/>
          <w:lang w:val="en-GB"/>
        </w:rPr>
        <w:t>, 2013).</w:t>
      </w:r>
    </w:p>
  </w:footnote>
  <w:footnote w:id="40">
    <w:p w14:paraId="34141AC1" w14:textId="77777777" w:rsidR="00D75860" w:rsidRPr="006515C5" w:rsidRDefault="00D75860" w:rsidP="006515C5">
      <w:pPr>
        <w:pStyle w:val="Lbjegyzetszveg"/>
        <w:jc w:val="both"/>
        <w:rPr>
          <w:rFonts w:ascii="Georgia" w:hAnsi="Georgia" w:cs="Times New Roman"/>
          <w:sz w:val="14"/>
          <w:szCs w:val="14"/>
          <w:lang w:val="en-GB"/>
        </w:rPr>
      </w:pPr>
      <w:r w:rsidRPr="006515C5">
        <w:rPr>
          <w:rStyle w:val="Lbjegyzet-hivatkozs"/>
          <w:rFonts w:ascii="Georgia" w:hAnsi="Georgia" w:cs="Times New Roman"/>
          <w:sz w:val="14"/>
          <w:szCs w:val="14"/>
          <w:lang w:val="en-GB"/>
        </w:rPr>
        <w:footnoteRef/>
      </w:r>
      <w:r w:rsidRPr="006515C5">
        <w:rPr>
          <w:rFonts w:ascii="Georgia" w:hAnsi="Georgia" w:cs="Times New Roman"/>
          <w:sz w:val="14"/>
          <w:szCs w:val="14"/>
          <w:lang w:val="en-GB"/>
        </w:rPr>
        <w:t xml:space="preserve"> National climate change adaptation strategies of European states from a spatial planning/regional development perspective</w:t>
      </w:r>
    </w:p>
  </w:footnote>
  <w:footnote w:id="41">
    <w:p w14:paraId="02531E08" w14:textId="77777777" w:rsidR="00D75860" w:rsidRPr="006515C5" w:rsidRDefault="00D75860" w:rsidP="006515C5">
      <w:pPr>
        <w:pStyle w:val="Lbjegyzetszveg"/>
        <w:jc w:val="both"/>
        <w:rPr>
          <w:rStyle w:val="Lbjegyzet-hivatkozs"/>
          <w:rFonts w:ascii="Georgia" w:hAnsi="Georgia" w:cs="Times New Roman"/>
          <w:sz w:val="14"/>
          <w:szCs w:val="14"/>
          <w:lang w:val="en-GB"/>
        </w:rPr>
      </w:pPr>
      <w:r w:rsidRPr="006515C5">
        <w:rPr>
          <w:rStyle w:val="Lbjegyzet-hivatkozs"/>
          <w:rFonts w:ascii="Georgia" w:hAnsi="Georgia" w:cs="Times New Roman"/>
          <w:sz w:val="14"/>
          <w:szCs w:val="14"/>
          <w:lang w:val="en-GB"/>
        </w:rPr>
        <w:footnoteRef/>
      </w:r>
      <w:r w:rsidRPr="006515C5">
        <w:rPr>
          <w:rStyle w:val="Lbjegyzet-hivatkozs"/>
          <w:rFonts w:ascii="Georgia" w:hAnsi="Georgia" w:cs="Times New Roman"/>
          <w:sz w:val="14"/>
          <w:szCs w:val="14"/>
          <w:lang w:val="en-GB"/>
        </w:rPr>
        <w:t xml:space="preserve"> </w:t>
      </w:r>
      <w:r w:rsidRPr="006515C5">
        <w:rPr>
          <w:rStyle w:val="Lbjegyzet-hivatkozs"/>
          <w:rFonts w:ascii="Georgia" w:hAnsi="Georgia" w:cs="Times New Roman"/>
          <w:sz w:val="14"/>
          <w:szCs w:val="14"/>
          <w:vertAlign w:val="baseline"/>
          <w:lang w:val="en-GB"/>
        </w:rPr>
        <w:t>Germany, Finland, France, Greece, Hungary, Poland, the Netherlands, the United Kingdom and Spain was analysed.</w:t>
      </w:r>
      <w:r w:rsidRPr="006515C5">
        <w:rPr>
          <w:rFonts w:ascii="Georgia" w:hAnsi="Georgia" w:cs="Times New Roman"/>
          <w:sz w:val="14"/>
          <w:szCs w:val="14"/>
          <w:lang w:val="en-GB"/>
        </w:rPr>
        <w:t xml:space="preserve"> First the authors assessed existing examinations and evaluations through a cross-section meta-analysis to identify what role spatial planning and development play in adaptation strategies. The results were used for comparing national adaptation strategic documents through case studies.</w:t>
      </w:r>
    </w:p>
  </w:footnote>
  <w:footnote w:id="42">
    <w:p w14:paraId="573E1C62" w14:textId="77777777" w:rsidR="0051469C" w:rsidRPr="00904353" w:rsidRDefault="0051469C" w:rsidP="006515C5">
      <w:pPr>
        <w:pStyle w:val="Lbjegyzetszveg"/>
        <w:jc w:val="both"/>
        <w:rPr>
          <w:rFonts w:ascii="Georgia" w:hAnsi="Georgia"/>
          <w:sz w:val="14"/>
          <w:szCs w:val="14"/>
          <w:lang w:val="en-GB"/>
        </w:rPr>
      </w:pPr>
      <w:r w:rsidRPr="00904353">
        <w:rPr>
          <w:rStyle w:val="Lbjegyzet-hivatkozs"/>
          <w:rFonts w:ascii="Georgia" w:hAnsi="Georgia"/>
          <w:sz w:val="14"/>
          <w:szCs w:val="14"/>
          <w:lang w:val="en-GB"/>
        </w:rPr>
        <w:footnoteRef/>
      </w:r>
      <w:r w:rsidRPr="00904353">
        <w:rPr>
          <w:rFonts w:ascii="Georgia" w:hAnsi="Georgia"/>
          <w:sz w:val="14"/>
          <w:szCs w:val="14"/>
          <w:lang w:val="en-GB"/>
        </w:rPr>
        <w:t xml:space="preserve"> These are water management, coastal regions, urban planning, housing, architecture, energy, transport, tourism/recreation and disaster risk management.</w:t>
      </w:r>
    </w:p>
  </w:footnote>
  <w:footnote w:id="43">
    <w:p w14:paraId="5CE5DBDB" w14:textId="27AB7ABF" w:rsidR="006515C5" w:rsidRPr="00904353" w:rsidRDefault="006515C5" w:rsidP="006515C5">
      <w:pPr>
        <w:pStyle w:val="Lbjegyzetszveg"/>
        <w:jc w:val="both"/>
        <w:rPr>
          <w:rFonts w:ascii="Georgia" w:hAnsi="Georgia"/>
          <w:sz w:val="14"/>
          <w:szCs w:val="14"/>
        </w:rPr>
      </w:pPr>
      <w:r w:rsidRPr="00904353">
        <w:rPr>
          <w:rStyle w:val="Lbjegyzet-hivatkozs"/>
          <w:rFonts w:ascii="Georgia" w:hAnsi="Georgia"/>
          <w:sz w:val="14"/>
          <w:szCs w:val="14"/>
        </w:rPr>
        <w:footnoteRef/>
      </w:r>
      <w:r w:rsidRPr="00904353">
        <w:rPr>
          <w:rFonts w:ascii="Georgia" w:hAnsi="Georgia"/>
          <w:sz w:val="14"/>
          <w:szCs w:val="14"/>
        </w:rPr>
        <w:t xml:space="preserve"> </w:t>
      </w:r>
      <w:r w:rsidRPr="00904353">
        <w:rPr>
          <w:rFonts w:ascii="Georgia" w:hAnsi="Georgia"/>
          <w:sz w:val="14"/>
          <w:szCs w:val="14"/>
          <w:lang w:val="en-GB"/>
        </w:rPr>
        <w:t>The author addressed specific spatial planning measures such as coastal protection (that would go beyond dike construction and maintenance), safeguarding of areas for fresh and cold air flow in the settlement development process, safeguarding and structuring of water supply, contributing planning input to adaptive agriculture and forestry as well as regulating intensities of land use</w:t>
      </w:r>
    </w:p>
  </w:footnote>
  <w:footnote w:id="44">
    <w:p w14:paraId="04D3D07E" w14:textId="77777777" w:rsidR="0051469C" w:rsidRPr="00904353" w:rsidRDefault="0051469C" w:rsidP="006515C5">
      <w:pPr>
        <w:pStyle w:val="Lbjegyzetszveg"/>
        <w:jc w:val="both"/>
        <w:rPr>
          <w:rFonts w:ascii="Georgia" w:hAnsi="Georgia" w:cs="Times New Roman"/>
          <w:sz w:val="14"/>
          <w:szCs w:val="14"/>
          <w:lang w:val="en-GB"/>
        </w:rPr>
      </w:pPr>
      <w:r w:rsidRPr="00904353">
        <w:rPr>
          <w:rStyle w:val="Lbjegyzet-hivatkozs"/>
          <w:rFonts w:ascii="Georgia" w:hAnsi="Georgia" w:cs="Times New Roman"/>
          <w:sz w:val="14"/>
          <w:szCs w:val="14"/>
          <w:lang w:val="en-GB"/>
        </w:rPr>
        <w:footnoteRef/>
      </w:r>
      <w:r w:rsidRPr="00904353">
        <w:rPr>
          <w:rFonts w:ascii="Georgia" w:hAnsi="Georgia" w:cs="Times New Roman"/>
          <w:sz w:val="14"/>
          <w:szCs w:val="14"/>
          <w:lang w:val="en-GB"/>
        </w:rPr>
        <w:t xml:space="preserve"> Adaptation to climate change: does spatial planning help? Swarm planning does!</w:t>
      </w:r>
    </w:p>
  </w:footnote>
  <w:footnote w:id="45">
    <w:p w14:paraId="4CF23309" w14:textId="3DB09439" w:rsidR="0051469C" w:rsidRPr="00904353" w:rsidRDefault="0051469C" w:rsidP="006515C5">
      <w:pPr>
        <w:pStyle w:val="Lbjegyzetszveg"/>
        <w:jc w:val="both"/>
        <w:rPr>
          <w:rFonts w:ascii="Georgia" w:hAnsi="Georgia" w:cs="Times New Roman"/>
          <w:sz w:val="14"/>
          <w:szCs w:val="14"/>
          <w:lang w:val="en-GB"/>
        </w:rPr>
      </w:pPr>
      <w:r w:rsidRPr="00904353">
        <w:rPr>
          <w:rStyle w:val="Lbjegyzet-hivatkozs"/>
          <w:rFonts w:ascii="Georgia" w:hAnsi="Georgia" w:cs="Times New Roman"/>
          <w:sz w:val="14"/>
          <w:szCs w:val="14"/>
          <w:lang w:val="en-GB"/>
        </w:rPr>
        <w:footnoteRef/>
      </w:r>
      <w:r w:rsidRPr="00904353">
        <w:rPr>
          <w:rFonts w:ascii="Georgia" w:hAnsi="Georgia" w:cs="Times New Roman"/>
          <w:sz w:val="14"/>
          <w:szCs w:val="14"/>
          <w:lang w:val="en-GB"/>
        </w:rPr>
        <w:t xml:space="preserve">Here must be mentioned, to avoid misunderstanding, that Dutch spatial plans are some </w:t>
      </w:r>
      <w:r w:rsidR="00C1798F" w:rsidRPr="00904353">
        <w:rPr>
          <w:rFonts w:ascii="Georgia" w:hAnsi="Georgia" w:cs="Times New Roman"/>
          <w:sz w:val="14"/>
          <w:szCs w:val="14"/>
          <w:lang w:val="en-GB"/>
        </w:rPr>
        <w:t>kinds</w:t>
      </w:r>
      <w:r w:rsidRPr="00904353">
        <w:rPr>
          <w:rFonts w:ascii="Georgia" w:hAnsi="Georgia" w:cs="Times New Roman"/>
          <w:sz w:val="14"/>
          <w:szCs w:val="14"/>
          <w:lang w:val="en-GB"/>
        </w:rPr>
        <w:t xml:space="preserve"> of a transition between Hungarian territorial development concepts with strategic development directions and physical plans depicting land use categories.</w:t>
      </w:r>
      <w:r w:rsidRPr="00904353">
        <w:rPr>
          <w:rFonts w:ascii="Georgia" w:hAnsi="Georgia"/>
          <w:sz w:val="14"/>
          <w:szCs w:val="14"/>
        </w:rPr>
        <w:t xml:space="preserve"> </w:t>
      </w:r>
      <w:r w:rsidRPr="00904353">
        <w:rPr>
          <w:rFonts w:ascii="Georgia" w:hAnsi="Georgia" w:cs="Times New Roman"/>
          <w:sz w:val="14"/>
          <w:szCs w:val="14"/>
          <w:lang w:val="en-GB"/>
        </w:rPr>
        <w:t xml:space="preserve">In Roggema’s approach spatial planning is no longer concerned with the whole picture but focuses on nodes (or as he calls them: tipping points) in the network and designs interventions for them. The effective spatial planning, argues ROGGEMA, introduces essential impulses into these tipping points to influence the whole system, coordinating the spatial natural, physical, societal, economic and political elements to achieve the state of optimal balance. The name of the new paradigm comes from the similarity to a flock of birds. “Swarm”, like </w:t>
      </w:r>
      <w:r w:rsidR="00C1798F" w:rsidRPr="00904353">
        <w:rPr>
          <w:rFonts w:ascii="Georgia" w:hAnsi="Georgia" w:cs="Times New Roman"/>
          <w:sz w:val="14"/>
          <w:szCs w:val="14"/>
          <w:lang w:val="en-GB"/>
        </w:rPr>
        <w:t>these groups</w:t>
      </w:r>
      <w:r w:rsidRPr="00904353">
        <w:rPr>
          <w:rFonts w:ascii="Georgia" w:hAnsi="Georgia" w:cs="Times New Roman"/>
          <w:sz w:val="14"/>
          <w:szCs w:val="14"/>
          <w:lang w:val="en-GB"/>
        </w:rPr>
        <w:t xml:space="preserve"> of birds, is able to change its shape constantly under influence/intervention and reshape itself after external impacts.</w:t>
      </w:r>
    </w:p>
  </w:footnote>
  <w:footnote w:id="46">
    <w:p w14:paraId="7725307A" w14:textId="77777777" w:rsidR="00C01895" w:rsidRPr="00904353" w:rsidRDefault="00C01895" w:rsidP="00A95D70">
      <w:pPr>
        <w:pStyle w:val="Lbjegyzetszveg"/>
        <w:jc w:val="both"/>
        <w:rPr>
          <w:rFonts w:ascii="Georgia" w:hAnsi="Georgia"/>
          <w:sz w:val="14"/>
          <w:szCs w:val="14"/>
        </w:rPr>
      </w:pPr>
      <w:r w:rsidRPr="00904353">
        <w:rPr>
          <w:rStyle w:val="Lbjegyzet-hivatkozs"/>
          <w:rFonts w:ascii="Georgia" w:hAnsi="Georgia"/>
          <w:sz w:val="14"/>
          <w:szCs w:val="14"/>
        </w:rPr>
        <w:footnoteRef/>
      </w:r>
      <w:r w:rsidRPr="00904353">
        <w:rPr>
          <w:rFonts w:ascii="Georgia" w:hAnsi="Georgia"/>
          <w:sz w:val="14"/>
          <w:szCs w:val="14"/>
        </w:rPr>
        <w:t xml:space="preserve"> </w:t>
      </w:r>
      <w:r w:rsidRPr="00904353">
        <w:rPr>
          <w:rFonts w:ascii="Georgia" w:hAnsi="Georgia" w:cs="Times New Roman"/>
          <w:sz w:val="14"/>
          <w:szCs w:val="14"/>
          <w:lang w:val="en-GB"/>
        </w:rPr>
        <w:t>They urge shifts in approaches of existing planning systems and formal tools towards more adaptive and strategic planning visions. The main strength of adaptive urban governance, according to the authors, is the continuous learning process enforced in planning in order to deal effectively with future environmental and societal changes.</w:t>
      </w:r>
    </w:p>
  </w:footnote>
  <w:footnote w:id="47">
    <w:p w14:paraId="68C1A38A" w14:textId="77777777" w:rsidR="00C01895" w:rsidRPr="00904353" w:rsidRDefault="00C01895" w:rsidP="00C01895">
      <w:pPr>
        <w:pStyle w:val="Lbjegyzetszveg"/>
        <w:jc w:val="both"/>
        <w:rPr>
          <w:rStyle w:val="Lbjegyzet-hivatkozs"/>
          <w:rFonts w:ascii="Georgia" w:hAnsi="Georgia" w:cs="Times New Roman"/>
          <w:sz w:val="14"/>
          <w:szCs w:val="14"/>
          <w:vertAlign w:val="baseline"/>
        </w:rPr>
      </w:pPr>
      <w:r w:rsidRPr="00904353">
        <w:rPr>
          <w:rStyle w:val="Lbjegyzet-hivatkozs"/>
          <w:rFonts w:ascii="Georgia" w:hAnsi="Georgia" w:cs="Times New Roman"/>
          <w:sz w:val="14"/>
          <w:szCs w:val="14"/>
          <w:lang w:val="en-GB"/>
        </w:rPr>
        <w:footnoteRef/>
      </w:r>
      <w:r w:rsidRPr="00904353">
        <w:rPr>
          <w:rStyle w:val="Lbjegyzet-hivatkozs"/>
          <w:rFonts w:ascii="Georgia" w:hAnsi="Georgia" w:cs="Times New Roman"/>
          <w:sz w:val="14"/>
          <w:szCs w:val="14"/>
          <w:vertAlign w:val="baseline"/>
          <w:lang w:val="en-GB"/>
        </w:rPr>
        <w:t xml:space="preserve"> </w:t>
      </w:r>
      <w:r w:rsidRPr="00904353">
        <w:rPr>
          <w:rFonts w:ascii="Georgia" w:hAnsi="Georgia" w:cs="Times New Roman"/>
          <w:sz w:val="14"/>
          <w:szCs w:val="14"/>
          <w:lang w:val="en-GB"/>
        </w:rPr>
        <w:t xml:space="preserve">Moreover stronger incentives for data exchange are needed; the use of different hazard and vulnerability scenarios and risk profiles must be propagated; and more research is needed to develop practical planning tools. </w:t>
      </w:r>
      <w:r w:rsidRPr="00904353">
        <w:rPr>
          <w:rStyle w:val="Lbjegyzet-hivatkozs"/>
          <w:rFonts w:ascii="Georgia" w:hAnsi="Georgia" w:cs="Times New Roman"/>
          <w:sz w:val="14"/>
          <w:szCs w:val="14"/>
          <w:vertAlign w:val="baseline"/>
          <w:lang w:val="en-GB"/>
        </w:rPr>
        <w:t>According to the authors the main challenges  are as follows: lack of adaptation and risk reduction aspects in spatial planning</w:t>
      </w:r>
      <w:r w:rsidRPr="00904353">
        <w:rPr>
          <w:rFonts w:ascii="Georgia" w:hAnsi="Georgia" w:cs="Times New Roman"/>
          <w:sz w:val="14"/>
          <w:szCs w:val="14"/>
          <w:lang w:val="en-GB"/>
        </w:rPr>
        <w:t>;</w:t>
      </w:r>
      <w:r w:rsidRPr="00904353">
        <w:rPr>
          <w:rStyle w:val="Lbjegyzet-hivatkozs"/>
          <w:rFonts w:ascii="Georgia" w:hAnsi="Georgia" w:cs="Times New Roman"/>
          <w:sz w:val="14"/>
          <w:szCs w:val="14"/>
          <w:vertAlign w:val="baseline"/>
          <w:lang w:val="en-GB"/>
        </w:rPr>
        <w:t xml:space="preserve"> plans are not accountable enough for the differential and dynamically changing physical/social vulnerabilities; lack of broader participation of local stakeholders; lack of cooperation between </w:t>
      </w:r>
      <w:r w:rsidRPr="00904353">
        <w:rPr>
          <w:rFonts w:ascii="Georgia" w:hAnsi="Georgia" w:cs="Times New Roman"/>
          <w:sz w:val="14"/>
          <w:szCs w:val="14"/>
          <w:lang w:val="en-GB"/>
        </w:rPr>
        <w:t>different sectoral fields (</w:t>
      </w:r>
      <w:r w:rsidRPr="00904353">
        <w:rPr>
          <w:rStyle w:val="Lbjegyzet-hivatkozs"/>
          <w:rFonts w:ascii="Georgia" w:hAnsi="Georgia" w:cs="Times New Roman"/>
          <w:sz w:val="14"/>
          <w:szCs w:val="14"/>
          <w:vertAlign w:val="baseline"/>
          <w:lang w:val="en-GB"/>
        </w:rPr>
        <w:t xml:space="preserve">physical planning/socio-economic development/environmental protection/climate policy); lack of prioritization and classification of different vulnerabilities of urban areas and critical infrastructures; </w:t>
      </w:r>
      <w:r w:rsidRPr="00904353">
        <w:rPr>
          <w:rFonts w:ascii="Georgia" w:hAnsi="Georgia" w:cs="Times New Roman"/>
          <w:sz w:val="14"/>
          <w:szCs w:val="14"/>
          <w:lang w:val="en-GB"/>
        </w:rPr>
        <w:t xml:space="preserve">the increasing ability of </w:t>
      </w:r>
      <w:r w:rsidRPr="00904353">
        <w:rPr>
          <w:rStyle w:val="Lbjegyzet-hivatkozs"/>
          <w:rFonts w:ascii="Georgia" w:hAnsi="Georgia" w:cs="Times New Roman"/>
          <w:sz w:val="14"/>
          <w:szCs w:val="14"/>
          <w:vertAlign w:val="baseline"/>
          <w:lang w:val="en-GB"/>
        </w:rPr>
        <w:t>private business actors to influence urban development agendas; inequalities in capabilities of self-advocacy.</w:t>
      </w:r>
    </w:p>
  </w:footnote>
  <w:footnote w:id="48">
    <w:p w14:paraId="0CDE5D95" w14:textId="77777777" w:rsidR="004C4DFD" w:rsidRPr="00904353" w:rsidRDefault="004C4DFD" w:rsidP="004C4DFD">
      <w:pPr>
        <w:pStyle w:val="Lbjegyzetszveg"/>
        <w:jc w:val="both"/>
        <w:rPr>
          <w:rFonts w:ascii="Georgia" w:hAnsi="Georgia"/>
          <w:sz w:val="14"/>
          <w:szCs w:val="14"/>
        </w:rPr>
      </w:pPr>
      <w:r w:rsidRPr="00904353">
        <w:rPr>
          <w:rStyle w:val="Lbjegyzet-hivatkozs"/>
          <w:rFonts w:ascii="Georgia" w:hAnsi="Georgia"/>
          <w:sz w:val="14"/>
          <w:szCs w:val="14"/>
        </w:rPr>
        <w:footnoteRef/>
      </w:r>
      <w:r w:rsidRPr="00904353">
        <w:rPr>
          <w:rFonts w:ascii="Georgia" w:hAnsi="Georgia"/>
          <w:sz w:val="14"/>
          <w:szCs w:val="14"/>
        </w:rPr>
        <w:t xml:space="preserve"> </w:t>
      </w:r>
      <w:r w:rsidRPr="00904353">
        <w:rPr>
          <w:rFonts w:ascii="Georgia" w:hAnsi="Georgia" w:cs="Times New Roman"/>
          <w:sz w:val="14"/>
          <w:szCs w:val="14"/>
          <w:lang w:val="en-GB"/>
        </w:rPr>
        <w:t>According to the author the character of planning always represents a given period. So, the current competitiveness-oriented economic governance paradigm might soon be replaced/refined by a sustainability-oriented social perspective and if it really happens, says the author, it may handle the topic of climate policy as a flagship.</w:t>
      </w:r>
    </w:p>
  </w:footnote>
  <w:footnote w:id="49">
    <w:p w14:paraId="22CBD751" w14:textId="77777777" w:rsidR="00B055EA" w:rsidRPr="00904353" w:rsidRDefault="00B055EA" w:rsidP="00B30686">
      <w:pPr>
        <w:pStyle w:val="Lbjegyzetszveg"/>
        <w:jc w:val="both"/>
        <w:rPr>
          <w:rFonts w:ascii="Georgia" w:hAnsi="Georgia"/>
          <w:sz w:val="14"/>
          <w:szCs w:val="14"/>
          <w:lang w:val="en-GB"/>
        </w:rPr>
      </w:pPr>
      <w:r w:rsidRPr="00904353">
        <w:rPr>
          <w:rFonts w:ascii="Georgia" w:hAnsi="Georgia"/>
          <w:sz w:val="14"/>
          <w:szCs w:val="14"/>
          <w:vertAlign w:val="superscript"/>
          <w:lang w:val="en-GB"/>
        </w:rPr>
        <w:footnoteRef/>
      </w:r>
      <w:r w:rsidRPr="00904353">
        <w:rPr>
          <w:rFonts w:ascii="Georgia" w:hAnsi="Georgia"/>
          <w:sz w:val="14"/>
          <w:szCs w:val="14"/>
          <w:lang w:val="en-GB"/>
        </w:rPr>
        <w:t xml:space="preserve"> </w:t>
      </w:r>
      <w:r w:rsidRPr="00904353">
        <w:rPr>
          <w:rFonts w:ascii="Georgia" w:hAnsi="Georgia" w:cs="Times New Roman"/>
          <w:sz w:val="14"/>
          <w:szCs w:val="14"/>
          <w:lang w:val="en-GB"/>
        </w:rPr>
        <w:t>„</w:t>
      </w:r>
      <w:r w:rsidRPr="00904353">
        <w:rPr>
          <w:rFonts w:ascii="Georgia" w:hAnsi="Georgia"/>
          <w:sz w:val="14"/>
          <w:szCs w:val="14"/>
          <w:lang w:val="en-GB"/>
        </w:rPr>
        <w:t>Despite the call for sustainability transformation of infrastructure sectors to confront global environmental problems, current strategic planning approaches in these sectors tend to perpetuate conventional infrastructure investments. Some explains this as an ‘entrapment’ or a ‘lock-in’ phenomenon, with reference to planning and highlight that conventional planning approaches are entrenched within current decision-making frameworks and long-term planning follows the path-dependent legacy</w:t>
      </w:r>
      <w:r w:rsidRPr="00904353">
        <w:rPr>
          <w:rFonts w:ascii="Georgia" w:hAnsi="Georgia" w:cs="Times New Roman"/>
          <w:sz w:val="14"/>
          <w:szCs w:val="14"/>
          <w:lang w:val="en-GB"/>
        </w:rPr>
        <w:t>”</w:t>
      </w:r>
      <w:r w:rsidRPr="00904353">
        <w:rPr>
          <w:rFonts w:ascii="Georgia" w:hAnsi="Georgia"/>
          <w:sz w:val="14"/>
          <w:szCs w:val="14"/>
          <w:lang w:val="en-GB"/>
        </w:rPr>
        <w:t xml:space="preserve"> (Malekpour, </w:t>
      </w:r>
      <w:r w:rsidRPr="00904353">
        <w:rPr>
          <w:rFonts w:ascii="Georgia" w:hAnsi="Georgia" w:cs="Times New Roman"/>
          <w:sz w:val="14"/>
          <w:szCs w:val="14"/>
          <w:lang w:val="en-GB"/>
        </w:rPr>
        <w:t>et al.</w:t>
      </w:r>
      <w:r w:rsidRPr="00904353">
        <w:rPr>
          <w:rFonts w:ascii="Georgia" w:hAnsi="Georgia"/>
          <w:sz w:val="14"/>
          <w:szCs w:val="14"/>
          <w:lang w:val="en-GB"/>
        </w:rPr>
        <w:t xml:space="preserve"> 2015).</w:t>
      </w:r>
    </w:p>
  </w:footnote>
  <w:footnote w:id="50">
    <w:p w14:paraId="01100337" w14:textId="63AA4290" w:rsidR="00B055EA" w:rsidRPr="005819EC" w:rsidRDefault="00B055EA" w:rsidP="00B30686">
      <w:pPr>
        <w:pStyle w:val="Lbjegyzetszveg"/>
        <w:jc w:val="both"/>
        <w:rPr>
          <w:rFonts w:ascii="Georgia" w:hAnsi="Georgia"/>
          <w:sz w:val="14"/>
          <w:szCs w:val="14"/>
          <w:lang w:val="en-GB"/>
        </w:rPr>
      </w:pPr>
      <w:r w:rsidRPr="005819EC">
        <w:rPr>
          <w:rStyle w:val="Lbjegyzet-hivatkozs"/>
          <w:rFonts w:ascii="Georgia" w:hAnsi="Georgia"/>
          <w:sz w:val="14"/>
          <w:szCs w:val="14"/>
          <w:lang w:val="en-GB"/>
        </w:rPr>
        <w:footnoteRef/>
      </w:r>
      <w:r w:rsidRPr="005819EC">
        <w:rPr>
          <w:rFonts w:ascii="Georgia" w:hAnsi="Georgia"/>
          <w:sz w:val="14"/>
          <w:szCs w:val="14"/>
          <w:lang w:val="en-GB"/>
        </w:rPr>
        <w:t xml:space="preserve"> C</w:t>
      </w:r>
      <w:r w:rsidR="00B30686" w:rsidRPr="005819EC">
        <w:rPr>
          <w:rFonts w:ascii="Georgia" w:hAnsi="Georgia"/>
          <w:sz w:val="14"/>
          <w:szCs w:val="14"/>
          <w:lang w:val="en-GB"/>
        </w:rPr>
        <w:t>hevalier</w:t>
      </w:r>
      <w:r w:rsidRPr="005819EC">
        <w:rPr>
          <w:rFonts w:ascii="Georgia" w:hAnsi="Georgia"/>
          <w:sz w:val="14"/>
          <w:szCs w:val="14"/>
          <w:lang w:val="en-GB"/>
        </w:rPr>
        <w:t>, for instance, also finds the proper responses for these challenges in the form of planning when she suggests that when managing climate change’s unprecedented threat (with its long timescales and uneven impacts) an increasing focus must be put on programming and policy making. In these activities both incremental and transformative adaptation as well as community-based sustainable management of natural resources can play crucial role (</w:t>
      </w:r>
      <w:r w:rsidRPr="005819EC">
        <w:rPr>
          <w:rFonts w:ascii="Georgia" w:hAnsi="Georgia" w:cstheme="minorHAnsi"/>
          <w:smallCaps/>
          <w:sz w:val="14"/>
          <w:szCs w:val="14"/>
          <w:lang w:val="en-GB"/>
        </w:rPr>
        <w:t>C</w:t>
      </w:r>
      <w:r w:rsidR="0013079D" w:rsidRPr="005819EC">
        <w:rPr>
          <w:rFonts w:ascii="Georgia" w:hAnsi="Georgia" w:cstheme="minorHAnsi"/>
          <w:smallCaps/>
          <w:sz w:val="14"/>
          <w:szCs w:val="14"/>
          <w:lang w:val="en-GB"/>
        </w:rPr>
        <w:t>hevalier</w:t>
      </w:r>
      <w:r w:rsidRPr="005819EC">
        <w:rPr>
          <w:rFonts w:ascii="Georgia" w:hAnsi="Georgia" w:cstheme="minorHAnsi"/>
          <w:smallCaps/>
          <w:sz w:val="14"/>
          <w:szCs w:val="14"/>
          <w:lang w:val="en-GB"/>
        </w:rPr>
        <w:t>, 2017</w:t>
      </w:r>
      <w:r w:rsidRPr="005819EC">
        <w:rPr>
          <w:rFonts w:ascii="Georgia" w:hAnsi="Georgia"/>
          <w:sz w:val="14"/>
          <w:szCs w:val="14"/>
          <w:lang w:val="en-GB"/>
        </w:rPr>
        <w:t>).</w:t>
      </w:r>
    </w:p>
  </w:footnote>
  <w:footnote w:id="51">
    <w:p w14:paraId="5E580A37" w14:textId="77777777" w:rsidR="00B055EA" w:rsidRPr="005819EC" w:rsidRDefault="00B055EA" w:rsidP="00B30686">
      <w:pPr>
        <w:pStyle w:val="Lbjegyzetszveg"/>
        <w:jc w:val="both"/>
        <w:rPr>
          <w:rFonts w:ascii="Georgia" w:hAnsi="Georgia" w:cs="Times New Roman"/>
          <w:sz w:val="14"/>
          <w:szCs w:val="14"/>
          <w:lang w:val="en-GB"/>
        </w:rPr>
      </w:pPr>
      <w:r w:rsidRPr="005819EC">
        <w:rPr>
          <w:rStyle w:val="Lbjegyzet-hivatkozs"/>
          <w:rFonts w:ascii="Georgia" w:hAnsi="Georgia" w:cs="Times New Roman"/>
          <w:sz w:val="14"/>
          <w:szCs w:val="14"/>
          <w:lang w:val="en-GB"/>
        </w:rPr>
        <w:footnoteRef/>
      </w:r>
      <w:r w:rsidRPr="005819EC">
        <w:rPr>
          <w:rFonts w:ascii="Georgia" w:hAnsi="Georgia" w:cs="Times New Roman"/>
          <w:sz w:val="14"/>
          <w:szCs w:val="14"/>
          <w:lang w:val="en-GB"/>
        </w:rPr>
        <w:t xml:space="preserve"> Wheeler notes that in the past environmental, economic and social objectives were often been separated within urban planning and governmental decision-making. Sustainable planning concentrates on multiple fields, so, effective sustainability, according to Wheeler, means carefully harmonizing approaches and skills – similar problems and tools emerge as in the case of recommended management of non-ergodic and wicked problems.</w:t>
      </w:r>
    </w:p>
  </w:footnote>
  <w:footnote w:id="52">
    <w:p w14:paraId="728CCF23" w14:textId="77777777" w:rsidR="00B055EA" w:rsidRPr="005819EC" w:rsidRDefault="00B055EA" w:rsidP="00B30686">
      <w:pPr>
        <w:pStyle w:val="Lbjegyzetszveg"/>
        <w:jc w:val="both"/>
        <w:rPr>
          <w:rFonts w:ascii="Georgia" w:hAnsi="Georgia" w:cs="Times New Roman"/>
          <w:sz w:val="14"/>
          <w:szCs w:val="14"/>
          <w:lang w:val="en-GB"/>
        </w:rPr>
      </w:pPr>
      <w:r w:rsidRPr="005819EC">
        <w:rPr>
          <w:rStyle w:val="Lbjegyzet-hivatkozs"/>
          <w:rFonts w:ascii="Georgia" w:hAnsi="Georgia" w:cs="Times New Roman"/>
          <w:sz w:val="14"/>
          <w:szCs w:val="14"/>
          <w:lang w:val="en-GB"/>
        </w:rPr>
        <w:footnoteRef/>
      </w:r>
      <w:r w:rsidRPr="005819EC">
        <w:rPr>
          <w:rFonts w:ascii="Georgia" w:hAnsi="Georgia" w:cs="Times New Roman"/>
          <w:sz w:val="14"/>
          <w:szCs w:val="14"/>
          <w:lang w:val="en-GB"/>
        </w:rPr>
        <w:t xml:space="preserve"> </w:t>
      </w:r>
      <w:r w:rsidRPr="005819EC">
        <w:rPr>
          <w:rFonts w:ascii="Georgia" w:hAnsi="Georgia" w:cs="Times New Roman"/>
          <w:color w:val="000000"/>
          <w:sz w:val="14"/>
          <w:szCs w:val="14"/>
          <w:lang w:val="en-GB"/>
        </w:rPr>
        <w:t xml:space="preserve">Exactly, </w:t>
      </w:r>
      <w:r w:rsidRPr="005819EC">
        <w:rPr>
          <w:rFonts w:ascii="Georgia" w:hAnsi="Georgia" w:cs="Times New Roman"/>
          <w:sz w:val="14"/>
          <w:szCs w:val="14"/>
          <w:lang w:val="en-GB"/>
        </w:rPr>
        <w:t>strategic planning and adaptive urban governance both concentrate on problem definition through taking into consideration different knowledge types from different sectors (</w:t>
      </w:r>
      <w:r w:rsidRPr="005819EC">
        <w:rPr>
          <w:rFonts w:ascii="Georgia" w:hAnsi="Georgia" w:cstheme="minorHAnsi"/>
          <w:smallCaps/>
          <w:sz w:val="14"/>
          <w:szCs w:val="14"/>
          <w:lang w:val="en-GB"/>
        </w:rPr>
        <w:t>Birkmann et al., 2014</w:t>
      </w:r>
      <w:r w:rsidRPr="005819EC">
        <w:rPr>
          <w:rFonts w:ascii="Georgia" w:hAnsi="Georgia" w:cs="Times New Roman"/>
          <w:sz w:val="14"/>
          <w:szCs w:val="14"/>
          <w:lang w:val="en-GB"/>
        </w:rPr>
        <w:t>).</w:t>
      </w:r>
    </w:p>
  </w:footnote>
  <w:footnote w:id="53">
    <w:p w14:paraId="1DA2BC3B" w14:textId="2E13488D" w:rsidR="00B30686" w:rsidRPr="00904353" w:rsidRDefault="00B30686" w:rsidP="00B30686">
      <w:pPr>
        <w:pStyle w:val="Lbjegyzetszveg"/>
        <w:jc w:val="both"/>
        <w:rPr>
          <w:rFonts w:ascii="Georgia" w:hAnsi="Georgia"/>
          <w:sz w:val="14"/>
          <w:szCs w:val="14"/>
        </w:rPr>
      </w:pPr>
      <w:r w:rsidRPr="005819EC">
        <w:rPr>
          <w:rStyle w:val="Lbjegyzet-hivatkozs"/>
          <w:rFonts w:ascii="Georgia" w:hAnsi="Georgia"/>
          <w:sz w:val="14"/>
          <w:szCs w:val="14"/>
          <w:lang w:val="en-GB"/>
        </w:rPr>
        <w:footnoteRef/>
      </w:r>
      <w:r w:rsidRPr="005819EC">
        <w:rPr>
          <w:rFonts w:ascii="Georgia" w:hAnsi="Georgia"/>
          <w:sz w:val="14"/>
          <w:szCs w:val="14"/>
          <w:lang w:val="en-GB"/>
        </w:rPr>
        <w:t xml:space="preserve"> As climate adaptation planning and MRE must always be based on meticulous mapping of local climate impacts and consequences, on which unique local responses can be based, the problems of “unpredictable and rapidly changing environment” versus “traditional planning approaches” emerge. Of course, in this case we do not tame a wicked problem but try to find potential answers for the more-or-less known consequences of a complex problem and at the same time also the ways to prepare for these challenges. Not because they can be forecasted – on the contrary, they cannot be. Nevertheless, these challenges have consequences and impacts, with similar and recurrent patterns, for that we must be prepared if we can no longer avoid them. And if we are familiar with the potential “pool” of impacts/consequences, we can constantly choose from the list of potential adaptation responses during planning.</w:t>
      </w:r>
    </w:p>
  </w:footnote>
  <w:footnote w:id="54">
    <w:p w14:paraId="6A5ECCBD" w14:textId="34D30BE9" w:rsidR="00A963FD" w:rsidRPr="003A07E2" w:rsidRDefault="00A963FD">
      <w:pPr>
        <w:pStyle w:val="Lbjegyzetszveg"/>
        <w:rPr>
          <w:rFonts w:ascii="Georgia" w:hAnsi="Georgia"/>
          <w:sz w:val="14"/>
          <w:szCs w:val="14"/>
        </w:rPr>
      </w:pPr>
      <w:r w:rsidRPr="003A07E2">
        <w:rPr>
          <w:rStyle w:val="Lbjegyzet-hivatkozs"/>
          <w:rFonts w:ascii="Georgia" w:hAnsi="Georgia"/>
          <w:sz w:val="14"/>
          <w:szCs w:val="14"/>
        </w:rPr>
        <w:footnoteRef/>
      </w:r>
      <w:r w:rsidRPr="003A07E2">
        <w:rPr>
          <w:rFonts w:ascii="Georgia" w:hAnsi="Georgia"/>
          <w:sz w:val="14"/>
          <w:szCs w:val="14"/>
        </w:rPr>
        <w:t xml:space="preserve"> </w:t>
      </w:r>
      <w:r w:rsidRPr="003A07E2">
        <w:rPr>
          <w:rFonts w:ascii="Georgia" w:hAnsi="Georgia" w:cs="Times New Roman"/>
          <w:sz w:val="14"/>
          <w:szCs w:val="14"/>
          <w:lang w:val="en-GB"/>
        </w:rPr>
        <w:t>The international norm suggests that adaptation was primarily a national or local responsibility, however, it paradoxically calls for international responsibility and funding. Benzie and Persson point to the fact that the related multi-disciplinary and innovative epistemic community evolved around adaptation is rooted in environmental sciences. As a result, their focus has always been on local impacts and spatial adaptation. Meanwhile, adaptation governance at levels above the national has been weak.</w:t>
      </w:r>
    </w:p>
  </w:footnote>
  <w:footnote w:id="55">
    <w:p w14:paraId="4145EE1C" w14:textId="77777777" w:rsidR="004E603D" w:rsidRPr="003A07E2" w:rsidRDefault="004E603D" w:rsidP="004E603D">
      <w:pPr>
        <w:pStyle w:val="Lbjegyzetszveg"/>
        <w:jc w:val="both"/>
        <w:rPr>
          <w:rFonts w:ascii="Georgia" w:hAnsi="Georgia" w:cs="Times New Roman"/>
          <w:sz w:val="14"/>
          <w:szCs w:val="14"/>
          <w:lang w:val="en-GB"/>
        </w:rPr>
      </w:pPr>
      <w:r w:rsidRPr="003A07E2">
        <w:rPr>
          <w:rStyle w:val="Lbjegyzet-hivatkozs"/>
          <w:rFonts w:ascii="Georgia" w:hAnsi="Georgia" w:cs="Times New Roman"/>
          <w:sz w:val="14"/>
          <w:szCs w:val="14"/>
          <w:lang w:val="en-GB"/>
        </w:rPr>
        <w:footnoteRef/>
      </w:r>
      <w:r w:rsidRPr="003A07E2">
        <w:rPr>
          <w:rFonts w:ascii="Georgia" w:hAnsi="Georgia" w:cs="Times New Roman"/>
          <w:sz w:val="14"/>
          <w:szCs w:val="14"/>
          <w:lang w:val="en-GB"/>
        </w:rPr>
        <w:t xml:space="preserve"> The authors argue that local governments can involve citizens to participate in creating targeted adaptation strategies that will provide tangible benefits to the local population.</w:t>
      </w:r>
    </w:p>
  </w:footnote>
  <w:footnote w:id="56">
    <w:p w14:paraId="67C1BFFF" w14:textId="77777777" w:rsidR="004E603D" w:rsidRPr="005819EC" w:rsidRDefault="004E603D" w:rsidP="004E603D">
      <w:pPr>
        <w:pStyle w:val="Lbjegyzetszveg"/>
        <w:jc w:val="both"/>
        <w:rPr>
          <w:sz w:val="14"/>
          <w:szCs w:val="14"/>
          <w:lang w:val="en-GB"/>
        </w:rPr>
      </w:pPr>
      <w:r w:rsidRPr="005819EC">
        <w:rPr>
          <w:rStyle w:val="Lbjegyzet-hivatkozs"/>
          <w:rFonts w:ascii="Georgia" w:hAnsi="Georgia"/>
          <w:sz w:val="14"/>
          <w:szCs w:val="14"/>
          <w:lang w:val="en-GB"/>
        </w:rPr>
        <w:footnoteRef/>
      </w:r>
      <w:r w:rsidRPr="005819EC">
        <w:rPr>
          <w:rFonts w:ascii="Georgia" w:hAnsi="Georgia"/>
          <w:sz w:val="14"/>
          <w:szCs w:val="14"/>
          <w:lang w:val="en-GB"/>
        </w:rPr>
        <w:t xml:space="preserve"> They found that adaptation literature pays less attention to decision dynamics and adaptation’s incorporation into long-term strategic planning. Their conclusion was that robustness of institutions (strategic planning, policy making) and systems (infrastructure, ecosystems) strongly influence the ability to implement goals and policies</w:t>
      </w:r>
    </w:p>
  </w:footnote>
  <w:footnote w:id="57">
    <w:p w14:paraId="0EEF8A55" w14:textId="77777777" w:rsidR="004E603D" w:rsidRPr="005819EC" w:rsidRDefault="004E603D" w:rsidP="004E603D">
      <w:pPr>
        <w:pStyle w:val="Lbjegyzetszveg"/>
        <w:jc w:val="both"/>
        <w:rPr>
          <w:rFonts w:ascii="Georgia" w:hAnsi="Georgia" w:cs="Times New Roman"/>
          <w:sz w:val="14"/>
          <w:szCs w:val="14"/>
          <w:lang w:val="en-GB"/>
        </w:rPr>
      </w:pPr>
      <w:r w:rsidRPr="005819EC">
        <w:rPr>
          <w:rStyle w:val="Lbjegyzet-hivatkozs"/>
          <w:rFonts w:ascii="Georgia" w:hAnsi="Georgia" w:cs="Times New Roman"/>
          <w:sz w:val="14"/>
          <w:szCs w:val="14"/>
          <w:lang w:val="en-GB"/>
        </w:rPr>
        <w:footnoteRef/>
      </w:r>
      <w:r w:rsidRPr="005819EC">
        <w:rPr>
          <w:rFonts w:ascii="Georgia" w:hAnsi="Georgia" w:cs="Times New Roman"/>
          <w:sz w:val="14"/>
          <w:szCs w:val="14"/>
          <w:lang w:val="en-GB"/>
        </w:rPr>
        <w:t xml:space="preserve"> According to the studies these barriers are as follows: inappropriate political leadership/support; lack of clear roles and responsibilities of local governments; scarcity of fiscal and administrative resources; weak ability to obtain and communicate climate information; lack of local expertise; misconception of the problems; absence of statutory obligations;, mismatch between scientific knowledge and the information-need for decision makers, vulnerability studies are characterised often by sectoral approach and lack of single available metrics for adaptation etc. The latter problem makes the quantification difficult, so it is important to develop standards, methodologies, indicators and baselines for assessing the achievements of adaptation</w:t>
      </w:r>
    </w:p>
  </w:footnote>
  <w:footnote w:id="58">
    <w:p w14:paraId="169A998D" w14:textId="77777777" w:rsidR="004E603D" w:rsidRPr="00522A6E" w:rsidRDefault="004E603D" w:rsidP="004E603D">
      <w:pPr>
        <w:pStyle w:val="Lbjegyzetszveg"/>
        <w:jc w:val="both"/>
        <w:rPr>
          <w:rFonts w:ascii="Georgia" w:hAnsi="Georgia" w:cs="Times New Roman"/>
          <w:sz w:val="14"/>
          <w:szCs w:val="14"/>
        </w:rPr>
      </w:pPr>
      <w:r w:rsidRPr="005819EC">
        <w:rPr>
          <w:rStyle w:val="Lbjegyzet-hivatkozs"/>
          <w:rFonts w:ascii="Georgia" w:hAnsi="Georgia" w:cs="Times New Roman"/>
          <w:sz w:val="14"/>
          <w:szCs w:val="14"/>
          <w:lang w:val="en-GB"/>
        </w:rPr>
        <w:footnoteRef/>
      </w:r>
      <w:r w:rsidRPr="005819EC">
        <w:rPr>
          <w:rFonts w:ascii="Georgia" w:hAnsi="Georgia" w:cs="Times New Roman"/>
          <w:sz w:val="14"/>
          <w:szCs w:val="14"/>
          <w:lang w:val="en-GB"/>
        </w:rPr>
        <w:t xml:space="preserve"> However, there are only very few (Shi, et al., 2015; Araos et al, 2016), if any, global assessments of adaptation taking place across cities. According to these the majority of urban adaptation interventions still focuses on adjustment to physical changes. Baker et al. suggest improving</w:t>
      </w:r>
      <w:r w:rsidRPr="00522A6E">
        <w:rPr>
          <w:rFonts w:ascii="Georgia" w:hAnsi="Georgia" w:cs="Times New Roman"/>
          <w:sz w:val="14"/>
          <w:szCs w:val="14"/>
          <w:lang w:val="en-GB"/>
        </w:rPr>
        <w:t xml:space="preserve"> the quality of local adaptation plans through information base development; through establishment of specific adaptation planning standards and requirements; and through strengthened engagement in public participation programmes.</w:t>
      </w:r>
    </w:p>
  </w:footnote>
  <w:footnote w:id="59">
    <w:p w14:paraId="44017251" w14:textId="77777777" w:rsidR="004E603D" w:rsidRPr="0056345B" w:rsidRDefault="004E603D" w:rsidP="004E603D">
      <w:pPr>
        <w:pStyle w:val="Lbjegyzetszveg"/>
        <w:jc w:val="both"/>
        <w:rPr>
          <w:rFonts w:ascii="Georgia" w:hAnsi="Georgia"/>
          <w:sz w:val="14"/>
          <w:szCs w:val="14"/>
        </w:rPr>
      </w:pPr>
      <w:r w:rsidRPr="00522A6E">
        <w:rPr>
          <w:rStyle w:val="Lbjegyzet-hivatkozs"/>
          <w:rFonts w:ascii="Georgia" w:hAnsi="Georgia"/>
          <w:sz w:val="14"/>
          <w:szCs w:val="14"/>
        </w:rPr>
        <w:footnoteRef/>
      </w:r>
      <w:r w:rsidRPr="00522A6E">
        <w:rPr>
          <w:rFonts w:ascii="Georgia" w:hAnsi="Georgia"/>
          <w:sz w:val="14"/>
          <w:szCs w:val="14"/>
        </w:rPr>
        <w:t xml:space="preserve"> </w:t>
      </w:r>
      <w:r w:rsidRPr="00522A6E">
        <w:rPr>
          <w:rFonts w:ascii="Georgia" w:eastAsia="Times New Roman" w:hAnsi="Georgia" w:cs="Times New Roman"/>
          <w:color w:val="000000"/>
          <w:sz w:val="14"/>
          <w:szCs w:val="14"/>
          <w:lang w:val="en-GB" w:eastAsia="hu-HU"/>
        </w:rPr>
        <w:t>The 4 main topics in which they conclude literature results were as follows: possibilities of downscaling climate change to a local scale; couple regional and local climate to project urban microclimate; assessment of urban climate vulnerability; integrated risk assessments for cities.</w:t>
      </w:r>
      <w:r w:rsidRPr="00522A6E">
        <w:rPr>
          <w:sz w:val="14"/>
          <w:szCs w:val="14"/>
        </w:rPr>
        <w:t xml:space="preserve"> </w:t>
      </w:r>
      <w:r w:rsidRPr="00522A6E">
        <w:rPr>
          <w:rFonts w:ascii="Georgia" w:eastAsia="Times New Roman" w:hAnsi="Georgia" w:cs="Times New Roman"/>
          <w:color w:val="000000"/>
          <w:sz w:val="14"/>
          <w:szCs w:val="14"/>
          <w:lang w:val="en-GB" w:eastAsia="hu-HU"/>
        </w:rPr>
        <w:t>The main challenges, according to the authors, are the followings: timescales between mesoscale and urban scale models are mismatched in many cases; there are inadequate capacities to convert different aspects of urban vulnerabilities into unified metrics; and aggregation of multiple hazards calls for more standardized procedures and comparable metric systems</w:t>
      </w:r>
      <w:r>
        <w:rPr>
          <w:rFonts w:ascii="Georgia" w:eastAsia="Times New Roman" w:hAnsi="Georgia" w:cs="Times New Roman"/>
          <w:color w:val="000000"/>
          <w:sz w:val="14"/>
          <w:szCs w:val="14"/>
          <w:lang w:val="en-GB" w:eastAsia="hu-HU"/>
        </w:rPr>
        <w:t xml:space="preserve"> </w:t>
      </w:r>
    </w:p>
  </w:footnote>
  <w:footnote w:id="60">
    <w:p w14:paraId="4222B13A" w14:textId="77777777" w:rsidR="00E20F0F" w:rsidRPr="009A38EB" w:rsidRDefault="00E20F0F" w:rsidP="00E20F0F">
      <w:pPr>
        <w:pStyle w:val="Lbjegyzetszveg"/>
        <w:jc w:val="both"/>
        <w:rPr>
          <w:rFonts w:ascii="Georgia" w:hAnsi="Georgia"/>
          <w:sz w:val="14"/>
          <w:szCs w:val="14"/>
        </w:rPr>
      </w:pPr>
      <w:r w:rsidRPr="009A38EB">
        <w:rPr>
          <w:rStyle w:val="Lbjegyzet-hivatkozs"/>
          <w:rFonts w:ascii="Georgia" w:hAnsi="Georgia" w:cs="Times New Roman"/>
          <w:sz w:val="14"/>
          <w:szCs w:val="14"/>
        </w:rPr>
        <w:footnoteRef/>
      </w:r>
      <w:r w:rsidRPr="009A38EB">
        <w:rPr>
          <w:rFonts w:ascii="Georgia" w:hAnsi="Georgia" w:cs="Times New Roman"/>
          <w:sz w:val="14"/>
          <w:szCs w:val="14"/>
        </w:rPr>
        <w:t xml:space="preserve"> </w:t>
      </w:r>
      <w:r w:rsidRPr="009A38EB">
        <w:rPr>
          <w:rFonts w:ascii="Georgia" w:hAnsi="Georgia" w:cs="Times New Roman"/>
          <w:sz w:val="14"/>
          <w:szCs w:val="14"/>
          <w:lang w:val="en-GB"/>
        </w:rPr>
        <w:t>The co-benefits of the two fields contain, among others, biodiversity conservation through improved ecosystem conditions; climate mitigation through increased carbon sequestration; conservation of traditional knowledge and practices; or improved recreation and tourism opportunities and strengthened food security (Geneletti-Zardo, 2016).</w:t>
      </w:r>
    </w:p>
  </w:footnote>
  <w:footnote w:id="61">
    <w:p w14:paraId="068B5AD5" w14:textId="77777777" w:rsidR="004E603D" w:rsidRPr="009A38EB" w:rsidRDefault="004E603D" w:rsidP="004E603D">
      <w:pPr>
        <w:pStyle w:val="Lbjegyzetszveg"/>
        <w:jc w:val="both"/>
        <w:rPr>
          <w:rFonts w:ascii="Georgia" w:hAnsi="Georgia" w:cs="Times New Roman"/>
          <w:sz w:val="14"/>
          <w:szCs w:val="14"/>
          <w:lang w:val="en-GB"/>
        </w:rPr>
      </w:pPr>
      <w:r w:rsidRPr="009A38EB">
        <w:rPr>
          <w:rStyle w:val="Lbjegyzet-hivatkozs"/>
          <w:rFonts w:ascii="Georgia" w:hAnsi="Georgia"/>
          <w:sz w:val="14"/>
          <w:szCs w:val="14"/>
        </w:rPr>
        <w:footnoteRef/>
      </w:r>
      <w:r w:rsidRPr="009A38EB">
        <w:rPr>
          <w:rFonts w:ascii="Georgia" w:hAnsi="Georgia"/>
          <w:sz w:val="14"/>
          <w:szCs w:val="14"/>
        </w:rPr>
        <w:t xml:space="preserve"> </w:t>
      </w:r>
      <w:r w:rsidRPr="009A38EB">
        <w:rPr>
          <w:rFonts w:ascii="Georgia" w:hAnsi="Georgia" w:cs="Times New Roman"/>
          <w:sz w:val="14"/>
          <w:szCs w:val="14"/>
          <w:lang w:val="en-GB"/>
        </w:rPr>
        <w:t>Finally, the authors compiled and coded 1971 indicators of which 1841 focus fully or partially on adaptation related aspects. A majority of these measures’ outputs. Outcome indicators generally connect to users or beneficiaries of adaptation measures. Impact indicators relate mostly to human health. Outcome and impact indicators are rarer and more social and economic dimensions frequently remain unaddressed. Targets, timeframes and data sources are rarely defined (Birkmann et al., 2014).</w:t>
      </w:r>
    </w:p>
  </w:footnote>
  <w:footnote w:id="62">
    <w:p w14:paraId="2CE451F6" w14:textId="77777777" w:rsidR="004E603D" w:rsidRPr="00C57A0D" w:rsidRDefault="004E603D" w:rsidP="004E603D">
      <w:pPr>
        <w:pStyle w:val="Lbjegyzetszveg"/>
        <w:jc w:val="both"/>
        <w:rPr>
          <w:rFonts w:ascii="Georgia" w:hAnsi="Georgia"/>
          <w:sz w:val="14"/>
          <w:szCs w:val="14"/>
        </w:rPr>
      </w:pPr>
      <w:r w:rsidRPr="009A38EB">
        <w:rPr>
          <w:rStyle w:val="Lbjegyzet-hivatkozs"/>
          <w:rFonts w:ascii="Georgia" w:hAnsi="Georgia"/>
          <w:sz w:val="14"/>
          <w:szCs w:val="14"/>
        </w:rPr>
        <w:footnoteRef/>
      </w:r>
      <w:r w:rsidRPr="009A38EB">
        <w:rPr>
          <w:rFonts w:ascii="Georgia" w:hAnsi="Georgia"/>
          <w:sz w:val="14"/>
          <w:szCs w:val="14"/>
        </w:rPr>
        <w:t xml:space="preserve"> </w:t>
      </w:r>
      <w:r w:rsidRPr="009A38EB">
        <w:rPr>
          <w:rFonts w:ascii="Georgia" w:hAnsi="Georgia" w:cstheme="minorHAnsi"/>
          <w:sz w:val="14"/>
          <w:szCs w:val="14"/>
          <w:lang w:val="en-GB"/>
        </w:rPr>
        <w:t>These urban regions have been on the rise since the final part of the Cold War. Their influence, significance and importance are growing in international relations and policy: they are one of those levels whose improving role is one crucial characteristic of territorial / settlement network related processes induced by globalisation.</w:t>
      </w:r>
    </w:p>
  </w:footnote>
  <w:footnote w:id="63">
    <w:p w14:paraId="4E291C7D" w14:textId="77777777" w:rsidR="004E603D" w:rsidRPr="00C57A0D" w:rsidRDefault="004E603D" w:rsidP="004E603D">
      <w:pPr>
        <w:pStyle w:val="Lbjegyzetszveg"/>
        <w:jc w:val="both"/>
        <w:rPr>
          <w:rFonts w:ascii="Georgia" w:hAnsi="Georgia"/>
          <w:sz w:val="14"/>
          <w:szCs w:val="14"/>
        </w:rPr>
      </w:pPr>
      <w:r w:rsidRPr="00C57A0D">
        <w:rPr>
          <w:rStyle w:val="Lbjegyzet-hivatkozs"/>
          <w:rFonts w:ascii="Georgia" w:hAnsi="Georgia"/>
          <w:sz w:val="14"/>
          <w:szCs w:val="14"/>
        </w:rPr>
        <w:footnoteRef/>
      </w:r>
      <w:r w:rsidRPr="00C57A0D">
        <w:rPr>
          <w:rFonts w:ascii="Georgia" w:hAnsi="Georgia"/>
          <w:sz w:val="14"/>
          <w:szCs w:val="14"/>
        </w:rPr>
        <w:t xml:space="preserve"> </w:t>
      </w:r>
      <w:r w:rsidRPr="00C57A0D">
        <w:rPr>
          <w:rFonts w:ascii="Georgia" w:eastAsia="Times New Roman" w:hAnsi="Georgia" w:cs="Times New Roman"/>
          <w:color w:val="000000"/>
          <w:sz w:val="14"/>
          <w:szCs w:val="14"/>
          <w:lang w:val="en-GB" w:eastAsia="hu-HU"/>
        </w:rPr>
        <w:t>They found that s</w:t>
      </w:r>
      <w:r w:rsidRPr="00C57A0D">
        <w:rPr>
          <w:rFonts w:ascii="Georgia" w:eastAsia="Times New Roman" w:hAnsi="Georgia" w:cs="Times New Roman"/>
          <w:sz w:val="14"/>
          <w:szCs w:val="14"/>
          <w:lang w:val="en-GB" w:eastAsia="hu-HU"/>
        </w:rPr>
        <w:t>mall-scale adaptation initiatives are flourishing in the continent with several nature-based solutions. However, these initiatives are seldom coordinated or integrated enough and not always lead to generalized national frameworks.</w:t>
      </w:r>
    </w:p>
  </w:footnote>
  <w:footnote w:id="64">
    <w:p w14:paraId="1A36C440" w14:textId="77777777" w:rsidR="004E603D" w:rsidRPr="00C57A0D" w:rsidRDefault="004E603D" w:rsidP="004E603D">
      <w:pPr>
        <w:pStyle w:val="Lbjegyzetszveg"/>
        <w:jc w:val="both"/>
        <w:rPr>
          <w:rFonts w:ascii="Georgia" w:hAnsi="Georgia"/>
          <w:sz w:val="14"/>
          <w:szCs w:val="14"/>
        </w:rPr>
      </w:pPr>
      <w:r w:rsidRPr="00C57A0D">
        <w:rPr>
          <w:rStyle w:val="Lbjegyzet-hivatkozs"/>
          <w:rFonts w:ascii="Georgia" w:hAnsi="Georgia"/>
          <w:sz w:val="14"/>
          <w:szCs w:val="14"/>
        </w:rPr>
        <w:footnoteRef/>
      </w:r>
      <w:r w:rsidRPr="00C57A0D">
        <w:rPr>
          <w:rFonts w:ascii="Georgia" w:hAnsi="Georgia"/>
          <w:sz w:val="14"/>
          <w:szCs w:val="14"/>
        </w:rPr>
        <w:t xml:space="preserve"> </w:t>
      </w:r>
      <w:r w:rsidRPr="00C57A0D">
        <w:rPr>
          <w:rFonts w:ascii="Georgia" w:eastAsia="Times New Roman" w:hAnsi="Georgia" w:cs="Times New Roman"/>
          <w:color w:val="000000"/>
          <w:sz w:val="14"/>
          <w:szCs w:val="14"/>
          <w:lang w:val="en-GB" w:eastAsia="hu-HU"/>
        </w:rPr>
        <w:t>Their comparative qualitative study analysed adaptation within two distinct regional governments, examining how regional governance structure influence local resilience. They found that unique structural character of regional governments can support certain climate strategic adaptation planning processes and increase adaptive capacity through greater access to resources. They urge better utilization of regional governments’ strengths</w:t>
      </w:r>
    </w:p>
  </w:footnote>
  <w:footnote w:id="65">
    <w:p w14:paraId="421380C0" w14:textId="0CD8A66E" w:rsidR="004E603D" w:rsidRPr="005819EC" w:rsidRDefault="004E603D" w:rsidP="004E603D">
      <w:pPr>
        <w:pStyle w:val="Lbjegyzetszveg"/>
        <w:jc w:val="both"/>
        <w:rPr>
          <w:lang w:val="en-GB"/>
        </w:rPr>
      </w:pPr>
      <w:r w:rsidRPr="005819EC">
        <w:rPr>
          <w:rStyle w:val="Lbjegyzet-hivatkozs"/>
          <w:rFonts w:ascii="Georgia" w:hAnsi="Georgia"/>
          <w:sz w:val="14"/>
          <w:szCs w:val="14"/>
          <w:lang w:val="en-GB"/>
        </w:rPr>
        <w:footnoteRef/>
      </w:r>
      <w:r w:rsidRPr="005819EC">
        <w:rPr>
          <w:rFonts w:ascii="Georgia" w:hAnsi="Georgia"/>
          <w:sz w:val="14"/>
          <w:szCs w:val="14"/>
          <w:lang w:val="en-GB"/>
        </w:rPr>
        <w:t xml:space="preserve"> Based on Neset (2016) they even identified 4 main types of that visualization tools Climate Data viewers; impact viewers; Climate data explorers; impact Explorer. </w:t>
      </w:r>
      <w:r w:rsidR="00C1798F" w:rsidRPr="005819EC">
        <w:rPr>
          <w:rFonts w:ascii="Georgia" w:hAnsi="Georgia"/>
          <w:sz w:val="14"/>
          <w:szCs w:val="14"/>
          <w:lang w:val="en-GB"/>
        </w:rPr>
        <w:t>Moreover,</w:t>
      </w:r>
      <w:r w:rsidRPr="005819EC">
        <w:rPr>
          <w:rFonts w:ascii="Georgia" w:hAnsi="Georgia"/>
          <w:sz w:val="14"/>
          <w:szCs w:val="14"/>
          <w:lang w:val="en-GB"/>
        </w:rPr>
        <w:t xml:space="preserve"> the authors underline that systematic consideration of both socio-economic changes and climate dynamics are necessary together with a stronger focus on visualization of the conclusions for different stakeholder groups and linking the results to funding opportunities. Not only the conduction of examinations, they emphasise, but also the communication of their results (via availability and accessibility of impact assessment studies) to policymakers and other stakeholders is essential. Careful communication even enhances stakeholder participation.</w:t>
      </w:r>
    </w:p>
  </w:footnote>
  <w:footnote w:id="66">
    <w:p w14:paraId="2EA7D6C2" w14:textId="23E95C50" w:rsidR="00854F11" w:rsidRPr="00854F11" w:rsidRDefault="00854F11">
      <w:pPr>
        <w:pStyle w:val="Lbjegyzetszveg"/>
        <w:rPr>
          <w:rFonts w:ascii="Georgia" w:hAnsi="Georgia"/>
          <w:sz w:val="14"/>
          <w:szCs w:val="14"/>
        </w:rPr>
      </w:pPr>
      <w:r w:rsidRPr="005819EC">
        <w:rPr>
          <w:rStyle w:val="Lbjegyzet-hivatkozs"/>
          <w:rFonts w:ascii="Georgia" w:hAnsi="Georgia"/>
          <w:sz w:val="14"/>
          <w:szCs w:val="14"/>
          <w:lang w:val="en-GB"/>
        </w:rPr>
        <w:footnoteRef/>
      </w:r>
      <w:r w:rsidRPr="005819EC">
        <w:rPr>
          <w:rFonts w:ascii="Georgia" w:hAnsi="Georgia"/>
          <w:sz w:val="14"/>
          <w:szCs w:val="14"/>
          <w:lang w:val="en-GB"/>
        </w:rPr>
        <w:t xml:space="preserve"> As Leiter indicates it, Morgan and his colleagues used a three-point Likert scale with very low thresholds. In the analysed documents a simple acknowledgement of the importance of MRE and consideration</w:t>
      </w:r>
      <w:r w:rsidRPr="005819EC">
        <w:rPr>
          <w:rFonts w:ascii="Georgia" w:hAnsi="Georgia" w:cs="STIX"/>
          <w:sz w:val="14"/>
          <w:szCs w:val="14"/>
          <w:lang w:val="en-GB"/>
        </w:rPr>
        <w:t xml:space="preserve"> </w:t>
      </w:r>
      <w:r w:rsidRPr="005819EC">
        <w:rPr>
          <w:rFonts w:ascii="Georgia" w:hAnsi="Georgia"/>
          <w:sz w:val="14"/>
          <w:szCs w:val="14"/>
          <w:lang w:val="en-GB"/>
        </w:rPr>
        <w:t>of MRE issues were sufficient to score the middle or highest categories.</w:t>
      </w:r>
    </w:p>
  </w:footnote>
  <w:footnote w:id="67">
    <w:p w14:paraId="106997DD" w14:textId="169A989E" w:rsidR="00EE1227" w:rsidRPr="00854F11" w:rsidRDefault="00EE1227" w:rsidP="00631816">
      <w:pPr>
        <w:pStyle w:val="Lbjegyzetszveg"/>
        <w:jc w:val="both"/>
        <w:rPr>
          <w:rFonts w:ascii="Georgia" w:hAnsi="Georgia"/>
          <w:sz w:val="14"/>
          <w:szCs w:val="14"/>
        </w:rPr>
      </w:pPr>
      <w:r w:rsidRPr="00854F11">
        <w:rPr>
          <w:rStyle w:val="Lbjegyzet-hivatkozs"/>
          <w:rFonts w:ascii="Georgia" w:hAnsi="Georgia"/>
          <w:sz w:val="14"/>
          <w:szCs w:val="14"/>
        </w:rPr>
        <w:footnoteRef/>
      </w:r>
      <w:r w:rsidRPr="00854F11">
        <w:rPr>
          <w:rFonts w:ascii="Georgia" w:hAnsi="Georgia"/>
          <w:sz w:val="14"/>
          <w:szCs w:val="14"/>
        </w:rPr>
        <w:t xml:space="preserve"> </w:t>
      </w:r>
      <w:r w:rsidRPr="00854F11">
        <w:rPr>
          <w:rFonts w:ascii="Georgia" w:hAnsi="Georgia"/>
          <w:sz w:val="14"/>
          <w:szCs w:val="14"/>
          <w:lang w:val="en-GB"/>
        </w:rPr>
        <w:t>The article analysed 27+3 (EU member states + Norway, Iceland, Switzerland) European national adaptation strategies and national sectoral adaptation strategic documents, as it declares the EU member state level as the basis of adaptation policies. They analysed the potential meaning of these strategies for the German spatial (physical) planning activities, through the systematization of adaptation actions into 5 main spatial planning-relevant fields (water and flood management &amp; coastal territories; recreation &amp; tourism; urban planning, housing, architecture &amp; energy efficiency; transport, infrastructure &amp; energy; spatial risks &amp; environmental hazards), especially concentrated best practices from Belgium, Finland, UKG, Austria, Italy and the Czech Republic.</w:t>
      </w:r>
    </w:p>
  </w:footnote>
  <w:footnote w:id="68">
    <w:p w14:paraId="6ABE5127" w14:textId="7D21AE83" w:rsidR="00631816" w:rsidRPr="00854F11" w:rsidRDefault="00631816" w:rsidP="000F681F">
      <w:pPr>
        <w:pStyle w:val="Lbjegyzetszveg"/>
        <w:jc w:val="both"/>
        <w:rPr>
          <w:rFonts w:ascii="Georgia" w:hAnsi="Georgia"/>
          <w:sz w:val="14"/>
          <w:szCs w:val="14"/>
        </w:rPr>
      </w:pPr>
      <w:r w:rsidRPr="00854F11">
        <w:rPr>
          <w:rStyle w:val="Lbjegyzet-hivatkozs"/>
          <w:rFonts w:ascii="Georgia" w:hAnsi="Georgia"/>
          <w:sz w:val="14"/>
          <w:szCs w:val="14"/>
        </w:rPr>
        <w:footnoteRef/>
      </w:r>
      <w:r w:rsidRPr="00854F11">
        <w:rPr>
          <w:rFonts w:ascii="Georgia" w:hAnsi="Georgia"/>
          <w:sz w:val="14"/>
          <w:szCs w:val="14"/>
        </w:rPr>
        <w:t xml:space="preserve"> </w:t>
      </w:r>
      <w:r w:rsidRPr="00854F11">
        <w:rPr>
          <w:rFonts w:ascii="Georgia" w:hAnsi="Georgia"/>
          <w:sz w:val="14"/>
          <w:szCs w:val="14"/>
          <w:lang w:val="en-GB"/>
        </w:rPr>
        <w:t>They detected no connections between spatial planning, adaptation policy and the risk governance cycle. Nevertheless, numerous adaptation- and spatial planning-related sectoral actions had been identified in the analysed countries by the article, first of all in water and flood management, but risk management and urban planning also showed some perfect examples</w:t>
      </w:r>
    </w:p>
  </w:footnote>
  <w:footnote w:id="69">
    <w:p w14:paraId="29F9D548" w14:textId="2DC62A52" w:rsidR="000F681F" w:rsidRPr="00854F11" w:rsidRDefault="000F681F" w:rsidP="000F681F">
      <w:pPr>
        <w:pStyle w:val="Lbjegyzetszveg"/>
        <w:jc w:val="both"/>
        <w:rPr>
          <w:rFonts w:ascii="Georgia" w:hAnsi="Georgia"/>
          <w:sz w:val="14"/>
          <w:szCs w:val="14"/>
        </w:rPr>
      </w:pPr>
      <w:r w:rsidRPr="00854F11">
        <w:rPr>
          <w:rStyle w:val="Lbjegyzet-hivatkozs"/>
          <w:rFonts w:ascii="Georgia" w:hAnsi="Georgia"/>
          <w:sz w:val="14"/>
          <w:szCs w:val="14"/>
        </w:rPr>
        <w:footnoteRef/>
      </w:r>
      <w:r w:rsidRPr="00854F11">
        <w:rPr>
          <w:rFonts w:ascii="Georgia" w:hAnsi="Georgia"/>
          <w:sz w:val="14"/>
          <w:szCs w:val="14"/>
        </w:rPr>
        <w:t xml:space="preserve"> </w:t>
      </w:r>
      <w:r w:rsidRPr="00854F11">
        <w:rPr>
          <w:rFonts w:ascii="Georgia" w:eastAsia="Times New Roman" w:hAnsi="Georgia" w:cs="Times New Roman"/>
          <w:sz w:val="14"/>
          <w:szCs w:val="14"/>
          <w:lang w:val="en-GB" w:eastAsia="hu-HU"/>
        </w:rPr>
        <w:t>In the first round 14 countries were preliminarily analysed ten the final number of examined states were narrowed to 9. Along six themes that were identified by experts on brainstorming events based on a preliminary, initial inventory of national strategies, the researchers examined the different countries’ approaches to enhance implementation of adaptation.</w:t>
      </w:r>
      <w:r w:rsidR="00963BFB" w:rsidRPr="00854F11">
        <w:rPr>
          <w:rFonts w:ascii="Georgia" w:eastAsia="Times New Roman" w:hAnsi="Georgia" w:cs="Times New Roman"/>
          <w:sz w:val="14"/>
          <w:szCs w:val="14"/>
          <w:lang w:val="en-GB" w:eastAsia="hu-HU"/>
        </w:rPr>
        <w:t xml:space="preserve"> The authors found that the first generation European NASs were mostly based on climate system-, and impact research results as well as on CVAs. Furthermore, no clear communication followed the adoption of these climate policy strategies, and their significant parts still concentrated on mitigation.</w:t>
      </w:r>
      <w:r w:rsidR="007237A9" w:rsidRPr="00854F11">
        <w:rPr>
          <w:rFonts w:ascii="Georgia" w:hAnsi="Georgia"/>
          <w:sz w:val="14"/>
          <w:szCs w:val="14"/>
        </w:rPr>
        <w:t xml:space="preserve"> </w:t>
      </w:r>
      <w:r w:rsidR="007237A9" w:rsidRPr="00854F11">
        <w:rPr>
          <w:rFonts w:ascii="Georgia" w:eastAsia="Times New Roman" w:hAnsi="Georgia" w:cs="Times New Roman"/>
          <w:sz w:val="14"/>
          <w:szCs w:val="14"/>
          <w:lang w:val="en-GB" w:eastAsia="hu-HU"/>
        </w:rPr>
        <w:t>Nearly all the NASs emphasise the need to take action at the regional or local level with a shared responsibility across administrative scales. Nevertheless, only few countries have set out clearly defined responsibilities for the different levels of governance, nor set up co-ordinating bodies. There is limited recognition of the international scale in the NASs.</w:t>
      </w:r>
    </w:p>
  </w:footnote>
  <w:footnote w:id="70">
    <w:p w14:paraId="5FEA7AB5" w14:textId="01FC0B9F" w:rsidR="004E603D" w:rsidRPr="00F43085" w:rsidRDefault="004E603D" w:rsidP="004E603D">
      <w:pPr>
        <w:pStyle w:val="Lbjegyzetszveg"/>
        <w:jc w:val="both"/>
        <w:rPr>
          <w:rFonts w:ascii="Georgia" w:hAnsi="Georgia"/>
          <w:sz w:val="14"/>
          <w:szCs w:val="14"/>
          <w:lang w:val="en-GB"/>
        </w:rPr>
      </w:pPr>
      <w:r w:rsidRPr="00854F11">
        <w:rPr>
          <w:rStyle w:val="Lbjegyzet-hivatkozs"/>
          <w:rFonts w:ascii="Georgia" w:hAnsi="Georgia"/>
          <w:sz w:val="14"/>
          <w:szCs w:val="14"/>
          <w:lang w:val="en-GB"/>
        </w:rPr>
        <w:footnoteRef/>
      </w:r>
      <w:r w:rsidRPr="00854F11">
        <w:rPr>
          <w:rFonts w:ascii="Georgia" w:hAnsi="Georgia"/>
          <w:sz w:val="14"/>
          <w:szCs w:val="14"/>
          <w:lang w:val="en-GB"/>
        </w:rPr>
        <w:t xml:space="preserve"> </w:t>
      </w:r>
      <w:r w:rsidR="007237A9" w:rsidRPr="00854F11">
        <w:rPr>
          <w:rFonts w:ascii="Georgia" w:hAnsi="Georgia"/>
          <w:sz w:val="14"/>
          <w:szCs w:val="14"/>
          <w:lang w:val="en-GB"/>
        </w:rPr>
        <w:t xml:space="preserve">E.g. </w:t>
      </w:r>
      <w:r w:rsidR="007237A9" w:rsidRPr="00854F11">
        <w:rPr>
          <w:rFonts w:ascii="Georgia" w:eastAsia="Times New Roman" w:hAnsi="Georgia" w:cs="Times New Roman"/>
          <w:sz w:val="14"/>
          <w:szCs w:val="14"/>
          <w:lang w:val="en-GB" w:eastAsia="hu-HU"/>
        </w:rPr>
        <w:t>the lack of committed resources and public support; and the weak coordination between territorial levels</w:t>
      </w:r>
      <w:r w:rsidR="007237A9" w:rsidRPr="00854F11">
        <w:rPr>
          <w:rFonts w:ascii="Georgia" w:hAnsi="Georgia"/>
          <w:sz w:val="14"/>
          <w:szCs w:val="14"/>
          <w:lang w:val="en-GB"/>
        </w:rPr>
        <w:t xml:space="preserve"> </w:t>
      </w:r>
      <w:r w:rsidRPr="00854F11">
        <w:rPr>
          <w:rFonts w:ascii="Georgia" w:hAnsi="Georgia"/>
          <w:sz w:val="14"/>
          <w:szCs w:val="14"/>
          <w:lang w:val="en-GB"/>
        </w:rPr>
        <w:t>Further findings were that a</w:t>
      </w:r>
      <w:r w:rsidRPr="00854F11">
        <w:rPr>
          <w:rFonts w:ascii="Georgia" w:eastAsia="Times New Roman" w:hAnsi="Georgia" w:cs="Times New Roman"/>
          <w:sz w:val="14"/>
          <w:szCs w:val="14"/>
          <w:lang w:val="en-GB" w:eastAsia="hu-HU"/>
        </w:rPr>
        <w:t xml:space="preserve">mong climate impacts mainly the negative ones were in the focus of the NASs; only Finland and Sweden mentioned the possibility of capturing </w:t>
      </w:r>
      <w:r w:rsidRPr="00F43085">
        <w:rPr>
          <w:rFonts w:ascii="Georgia" w:eastAsia="Times New Roman" w:hAnsi="Georgia" w:cs="Times New Roman"/>
          <w:sz w:val="14"/>
          <w:szCs w:val="14"/>
          <w:lang w:val="en-GB" w:eastAsia="hu-HU"/>
        </w:rPr>
        <w:t>opportunities as positive impacts of the changes. Global context, export of adaptation knowledge got minor emphasis, only France and Portugal as former colonist states mentioned this aspect in their strategies.</w:t>
      </w:r>
    </w:p>
  </w:footnote>
  <w:footnote w:id="71">
    <w:p w14:paraId="41725D20" w14:textId="77777777" w:rsidR="004E603D" w:rsidRPr="00F43085" w:rsidRDefault="004E603D" w:rsidP="004E603D">
      <w:pPr>
        <w:pStyle w:val="Lbjegyzetszveg"/>
        <w:jc w:val="both"/>
        <w:rPr>
          <w:rStyle w:val="Lbjegyzet-hivatkozs"/>
          <w:rFonts w:ascii="Georgia" w:hAnsi="Georgia"/>
          <w:sz w:val="14"/>
          <w:szCs w:val="14"/>
          <w:lang w:val="en-GB"/>
        </w:rPr>
      </w:pPr>
      <w:r w:rsidRPr="00F43085">
        <w:rPr>
          <w:rStyle w:val="Lbjegyzet-hivatkozs"/>
          <w:rFonts w:ascii="Georgia" w:hAnsi="Georgia"/>
          <w:sz w:val="14"/>
          <w:szCs w:val="14"/>
          <w:lang w:val="en-GB"/>
        </w:rPr>
        <w:footnoteRef/>
      </w:r>
      <w:r w:rsidRPr="00F43085">
        <w:rPr>
          <w:rStyle w:val="Lbjegyzet-hivatkozs"/>
          <w:rFonts w:ascii="Georgia" w:hAnsi="Georgia"/>
          <w:sz w:val="14"/>
          <w:szCs w:val="14"/>
          <w:lang w:val="en-GB"/>
        </w:rPr>
        <w:t xml:space="preserve"> </w:t>
      </w:r>
      <w:r w:rsidRPr="00F43085">
        <w:rPr>
          <w:rStyle w:val="Lbjegyzet-hivatkozs"/>
          <w:rFonts w:ascii="Georgia" w:hAnsi="Georgia"/>
          <w:sz w:val="14"/>
          <w:szCs w:val="14"/>
          <w:vertAlign w:val="baseline"/>
          <w:lang w:val="en-GB"/>
        </w:rPr>
        <w:t>As an example, the study mentions the setting of legally binding and spatially specific objectives to keep an area free of further settlement development, that means that there are laws enabling the enactment and enforcement of such spatial objectives.</w:t>
      </w:r>
    </w:p>
  </w:footnote>
  <w:footnote w:id="72">
    <w:p w14:paraId="5B6B79A1" w14:textId="77777777" w:rsidR="004E603D" w:rsidRPr="00F43085" w:rsidRDefault="004E603D" w:rsidP="004E603D">
      <w:pPr>
        <w:pStyle w:val="Lbjegyzetszveg"/>
        <w:jc w:val="both"/>
        <w:rPr>
          <w:rFonts w:ascii="Georgia" w:hAnsi="Georgia"/>
          <w:sz w:val="14"/>
          <w:szCs w:val="14"/>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Germany, Finland, France, Greece, the Netherlands, Poland, Hungary and the United Kingdom.</w:t>
      </w:r>
    </w:p>
  </w:footnote>
  <w:footnote w:id="73">
    <w:p w14:paraId="4525E9A2" w14:textId="51560EAA" w:rsidR="004E603D" w:rsidRPr="00F43085" w:rsidRDefault="004E603D" w:rsidP="004E603D">
      <w:pPr>
        <w:pStyle w:val="Lbjegyzetszveg"/>
        <w:jc w:val="both"/>
        <w:rPr>
          <w:rFonts w:ascii="Georgia" w:hAnsi="Georgia"/>
          <w:sz w:val="14"/>
          <w:szCs w:val="14"/>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1) Countries, where due to not yet existing adaptation strategies there are no statements possible concerning the role of spatial planning; 2) </w:t>
      </w:r>
      <w:r w:rsidR="00F43085" w:rsidRPr="00F43085">
        <w:rPr>
          <w:rFonts w:ascii="Georgia" w:hAnsi="Georgia"/>
          <w:sz w:val="14"/>
          <w:szCs w:val="14"/>
          <w:lang w:val="en-GB"/>
        </w:rPr>
        <w:t>countries</w:t>
      </w:r>
      <w:r w:rsidRPr="00F43085">
        <w:rPr>
          <w:rFonts w:ascii="Georgia" w:hAnsi="Georgia"/>
          <w:sz w:val="14"/>
          <w:szCs w:val="14"/>
          <w:lang w:val="en-GB"/>
        </w:rPr>
        <w:t xml:space="preserve">, where the role of spatial planning is mentioned but not specifically specified; 3) states, where to spatial planning is assigned a specific role, which is yet to be implemented in practice; 4) states where the adaptation strategy and subsequent documents that directly </w:t>
      </w:r>
      <w:r w:rsidR="00F43085" w:rsidRPr="00F43085">
        <w:rPr>
          <w:rFonts w:ascii="Georgia" w:hAnsi="Georgia"/>
          <w:sz w:val="14"/>
          <w:szCs w:val="14"/>
          <w:lang w:val="en-GB"/>
        </w:rPr>
        <w:t>focus</w:t>
      </w:r>
      <w:r w:rsidRPr="00F43085">
        <w:rPr>
          <w:rFonts w:ascii="Georgia" w:hAnsi="Georgia"/>
          <w:sz w:val="14"/>
          <w:szCs w:val="14"/>
          <w:lang w:val="en-GB"/>
        </w:rPr>
        <w:t xml:space="preserve"> on spatial planning are already in the implementation process.</w:t>
      </w:r>
    </w:p>
  </w:footnote>
  <w:footnote w:id="74">
    <w:p w14:paraId="58B54691" w14:textId="0576A119" w:rsidR="00AC1256" w:rsidRPr="00F43085" w:rsidRDefault="00AC1256" w:rsidP="000559FD">
      <w:pPr>
        <w:pStyle w:val="Lbjegyzetszveg"/>
        <w:jc w:val="both"/>
        <w:rPr>
          <w:rFonts w:ascii="Georgia" w:hAnsi="Georgia"/>
          <w:sz w:val="14"/>
          <w:szCs w:val="14"/>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w:t>
      </w:r>
      <w:r w:rsidRPr="00F43085">
        <w:rPr>
          <w:rFonts w:ascii="Georgia" w:hAnsi="Georgia" w:cs="Times New Roman"/>
          <w:sz w:val="14"/>
          <w:szCs w:val="14"/>
          <w:lang w:val="en-GB"/>
        </w:rPr>
        <w:t xml:space="preserve">In regard to climate change adaptation all country reports </w:t>
      </w:r>
      <w:r w:rsidR="00F43085" w:rsidRPr="00F43085">
        <w:rPr>
          <w:rFonts w:ascii="Georgia" w:hAnsi="Georgia" w:cs="Times New Roman"/>
          <w:sz w:val="14"/>
          <w:szCs w:val="14"/>
          <w:lang w:val="en-GB"/>
        </w:rPr>
        <w:t>foresee</w:t>
      </w:r>
      <w:r w:rsidRPr="00F43085">
        <w:rPr>
          <w:rFonts w:ascii="Georgia" w:hAnsi="Georgia" w:cs="Times New Roman"/>
          <w:sz w:val="14"/>
          <w:szCs w:val="14"/>
          <w:lang w:val="en-GB"/>
        </w:rPr>
        <w:t xml:space="preserve"> </w:t>
      </w:r>
      <w:r w:rsidR="00F43085" w:rsidRPr="00F43085">
        <w:rPr>
          <w:rFonts w:ascii="Georgia" w:hAnsi="Georgia" w:cs="Times New Roman"/>
          <w:sz w:val="14"/>
          <w:szCs w:val="14"/>
          <w:lang w:val="en-GB"/>
        </w:rPr>
        <w:t>similar</w:t>
      </w:r>
      <w:r w:rsidRPr="00F43085">
        <w:rPr>
          <w:rFonts w:ascii="Georgia" w:hAnsi="Georgia" w:cs="Times New Roman"/>
          <w:sz w:val="14"/>
          <w:szCs w:val="14"/>
          <w:lang w:val="en-GB"/>
        </w:rPr>
        <w:t xml:space="preserve"> tasks for spatial planning, such as keeping areas free from further development, which are already prone to natural disasters or might even be more endangered in the future; developing climate adaptive building guidelines; planning adequate settlement patterns with open spaces for limiting the effects of urban heat islands; managing urban water resources in a sustainable way, etc.</w:t>
      </w:r>
    </w:p>
  </w:footnote>
  <w:footnote w:id="75">
    <w:p w14:paraId="70F07681" w14:textId="330EFFF8" w:rsidR="007C3AD6" w:rsidRPr="00F43085" w:rsidRDefault="007C3AD6" w:rsidP="007C3AD6">
      <w:pPr>
        <w:pStyle w:val="Lbjegyzetszveg"/>
        <w:jc w:val="both"/>
        <w:rPr>
          <w:rFonts w:ascii="Georgia" w:hAnsi="Georgia"/>
          <w:sz w:val="14"/>
          <w:szCs w:val="14"/>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They introduced aspects of successful adaptation governance in six qualities of governance institutions and apply them to National Adaptation Strategies of 4 countries (the Netherlands, The United Kingdom, Finland and Sweden). These are as follows: </w:t>
      </w:r>
      <w:r w:rsidRPr="00F43085">
        <w:rPr>
          <w:rFonts w:ascii="Georgia" w:eastAsia="Times New Roman" w:hAnsi="Georgia" w:cs="Times New Roman"/>
          <w:sz w:val="14"/>
          <w:szCs w:val="14"/>
          <w:lang w:val="en-GB" w:eastAsia="hu-HU"/>
        </w:rPr>
        <w:t>variety</w:t>
      </w:r>
      <w:r w:rsidRPr="00F43085">
        <w:rPr>
          <w:rFonts w:ascii="Georgia" w:hAnsi="Georgia"/>
          <w:sz w:val="14"/>
          <w:szCs w:val="14"/>
          <w:lang w:val="en-GB"/>
        </w:rPr>
        <w:t>, as an ability to deal with manifold uncertainties;</w:t>
      </w:r>
      <w:r w:rsidRPr="00F43085">
        <w:rPr>
          <w:rFonts w:ascii="Georgia" w:eastAsia="Times New Roman" w:hAnsi="Georgia" w:cs="Times New Roman"/>
          <w:sz w:val="14"/>
          <w:szCs w:val="14"/>
          <w:lang w:val="en-GB" w:eastAsia="hu-HU"/>
        </w:rPr>
        <w:t xml:space="preserve"> learning,</w:t>
      </w:r>
      <w:r w:rsidRPr="00F43085">
        <w:rPr>
          <w:rFonts w:ascii="Georgia" w:hAnsi="Georgia"/>
          <w:sz w:val="14"/>
          <w:szCs w:val="14"/>
          <w:lang w:val="en-GB"/>
        </w:rPr>
        <w:t xml:space="preserve"> as ability and willingness to engage in loops of learning; </w:t>
      </w:r>
      <w:r w:rsidRPr="00F43085">
        <w:rPr>
          <w:rFonts w:ascii="Georgia" w:eastAsia="Times New Roman" w:hAnsi="Georgia" w:cs="Times New Roman"/>
          <w:sz w:val="14"/>
          <w:szCs w:val="14"/>
          <w:lang w:val="en-GB" w:eastAsia="hu-HU"/>
        </w:rPr>
        <w:t>ro</w:t>
      </w:r>
      <w:r w:rsidRPr="00F43085">
        <w:rPr>
          <w:rFonts w:ascii="Georgia" w:hAnsi="Georgia"/>
          <w:sz w:val="14"/>
          <w:szCs w:val="14"/>
          <w:lang w:val="en-GB"/>
        </w:rPr>
        <w:t>o</w:t>
      </w:r>
      <w:r w:rsidRPr="00F43085">
        <w:rPr>
          <w:rFonts w:ascii="Georgia" w:eastAsia="Times New Roman" w:hAnsi="Georgia" w:cs="Times New Roman"/>
          <w:sz w:val="14"/>
          <w:szCs w:val="14"/>
          <w:lang w:val="en-GB" w:eastAsia="hu-HU"/>
        </w:rPr>
        <w:t>m for autonomous processes</w:t>
      </w:r>
      <w:r w:rsidRPr="00F43085">
        <w:rPr>
          <w:rFonts w:ascii="Georgia" w:hAnsi="Georgia"/>
          <w:sz w:val="14"/>
          <w:szCs w:val="14"/>
          <w:lang w:val="en-GB"/>
        </w:rPr>
        <w:t>, as a continuous capacity for adjustments;</w:t>
      </w:r>
      <w:r w:rsidRPr="00F43085">
        <w:rPr>
          <w:rFonts w:ascii="Georgia" w:eastAsia="Times New Roman" w:hAnsi="Georgia" w:cs="Times New Roman"/>
          <w:sz w:val="14"/>
          <w:szCs w:val="14"/>
          <w:lang w:val="en-GB" w:eastAsia="hu-HU"/>
        </w:rPr>
        <w:t xml:space="preserve"> </w:t>
      </w:r>
      <w:r w:rsidRPr="00F43085">
        <w:rPr>
          <w:rFonts w:ascii="Georgia" w:hAnsi="Georgia"/>
          <w:sz w:val="14"/>
          <w:szCs w:val="14"/>
          <w:lang w:val="en-GB"/>
        </w:rPr>
        <w:t xml:space="preserve">ability to secure proper financial and human </w:t>
      </w:r>
      <w:r w:rsidRPr="00F43085">
        <w:rPr>
          <w:rFonts w:ascii="Georgia" w:eastAsia="Times New Roman" w:hAnsi="Georgia" w:cs="Times New Roman"/>
          <w:sz w:val="14"/>
          <w:szCs w:val="14"/>
          <w:lang w:val="en-GB" w:eastAsia="hu-HU"/>
        </w:rPr>
        <w:t>resources</w:t>
      </w:r>
      <w:r w:rsidRPr="00F43085">
        <w:rPr>
          <w:rFonts w:ascii="Georgia" w:hAnsi="Georgia"/>
          <w:sz w:val="14"/>
          <w:szCs w:val="14"/>
          <w:lang w:val="en-GB"/>
        </w:rPr>
        <w:t xml:space="preserve">; </w:t>
      </w:r>
      <w:r w:rsidRPr="00F43085">
        <w:rPr>
          <w:rFonts w:ascii="Georgia" w:eastAsia="Times New Roman" w:hAnsi="Georgia" w:cs="Times New Roman"/>
          <w:sz w:val="14"/>
          <w:szCs w:val="14"/>
          <w:lang w:val="en-GB" w:eastAsia="hu-HU"/>
        </w:rPr>
        <w:t>leadership,</w:t>
      </w:r>
      <w:r w:rsidRPr="00F43085">
        <w:rPr>
          <w:rFonts w:ascii="Georgia" w:hAnsi="Georgia"/>
          <w:sz w:val="14"/>
          <w:szCs w:val="14"/>
          <w:lang w:val="en-GB"/>
        </w:rPr>
        <w:t xml:space="preserve"> as the ability to link time scales, access to necessary resources and build coalitions; </w:t>
      </w:r>
      <w:r w:rsidRPr="00F43085">
        <w:rPr>
          <w:rFonts w:ascii="Georgia" w:eastAsia="Times New Roman" w:hAnsi="Georgia" w:cs="Times New Roman"/>
          <w:sz w:val="14"/>
          <w:szCs w:val="14"/>
          <w:lang w:val="en-GB" w:eastAsia="hu-HU"/>
        </w:rPr>
        <w:t xml:space="preserve"> fair governance</w:t>
      </w:r>
      <w:r w:rsidRPr="00F43085">
        <w:rPr>
          <w:rFonts w:ascii="Georgia" w:hAnsi="Georgia"/>
          <w:sz w:val="14"/>
          <w:szCs w:val="14"/>
          <w:lang w:val="en-GB"/>
        </w:rPr>
        <w:t xml:space="preserve"> as the encouragement of equity.</w:t>
      </w:r>
      <w:r w:rsidRPr="00F43085">
        <w:rPr>
          <w:sz w:val="14"/>
          <w:szCs w:val="14"/>
          <w:lang w:val="en-GB"/>
        </w:rPr>
        <w:t xml:space="preserve"> </w:t>
      </w:r>
      <w:r w:rsidRPr="00F43085">
        <w:rPr>
          <w:rFonts w:ascii="Georgia" w:hAnsi="Georgia"/>
          <w:sz w:val="14"/>
          <w:szCs w:val="14"/>
          <w:lang w:val="en-GB"/>
        </w:rPr>
        <w:t>Based on these they investigated how national governments are incorporating local climate action into national mitigation and adaptation plans and strategies. Third, they examined how cities and regions reflect their local needs and interests into their own climate goals and targets while ensuring alignment with the Paris Agreement.</w:t>
      </w:r>
      <w:r w:rsidR="00F43085">
        <w:rPr>
          <w:rFonts w:ascii="Georgia" w:hAnsi="Georgia"/>
          <w:sz w:val="14"/>
          <w:szCs w:val="14"/>
          <w:lang w:val="en-GB"/>
        </w:rPr>
        <w:t xml:space="preserve"> </w:t>
      </w:r>
      <w:r w:rsidRPr="00F43085">
        <w:rPr>
          <w:rFonts w:ascii="Georgia" w:hAnsi="Georgia"/>
          <w:sz w:val="14"/>
          <w:szCs w:val="14"/>
          <w:lang w:val="en-GB"/>
        </w:rPr>
        <w:t>Other analytical aspects were also used (in connecti</w:t>
      </w:r>
      <w:r w:rsidR="00F43085">
        <w:rPr>
          <w:rFonts w:ascii="Georgia" w:hAnsi="Georgia"/>
          <w:sz w:val="14"/>
          <w:szCs w:val="14"/>
          <w:lang w:val="en-GB"/>
        </w:rPr>
        <w:t>o</w:t>
      </w:r>
      <w:r w:rsidRPr="00F43085">
        <w:rPr>
          <w:rFonts w:ascii="Georgia" w:hAnsi="Georgia"/>
          <w:sz w:val="14"/>
          <w:szCs w:val="14"/>
          <w:lang w:val="en-GB"/>
        </w:rPr>
        <w:t>n with climate-proof nature regional development policy at all territorial levels they analysed how urban, rural, metropolitan and neighbourhood-level development policies are mainstreaming climate dimensions. meanwhile in connection with scaling up local climate action they looked at how national and subnational governments can facilitate local climate action, notably by removing legal and institutional barriers, enhancing funding and financing mechanisms, engaging multiple stakeholders and sharing local knowledge.</w:t>
      </w:r>
      <w:r w:rsidR="00F43085">
        <w:rPr>
          <w:rFonts w:ascii="Georgia" w:hAnsi="Georgia"/>
          <w:sz w:val="14"/>
          <w:szCs w:val="14"/>
          <w:lang w:val="en-GB"/>
        </w:rPr>
        <w:t xml:space="preserve"> </w:t>
      </w:r>
      <w:r w:rsidRPr="00F43085">
        <w:rPr>
          <w:rFonts w:ascii="Georgia" w:hAnsi="Georgia"/>
          <w:sz w:val="14"/>
          <w:szCs w:val="14"/>
          <w:lang w:val="en-GB"/>
        </w:rPr>
        <w:t>In each dimension, the analysis covered the rationale and the concrete policy practices, gaps and challenges and the ways to overcome them, applying a territorial approach to drive systemic and transformative climate action and resilience.</w:t>
      </w:r>
    </w:p>
  </w:footnote>
  <w:footnote w:id="76">
    <w:p w14:paraId="53FF2DBF" w14:textId="77777777" w:rsidR="007C3AD6" w:rsidRPr="00F43085" w:rsidRDefault="007C3AD6" w:rsidP="007C3AD6">
      <w:pPr>
        <w:pStyle w:val="Lbjegyzetszveg"/>
        <w:jc w:val="both"/>
        <w:rPr>
          <w:rFonts w:ascii="Georgia" w:hAnsi="Georgia"/>
          <w:sz w:val="14"/>
          <w:szCs w:val="14"/>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w:t>
      </w:r>
      <w:r w:rsidRPr="00F43085">
        <w:rPr>
          <w:rFonts w:ascii="Georgia" w:eastAsia="Times New Roman" w:hAnsi="Georgia" w:cs="Times New Roman"/>
          <w:sz w:val="14"/>
          <w:szCs w:val="14"/>
          <w:lang w:val="en-GB" w:eastAsia="hu-HU"/>
        </w:rPr>
        <w:t>lack of openness toward learning; strong one-sided reliance on scientific experts; tension between top-down development and bottom-up implementation; distrust in the civil society</w:t>
      </w:r>
      <w:r w:rsidRPr="00F43085">
        <w:rPr>
          <w:rFonts w:ascii="Georgia" w:hAnsi="Georgia"/>
          <w:sz w:val="14"/>
          <w:szCs w:val="14"/>
          <w:lang w:val="en-GB"/>
        </w:rPr>
        <w:t>’</w:t>
      </w:r>
      <w:r w:rsidRPr="00F43085">
        <w:rPr>
          <w:rFonts w:ascii="Georgia" w:eastAsia="Times New Roman" w:hAnsi="Georgia" w:cs="Times New Roman"/>
          <w:sz w:val="14"/>
          <w:szCs w:val="14"/>
          <w:lang w:val="en-GB" w:eastAsia="hu-HU"/>
        </w:rPr>
        <w:t>s problem-solving capacity; and wickedness of reserving funding for long-term actions</w:t>
      </w:r>
    </w:p>
  </w:footnote>
  <w:footnote w:id="77">
    <w:p w14:paraId="2A26CF7E" w14:textId="5058CD35" w:rsidR="00B54861" w:rsidRPr="00F43085" w:rsidRDefault="00B54861" w:rsidP="00B54861">
      <w:pPr>
        <w:pStyle w:val="Lbjegyzetszveg"/>
        <w:jc w:val="both"/>
        <w:rPr>
          <w:rFonts w:ascii="Georgia" w:hAnsi="Georgia"/>
          <w:sz w:val="16"/>
          <w:szCs w:val="16"/>
          <w:lang w:val="en-GB"/>
        </w:rPr>
      </w:pPr>
      <w:r w:rsidRPr="00F43085">
        <w:rPr>
          <w:rStyle w:val="Lbjegyzet-hivatkozs"/>
          <w:rFonts w:ascii="Georgia" w:hAnsi="Georgia"/>
          <w:sz w:val="14"/>
          <w:szCs w:val="14"/>
          <w:lang w:val="en-GB"/>
        </w:rPr>
        <w:footnoteRef/>
      </w:r>
      <w:r w:rsidRPr="00F43085">
        <w:rPr>
          <w:rFonts w:ascii="Georgia" w:hAnsi="Georgia"/>
          <w:sz w:val="14"/>
          <w:szCs w:val="14"/>
          <w:lang w:val="en-GB"/>
        </w:rPr>
        <w:t xml:space="preserve"> Indicators, according to the EEA, mostly measure the changes in the climate system (climatic indicators), provide information on consequences/impacts (impact indicators) or monitor vulnerability and identify adaptation needs (human and socio-economic indicators) (EEA, 2022). Mainly the first two types are widely applied, meanwhile adaptation progress is rarely monitored. Dutch authors differentiate 3 main indicator types: process-based indicators describing the steps and decisions; output-based ones describing the level of implementation; and the outcome-based ones describing effectiveness of actions (VAN MINNEN, 2014; KLOSTERMANN ET AL., 2018). Most of the used indices are proxy indicators, relying on indicators originally developed for other sectoral/thematic purposes. They give an indication of the direction in resilience increase but do not offer accurate measurement of real improvements’ volume in that resilience. These weaknesses of using individual proxy indicators can be diminished by development of complex vulnerability indicators (CHRISTIANSEN ET AL., 2016; KLOSTERMANN ET AL, 2018). All in all, Klostermann and her colleagues said that combined focus on processes, outputs and outcomes is necessary to reveal the complexity of national adaptation policies (KLOSTERMANN ET AL, 2018). Goonesekera and Olazabal agree with </w:t>
      </w:r>
      <w:r w:rsidR="00F43085" w:rsidRPr="00F43085">
        <w:rPr>
          <w:rFonts w:ascii="Georgia" w:hAnsi="Georgia"/>
          <w:sz w:val="14"/>
          <w:szCs w:val="14"/>
          <w:lang w:val="en-GB"/>
        </w:rPr>
        <w:t>this and</w:t>
      </w:r>
      <w:r w:rsidRPr="00F43085">
        <w:rPr>
          <w:rFonts w:ascii="Georgia" w:hAnsi="Georgia"/>
          <w:sz w:val="14"/>
          <w:szCs w:val="14"/>
          <w:lang w:val="en-GB"/>
        </w:rPr>
        <w:t xml:space="preserve"> additionally mention target indicators that express general targets of the adaptation action. In their approach output indicators focus on activities and products; outcome indicators on behaviour changes (GOONESEKERA-OLAZABAL, 2022). Other sources also mention financial indicators as important tools to evaluate implementation effectiveness (VALLEJO, 2017). The OECD territorial climate indicator framework uses the “pressure-state-response” approach to structure the indicators. Pressure indicators” primarily cover aspects related to climate mitigation, encompassing trends and drivers of GHG emissions. Conversely, “state indicators” predominantly feature indicators associated with climate adaptation and resilience, including the exposure to climate-related hazards and socio-economic factors driving vulnerability. “Response indicators” focus on actions and opportunities to address climate challenges (OECD, 2023).</w:t>
      </w:r>
    </w:p>
  </w:footnote>
  <w:footnote w:id="78">
    <w:p w14:paraId="30F900C2" w14:textId="77777777" w:rsidR="00DA4B7A" w:rsidRDefault="00DA4B7A" w:rsidP="00DA4B7A">
      <w:pPr>
        <w:pStyle w:val="Lbjegyzetszveg"/>
        <w:jc w:val="both"/>
      </w:pPr>
      <w:r w:rsidRPr="00B55905">
        <w:rPr>
          <w:rStyle w:val="Lbjegyzet-hivatkozs"/>
          <w:rFonts w:ascii="Georgia" w:hAnsi="Georgia"/>
          <w:sz w:val="14"/>
          <w:szCs w:val="14"/>
        </w:rPr>
        <w:footnoteRef/>
      </w:r>
      <w:r w:rsidRPr="00B55905">
        <w:rPr>
          <w:rFonts w:ascii="Georgia" w:hAnsi="Georgia"/>
          <w:sz w:val="14"/>
          <w:szCs w:val="14"/>
        </w:rPr>
        <w:t xml:space="preserve"> </w:t>
      </w:r>
      <w:r>
        <w:rPr>
          <w:rFonts w:ascii="Georgia" w:hAnsi="Georgia"/>
          <w:sz w:val="14"/>
          <w:szCs w:val="14"/>
          <w:lang w:val="en-GB"/>
        </w:rPr>
        <w:t>I</w:t>
      </w:r>
      <w:r w:rsidRPr="00B55905">
        <w:rPr>
          <w:rFonts w:ascii="Georgia" w:hAnsi="Georgia"/>
          <w:sz w:val="14"/>
          <w:szCs w:val="14"/>
          <w:lang w:val="en-GB"/>
        </w:rPr>
        <w:t>dentification of the system of interest (what specific sectors, functions and geographical areas must be monitored?); the selection of indicators (determined by the adaptation context, and based mostly on existing indicators); the identification of responsible organisations; and identification of procedures, stakeholder involvement and incorporation of active learning into the processes</w:t>
      </w:r>
    </w:p>
  </w:footnote>
  <w:footnote w:id="79">
    <w:p w14:paraId="6E277B0D" w14:textId="2EDD418A" w:rsidR="000559FD" w:rsidRDefault="000559FD" w:rsidP="000559FD">
      <w:pPr>
        <w:pStyle w:val="Lbjegyzetszveg"/>
        <w:jc w:val="both"/>
      </w:pPr>
      <w:r w:rsidRPr="000559FD">
        <w:rPr>
          <w:rStyle w:val="Lbjegyzet-hivatkozs"/>
          <w:rFonts w:ascii="Georgia" w:hAnsi="Georgia"/>
          <w:sz w:val="14"/>
          <w:szCs w:val="14"/>
        </w:rPr>
        <w:footnoteRef/>
      </w:r>
      <w:r w:rsidRPr="000559FD">
        <w:rPr>
          <w:rFonts w:ascii="Georgia" w:hAnsi="Georgia"/>
          <w:sz w:val="14"/>
          <w:szCs w:val="14"/>
        </w:rPr>
        <w:t xml:space="preserve"> </w:t>
      </w:r>
      <w:r w:rsidRPr="000559FD">
        <w:rPr>
          <w:rFonts w:ascii="Georgia" w:hAnsi="Georgia"/>
          <w:sz w:val="14"/>
          <w:szCs w:val="14"/>
          <w:lang w:val="en-GB"/>
        </w:rPr>
        <w:t>The most important challenges to be solved in the middle of the 2010s in national adaptation MRE were the strengthening of knowledge base of national efforts to foster learning from experiences; the improvement of the use of existing data sources; further coordination between adaptation planning and MRE through more specified policy goals and measurable outcomes; the enhanced integration of MRE feedbacks into planning activities through improved communication tools; and further integration of vulnerability and risk information into MRE activities (EEA, 2015). Majority of these challenges still exist.</w:t>
      </w:r>
    </w:p>
  </w:footnote>
  <w:footnote w:id="80">
    <w:p w14:paraId="2FBCE511" w14:textId="3D13C3A8" w:rsidR="00AF493E" w:rsidRPr="002E30D8" w:rsidRDefault="00AF493E" w:rsidP="00AF493E">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Leiter considered two comparative NAP MRE systems as possible analytical frameworks (MRE supplementary materials to the NAP technical guidelines by Price-Kelly et al., 2015 and a study of three European NAP MRE systems by Klostermann et al., 2018.). Based on these he combined multiple sources of published (documents, monitoring and evaluation reports by government entities) and unpublished (evidence from key informants: government officials, employees of international organizations) information and assess their completeness through a triangulation with two global reports from the UNFCCC secretariat and UNEP, respectively (the NAP progress report from the UNFCCC secretariat and a review of country submissions to UNFCCC by Möhner et al. (2021).). In a second step, the main international organizations and NGOs supporting developing countries were contacted. The information was then qualitatively analysed. For the first research question, countries included in the inventory were plotted on a continuum from the least advanced to those with fully operational MRE systems. The plot showed common stages where multiple countries had advanced to a similar level. Countries were then grouped according to the newly defined stages which answered research question 2 (“do countries have dedicated arrangements for MRE?”). To </w:t>
      </w:r>
      <w:r w:rsidR="00A83A27" w:rsidRPr="002E30D8">
        <w:rPr>
          <w:rFonts w:ascii="Georgia" w:hAnsi="Georgia"/>
          <w:sz w:val="14"/>
          <w:szCs w:val="14"/>
          <w:lang w:val="en-GB"/>
        </w:rPr>
        <w:t>analyse</w:t>
      </w:r>
      <w:r w:rsidRPr="002E30D8">
        <w:rPr>
          <w:rFonts w:ascii="Georgia" w:hAnsi="Georgia"/>
          <w:sz w:val="14"/>
          <w:szCs w:val="14"/>
          <w:lang w:val="en-GB"/>
        </w:rPr>
        <w:t xml:space="preserve"> changes since 2017 (third research question), the baseline from 2017 was adjusted to be comparable to the new stages. To structure responses to the fourth research question, three themes and corresponding aspects were defined.</w:t>
      </w:r>
    </w:p>
  </w:footnote>
  <w:footnote w:id="81">
    <w:p w14:paraId="7EED224E" w14:textId="77777777" w:rsidR="004C1D2E" w:rsidRPr="000B0F42" w:rsidRDefault="004C1D2E" w:rsidP="004C1D2E">
      <w:pPr>
        <w:pStyle w:val="Lbjegyzetszveg"/>
        <w:jc w:val="both"/>
        <w:rPr>
          <w:rFonts w:ascii="Georgia" w:hAnsi="Georgia"/>
          <w:sz w:val="14"/>
          <w:szCs w:val="14"/>
          <w:lang w:val="en-GB"/>
        </w:rPr>
      </w:pPr>
      <w:r w:rsidRPr="00AF493E">
        <w:rPr>
          <w:rStyle w:val="Lbjegyzet-hivatkozs"/>
          <w:rFonts w:ascii="Georgia" w:hAnsi="Georgia"/>
          <w:sz w:val="14"/>
          <w:szCs w:val="14"/>
          <w:lang w:val="en-GB"/>
        </w:rPr>
        <w:footnoteRef/>
      </w:r>
      <w:r w:rsidRPr="00AF493E">
        <w:rPr>
          <w:rFonts w:ascii="Georgia" w:hAnsi="Georgia"/>
          <w:sz w:val="14"/>
          <w:szCs w:val="14"/>
          <w:lang w:val="en-GB"/>
        </w:rPr>
        <w:t xml:space="preserve"> He used the term NAP as an umbrella in the article, referring to those operational planning documents from the national level that are directed at adaptation to climate change and included mixed policies and </w:t>
      </w:r>
      <w:r w:rsidRPr="000B0F42">
        <w:rPr>
          <w:rFonts w:ascii="Georgia" w:hAnsi="Georgia"/>
          <w:sz w:val="14"/>
          <w:szCs w:val="14"/>
          <w:lang w:val="en-GB"/>
        </w:rPr>
        <w:t>measures.</w:t>
      </w:r>
    </w:p>
  </w:footnote>
  <w:footnote w:id="82">
    <w:p w14:paraId="36589665" w14:textId="0CF8DE36" w:rsidR="008E5CD2" w:rsidRPr="008E5CD2" w:rsidRDefault="008E5CD2">
      <w:pPr>
        <w:pStyle w:val="Lbjegyzetszveg"/>
        <w:rPr>
          <w:rFonts w:ascii="Georgia" w:hAnsi="Georgia"/>
          <w:sz w:val="14"/>
          <w:szCs w:val="14"/>
        </w:rPr>
      </w:pPr>
      <w:r w:rsidRPr="008E5CD2">
        <w:rPr>
          <w:rStyle w:val="Lbjegyzet-hivatkozs"/>
          <w:rFonts w:ascii="Georgia" w:hAnsi="Georgia"/>
          <w:sz w:val="14"/>
          <w:szCs w:val="14"/>
        </w:rPr>
        <w:footnoteRef/>
      </w:r>
      <w:r w:rsidRPr="008E5CD2">
        <w:rPr>
          <w:rFonts w:ascii="Georgia" w:hAnsi="Georgia"/>
          <w:sz w:val="14"/>
          <w:szCs w:val="14"/>
        </w:rPr>
        <w:t xml:space="preserve"> E.g. </w:t>
      </w:r>
      <w:r w:rsidRPr="008E5CD2">
        <w:rPr>
          <w:rFonts w:ascii="Georgia" w:hAnsi="Georgia"/>
          <w:sz w:val="14"/>
          <w:szCs w:val="14"/>
          <w:lang w:val="en-GB"/>
        </w:rPr>
        <w:t>adaptation policy implementation and development MRE; climate impacts identification; monitoring the reduction climate vulnerabilities.</w:t>
      </w:r>
    </w:p>
  </w:footnote>
  <w:footnote w:id="83">
    <w:p w14:paraId="7B769BB5" w14:textId="1618513D" w:rsidR="004E603D" w:rsidRPr="002E30D8" w:rsidRDefault="004E603D" w:rsidP="004E603D">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00037550" w:rsidRPr="002E30D8">
        <w:rPr>
          <w:rFonts w:ascii="Georgia" w:hAnsi="Georgia"/>
          <w:sz w:val="14"/>
          <w:szCs w:val="14"/>
          <w:lang w:val="en-GB"/>
        </w:rPr>
        <w:t xml:space="preserve">Although situation analyses differ somehow, reflecting some national geographic specialities; the sectors, themes and general objectives are very similar, independently from the national geographical position and characteristics. None of the documents speak about spatial orientation or put special emphasis on given geographical regions / territorial units or urge the mainstreaming of spatial aspects into adaptation. According to the report knowledge gaps regarding climate risks-related assessments (CCRAs) must be tackled. MRE activities are identified as one of the main sources of these CCRAs. </w:t>
      </w:r>
      <w:r w:rsidRPr="002E30D8">
        <w:rPr>
          <w:rFonts w:ascii="Georgia" w:hAnsi="Georgia"/>
          <w:sz w:val="14"/>
          <w:szCs w:val="14"/>
          <w:lang w:val="en-GB"/>
        </w:rPr>
        <w:t>The report mentions that the number of conducted sectoral/thematic or multi-sectoral climate risk assessments (CRAs) are increasing, mainly the first type. These CRAs improve the knowledge base on climate risks and vulnerabilities</w:t>
      </w:r>
      <w:r w:rsidRPr="002E30D8">
        <w:rPr>
          <w:rStyle w:val="Lbjegyzet-hivatkozs"/>
          <w:rFonts w:ascii="Georgia" w:hAnsi="Georgia"/>
          <w:sz w:val="14"/>
          <w:szCs w:val="14"/>
          <w:lang w:val="en-GB"/>
        </w:rPr>
        <w:footnoteRef/>
      </w:r>
      <w:r w:rsidRPr="002E30D8">
        <w:rPr>
          <w:rFonts w:ascii="Georgia" w:hAnsi="Georgia"/>
          <w:sz w:val="14"/>
          <w:szCs w:val="14"/>
          <w:lang w:val="en-GB"/>
        </w:rPr>
        <w:t>, support the update of newer generation of NASs and NAPs. There are legal requirements or political commitments to institutionalise their periodic updating in several countries – however, regular renewal of them is scarce for now.</w:t>
      </w:r>
      <w:r w:rsidR="007E457F" w:rsidRPr="002E30D8">
        <w:rPr>
          <w:lang w:val="en-GB"/>
        </w:rPr>
        <w:t xml:space="preserve"> </w:t>
      </w:r>
      <w:r w:rsidR="007E457F" w:rsidRPr="002E30D8">
        <w:rPr>
          <w:rFonts w:ascii="Georgia" w:hAnsi="Georgia"/>
          <w:sz w:val="14"/>
          <w:szCs w:val="14"/>
          <w:lang w:val="en-GB"/>
        </w:rPr>
        <w:t>The focus still seems to be on incremental, cautious interventions and not on real transformative adaptation.</w:t>
      </w:r>
    </w:p>
  </w:footnote>
  <w:footnote w:id="84">
    <w:p w14:paraId="10406525" w14:textId="77777777" w:rsidR="004E603D" w:rsidRPr="007E457F" w:rsidRDefault="004E603D" w:rsidP="004E603D">
      <w:pPr>
        <w:pStyle w:val="Lbjegyzetszveg"/>
        <w:jc w:val="both"/>
        <w:rPr>
          <w:rFonts w:ascii="Georgia" w:hAnsi="Georgia"/>
          <w:sz w:val="14"/>
          <w:szCs w:val="14"/>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The only country with a specific and standalone adaptation law is Germany (as of July 2024).</w:t>
      </w:r>
    </w:p>
  </w:footnote>
  <w:footnote w:id="85">
    <w:p w14:paraId="1174EF9F" w14:textId="054781BE" w:rsidR="004E603D" w:rsidRPr="007E457F" w:rsidRDefault="004E603D" w:rsidP="004E603D">
      <w:pPr>
        <w:pStyle w:val="Lbjegyzetszveg"/>
        <w:jc w:val="both"/>
        <w:rPr>
          <w:sz w:val="14"/>
          <w:szCs w:val="14"/>
        </w:rPr>
      </w:pPr>
      <w:r w:rsidRPr="007E457F">
        <w:rPr>
          <w:rStyle w:val="Lbjegyzet-hivatkozs"/>
          <w:rFonts w:ascii="Georgia" w:hAnsi="Georgia"/>
          <w:sz w:val="14"/>
          <w:szCs w:val="14"/>
        </w:rPr>
        <w:footnoteRef/>
      </w:r>
      <w:r w:rsidRPr="007E457F">
        <w:rPr>
          <w:rFonts w:ascii="Georgia" w:hAnsi="Georgia"/>
          <w:sz w:val="14"/>
          <w:szCs w:val="14"/>
        </w:rPr>
        <w:t xml:space="preserve"> </w:t>
      </w:r>
      <w:r w:rsidRPr="007E457F">
        <w:rPr>
          <w:rFonts w:ascii="Georgia" w:hAnsi="Georgia" w:cs="ArialMT"/>
          <w:sz w:val="14"/>
          <w:szCs w:val="14"/>
          <w:lang w:val="en-GB"/>
          <w14:ligatures w14:val="standardContextual"/>
        </w:rPr>
        <w:t xml:space="preserve">The implementation of this requires effective multi-level governance mechanisms, setting and implementing ambitious national goals and targets that integrate local climate actions and defining clear roles and responsibilities of subnational governments, national legal and institutional frameworks. </w:t>
      </w:r>
      <w:r w:rsidR="002E30D8" w:rsidRPr="007E457F">
        <w:rPr>
          <w:rFonts w:ascii="Georgia" w:hAnsi="Georgia" w:cs="ArialMT"/>
          <w:sz w:val="14"/>
          <w:szCs w:val="14"/>
          <w:lang w:val="en-GB"/>
          <w14:ligatures w14:val="standardContextual"/>
        </w:rPr>
        <w:t>This</w:t>
      </w:r>
      <w:r w:rsidRPr="007E457F">
        <w:rPr>
          <w:rFonts w:ascii="Georgia" w:hAnsi="Georgia" w:cs="ArialMT"/>
          <w:sz w:val="14"/>
          <w:szCs w:val="14"/>
          <w:lang w:val="en-GB"/>
          <w14:ligatures w14:val="standardContextual"/>
        </w:rPr>
        <w:t xml:space="preserve"> latter allows for innovative local climate action, stronger funding and financing mechanisms to support and scale up subnational climate action, and an enabling environment facilitating partnerships and mutual learning. This territorial approach could be a „game changer” according to the authors, as it helps promote integrated climate actions across sectors, making public expenditure more effective.</w:t>
      </w:r>
    </w:p>
  </w:footnote>
  <w:footnote w:id="86">
    <w:p w14:paraId="1EF5CE32" w14:textId="42187B07" w:rsidR="00F5049D" w:rsidRDefault="00F5049D" w:rsidP="00F5049D">
      <w:pPr>
        <w:pStyle w:val="Lbjegyzetszveg"/>
        <w:jc w:val="both"/>
      </w:pPr>
      <w:r>
        <w:rPr>
          <w:rStyle w:val="Lbjegyzet-hivatkozs"/>
        </w:rPr>
        <w:footnoteRef/>
      </w:r>
      <w:r>
        <w:t xml:space="preserve"> </w:t>
      </w:r>
      <w:r w:rsidRPr="007E6C95">
        <w:rPr>
          <w:rFonts w:ascii="Georgia" w:hAnsi="Georgia" w:cs="ArialMT"/>
          <w:sz w:val="16"/>
          <w:szCs w:val="16"/>
          <w:lang w:val="en-GB"/>
          <w14:ligatures w14:val="standardContextual"/>
        </w:rPr>
        <w:t xml:space="preserve">Emergence/involvement of local governments mentioned by NAS/NAPs in connection with climate </w:t>
      </w:r>
      <w:r w:rsidR="002E30D8" w:rsidRPr="007E6C95">
        <w:rPr>
          <w:rFonts w:ascii="Georgia" w:hAnsi="Georgia" w:cs="ArialMT"/>
          <w:sz w:val="16"/>
          <w:szCs w:val="16"/>
          <w:lang w:val="en-GB"/>
          <w14:ligatures w14:val="standardContextual"/>
        </w:rPr>
        <w:t>risk</w:t>
      </w:r>
      <w:r w:rsidRPr="007E6C95">
        <w:rPr>
          <w:rFonts w:ascii="Georgia" w:hAnsi="Georgia" w:cs="ArialMT"/>
          <w:sz w:val="16"/>
          <w:szCs w:val="16"/>
          <w:lang w:val="en-GB"/>
          <w14:ligatures w14:val="standardContextual"/>
        </w:rPr>
        <w:t xml:space="preserve"> assessment information; adaptation planning; adaptation implementation and adaptation measurement.</w:t>
      </w:r>
    </w:p>
  </w:footnote>
  <w:footnote w:id="87">
    <w:p w14:paraId="248C4E26" w14:textId="3D8FC12D" w:rsidR="00236073" w:rsidRPr="002E30D8" w:rsidRDefault="00236073" w:rsidP="00236073">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Regarding Eastern Europe, Probáld said it comprises the Eastern part of Central-Europe and South-Europe (the Balkan Peninsula without Greece). He overviewed the several nomenclatures and delimitations and considered the region as a group of small and medium sized states created/evolved during the 19th-20</w:t>
      </w:r>
      <w:r w:rsidRPr="002E30D8">
        <w:rPr>
          <w:rFonts w:ascii="Georgia" w:hAnsi="Georgia"/>
          <w:sz w:val="14"/>
          <w:szCs w:val="14"/>
          <w:vertAlign w:val="superscript"/>
          <w:lang w:val="en-GB"/>
        </w:rPr>
        <w:t>th</w:t>
      </w:r>
      <w:r w:rsidRPr="002E30D8">
        <w:rPr>
          <w:rFonts w:ascii="Georgia" w:hAnsi="Georgia"/>
          <w:sz w:val="14"/>
          <w:szCs w:val="14"/>
          <w:lang w:val="en-GB"/>
        </w:rPr>
        <w:t xml:space="preserve"> centuries. Their common character is the location on the frontier of West and East (I must add: geopoliticians would call the corridor the border of German and Russian interest zones), and as a consequence, followed special historical development pathways and show economic structural features as heritage of the second half of the 20</w:t>
      </w:r>
      <w:r w:rsidRPr="002E30D8">
        <w:rPr>
          <w:rFonts w:ascii="Georgia" w:hAnsi="Georgia"/>
          <w:sz w:val="14"/>
          <w:szCs w:val="14"/>
          <w:vertAlign w:val="superscript"/>
          <w:lang w:val="en-GB"/>
        </w:rPr>
        <w:t>th</w:t>
      </w:r>
      <w:r w:rsidRPr="002E30D8">
        <w:rPr>
          <w:rFonts w:ascii="Georgia" w:hAnsi="Georgia"/>
          <w:sz w:val="14"/>
          <w:szCs w:val="14"/>
          <w:lang w:val="en-GB"/>
        </w:rPr>
        <w:t xml:space="preserve"> century. The mosaic-like social landscape caused by political and ethnic fragmentation resulted in turbulent centuries rich in border conflicts. Probáld emphasises that before 1990, the cold war era discussions considered everything through the mirror of East-West dichotomy, so the Central-Europe concept was getting lose its importance. In Hungary economic studies used the term Central-Eastern Europe (actually Eastern- AND Central-Europe meant Russia and the Socialist bloc). Other works applied the term Central Europe’s eastern half for Russia and the satellite states. Today even the EU uses the Central-Eastern Europe terminology for this area, however, in Hungarian Central-Eastern Europe means the central part of Eastern Europe and not the Eastern part of Central Europe (</w:t>
      </w:r>
      <w:r w:rsidRPr="002E30D8">
        <w:rPr>
          <w:rFonts w:ascii="Georgia" w:hAnsi="Georgia" w:cstheme="minorHAnsi"/>
          <w:smallCaps/>
          <w:sz w:val="14"/>
          <w:szCs w:val="14"/>
          <w:lang w:val="en-GB"/>
        </w:rPr>
        <w:t>Probáld et al</w:t>
      </w:r>
      <w:r w:rsidRPr="002E30D8">
        <w:rPr>
          <w:rFonts w:ascii="Georgia" w:hAnsi="Georgia"/>
          <w:sz w:val="14"/>
          <w:szCs w:val="14"/>
          <w:lang w:val="en-GB"/>
        </w:rPr>
        <w:t>., 2000).</w:t>
      </w:r>
    </w:p>
  </w:footnote>
  <w:footnote w:id="88">
    <w:p w14:paraId="6EBC2813" w14:textId="4188540F" w:rsidR="00040419" w:rsidRPr="002E30D8" w:rsidRDefault="00040419" w:rsidP="00040419">
      <w:pPr>
        <w:pStyle w:val="Lbjegyzetszveg"/>
        <w:jc w:val="both"/>
        <w:rPr>
          <w:rFonts w:ascii="Georgia" w:hAnsi="Georgia" w:cs="Times New Roman"/>
          <w:sz w:val="14"/>
          <w:szCs w:val="14"/>
          <w:lang w:val="en-GB"/>
        </w:rPr>
      </w:pPr>
      <w:r w:rsidRPr="002E30D8">
        <w:rPr>
          <w:rStyle w:val="Lbjegyzet-hivatkozs"/>
          <w:rFonts w:ascii="Georgia" w:hAnsi="Georgia" w:cs="Times New Roman"/>
          <w:sz w:val="14"/>
          <w:szCs w:val="14"/>
          <w:lang w:val="en-GB"/>
        </w:rPr>
        <w:footnoteRef/>
      </w:r>
      <w:r w:rsidRPr="002E30D8">
        <w:rPr>
          <w:rFonts w:ascii="Georgia" w:hAnsi="Georgia" w:cs="Times New Roman"/>
          <w:sz w:val="14"/>
          <w:szCs w:val="14"/>
          <w:lang w:val="en-GB"/>
        </w:rPr>
        <w:t xml:space="preserve"> </w:t>
      </w:r>
      <w:r w:rsidR="00E50ABC" w:rsidRPr="002E30D8">
        <w:rPr>
          <w:rFonts w:ascii="Georgia" w:hAnsi="Georgia" w:cs="Times New Roman"/>
          <w:sz w:val="14"/>
          <w:szCs w:val="14"/>
          <w:lang w:val="en-GB"/>
        </w:rPr>
        <w:t xml:space="preserve">Similarly to Probáld, Illés also collected the different history-, ethnography-, politics- and economics-oriented Eastern- and Central-European definitions and delimitations in his 2002 book called “Central- and South-eastern Europe in the Millennium: Transformation, integration, regions”, especially emphasising the role of politics in the creation of these delimitations. He mentioned that some concepts used the traditional East-West </w:t>
      </w:r>
      <w:r w:rsidR="00C1798F" w:rsidRPr="002E30D8">
        <w:rPr>
          <w:rFonts w:ascii="Georgia" w:hAnsi="Georgia" w:cs="Times New Roman"/>
          <w:sz w:val="14"/>
          <w:szCs w:val="14"/>
          <w:lang w:val="en-GB"/>
        </w:rPr>
        <w:t>dichotomy,</w:t>
      </w:r>
      <w:r w:rsidR="00E50ABC" w:rsidRPr="002E30D8">
        <w:rPr>
          <w:rFonts w:ascii="Georgia" w:hAnsi="Georgia" w:cs="Times New Roman"/>
          <w:sz w:val="14"/>
          <w:szCs w:val="14"/>
          <w:lang w:val="en-GB"/>
        </w:rPr>
        <w:t xml:space="preserve"> meanwhile some others even differentiate a third region between East and West, an area with special geopolitical position and unique strategic challenges. These latter ideas concentrate especially on political and historical endowments. </w:t>
      </w:r>
      <w:r w:rsidRPr="002E30D8">
        <w:rPr>
          <w:rFonts w:ascii="Georgia" w:hAnsi="Georgia" w:cs="Times New Roman"/>
          <w:sz w:val="14"/>
          <w:szCs w:val="14"/>
          <w:lang w:val="en-GB"/>
        </w:rPr>
        <w:t xml:space="preserve">One group of </w:t>
      </w:r>
      <w:r w:rsidR="00C1798F" w:rsidRPr="002E30D8">
        <w:rPr>
          <w:rFonts w:ascii="Georgia" w:hAnsi="Georgia" w:cs="Times New Roman"/>
          <w:sz w:val="14"/>
          <w:szCs w:val="14"/>
          <w:lang w:val="en-GB"/>
        </w:rPr>
        <w:t>this approach</w:t>
      </w:r>
      <w:r w:rsidRPr="002E30D8">
        <w:rPr>
          <w:rFonts w:ascii="Georgia" w:hAnsi="Georgia" w:cs="Times New Roman"/>
          <w:sz w:val="14"/>
          <w:szCs w:val="14"/>
          <w:lang w:val="en-GB"/>
        </w:rPr>
        <w:t xml:space="preserve"> focuses on “Central-Europe” based on the German “Mitteleuropa” concept, under which they initially understood the eastern territories inhabited by German population, later the territories of the German and Austro-Hungarian empires, depicting the German orientation of Central Europe. The other main subgroup is called “Zwischeneuropa” or “In-between-Europe” concepts. These have weaker historical but stronger geopolitical roots. The essence of the idea strived for counterweighing the influence of German and Russian dominancy. The creation French-based cordon sanitaire of Petite Entente states after 1918 is a good example for this.</w:t>
      </w:r>
    </w:p>
  </w:footnote>
  <w:footnote w:id="89">
    <w:p w14:paraId="23E8A437" w14:textId="5682CC33" w:rsidR="00343FA0" w:rsidRPr="002E30D8" w:rsidRDefault="00343FA0">
      <w:pPr>
        <w:pStyle w:val="Lbjegyzetszveg"/>
        <w:rPr>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The typology was developed on the basis of the so called CLM climate model and calculated with the A1B emission scenario. The cluster analysis was based on projected climate changes between the time periods 1961-1990 and 2071-2100. </w:t>
      </w:r>
      <w:r w:rsidR="00C1798F" w:rsidRPr="002E30D8">
        <w:rPr>
          <w:rFonts w:ascii="Georgia" w:hAnsi="Georgia"/>
          <w:sz w:val="14"/>
          <w:szCs w:val="14"/>
          <w:lang w:val="en-GB"/>
        </w:rPr>
        <w:t>Obviously,</w:t>
      </w:r>
      <w:r w:rsidRPr="002E30D8">
        <w:rPr>
          <w:rFonts w:ascii="Georgia" w:hAnsi="Georgia"/>
          <w:sz w:val="14"/>
          <w:szCs w:val="14"/>
          <w:lang w:val="en-GB"/>
        </w:rPr>
        <w:t xml:space="preserve"> such a typology has to be rather rough and can only reflect regional specifics in a limited way.</w:t>
      </w:r>
    </w:p>
  </w:footnote>
  <w:footnote w:id="90">
    <w:p w14:paraId="435A4814" w14:textId="77777777" w:rsidR="00040419" w:rsidRPr="00AD7199" w:rsidRDefault="00040419" w:rsidP="00040419">
      <w:pPr>
        <w:pStyle w:val="Lbjegyzetszveg"/>
        <w:jc w:val="both"/>
        <w:rPr>
          <w:rFonts w:ascii="Georgia" w:hAnsi="Georgia"/>
          <w:sz w:val="14"/>
          <w:szCs w:val="14"/>
        </w:rPr>
      </w:pPr>
      <w:r w:rsidRPr="002E30D8">
        <w:rPr>
          <w:rStyle w:val="Lbjegyzet-hivatkozs"/>
          <w:rFonts w:ascii="Georgia" w:hAnsi="Georgia" w:cs="Times New Roman"/>
          <w:sz w:val="14"/>
          <w:szCs w:val="14"/>
          <w:lang w:val="en-GB"/>
        </w:rPr>
        <w:footnoteRef/>
      </w:r>
      <w:r w:rsidRPr="002E30D8">
        <w:rPr>
          <w:rFonts w:ascii="Georgia" w:hAnsi="Georgia" w:cs="Times New Roman"/>
          <w:sz w:val="14"/>
          <w:szCs w:val="14"/>
          <w:lang w:val="en-GB"/>
        </w:rPr>
        <w:t xml:space="preserve"> </w:t>
      </w:r>
      <w:r w:rsidRPr="002E30D8">
        <w:rPr>
          <w:rFonts w:ascii="Georgia" w:hAnsi="Georgia" w:cs="Times New Roman"/>
          <w:sz w:val="14"/>
          <w:szCs w:val="14"/>
          <w:shd w:val="clear" w:color="auto" w:fill="FFFFFF"/>
          <w:lang w:val="en-GB"/>
        </w:rPr>
        <w:t>p</w:t>
      </w:r>
      <w:r w:rsidRPr="002E30D8">
        <w:rPr>
          <w:rFonts w:ascii="Georgia" w:eastAsia="Times New Roman" w:hAnsi="Georgia" w:cs="Times New Roman"/>
          <w:sz w:val="14"/>
          <w:szCs w:val="14"/>
          <w:lang w:val="en-GB" w:eastAsia="hu-HU"/>
        </w:rPr>
        <w:t>resented at the Informal Meeting of Ministers responsible for Spatial Planning and Territorial Development on 19</w:t>
      </w:r>
      <w:r w:rsidRPr="002E30D8">
        <w:rPr>
          <w:rFonts w:ascii="Georgia" w:eastAsia="Times New Roman" w:hAnsi="Georgia" w:cs="Times New Roman"/>
          <w:sz w:val="14"/>
          <w:szCs w:val="14"/>
          <w:vertAlign w:val="superscript"/>
          <w:lang w:val="en-GB" w:eastAsia="hu-HU"/>
        </w:rPr>
        <w:t>th</w:t>
      </w:r>
      <w:r w:rsidRPr="002E30D8">
        <w:rPr>
          <w:rFonts w:ascii="Georgia" w:eastAsia="Times New Roman" w:hAnsi="Georgia" w:cs="Times New Roman"/>
          <w:sz w:val="14"/>
          <w:szCs w:val="14"/>
          <w:lang w:val="en-GB" w:eastAsia="hu-HU"/>
        </w:rPr>
        <w:t xml:space="preserve"> May 2011 Gödöllő, Hungary</w:t>
      </w:r>
    </w:p>
  </w:footnote>
  <w:footnote w:id="91">
    <w:p w14:paraId="798C05BF" w14:textId="77777777" w:rsidR="00040419" w:rsidRPr="002E30D8" w:rsidRDefault="00040419" w:rsidP="00040419">
      <w:pPr>
        <w:pStyle w:val="Lbjegyzetszveg"/>
        <w:jc w:val="both"/>
        <w:rPr>
          <w:rFonts w:ascii="Georgia" w:hAnsi="Georgia" w:cs="Times New Roman"/>
          <w:sz w:val="14"/>
          <w:szCs w:val="14"/>
          <w:lang w:val="en-GB"/>
        </w:rPr>
      </w:pPr>
      <w:r w:rsidRPr="00AD7199">
        <w:rPr>
          <w:rStyle w:val="Lbjegyzet-hivatkozs"/>
          <w:rFonts w:ascii="Georgia" w:hAnsi="Georgia" w:cs="Times New Roman"/>
          <w:sz w:val="14"/>
          <w:szCs w:val="14"/>
        </w:rPr>
        <w:footnoteRef/>
      </w:r>
      <w:r w:rsidRPr="00AD7199">
        <w:rPr>
          <w:rFonts w:ascii="Georgia" w:hAnsi="Georgia" w:cs="Times New Roman"/>
          <w:sz w:val="14"/>
          <w:szCs w:val="14"/>
        </w:rPr>
        <w:t xml:space="preserve"> </w:t>
      </w:r>
      <w:r w:rsidRPr="002E30D8">
        <w:rPr>
          <w:rFonts w:ascii="Georgia" w:hAnsi="Georgia" w:cs="Times New Roman"/>
          <w:sz w:val="14"/>
          <w:szCs w:val="14"/>
          <w:lang w:val="en-GB"/>
        </w:rPr>
        <w:t>Regarding their characteristics, similar features emerged than in the studies of Probáld and Illés, completed with demographic, economic and settlement network-related development endowments. The TSP also described the characteristics of the Western and Northern macro regions, as the regions of the most developed and highly urbanised areas with high levels of GDP per capita and high standards of living, highly developed competitive and considerably specialised economy, post-modern and healthy society and net migration gain. The driving forces of their development are innovations, knowledge and socio-economic transformation. Furthermore, the more developed culture of strategic planning, monitoring and evaluation activities is mentioned.</w:t>
      </w:r>
    </w:p>
  </w:footnote>
  <w:footnote w:id="92">
    <w:p w14:paraId="0BC57277" w14:textId="77777777" w:rsidR="00040419" w:rsidRPr="002E30D8" w:rsidRDefault="00040419" w:rsidP="00040419">
      <w:pPr>
        <w:pStyle w:val="Lbjegyzetszveg"/>
        <w:jc w:val="both"/>
        <w:rPr>
          <w:rFonts w:ascii="Georgia" w:hAnsi="Georgia" w:cs="Times New Roman"/>
          <w:sz w:val="14"/>
          <w:szCs w:val="14"/>
          <w:lang w:val="en-GB"/>
        </w:rPr>
      </w:pPr>
      <w:r w:rsidRPr="002E30D8">
        <w:rPr>
          <w:rStyle w:val="Lbjegyzet-hivatkozs"/>
          <w:rFonts w:ascii="Georgia" w:hAnsi="Georgia" w:cs="Times New Roman"/>
          <w:sz w:val="14"/>
          <w:szCs w:val="14"/>
          <w:lang w:val="en-GB"/>
        </w:rPr>
        <w:footnoteRef/>
      </w:r>
      <w:r w:rsidRPr="002E30D8">
        <w:rPr>
          <w:rFonts w:ascii="Georgia" w:hAnsi="Georgia" w:cs="Times New Roman"/>
          <w:sz w:val="14"/>
          <w:szCs w:val="14"/>
          <w:lang w:val="en-GB"/>
        </w:rPr>
        <w:t xml:space="preserve"> In some programmes, even non-EU countries (third countries such as Iceland or Lichtenstein), enlargement and neighbourhood partner countries, and OCTs (The Overseas Countries and Territories) are also involved, with the aim of achieving stronger territorial integration.</w:t>
      </w:r>
    </w:p>
  </w:footnote>
  <w:footnote w:id="93">
    <w:p w14:paraId="60D2C737" w14:textId="619962D6" w:rsidR="00643E78" w:rsidRDefault="00643E78">
      <w:pPr>
        <w:pStyle w:val="Lbjegyzetszveg"/>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hyperlink r:id="rId3" w:history="1">
        <w:r w:rsidRPr="002E30D8">
          <w:rPr>
            <w:rStyle w:val="Hiperhivatkozs"/>
            <w:rFonts w:ascii="Georgia" w:hAnsi="Georgia"/>
            <w:sz w:val="14"/>
            <w:szCs w:val="14"/>
            <w:lang w:val="en-GB"/>
          </w:rPr>
          <w:t>https://ec.europa.eu/regional_policy/policy/cooperation/european-territorial/trans-national_en</w:t>
        </w:r>
      </w:hyperlink>
      <w:r w:rsidRPr="002E30D8">
        <w:rPr>
          <w:rFonts w:ascii="Georgia" w:hAnsi="Georgia"/>
          <w:sz w:val="14"/>
          <w:szCs w:val="14"/>
          <w:lang w:val="en-GB"/>
        </w:rPr>
        <w:t xml:space="preserve">; </w:t>
      </w:r>
      <w:r w:rsidR="002E30D8" w:rsidRPr="002E30D8">
        <w:rPr>
          <w:rFonts w:ascii="Georgia" w:hAnsi="Georgia"/>
          <w:sz w:val="14"/>
          <w:szCs w:val="14"/>
          <w:lang w:val="en-GB"/>
        </w:rPr>
        <w:t>downloaded</w:t>
      </w:r>
      <w:r w:rsidRPr="002E30D8">
        <w:rPr>
          <w:rFonts w:ascii="Georgia" w:hAnsi="Georgia"/>
          <w:sz w:val="14"/>
          <w:szCs w:val="14"/>
          <w:lang w:val="en-GB"/>
        </w:rPr>
        <w:t xml:space="preserve"> on 18.05.2025</w:t>
      </w:r>
      <w:r w:rsidRPr="00643E78">
        <w:rPr>
          <w:rFonts w:ascii="Georgia" w:hAnsi="Georgia"/>
          <w:sz w:val="14"/>
          <w:szCs w:val="14"/>
        </w:rPr>
        <w:t>.</w:t>
      </w:r>
      <w:r>
        <w:t xml:space="preserve"> </w:t>
      </w:r>
    </w:p>
  </w:footnote>
  <w:footnote w:id="94">
    <w:p w14:paraId="2CA8FEBB" w14:textId="007CB1F1" w:rsidR="00B92E3B" w:rsidRPr="002E30D8" w:rsidRDefault="00B92E3B" w:rsidP="00B92E3B">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hAnsi="Georgia" w:cs="Times New Roman"/>
          <w:sz w:val="14"/>
          <w:szCs w:val="14"/>
          <w:lang w:val="en-GB"/>
        </w:rPr>
        <w:t xml:space="preserve">NAS objective system's introductory "Horizontal actions" aspect list </w:t>
      </w:r>
      <w:r w:rsidR="00C1798F" w:rsidRPr="002E30D8">
        <w:rPr>
          <w:rFonts w:ascii="Georgia" w:hAnsi="Georgia" w:cs="Times New Roman"/>
          <w:sz w:val="14"/>
          <w:szCs w:val="14"/>
          <w:lang w:val="en-GB"/>
        </w:rPr>
        <w:t>contains</w:t>
      </w:r>
      <w:r w:rsidRPr="002E30D8">
        <w:rPr>
          <w:rFonts w:ascii="Georgia" w:hAnsi="Georgia" w:cs="Times New Roman"/>
          <w:sz w:val="14"/>
          <w:szCs w:val="14"/>
          <w:lang w:val="en-GB"/>
        </w:rPr>
        <w:t xml:space="preserve"> "Operational actions" aspect that talks about spatial and sectoral strategic planning in local and regional level in these areas, urging these activities. Action lines 4.2.1.- 4.2.2 focus on urban spatial policy making and urges development of local adaptation plans and adaptation mainstreaming into spatial documents. Action line 6.1.4. also urges community planning through which tool local plans are supported.</w:t>
      </w:r>
    </w:p>
  </w:footnote>
  <w:footnote w:id="95">
    <w:p w14:paraId="6A410D1E" w14:textId="77777777" w:rsidR="00B92E3B" w:rsidRPr="002E30D8" w:rsidRDefault="00B92E3B" w:rsidP="00B92E3B">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Romania’s NAS</w:t>
      </w:r>
      <w:r w:rsidRPr="002E30D8">
        <w:rPr>
          <w:rFonts w:ascii="Georgia" w:hAnsi="Georgia" w:cs="Times New Roman"/>
          <w:sz w:val="14"/>
          <w:szCs w:val="14"/>
          <w:lang w:val="en-GB"/>
        </w:rPr>
        <w:t xml:space="preserve"> 7.1. NAS sub-objective directly focuses on local adaptation planning; subobjectives 11.5. and 12. 3 too on tourism adaptation and industrial adaptation local planning; measure 5.3.1. urges involvement of citizens in local planning; 3.4.4. natural habitat management oriented local planning. The second part of Chapter 8 consequently emphasises the importance of local planning (Local Adapt Action Plans, tourism destination related planning, connections with settlement planning).</w:t>
      </w:r>
    </w:p>
  </w:footnote>
  <w:footnote w:id="96">
    <w:p w14:paraId="5CA13926" w14:textId="77777777" w:rsidR="00B92E3B" w:rsidRPr="002E30D8" w:rsidRDefault="00B92E3B" w:rsidP="00B92E3B">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hAnsi="Georgia" w:cs="Times New Roman"/>
          <w:sz w:val="14"/>
          <w:szCs w:val="14"/>
          <w:lang w:val="en-GB"/>
        </w:rPr>
        <w:t>e.g. Goal 8 of the latter is about “Territorial Planning and Coastal Plan Regulations are directing measures for climate change adaptation to be taken by local municipalities”); Priority Action No. 12 is directly about Initiative for municipal adaptation.</w:t>
      </w:r>
    </w:p>
  </w:footnote>
  <w:footnote w:id="97">
    <w:p w14:paraId="301A4D4F" w14:textId="494BF361" w:rsidR="00B92E3B" w:rsidRPr="00396713" w:rsidRDefault="00B92E3B" w:rsidP="00B92E3B">
      <w:pPr>
        <w:pStyle w:val="Lbjegyzetszveg"/>
        <w:jc w:val="both"/>
        <w:rPr>
          <w:rFonts w:ascii="Georgia" w:hAnsi="Georgia"/>
          <w:sz w:val="14"/>
          <w:szCs w:val="14"/>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hAnsi="Georgia" w:cs="Times New Roman"/>
          <w:sz w:val="14"/>
          <w:szCs w:val="14"/>
          <w:lang w:val="en-GB"/>
        </w:rPr>
        <w:t>Reservoir management planning’s focus to be oriented to spatial uneven redistribution of water, and their multisectoral</w:t>
      </w:r>
      <w:r w:rsidR="002E30D8">
        <w:rPr>
          <w:rFonts w:ascii="Georgia" w:hAnsi="Georgia" w:cs="Times New Roman"/>
          <w:sz w:val="14"/>
          <w:szCs w:val="14"/>
          <w:lang w:val="en-GB"/>
        </w:rPr>
        <w:t xml:space="preserve"> nature</w:t>
      </w:r>
      <w:r w:rsidRPr="002E30D8">
        <w:rPr>
          <w:rFonts w:ascii="Georgia" w:hAnsi="Georgia" w:cs="Times New Roman"/>
          <w:sz w:val="14"/>
          <w:szCs w:val="14"/>
          <w:lang w:val="en-GB"/>
        </w:rPr>
        <w:t>; River Basin management plans and local adaptation planning are propagated by Chapter 7.1.2. capacity building. NAS Action 3.16. urges to develop and adopt Flood Risk Management Plans.</w:t>
      </w:r>
    </w:p>
  </w:footnote>
  <w:footnote w:id="98">
    <w:p w14:paraId="797B4B4F" w14:textId="55981929" w:rsidR="00171286" w:rsidRPr="00A47768" w:rsidRDefault="00171286" w:rsidP="00171286">
      <w:pPr>
        <w:pStyle w:val="Lbjegyzetszveg"/>
        <w:jc w:val="both"/>
        <w:rPr>
          <w:rFonts w:ascii="Georgia" w:hAnsi="Georgia"/>
          <w:sz w:val="14"/>
          <w:szCs w:val="14"/>
        </w:rPr>
      </w:pPr>
      <w:r w:rsidRPr="00A47768">
        <w:rPr>
          <w:rStyle w:val="Lbjegyzet-hivatkozs"/>
          <w:rFonts w:ascii="Georgia" w:hAnsi="Georgia"/>
          <w:sz w:val="14"/>
          <w:szCs w:val="14"/>
        </w:rPr>
        <w:footnoteRef/>
      </w:r>
      <w:r w:rsidRPr="00A47768">
        <w:rPr>
          <w:rFonts w:ascii="Georgia" w:hAnsi="Georgia"/>
          <w:sz w:val="14"/>
          <w:szCs w:val="14"/>
        </w:rPr>
        <w:t xml:space="preserve"> </w:t>
      </w:r>
      <w:r w:rsidRPr="00A47768">
        <w:rPr>
          <w:rFonts w:ascii="Georgia" w:eastAsia="Times New Roman" w:hAnsi="Georgia" w:cs="Times New Roman"/>
          <w:color w:val="000000"/>
          <w:sz w:val="14"/>
          <w:szCs w:val="14"/>
          <w:lang w:val="en-GB" w:eastAsia="hu-HU"/>
        </w:rPr>
        <w:t xml:space="preserve">The slogan </w:t>
      </w:r>
      <w:r w:rsidR="00C1798F" w:rsidRPr="00A47768">
        <w:rPr>
          <w:rFonts w:ascii="Georgia" w:eastAsia="Times New Roman" w:hAnsi="Georgia" w:cs="Times New Roman"/>
          <w:color w:val="000000"/>
          <w:sz w:val="14"/>
          <w:szCs w:val="14"/>
          <w:lang w:val="en-GB" w:eastAsia="hu-HU"/>
        </w:rPr>
        <w:t>says,</w:t>
      </w:r>
      <w:r w:rsidRPr="00A47768">
        <w:rPr>
          <w:rFonts w:ascii="Georgia" w:eastAsia="Times New Roman" w:hAnsi="Georgia" w:cs="Times New Roman"/>
          <w:color w:val="000000"/>
          <w:sz w:val="14"/>
          <w:szCs w:val="14"/>
          <w:lang w:val="en-GB" w:eastAsia="hu-HU"/>
        </w:rPr>
        <w:t xml:space="preserve"> "</w:t>
      </w:r>
      <w:r w:rsidRPr="00023843">
        <w:rPr>
          <w:rFonts w:ascii="Georgia" w:eastAsia="Times New Roman" w:hAnsi="Georgia" w:cs="Times New Roman"/>
          <w:i/>
          <w:iCs/>
          <w:color w:val="000000"/>
          <w:sz w:val="14"/>
          <w:szCs w:val="14"/>
          <w:lang w:val="en-GB" w:eastAsia="hu-HU"/>
        </w:rPr>
        <w:t xml:space="preserve">The strategy aims to improve the ability to adapt and increase the resilience of socio-economic and natural systems to the impact of variability and climate change </w:t>
      </w:r>
      <w:r w:rsidRPr="00023843">
        <w:rPr>
          <w:rFonts w:ascii="Georgia" w:eastAsia="Times New Roman" w:hAnsi="Georgia" w:cs="Times New Roman"/>
          <w:b/>
          <w:bCs/>
          <w:i/>
          <w:iCs/>
          <w:color w:val="000000"/>
          <w:sz w:val="14"/>
          <w:szCs w:val="14"/>
          <w:lang w:val="en-GB" w:eastAsia="hu-HU"/>
        </w:rPr>
        <w:t>on different areas</w:t>
      </w:r>
      <w:r w:rsidRPr="00023843">
        <w:rPr>
          <w:rFonts w:ascii="Georgia" w:eastAsia="Times New Roman" w:hAnsi="Georgia" w:cs="Times New Roman"/>
          <w:i/>
          <w:iCs/>
          <w:color w:val="000000"/>
          <w:sz w:val="14"/>
          <w:szCs w:val="14"/>
          <w:lang w:val="en-GB" w:eastAsia="hu-HU"/>
        </w:rPr>
        <w:t xml:space="preserve"> and time intervals, facilitating Romania's transition to a circular economy with low carbon emissions and the achievement of climate neutrality by 2050</w:t>
      </w:r>
      <w:r w:rsidRPr="00A47768">
        <w:rPr>
          <w:rFonts w:ascii="Georgia" w:eastAsia="Times New Roman" w:hAnsi="Georgia" w:cs="Times New Roman"/>
          <w:color w:val="000000"/>
          <w:sz w:val="14"/>
          <w:szCs w:val="14"/>
          <w:lang w:val="en-GB" w:eastAsia="hu-HU"/>
        </w:rPr>
        <w:t xml:space="preserve"> ".</w:t>
      </w:r>
    </w:p>
  </w:footnote>
  <w:footnote w:id="99">
    <w:p w14:paraId="3F7AC479" w14:textId="05030CF1" w:rsidR="00BD445B" w:rsidRPr="002E30D8" w:rsidRDefault="00BD445B" w:rsidP="00BD445B">
      <w:pPr>
        <w:pStyle w:val="Lbjegyzetszveg"/>
        <w:jc w:val="both"/>
        <w:rPr>
          <w:rFonts w:ascii="Georgia" w:hAnsi="Georgia"/>
          <w:sz w:val="16"/>
          <w:szCs w:val="16"/>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eastAsia="Times New Roman" w:hAnsi="Georgia" w:cs="Times New Roman"/>
          <w:color w:val="000000"/>
          <w:sz w:val="14"/>
          <w:szCs w:val="14"/>
          <w:lang w:val="en-GB" w:eastAsia="hu-HU"/>
        </w:rPr>
        <w:t xml:space="preserve">Direct spatial content (region and settlement network types) emerges in water management chapter that talks about riverine zones, the forestry chapter low-lying areas, and lowlands; the energy chapter’s hydropower subobjective mentions high mountains; the tourism chapter talks about low lying areas, mountainous regions, Alpine tourist regions, meanwhile the spatial planning chapter mentions large cities and agglomerations suffer from natural hazards; </w:t>
      </w:r>
      <w:r w:rsidR="002E1FA1" w:rsidRPr="002E30D8">
        <w:rPr>
          <w:rFonts w:ascii="Georgia" w:eastAsia="Times New Roman" w:hAnsi="Georgia" w:cs="Times New Roman"/>
          <w:color w:val="000000"/>
          <w:sz w:val="14"/>
          <w:szCs w:val="14"/>
          <w:lang w:val="en-GB" w:eastAsia="hu-HU"/>
        </w:rPr>
        <w:t xml:space="preserve">furthermore </w:t>
      </w:r>
      <w:r w:rsidRPr="002E30D8">
        <w:rPr>
          <w:rFonts w:ascii="Georgia" w:eastAsia="Times New Roman" w:hAnsi="Georgia" w:cs="Times New Roman"/>
          <w:color w:val="000000"/>
          <w:sz w:val="14"/>
          <w:szCs w:val="14"/>
          <w:lang w:val="en-GB" w:eastAsia="hu-HU"/>
        </w:rPr>
        <w:t>agglomerations, cities, suburban open areas. Concrete territories are mentioned by water management chapter (Rhein), by natural hazard chapter (Alpine floods, Milttelland and Jura Floods), by forestry chapter (Ticino, Valais and Graubünden cantons). General spatial statements emerge in the water management chapter</w:t>
      </w:r>
      <w:r w:rsidR="002E1FA1" w:rsidRPr="002E30D8">
        <w:rPr>
          <w:rFonts w:ascii="Georgia" w:eastAsia="Times New Roman" w:hAnsi="Georgia" w:cs="Times New Roman"/>
          <w:color w:val="000000"/>
          <w:sz w:val="14"/>
          <w:szCs w:val="14"/>
          <w:lang w:val="en-GB" w:eastAsia="hu-HU"/>
        </w:rPr>
        <w:t xml:space="preserve">: </w:t>
      </w:r>
      <w:r w:rsidRPr="002E30D8">
        <w:rPr>
          <w:rFonts w:ascii="Georgia" w:eastAsia="Times New Roman" w:hAnsi="Georgia" w:cs="Times New Roman"/>
          <w:color w:val="000000"/>
          <w:sz w:val="14"/>
          <w:szCs w:val="14"/>
          <w:lang w:val="en-GB" w:eastAsia="hu-HU"/>
        </w:rPr>
        <w:t>regional and temporary bottlenecks; regionalization of the drinking water supply management, regional modelling of climate and water regimes; the subchapter 4.2.1.'s end is an actual territorial synthesis, mentioning a spatial summary; agriculture chapter mentions that "</w:t>
      </w:r>
      <w:r w:rsidR="002E1FA1" w:rsidRPr="002E30D8">
        <w:rPr>
          <w:rFonts w:ascii="Georgia" w:eastAsia="Times New Roman" w:hAnsi="Georgia" w:cs="Times New Roman"/>
          <w:i/>
          <w:iCs/>
          <w:color w:val="000000"/>
          <w:sz w:val="14"/>
          <w:szCs w:val="14"/>
          <w:lang w:val="en-GB" w:eastAsia="hu-HU"/>
        </w:rPr>
        <w:t>t</w:t>
      </w:r>
      <w:r w:rsidRPr="002E30D8">
        <w:rPr>
          <w:rFonts w:ascii="Georgia" w:eastAsia="Times New Roman" w:hAnsi="Georgia" w:cs="Times New Roman"/>
          <w:i/>
          <w:iCs/>
          <w:color w:val="000000"/>
          <w:sz w:val="14"/>
          <w:szCs w:val="14"/>
          <w:lang w:val="en-GB" w:eastAsia="hu-HU"/>
        </w:rPr>
        <w:t>he features of the natural landscape (topography, soil type and exposure) and climatic conditions are among the factors that determine the suitability of a site for agricultural production</w:t>
      </w:r>
      <w:r w:rsidRPr="002E30D8">
        <w:rPr>
          <w:rFonts w:ascii="Georgia" w:eastAsia="Times New Roman" w:hAnsi="Georgia" w:cs="Times New Roman"/>
          <w:color w:val="000000"/>
          <w:sz w:val="14"/>
          <w:szCs w:val="14"/>
          <w:lang w:val="en-GB" w:eastAsia="hu-HU"/>
        </w:rPr>
        <w:t>." Spatial planning chapter mentions regional adaptability in tourism.</w:t>
      </w:r>
    </w:p>
  </w:footnote>
  <w:footnote w:id="100">
    <w:p w14:paraId="5895661B" w14:textId="58900F6D" w:rsidR="004D283B" w:rsidRPr="002E30D8" w:rsidRDefault="004D283B" w:rsidP="004D283B">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Priorities #1 and #2 (these are actually specific objectives) are directly region type-oriented: #1 aims at ensuring sustainable regional and urban development; #2 aims at ensuring prerequisites for the economic development of rural areas, coasts and islands); #4 and #5 even include implicit contents (#4 the importance of local/regional level in risk management; #5 the GIS-based monitoring development).</w:t>
      </w:r>
    </w:p>
  </w:footnote>
  <w:footnote w:id="101">
    <w:p w14:paraId="63D02F46" w14:textId="77777777" w:rsidR="00BD445B" w:rsidRPr="00FA4CB8" w:rsidRDefault="00BD445B" w:rsidP="004D283B">
      <w:pPr>
        <w:pStyle w:val="Lbjegyzetszveg"/>
        <w:jc w:val="both"/>
        <w:rPr>
          <w:rFonts w:ascii="Georgia" w:hAnsi="Georgia"/>
          <w:sz w:val="16"/>
          <w:szCs w:val="16"/>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eastAsia="Times New Roman" w:hAnsi="Georgia" w:cs="Times New Roman"/>
          <w:color w:val="000000"/>
          <w:sz w:val="14"/>
          <w:szCs w:val="14"/>
          <w:lang w:val="en-GB" w:eastAsia="hu-HU"/>
        </w:rPr>
        <w:t>To promote coordinated and coherent action to address the effects of climate change in Spain in order to avoid or reduce present and future damage from climate change and to build a more resilient economy and society.</w:t>
      </w:r>
    </w:p>
  </w:footnote>
  <w:footnote w:id="102">
    <w:p w14:paraId="44B26EB1" w14:textId="37A7BFD1" w:rsidR="00BD445B" w:rsidRPr="002E30D8" w:rsidRDefault="00BD445B" w:rsidP="00BD445B">
      <w:pPr>
        <w:pStyle w:val="Lbjegyzetszveg"/>
        <w:jc w:val="both"/>
        <w:rPr>
          <w:rFonts w:ascii="Georgia" w:hAnsi="Georgia"/>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eastAsia="Times New Roman" w:hAnsi="Georgia" w:cs="Times New Roman"/>
          <w:color w:val="000000"/>
          <w:sz w:val="14"/>
          <w:szCs w:val="14"/>
          <w:lang w:val="en-GB" w:eastAsia="hu-HU"/>
        </w:rPr>
        <w:t>The "</w:t>
      </w:r>
      <w:r w:rsidRPr="002E30D8">
        <w:rPr>
          <w:rFonts w:ascii="Georgia" w:eastAsia="Times New Roman" w:hAnsi="Georgia" w:cs="Times New Roman"/>
          <w:i/>
          <w:color w:val="000000"/>
          <w:sz w:val="14"/>
          <w:szCs w:val="14"/>
          <w:lang w:val="en-GB" w:eastAsia="hu-HU"/>
        </w:rPr>
        <w:t>deepening in the geographical and social components of vulnerability to climate change</w:t>
      </w:r>
      <w:r w:rsidRPr="002E30D8">
        <w:rPr>
          <w:rFonts w:ascii="Georgia" w:eastAsia="Times New Roman" w:hAnsi="Georgia" w:cs="Times New Roman"/>
          <w:color w:val="000000"/>
          <w:sz w:val="14"/>
          <w:szCs w:val="14"/>
          <w:lang w:val="en-GB" w:eastAsia="hu-HU"/>
        </w:rPr>
        <w:t xml:space="preserve">" is </w:t>
      </w:r>
      <w:r w:rsidR="002E30D8" w:rsidRPr="002E30D8">
        <w:rPr>
          <w:rFonts w:ascii="Georgia" w:eastAsia="Times New Roman" w:hAnsi="Georgia" w:cs="Times New Roman"/>
          <w:color w:val="000000"/>
          <w:sz w:val="14"/>
          <w:szCs w:val="14"/>
          <w:lang w:val="en-GB" w:eastAsia="hu-HU"/>
        </w:rPr>
        <w:t>particularly</w:t>
      </w:r>
      <w:r w:rsidRPr="002E30D8">
        <w:rPr>
          <w:rFonts w:ascii="Georgia" w:eastAsia="Times New Roman" w:hAnsi="Georgia" w:cs="Times New Roman"/>
          <w:color w:val="000000"/>
          <w:sz w:val="14"/>
          <w:szCs w:val="14"/>
          <w:lang w:val="en-GB" w:eastAsia="hu-HU"/>
        </w:rPr>
        <w:t xml:space="preserve"> worth for </w:t>
      </w:r>
      <w:r w:rsidR="00A65469" w:rsidRPr="002E30D8">
        <w:rPr>
          <w:rFonts w:ascii="Georgia" w:eastAsia="Times New Roman" w:hAnsi="Georgia" w:cs="Times New Roman"/>
          <w:color w:val="000000"/>
          <w:sz w:val="14"/>
          <w:szCs w:val="14"/>
          <w:lang w:val="en-GB" w:eastAsia="hu-HU"/>
        </w:rPr>
        <w:t>mentioning. I</w:t>
      </w:r>
      <w:r w:rsidRPr="002E30D8">
        <w:rPr>
          <w:rFonts w:ascii="Georgia" w:eastAsia="Times New Roman" w:hAnsi="Georgia" w:cs="Times New Roman"/>
          <w:color w:val="000000"/>
          <w:sz w:val="14"/>
          <w:szCs w:val="14"/>
          <w:lang w:val="en-GB" w:eastAsia="hu-HU"/>
        </w:rPr>
        <w:t xml:space="preserve">t says </w:t>
      </w:r>
      <w:r w:rsidRPr="002E30D8">
        <w:rPr>
          <w:rFonts w:ascii="Georgia" w:eastAsia="Times New Roman" w:hAnsi="Georgia" w:cs="Times New Roman"/>
          <w:i/>
          <w:color w:val="000000"/>
          <w:sz w:val="14"/>
          <w:szCs w:val="14"/>
          <w:lang w:val="en-GB" w:eastAsia="hu-HU"/>
        </w:rPr>
        <w:t>"The actual and potential impacts of climate change are unevenly distributed across the territory. These territorial differences (…) must be identified in risk studies and taken into account in the definition of adaptation measures”.</w:t>
      </w:r>
    </w:p>
  </w:footnote>
  <w:footnote w:id="103">
    <w:p w14:paraId="0C4D431D" w14:textId="2D370BCA" w:rsidR="00BD445B" w:rsidRPr="002E30D8" w:rsidRDefault="00BD445B" w:rsidP="00BD445B">
      <w:pPr>
        <w:spacing w:after="0" w:line="240" w:lineRule="auto"/>
        <w:jc w:val="both"/>
        <w:rPr>
          <w:rFonts w:ascii="Georgia" w:eastAsia="Times New Roman" w:hAnsi="Georgia" w:cs="Times New Roman"/>
          <w:color w:val="000000"/>
          <w:sz w:val="14"/>
          <w:szCs w:val="14"/>
          <w:lang w:val="en-GB" w:eastAsia="hu-HU"/>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w:t>
      </w:r>
      <w:r w:rsidRPr="002E30D8">
        <w:rPr>
          <w:rFonts w:ascii="Georgia" w:eastAsia="Times New Roman" w:hAnsi="Georgia" w:cs="Times New Roman"/>
          <w:color w:val="000000"/>
          <w:sz w:val="14"/>
          <w:szCs w:val="14"/>
          <w:lang w:val="en-GB" w:eastAsia="hu-HU"/>
        </w:rPr>
        <w:t xml:space="preserve">Point 1 mentions coastal areas, areas prone to river floods, cities and urban areas as especially vulnerable parts of Belgium: geographic sensitivity appears here. In Point 2 place-based approach emerges </w:t>
      </w:r>
      <w:r w:rsidRPr="002E30D8">
        <w:rPr>
          <w:rFonts w:ascii="Georgia" w:hAnsi="Georgia"/>
          <w:sz w:val="14"/>
          <w:szCs w:val="14"/>
          <w:lang w:val="en-GB"/>
        </w:rPr>
        <w:t>It says that "</w:t>
      </w:r>
      <w:r w:rsidRPr="002E30D8">
        <w:rPr>
          <w:rFonts w:ascii="Georgia" w:hAnsi="Georgia"/>
          <w:i/>
          <w:sz w:val="14"/>
          <w:szCs w:val="14"/>
          <w:lang w:val="en-GB"/>
        </w:rPr>
        <w:t xml:space="preserve">Needs and measures differ greatly between different policy areas and between different geographic areas (such as the woodlands in the Walloon Ardennes, the coastal regions in Flanders or the urban environment of the Brussels area). </w:t>
      </w:r>
      <w:r w:rsidR="00C1798F" w:rsidRPr="002E30D8">
        <w:rPr>
          <w:rFonts w:ascii="Georgia" w:hAnsi="Georgia"/>
          <w:i/>
          <w:sz w:val="14"/>
          <w:szCs w:val="14"/>
          <w:lang w:val="en-GB"/>
        </w:rPr>
        <w:t>Therefore,</w:t>
      </w:r>
      <w:r w:rsidRPr="002E30D8">
        <w:rPr>
          <w:rFonts w:ascii="Georgia" w:hAnsi="Georgia"/>
          <w:i/>
          <w:sz w:val="14"/>
          <w:szCs w:val="14"/>
          <w:lang w:val="en-GB"/>
        </w:rPr>
        <w:t xml:space="preserve"> it is not advisable to try and create one single ‘adaptation rule</w:t>
      </w:r>
      <w:r w:rsidRPr="002E30D8">
        <w:rPr>
          <w:rFonts w:ascii="Georgia" w:hAnsi="Georgia"/>
          <w:sz w:val="14"/>
          <w:szCs w:val="14"/>
          <w:lang w:val="en-GB"/>
        </w:rPr>
        <w:t xml:space="preserve">". </w:t>
      </w:r>
      <w:r w:rsidRPr="002E30D8">
        <w:rPr>
          <w:rFonts w:ascii="Georgia" w:eastAsia="Times New Roman" w:hAnsi="Georgia" w:cs="Times New Roman"/>
          <w:color w:val="000000"/>
          <w:sz w:val="14"/>
          <w:szCs w:val="14"/>
          <w:lang w:val="en-GB" w:eastAsia="hu-HU"/>
        </w:rPr>
        <w:t xml:space="preserve">Point 3 says that </w:t>
      </w:r>
      <w:r w:rsidRPr="002E30D8">
        <w:rPr>
          <w:rFonts w:ascii="Georgia" w:eastAsia="Times New Roman" w:hAnsi="Georgia" w:cs="Times New Roman"/>
          <w:i/>
          <w:color w:val="000000"/>
          <w:sz w:val="14"/>
          <w:szCs w:val="14"/>
          <w:lang w:val="en-GB" w:eastAsia="hu-HU"/>
        </w:rPr>
        <w:t>"An important thread through the NAP, is the need for cooperation at all levels and organisations</w:t>
      </w:r>
      <w:r w:rsidRPr="002E30D8">
        <w:rPr>
          <w:rFonts w:ascii="Georgia" w:eastAsia="Times New Roman" w:hAnsi="Georgia" w:cs="Times New Roman"/>
          <w:color w:val="000000"/>
          <w:sz w:val="14"/>
          <w:szCs w:val="14"/>
          <w:lang w:val="en-GB" w:eastAsia="hu-HU"/>
        </w:rPr>
        <w:t>"- it emphasises multilevel governance implicitly. Point 4 propagates a coordinated approach and search for synergies between sectors - territorial harmony and territorial optimum emerges here. Point 6 emphasises the importance of lower spatial levels (regional, local) in adaptation. Point 7 advocates for place-based approach in the field of action planning and MRE and the development of GIS-based DS system in climate policy. Point 8 propagates both effective and balanced adaptation plans, meanwhile Point 9 directs attention to potentially vulnerable social groups- implicitly spatial thinking also appear</w:t>
      </w:r>
      <w:r w:rsidR="00A65469" w:rsidRPr="002E30D8">
        <w:rPr>
          <w:rFonts w:ascii="Georgia" w:eastAsia="Times New Roman" w:hAnsi="Georgia" w:cs="Times New Roman"/>
          <w:color w:val="000000"/>
          <w:sz w:val="14"/>
          <w:szCs w:val="14"/>
          <w:lang w:val="en-GB" w:eastAsia="hu-HU"/>
        </w:rPr>
        <w:t>s</w:t>
      </w:r>
      <w:r w:rsidRPr="002E30D8">
        <w:rPr>
          <w:rFonts w:ascii="Georgia" w:eastAsia="Times New Roman" w:hAnsi="Georgia" w:cs="Times New Roman"/>
          <w:color w:val="000000"/>
          <w:sz w:val="14"/>
          <w:szCs w:val="14"/>
          <w:lang w:val="en-GB" w:eastAsia="hu-HU"/>
        </w:rPr>
        <w:t xml:space="preserve"> here.</w:t>
      </w:r>
    </w:p>
    <w:p w14:paraId="0B14559A" w14:textId="77777777" w:rsidR="00BD445B" w:rsidRDefault="00BD445B" w:rsidP="00BD445B">
      <w:pPr>
        <w:pStyle w:val="Lbjegyzetszveg"/>
      </w:pPr>
    </w:p>
  </w:footnote>
  <w:footnote w:id="104">
    <w:p w14:paraId="23E274D3" w14:textId="369CF817" w:rsidR="00720A42" w:rsidRPr="002E30D8" w:rsidRDefault="00720A42" w:rsidP="00720A42">
      <w:pPr>
        <w:pStyle w:val="Lbjegyzetszveg"/>
        <w:jc w:val="both"/>
        <w:rPr>
          <w:sz w:val="14"/>
          <w:szCs w:val="14"/>
          <w:lang w:val="en-GB"/>
        </w:rPr>
      </w:pPr>
      <w:r w:rsidRPr="002E30D8">
        <w:rPr>
          <w:rStyle w:val="Lbjegyzet-hivatkozs"/>
          <w:rFonts w:ascii="Georgia" w:hAnsi="Georgia"/>
          <w:sz w:val="14"/>
          <w:szCs w:val="14"/>
          <w:lang w:val="en-GB"/>
        </w:rPr>
        <w:footnoteRef/>
      </w:r>
      <w:r w:rsidRPr="002E30D8">
        <w:rPr>
          <w:rFonts w:ascii="Georgia" w:hAnsi="Georgia"/>
          <w:sz w:val="14"/>
          <w:szCs w:val="14"/>
          <w:lang w:val="en-GB"/>
        </w:rPr>
        <w:t xml:space="preserve"> Regarding geopolitical changes it mentions that climate change can impact international relations,</w:t>
      </w:r>
      <w:r w:rsidR="00337C91" w:rsidRPr="002E30D8">
        <w:rPr>
          <w:rFonts w:ascii="Georgia" w:hAnsi="Georgia"/>
          <w:sz w:val="14"/>
          <w:szCs w:val="14"/>
          <w:lang w:val="en-GB"/>
        </w:rPr>
        <w:t xml:space="preserve"> </w:t>
      </w:r>
      <w:r w:rsidRPr="002E30D8">
        <w:rPr>
          <w:rFonts w:ascii="Georgia" w:hAnsi="Georgia"/>
          <w:sz w:val="14"/>
          <w:szCs w:val="14"/>
          <w:lang w:val="en-GB"/>
        </w:rPr>
        <w:t>affecting humanitarian assistance, defence or cooperation policies. This line of action is aimed at identifying chains of impacts associated with climate change that connect spaces beyond our borders with the country; defining strategies and initiatives that can contribute to reducing the vulnerability of Spain, while avoiding negative impacts on European and global vulnerability".</w:t>
      </w:r>
    </w:p>
  </w:footnote>
  <w:footnote w:id="105">
    <w:p w14:paraId="380526D2" w14:textId="77777777" w:rsidR="005B166A" w:rsidRPr="0062598E" w:rsidRDefault="005B166A" w:rsidP="005B166A">
      <w:pPr>
        <w:pStyle w:val="Lbjegyzetszveg"/>
        <w:jc w:val="both"/>
        <w:rPr>
          <w:rFonts w:ascii="Georgia" w:hAnsi="Georgia" w:cs="Times New Roman"/>
          <w:smallCaps/>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w:t>
      </w:r>
      <w:r w:rsidRPr="0062598E">
        <w:rPr>
          <w:rFonts w:ascii="Georgia" w:hAnsi="Georgia" w:cs="Times New Roman"/>
          <w:sz w:val="14"/>
          <w:szCs w:val="14"/>
          <w:lang w:val="en-GB"/>
        </w:rPr>
        <w:t>The latter attempted to reconcile Newtonian’s absolute space and Leibniz’s conception of space as relational and, by accepting the relational view, accepted that spatial relations constitute mutual influences and possible interactions, recognizing that causal interdependence is a divine product, argued that space can be an independent existence of absolute reality. He asserts that space and time are not objective, self-subsisting realities, but subjective requirements of human sensory-cognitive faculties to which all things must conform.</w:t>
      </w:r>
      <w:r w:rsidRPr="0062598E">
        <w:rPr>
          <w:rFonts w:ascii="Georgia" w:hAnsi="Georgia"/>
          <w:sz w:val="14"/>
          <w:szCs w:val="14"/>
          <w:lang w:val="en-GB"/>
        </w:rPr>
        <w:t xml:space="preserve"> </w:t>
      </w:r>
      <w:r w:rsidRPr="0062598E">
        <w:rPr>
          <w:rFonts w:ascii="Georgia" w:hAnsi="Georgia" w:cs="Times New Roman"/>
          <w:sz w:val="14"/>
          <w:szCs w:val="14"/>
          <w:lang w:val="en-GB"/>
        </w:rPr>
        <w:t>Space and time serve as indispensable tools that arrange and systemize the images of the objects imported by our sensory organs (</w:t>
      </w:r>
      <w:r w:rsidRPr="0062598E">
        <w:rPr>
          <w:rFonts w:ascii="Georgia" w:hAnsi="Georgia" w:cs="Times New Roman"/>
          <w:smallCaps/>
          <w:sz w:val="14"/>
          <w:szCs w:val="14"/>
          <w:lang w:val="en-GB"/>
        </w:rPr>
        <w:t>Karanika&amp;Kallioras, 2018).</w:t>
      </w:r>
    </w:p>
  </w:footnote>
  <w:footnote w:id="106">
    <w:p w14:paraId="38AF25E6" w14:textId="77777777" w:rsidR="005B166A" w:rsidRPr="0062598E" w:rsidRDefault="005B166A" w:rsidP="005B166A">
      <w:pPr>
        <w:pStyle w:val="Lbjegyzetszveg"/>
        <w:jc w:val="both"/>
        <w:rPr>
          <w:rFonts w:ascii="Georgia" w:hAnsi="Georgia" w:cs="Times New Roman"/>
          <w:sz w:val="14"/>
          <w:szCs w:val="14"/>
          <w:lang w:val="en-GB"/>
        </w:rPr>
      </w:pPr>
      <w:r w:rsidRPr="0062598E">
        <w:rPr>
          <w:rStyle w:val="Lbjegyzet-hivatkozs"/>
          <w:rFonts w:ascii="Georgia" w:hAnsi="Georgia" w:cs="Times New Roman"/>
          <w:sz w:val="14"/>
          <w:szCs w:val="14"/>
          <w:lang w:val="en-GB"/>
        </w:rPr>
        <w:footnoteRef/>
      </w:r>
      <w:r w:rsidRPr="0062598E">
        <w:rPr>
          <w:rFonts w:ascii="Georgia" w:hAnsi="Georgia" w:cs="Times New Roman"/>
          <w:sz w:val="14"/>
          <w:szCs w:val="14"/>
          <w:lang w:val="en-GB"/>
        </w:rPr>
        <w:t xml:space="preserve"> The region is "</w:t>
      </w:r>
      <w:r w:rsidRPr="0062598E">
        <w:rPr>
          <w:rFonts w:ascii="Georgia" w:hAnsi="Georgia" w:cs="Times New Roman"/>
          <w:i/>
          <w:sz w:val="14"/>
          <w:szCs w:val="14"/>
          <w:lang w:val="en-GB"/>
        </w:rPr>
        <w:t>a part of the earth's surface with defined boundaries and characteristics</w:t>
      </w:r>
      <w:r w:rsidRPr="0062598E">
        <w:rPr>
          <w:rFonts w:ascii="Georgia" w:hAnsi="Georgia" w:cs="Times New Roman"/>
          <w:sz w:val="14"/>
          <w:szCs w:val="14"/>
          <w:lang w:val="en-GB"/>
        </w:rPr>
        <w:t>". Place is „</w:t>
      </w:r>
      <w:r w:rsidRPr="0062598E">
        <w:rPr>
          <w:rFonts w:ascii="Georgia" w:hAnsi="Georgia" w:cs="Times New Roman"/>
          <w:i/>
          <w:sz w:val="14"/>
          <w:szCs w:val="14"/>
          <w:lang w:val="en-GB"/>
        </w:rPr>
        <w:t>also a certain part of the earth's surface applies, (…)  we do not use it in an abstract sense, only one can be identified location-related</w:t>
      </w:r>
      <w:r w:rsidRPr="0062598E">
        <w:rPr>
          <w:rFonts w:ascii="Georgia" w:hAnsi="Georgia" w:cs="Times New Roman"/>
          <w:sz w:val="14"/>
          <w:szCs w:val="14"/>
          <w:lang w:val="en-GB"/>
        </w:rPr>
        <w:t>” (</w:t>
      </w:r>
      <w:r w:rsidRPr="0062598E">
        <w:rPr>
          <w:rFonts w:ascii="Georgia" w:hAnsi="Georgia" w:cs="Times New Roman"/>
          <w:smallCaps/>
          <w:sz w:val="14"/>
          <w:szCs w:val="14"/>
          <w:lang w:val="en-GB"/>
        </w:rPr>
        <w:t>Haggett 2006</w:t>
      </w:r>
      <w:r w:rsidRPr="0062598E">
        <w:rPr>
          <w:rFonts w:ascii="Georgia" w:hAnsi="Georgia" w:cs="Times New Roman"/>
          <w:sz w:val="14"/>
          <w:szCs w:val="14"/>
          <w:lang w:val="en-GB"/>
        </w:rPr>
        <w:t>, 5).</w:t>
      </w:r>
    </w:p>
  </w:footnote>
  <w:footnote w:id="107">
    <w:p w14:paraId="324DB9B4" w14:textId="38A4C2E6" w:rsidR="005B166A" w:rsidRPr="0035739B" w:rsidRDefault="005B166A" w:rsidP="005B166A">
      <w:pPr>
        <w:pStyle w:val="Lbjegyzetszveg"/>
        <w:jc w:val="both"/>
        <w:rPr>
          <w:rFonts w:ascii="Georgia" w:hAnsi="Georgia"/>
          <w:sz w:val="14"/>
          <w:szCs w:val="14"/>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Such spatial formations include spaces that are constructed and produced individually or socially, as reference points, showing the primitive process of nesting to defend the place where they reproduce, feed and roam. In accordance, the range of residence is the place where humans realize security, warmth and intimacy, mostly through guaranteed ownership, which gives the control, within a delimited space. Space focuses on the perception that puts human at the centre of social practice and </w:t>
      </w:r>
      <w:r w:rsidR="00C1798F" w:rsidRPr="0062598E">
        <w:rPr>
          <w:rFonts w:ascii="Georgia" w:hAnsi="Georgia"/>
          <w:sz w:val="14"/>
          <w:szCs w:val="14"/>
          <w:lang w:val="en-GB"/>
        </w:rPr>
        <w:t>thought,</w:t>
      </w:r>
      <w:r w:rsidRPr="0062598E">
        <w:rPr>
          <w:rFonts w:ascii="Georgia" w:hAnsi="Georgia"/>
          <w:sz w:val="14"/>
          <w:szCs w:val="14"/>
          <w:lang w:val="en-GB"/>
        </w:rPr>
        <w:t xml:space="preserve"> but it is surrounded by meanings and feelings (place), and political constructions (territory) (KARANKIKA&amp;KALLIORAS, 2018).</w:t>
      </w:r>
      <w:r w:rsidRPr="00055A77">
        <w:rPr>
          <w:rFonts w:ascii="Georgia" w:hAnsi="Georgia"/>
          <w:sz w:val="14"/>
          <w:szCs w:val="14"/>
        </w:rPr>
        <w:t xml:space="preserve"> </w:t>
      </w:r>
      <w:r w:rsidRPr="0035739B">
        <w:rPr>
          <w:rFonts w:ascii="Georgia" w:hAnsi="Georgia"/>
          <w:sz w:val="14"/>
          <w:szCs w:val="14"/>
        </w:rPr>
        <w:t xml:space="preserve"> </w:t>
      </w:r>
    </w:p>
  </w:footnote>
  <w:footnote w:id="108">
    <w:p w14:paraId="6AD9FD5D" w14:textId="589019E7" w:rsidR="005B166A" w:rsidRPr="0062598E" w:rsidRDefault="005B166A" w:rsidP="005B166A">
      <w:pPr>
        <w:pStyle w:val="Lbjegyzetszveg"/>
        <w:jc w:val="both"/>
        <w:rPr>
          <w:sz w:val="16"/>
          <w:szCs w:val="16"/>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Territory of a kingdom was a delimited and described place, in which the King’s Laws are implemented. The issue of the King’ domination and power </w:t>
      </w:r>
      <w:r w:rsidR="00C1798F" w:rsidRPr="0062598E">
        <w:rPr>
          <w:rFonts w:ascii="Georgia" w:hAnsi="Georgia"/>
          <w:sz w:val="14"/>
          <w:szCs w:val="14"/>
          <w:lang w:val="en-GB"/>
        </w:rPr>
        <w:t>derive</w:t>
      </w:r>
      <w:r w:rsidRPr="0062598E">
        <w:rPr>
          <w:rFonts w:ascii="Georgia" w:hAnsi="Georgia"/>
          <w:sz w:val="14"/>
          <w:szCs w:val="14"/>
          <w:lang w:val="en-GB"/>
        </w:rPr>
        <w:t xml:space="preserve"> from territory. The link between sovereignty and territory is clear: sovereign or potentate is that Lord or State who is master of a territory (</w:t>
      </w:r>
      <w:r w:rsidRPr="0062598E">
        <w:rPr>
          <w:rFonts w:ascii="Georgia" w:hAnsi="Georgia" w:cs="Times New Roman"/>
          <w:smallCaps/>
          <w:sz w:val="14"/>
          <w:szCs w:val="14"/>
          <w:lang w:val="en-GB"/>
        </w:rPr>
        <w:t>Karanika &amp;Kallioras</w:t>
      </w:r>
      <w:r w:rsidRPr="0062598E">
        <w:rPr>
          <w:rFonts w:ascii="Georgia" w:hAnsi="Georgia"/>
          <w:sz w:val="14"/>
          <w:szCs w:val="14"/>
          <w:lang w:val="en-GB"/>
        </w:rPr>
        <w:t>, 2018).</w:t>
      </w:r>
    </w:p>
  </w:footnote>
  <w:footnote w:id="109">
    <w:p w14:paraId="47D9C3DC" w14:textId="7777777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One of the main absolutist space interpretation-oriented subjects of geographical analyses is the natural space, that exist independently from anthropogenic activities but at the same time is formed by those. Dusek even use the notion of natural geographic space, as that part of natural space that can be perceived by humans in terrestrial scale (</w:t>
      </w:r>
      <w:r w:rsidRPr="0062598E">
        <w:rPr>
          <w:rFonts w:ascii="Georgia" w:hAnsi="Georgia"/>
          <w:smallCaps/>
          <w:sz w:val="14"/>
          <w:szCs w:val="14"/>
          <w:lang w:val="en-GB"/>
        </w:rPr>
        <w:t>Dusek, 2004</w:t>
      </w:r>
      <w:r w:rsidRPr="0062598E">
        <w:rPr>
          <w:rFonts w:ascii="Georgia" w:hAnsi="Georgia"/>
          <w:sz w:val="14"/>
          <w:szCs w:val="14"/>
          <w:lang w:val="en-GB"/>
        </w:rPr>
        <w:t>).</w:t>
      </w:r>
    </w:p>
  </w:footnote>
  <w:footnote w:id="110">
    <w:p w14:paraId="083B9821" w14:textId="77777777" w:rsidR="005B166A" w:rsidRPr="00C37C39" w:rsidRDefault="005B166A" w:rsidP="005B166A">
      <w:pPr>
        <w:pStyle w:val="Lbjegyzetszveg"/>
        <w:jc w:val="both"/>
        <w:rPr>
          <w:rFonts w:ascii="Georgia" w:hAnsi="Georgia"/>
          <w:sz w:val="14"/>
          <w:szCs w:val="14"/>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The state of the space known today has always evolved from a state that already existed before, says Dusek.</w:t>
      </w:r>
    </w:p>
  </w:footnote>
  <w:footnote w:id="111">
    <w:p w14:paraId="7147EF38" w14:textId="77777777" w:rsidR="005B166A" w:rsidRPr="0062598E" w:rsidRDefault="005B166A" w:rsidP="005B166A">
      <w:pPr>
        <w:pStyle w:val="Lbjegyzetszveg"/>
        <w:jc w:val="both"/>
        <w:rPr>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w:t>
      </w:r>
      <w:r w:rsidRPr="0062598E">
        <w:rPr>
          <w:rFonts w:ascii="Georgia" w:hAnsi="Georgia" w:cs="Times New Roman"/>
          <w:sz w:val="14"/>
          <w:szCs w:val="14"/>
          <w:lang w:val="en-GB"/>
        </w:rPr>
        <w:t>In this approach, says the author, „</w:t>
      </w:r>
      <w:r w:rsidRPr="0062598E">
        <w:rPr>
          <w:rFonts w:ascii="Georgia" w:hAnsi="Georgia" w:cs="Times New Roman"/>
          <w:i/>
          <w:iCs/>
          <w:sz w:val="14"/>
          <w:szCs w:val="14"/>
          <w:lang w:val="en-GB"/>
        </w:rPr>
        <w:t>the substance of space manifests in the variety of its appearances and aspects</w:t>
      </w:r>
      <w:r w:rsidRPr="0062598E">
        <w:rPr>
          <w:rFonts w:ascii="Georgia" w:hAnsi="Georgia" w:cs="Times New Roman"/>
          <w:sz w:val="14"/>
          <w:szCs w:val="14"/>
          <w:lang w:val="en-GB"/>
        </w:rPr>
        <w:t>”, because different disciplines use different concepts to describe space, based on unique objects and interpretations (</w:t>
      </w:r>
      <w:r w:rsidRPr="0062598E">
        <w:rPr>
          <w:rFonts w:ascii="Georgia" w:hAnsi="Georgia" w:cs="Times New Roman"/>
          <w:smallCaps/>
          <w:sz w:val="14"/>
          <w:szCs w:val="14"/>
          <w:lang w:val="en-GB"/>
        </w:rPr>
        <w:t>Faragó L., 2012, p. 10-11</w:t>
      </w:r>
      <w:r w:rsidRPr="0062598E">
        <w:rPr>
          <w:rFonts w:ascii="Georgia" w:hAnsi="Georgia" w:cs="Times New Roman"/>
          <w:sz w:val="14"/>
          <w:szCs w:val="14"/>
          <w:lang w:val="en-GB"/>
        </w:rPr>
        <w:t>). Adaptation policy, as integrator of several sectors, harmonizes different manifestations of space, too, to identify how the society and the different sectors affected by adaptation policy planning itself interpret the “subject-spaces” of their activities.</w:t>
      </w:r>
    </w:p>
  </w:footnote>
  <w:footnote w:id="112">
    <w:p w14:paraId="6FB13140" w14:textId="7777777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Spatial research prefers quantitative analyses of regional inequalities disaggregating upper territorial levels into lower territorial units to explore internal divisions. Meanwhile, configuration is analysed by elaboration of thematic maps.</w:t>
      </w:r>
    </w:p>
  </w:footnote>
  <w:footnote w:id="113">
    <w:p w14:paraId="7BBB5277" w14:textId="7777777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In this case identifying the immaterial social elements’ connections to geographical locations are not an easy task usually, the localization is frequently indirect (NEMES-NAGY, 1998). External space could be analysed in two main ways. Regional research describes or compares different territorial entities/spatial units, their characteristics and structures, focusing on society’s spatiality by quantitative spatial parameters, where the main analytical units are the spatial/territorial entities. The other way, sectoral analyses focus on a relatively homogeneous social sphere’s spatially determined institutions, processes and actors to introduce the spatial division in its functioning (NEMES-NAGY ED., 2005).</w:t>
      </w:r>
    </w:p>
  </w:footnote>
  <w:footnote w:id="114">
    <w:p w14:paraId="5C57A6ED" w14:textId="19AAC02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LENGYEL thinks that amalgamation of physical (geographical) and social space-interpretations </w:t>
      </w:r>
      <w:r w:rsidR="0062598E" w:rsidRPr="0062598E">
        <w:rPr>
          <w:rFonts w:ascii="Georgia" w:hAnsi="Georgia"/>
          <w:sz w:val="14"/>
          <w:szCs w:val="14"/>
          <w:lang w:val="en-GB"/>
        </w:rPr>
        <w:t>is</w:t>
      </w:r>
      <w:r w:rsidRPr="0062598E">
        <w:rPr>
          <w:rFonts w:ascii="Georgia" w:hAnsi="Georgia"/>
          <w:sz w:val="14"/>
          <w:szCs w:val="14"/>
          <w:lang w:val="en-GB"/>
        </w:rPr>
        <w:t xml:space="preserve"> one of the breakout points of regional science (LENGYEL I., 2010;). This duality of physical and social spaces is reflected also in the approaches of neo-Marxism or the so-called new regionalism of the 2000’s European spatial development, with parallel acknowledgement of both objective spaces and social/economic structures, focusing on the mutual impacts of these on each </w:t>
      </w:r>
      <w:r w:rsidR="00C1798F" w:rsidRPr="0062598E">
        <w:rPr>
          <w:rFonts w:ascii="Georgia" w:hAnsi="Georgia"/>
          <w:sz w:val="14"/>
          <w:szCs w:val="14"/>
          <w:lang w:val="en-GB"/>
        </w:rPr>
        <w:t>other (</w:t>
      </w:r>
      <w:r w:rsidRPr="0062598E">
        <w:rPr>
          <w:rFonts w:ascii="Georgia" w:hAnsi="Georgia"/>
          <w:sz w:val="14"/>
          <w:szCs w:val="14"/>
          <w:lang w:val="en-GB"/>
        </w:rPr>
        <w:t>FARAGÓ, 2012) by the regional analysis.</w:t>
      </w:r>
    </w:p>
  </w:footnote>
  <w:footnote w:id="115">
    <w:p w14:paraId="29ABAA24" w14:textId="7777777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The authors even examined whether at which administrative level of the case study countries spatial planning is organised and if there is a binding effect for the planning process(es) at the subordinated level(s).</w:t>
      </w:r>
    </w:p>
  </w:footnote>
  <w:footnote w:id="116">
    <w:p w14:paraId="39AAEAF7" w14:textId="77777777"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These differences can be detected, for example, in the different Hungarian settlement network-related development objectives of different periods’ domestic territorial policies. While the second National Spatial Development Concept (2005), in the era of European regionalisation, had emphasised the role of development poles (regional centres) in the Hungarian settlement network; then the next National Development and Regional Development Concept in 2014 already focused on different tiers of the urban system simultaneously, and put growing weight on county seats as sign of a polycentric development approach. The two different approaches reflect the changing spatial concepts of different domestic political leaderships as well and in different times these different approaches are operationalized in reality. Similar impacts of different political leaderships’ internal spatial interpretations and approaches can be imagined on climate adaptation policy and planning in practice.</w:t>
      </w:r>
    </w:p>
  </w:footnote>
  <w:footnote w:id="117">
    <w:p w14:paraId="6D04CEEF" w14:textId="28438B64" w:rsidR="005B166A" w:rsidRPr="0062598E" w:rsidRDefault="005B166A" w:rsidP="005B166A">
      <w:pPr>
        <w:pStyle w:val="Lbjegyzetszveg"/>
        <w:jc w:val="both"/>
        <w:rPr>
          <w:rFonts w:ascii="Georgia" w:hAnsi="Georgia"/>
          <w:sz w:val="14"/>
          <w:szCs w:val="14"/>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Cohen, for instance, defined the discipline as relation between international political power and the geographical setting (COHEN, 1973), further refining this definition in the 21st century as scholarly analysis of geographical factors influencing IR and political relations (COHEN, 2015). AGNEW considers geopolitics as examination of geographical assumptions and understandings within world policy making (AGNEW, 1998). O’TUATHAIL thinks that geopolitics is the discourse that describes cultural/political aspects of geography in international politics (O’TUATHAIL, 1998). PHIL KELLY identifies the concept of geopolitics itself as a study of particular geographical features’ (location, distance, </w:t>
      </w:r>
      <w:r w:rsidR="00C1798F" w:rsidRPr="0062598E">
        <w:rPr>
          <w:rFonts w:ascii="Georgia" w:hAnsi="Georgia"/>
          <w:sz w:val="14"/>
          <w:szCs w:val="14"/>
          <w:lang w:val="en-GB"/>
        </w:rPr>
        <w:t>topography,</w:t>
      </w:r>
      <w:r w:rsidRPr="0062598E">
        <w:rPr>
          <w:rFonts w:ascii="Georgia" w:hAnsi="Georgia"/>
          <w:sz w:val="14"/>
          <w:szCs w:val="14"/>
          <w:lang w:val="en-GB"/>
        </w:rPr>
        <w:t xml:space="preserve"> shape, etc.) influence on external policies and behaviour of states as opposed to political geography which concentrates on policies/behaviours only within national political boundaries. At the same time, he does not consider the impact of decision makers as part of his definition (KELLY, 2016). MORGADO calls geography as the “bedrock of geopolitical studies” as it explains the impact of geographical setting; contrary to Kelly, he considers even the geopolitical agents’ perceptions on foreign policy and international politics as crucial factors. He regards the so-called Area Study that uses a strong regional approach in an empirical way, as one of the most important methodological tools of geopolitics (MORGADO, 2020, p. 130; PAASI, 2023) - here we can recognize some similarities with regional study’s regional analysis approach. Sack considers territoriality as a product of the geopolitical strategy that is used for the delimitation and control of a territory. Territoriality, as a result of strategies that affect people, is shaped through interaction and identifies with state territoriality. Therefore, state territoriality of a delimited territory is exercised by the State (SACK, 1986). </w:t>
      </w:r>
    </w:p>
  </w:footnote>
  <w:footnote w:id="118">
    <w:p w14:paraId="6C83926B" w14:textId="437EBC9B" w:rsidR="005B166A" w:rsidRPr="0062598E" w:rsidRDefault="005B166A" w:rsidP="005B166A">
      <w:pPr>
        <w:pStyle w:val="Lbjegyzetszveg"/>
        <w:jc w:val="both"/>
        <w:rPr>
          <w:lang w:val="en-GB"/>
        </w:rPr>
      </w:pPr>
      <w:r w:rsidRPr="0062598E">
        <w:rPr>
          <w:rStyle w:val="Lbjegyzet-hivatkozs"/>
          <w:rFonts w:ascii="Georgia" w:hAnsi="Georgia"/>
          <w:sz w:val="14"/>
          <w:szCs w:val="14"/>
          <w:lang w:val="en-GB"/>
        </w:rPr>
        <w:footnoteRef/>
      </w:r>
      <w:r w:rsidRPr="0062598E">
        <w:rPr>
          <w:rFonts w:ascii="Georgia" w:hAnsi="Georgia"/>
          <w:sz w:val="14"/>
          <w:szCs w:val="14"/>
          <w:lang w:val="en-GB"/>
        </w:rPr>
        <w:t xml:space="preserve"> Climate change is frequently described as “threat multiplier” and beyond the unidirectional flow from climate vulnerability to conflict, scientists explore how climate change can create opportunities for peacebuilding as well as </w:t>
      </w:r>
      <w:r w:rsidR="00C1798F" w:rsidRPr="0062598E">
        <w:rPr>
          <w:rFonts w:ascii="Georgia" w:hAnsi="Georgia"/>
          <w:sz w:val="14"/>
          <w:szCs w:val="14"/>
          <w:lang w:val="en-GB"/>
        </w:rPr>
        <w:t>conflict and</w:t>
      </w:r>
      <w:r w:rsidRPr="0062598E">
        <w:rPr>
          <w:rFonts w:ascii="Georgia" w:hAnsi="Georgia"/>
          <w:sz w:val="14"/>
          <w:szCs w:val="14"/>
          <w:lang w:val="en-GB"/>
        </w:rPr>
        <w:t xml:space="preserve"> identify how climate adaptation activities can themselves become catalysts for conflict. Geographic lens on the relationship between climate change and conflict are essential to building meaningful understandings (ABRAHAMS&amp;CARR, 2017).</w:t>
      </w:r>
    </w:p>
  </w:footnote>
  <w:footnote w:id="119">
    <w:p w14:paraId="0E950CC8" w14:textId="77777777" w:rsidR="005B166A" w:rsidRPr="0062598E" w:rsidRDefault="005B166A" w:rsidP="005B166A">
      <w:pPr>
        <w:pStyle w:val="Lbjegyzetszveg"/>
        <w:jc w:val="both"/>
        <w:rPr>
          <w:rFonts w:ascii="Georgia" w:hAnsi="Georgia"/>
          <w:sz w:val="14"/>
          <w:szCs w:val="14"/>
          <w:vertAlign w:val="superscript"/>
          <w:lang w:val="en-GB"/>
        </w:rPr>
      </w:pPr>
      <w:r w:rsidRPr="0062598E">
        <w:rPr>
          <w:rFonts w:ascii="Georgia" w:hAnsi="Georgia"/>
          <w:sz w:val="14"/>
          <w:szCs w:val="14"/>
          <w:vertAlign w:val="superscript"/>
          <w:lang w:val="en-GB"/>
        </w:rPr>
        <w:footnoteRef/>
      </w:r>
      <w:r w:rsidRPr="0062598E">
        <w:rPr>
          <w:rFonts w:ascii="Georgia" w:hAnsi="Georgia"/>
          <w:sz w:val="14"/>
          <w:szCs w:val="14"/>
          <w:vertAlign w:val="superscript"/>
          <w:lang w:val="en-GB"/>
        </w:rPr>
        <w:t xml:space="preserve"> </w:t>
      </w:r>
      <w:r w:rsidRPr="0062598E">
        <w:rPr>
          <w:rFonts w:ascii="Georgia" w:hAnsi="Georgia"/>
          <w:sz w:val="14"/>
          <w:szCs w:val="14"/>
          <w:lang w:val="en-GB"/>
        </w:rPr>
        <w:t>The first policy use of the term by the EC in 2004 gave a reason for this.</w:t>
      </w:r>
    </w:p>
  </w:footnote>
  <w:footnote w:id="120">
    <w:p w14:paraId="07181C84" w14:textId="77777777" w:rsidR="005B166A" w:rsidRPr="00CF1AEB" w:rsidRDefault="005B166A" w:rsidP="005B166A">
      <w:pPr>
        <w:pStyle w:val="Lbjegyzetszveg"/>
        <w:rPr>
          <w:rFonts w:ascii="Georgia" w:hAnsi="Georgia"/>
          <w:sz w:val="14"/>
          <w:szCs w:val="14"/>
        </w:rPr>
      </w:pPr>
      <w:r w:rsidRPr="0062598E">
        <w:rPr>
          <w:rFonts w:ascii="Georgia" w:hAnsi="Georgia"/>
          <w:sz w:val="14"/>
          <w:szCs w:val="14"/>
          <w:vertAlign w:val="superscript"/>
          <w:lang w:val="en-GB"/>
        </w:rPr>
        <w:footnoteRef/>
      </w:r>
      <w:r w:rsidRPr="0062598E">
        <w:rPr>
          <w:rFonts w:ascii="Georgia" w:hAnsi="Georgia"/>
          <w:sz w:val="14"/>
          <w:szCs w:val="14"/>
          <w:lang w:val="en-GB"/>
        </w:rPr>
        <w:t xml:space="preserve"> TSP is the policy strategy supporting background document of TA2020.</w:t>
      </w:r>
    </w:p>
  </w:footnote>
  <w:footnote w:id="121">
    <w:p w14:paraId="430AAED9" w14:textId="77777777" w:rsidR="005B166A" w:rsidRPr="00F17CC6" w:rsidRDefault="005B166A" w:rsidP="005B166A">
      <w:pPr>
        <w:pStyle w:val="Lbjegyzetszveg"/>
        <w:jc w:val="both"/>
        <w:rPr>
          <w:rFonts w:ascii="Georgia" w:hAnsi="Georgia"/>
          <w:sz w:val="14"/>
          <w:szCs w:val="14"/>
          <w:lang w:val="en-GB"/>
        </w:rPr>
      </w:pPr>
      <w:r w:rsidRPr="00F17CC6">
        <w:rPr>
          <w:rStyle w:val="Lbjegyzet-hivatkozs"/>
          <w:rFonts w:ascii="Georgia" w:hAnsi="Georgia"/>
          <w:sz w:val="14"/>
          <w:szCs w:val="14"/>
          <w:lang w:val="en-GB"/>
        </w:rPr>
        <w:footnoteRef/>
      </w:r>
      <w:r w:rsidRPr="00F17CC6">
        <w:rPr>
          <w:rFonts w:ascii="Georgia" w:hAnsi="Georgia"/>
          <w:sz w:val="14"/>
          <w:szCs w:val="14"/>
          <w:lang w:val="en-GB"/>
        </w:rPr>
        <w:t xml:space="preserve"> </w:t>
      </w:r>
      <w:r w:rsidRPr="00F17CC6">
        <w:rPr>
          <w:rFonts w:ascii="Georgia" w:eastAsia="Times New Roman" w:hAnsi="Georgia" w:cs="Times New Roman"/>
          <w:color w:val="000000"/>
          <w:sz w:val="14"/>
          <w:szCs w:val="14"/>
          <w:lang w:val="en-GB" w:eastAsia="hu-HU"/>
        </w:rPr>
        <w:t>Environmental disasters, for instance, caused by human agency and the emphasis on borders can in fact prevent the actions needed to relieve the impacts of such catastrophes or simply to acquire and distribute information regarding them.</w:t>
      </w:r>
    </w:p>
  </w:footnote>
  <w:footnote w:id="122">
    <w:p w14:paraId="0BE28BD5" w14:textId="0826AD58" w:rsidR="005B166A" w:rsidRPr="00FF101E" w:rsidRDefault="005B166A" w:rsidP="005B166A">
      <w:pPr>
        <w:pStyle w:val="Lbjegyzetszveg"/>
        <w:jc w:val="both"/>
        <w:rPr>
          <w:rStyle w:val="Lbjegyzet-hivatkozs"/>
          <w:rFonts w:ascii="Georgia" w:hAnsi="Georgia"/>
          <w:sz w:val="14"/>
          <w:szCs w:val="14"/>
        </w:rPr>
      </w:pPr>
      <w:r w:rsidRPr="00F17CC6">
        <w:rPr>
          <w:rStyle w:val="Lbjegyzet-hivatkozs"/>
          <w:rFonts w:ascii="Georgia" w:hAnsi="Georgia"/>
          <w:sz w:val="14"/>
          <w:szCs w:val="14"/>
          <w:lang w:val="en-GB"/>
        </w:rPr>
        <w:footnoteRef/>
      </w:r>
      <w:r w:rsidRPr="00F17CC6">
        <w:rPr>
          <w:rStyle w:val="Lbjegyzet-hivatkozs"/>
          <w:rFonts w:ascii="Georgia" w:hAnsi="Georgia"/>
          <w:sz w:val="14"/>
          <w:szCs w:val="14"/>
          <w:lang w:val="en-GB"/>
        </w:rPr>
        <w:t xml:space="preserve"> </w:t>
      </w:r>
      <w:r w:rsidRPr="00F17CC6">
        <w:rPr>
          <w:rStyle w:val="Lbjegyzet-hivatkozs"/>
          <w:rFonts w:ascii="Georgia" w:hAnsi="Georgia"/>
          <w:sz w:val="14"/>
          <w:szCs w:val="14"/>
          <w:vertAlign w:val="baseline"/>
          <w:lang w:val="en-GB"/>
        </w:rPr>
        <w:t>The TSP 2011 urges the management of different functional territories to ensure the balanced and coordinated contribution of the actors from different levels. The growing role of supra- and subnational organisations (macro regions, city regions and cross-border territories) are at the same time good indicators of decentralization and regionalisation</w:t>
      </w:r>
      <w:r w:rsidR="00F17CC6" w:rsidRPr="00F17CC6">
        <w:rPr>
          <w:rFonts w:ascii="Georgia" w:hAnsi="Georgia"/>
          <w:sz w:val="14"/>
          <w:szCs w:val="14"/>
          <w:lang w:val="en-GB"/>
        </w:rPr>
        <w:t>.</w:t>
      </w:r>
    </w:p>
  </w:footnote>
  <w:footnote w:id="123">
    <w:p w14:paraId="0D1B2B6C" w14:textId="77777777" w:rsidR="005B166A" w:rsidRDefault="005B166A" w:rsidP="005B166A">
      <w:pPr>
        <w:pStyle w:val="Lbjegyzetszveg"/>
        <w:jc w:val="both"/>
      </w:pPr>
      <w:r w:rsidRPr="00FF101E">
        <w:rPr>
          <w:rStyle w:val="Lbjegyzet-hivatkozs"/>
          <w:rFonts w:ascii="Georgia" w:hAnsi="Georgia"/>
          <w:sz w:val="14"/>
          <w:szCs w:val="14"/>
        </w:rPr>
        <w:footnoteRef/>
      </w:r>
      <w:r w:rsidRPr="00FF101E">
        <w:rPr>
          <w:rFonts w:ascii="Georgia" w:hAnsi="Georgia"/>
          <w:sz w:val="14"/>
          <w:szCs w:val="14"/>
        </w:rPr>
        <w:t xml:space="preserve"> </w:t>
      </w:r>
      <w:r w:rsidRPr="00FF101E">
        <w:rPr>
          <w:rFonts w:ascii="Georgia" w:hAnsi="Georgia" w:cs="Times New Roman"/>
          <w:sz w:val="14"/>
          <w:szCs w:val="14"/>
          <w:lang w:val="en-GB"/>
        </w:rPr>
        <w:t>According to the propagated approach balanced urban-rural relationship must be achieved through strengthened natural functional relationships (e.g., catchment or commuting regions, local labour systems) within a given territory, improving the links between places that play different social and economic functions.</w:t>
      </w:r>
    </w:p>
  </w:footnote>
  <w:footnote w:id="124">
    <w:p w14:paraId="3D618A13" w14:textId="77777777" w:rsidR="00137018" w:rsidRPr="00D25E35" w:rsidRDefault="00137018" w:rsidP="00137018">
      <w:pPr>
        <w:pStyle w:val="Lbjegyzetszveg"/>
        <w:rPr>
          <w:rFonts w:ascii="Georgia" w:hAnsi="Georgia"/>
          <w:sz w:val="14"/>
          <w:szCs w:val="14"/>
        </w:rPr>
      </w:pPr>
      <w:r w:rsidRPr="00D25E35">
        <w:rPr>
          <w:rStyle w:val="Lbjegyzet-hivatkozs"/>
          <w:rFonts w:ascii="Georgia" w:hAnsi="Georgia"/>
          <w:sz w:val="14"/>
          <w:szCs w:val="14"/>
        </w:rPr>
        <w:footnoteRef/>
      </w:r>
      <w:r w:rsidRPr="00D25E35">
        <w:rPr>
          <w:rFonts w:ascii="Georgia" w:hAnsi="Georgia"/>
          <w:sz w:val="14"/>
          <w:szCs w:val="14"/>
        </w:rPr>
        <w:t xml:space="preserve"> </w:t>
      </w:r>
      <w:r w:rsidRPr="00D25E35">
        <w:rPr>
          <w:rFonts w:ascii="Georgia" w:hAnsi="Georgia"/>
          <w:sz w:val="14"/>
          <w:szCs w:val="14"/>
          <w:lang w:val="en-GB"/>
        </w:rPr>
        <w:t>In addition, current weather warnings for floods, hail and heavy rainfall, earthquakes, etc., are also available (HORA-APP for smart phones, making an estimation of risk potential even easier).</w:t>
      </w:r>
    </w:p>
  </w:footnote>
  <w:footnote w:id="125">
    <w:p w14:paraId="61FAD75D" w14:textId="038995DE" w:rsidR="00137018" w:rsidRPr="00222057" w:rsidRDefault="00137018" w:rsidP="008F0D60">
      <w:pPr>
        <w:pStyle w:val="Lbjegyzetszveg"/>
        <w:jc w:val="both"/>
        <w:rPr>
          <w:rFonts w:ascii="Georgia" w:hAnsi="Georgia"/>
          <w:sz w:val="14"/>
          <w:szCs w:val="14"/>
          <w:lang w:val="en-GB"/>
        </w:rPr>
      </w:pPr>
      <w:r w:rsidRPr="00222057">
        <w:rPr>
          <w:rStyle w:val="Lbjegyzet-hivatkozs"/>
          <w:rFonts w:ascii="Georgia" w:hAnsi="Georgia"/>
          <w:sz w:val="14"/>
          <w:szCs w:val="14"/>
          <w:lang w:val="en-GB"/>
        </w:rPr>
        <w:footnoteRef/>
      </w:r>
      <w:r w:rsidRPr="00222057">
        <w:rPr>
          <w:rFonts w:ascii="Georgia" w:hAnsi="Georgia"/>
          <w:sz w:val="14"/>
          <w:szCs w:val="14"/>
          <w:lang w:val="en-GB"/>
        </w:rPr>
        <w:t xml:space="preserve"> These are heat stress caused by high temperatures; more frequent damage to basic network infrastructure (energy, telecommunications, transport); a drastic decline in average crop yields; difficulties in adapting natural wildlife to changing climate zones; increasing burdens caused by the spread of infectious and allergenic diseases; and crises spreading to other areas as a result of negative impacts on individual sectors</w:t>
      </w:r>
      <w:r w:rsidR="008F0D60">
        <w:rPr>
          <w:rFonts w:ascii="Georgia" w:hAnsi="Georgia"/>
          <w:sz w:val="14"/>
          <w:szCs w:val="14"/>
          <w:lang w:val="en-GB"/>
        </w:rPr>
        <w:t>.</w:t>
      </w:r>
    </w:p>
  </w:footnote>
  <w:footnote w:id="126">
    <w:p w14:paraId="6F24EA2B" w14:textId="77777777" w:rsidR="00137018" w:rsidRPr="00222057" w:rsidRDefault="00137018" w:rsidP="008F0D60">
      <w:pPr>
        <w:pStyle w:val="Lbjegyzetszveg"/>
        <w:jc w:val="both"/>
        <w:rPr>
          <w:rFonts w:ascii="Georgia" w:hAnsi="Georgia"/>
          <w:sz w:val="14"/>
          <w:szCs w:val="14"/>
          <w:lang w:val="en-GB"/>
        </w:rPr>
      </w:pPr>
      <w:r w:rsidRPr="00222057">
        <w:rPr>
          <w:rStyle w:val="Lbjegyzet-hivatkozs"/>
          <w:rFonts w:ascii="Georgia" w:hAnsi="Georgia"/>
          <w:sz w:val="14"/>
          <w:szCs w:val="14"/>
          <w:lang w:val="en-GB"/>
        </w:rPr>
        <w:footnoteRef/>
      </w:r>
      <w:r w:rsidRPr="00222057">
        <w:rPr>
          <w:rFonts w:ascii="Georgia" w:hAnsi="Georgia"/>
          <w:sz w:val="14"/>
          <w:szCs w:val="14"/>
          <w:lang w:val="en-GB"/>
        </w:rPr>
        <w:t xml:space="preserve"> Strong role of the municipalities and regions can be observed in flood or rainwater inundation protection. Municipal authorities and water management authorities are jointly responsible for reducing the risk of flooding.</w:t>
      </w:r>
    </w:p>
  </w:footnote>
  <w:footnote w:id="127">
    <w:p w14:paraId="76385639" w14:textId="77777777" w:rsidR="00137018" w:rsidRPr="00222057" w:rsidRDefault="00137018" w:rsidP="008F0D60">
      <w:pPr>
        <w:pStyle w:val="Lbjegyzetszveg"/>
        <w:jc w:val="both"/>
      </w:pPr>
      <w:r w:rsidRPr="00222057">
        <w:rPr>
          <w:rStyle w:val="Lbjegyzet-hivatkozs"/>
          <w:rFonts w:ascii="Georgia" w:hAnsi="Georgia"/>
          <w:sz w:val="14"/>
          <w:szCs w:val="14"/>
        </w:rPr>
        <w:footnoteRef/>
      </w:r>
      <w:r w:rsidRPr="00222057">
        <w:rPr>
          <w:rFonts w:ascii="Georgia" w:hAnsi="Georgia"/>
          <w:sz w:val="14"/>
          <w:szCs w:val="14"/>
        </w:rPr>
        <w:t xml:space="preserve"> </w:t>
      </w:r>
      <w:r w:rsidRPr="00222057">
        <w:rPr>
          <w:rFonts w:ascii="Georgia" w:hAnsi="Georgia"/>
          <w:sz w:val="14"/>
          <w:szCs w:val="14"/>
          <w:lang w:val="en-GB"/>
        </w:rPr>
        <w:t>Out of these, the Delta Plan for Spatial Adaptation (on how the various parties are to pursue the objectives of the Delta Decision on Spatial Adaptation, establishing the instruments and measures required to achieve the intended transition) directly deals with spatial issues and has defined seven ambitions: 1. Identifying vulnerabilities; 2. Conducting a risk dialogue and preparing a strategy; 3. Drawing up an implementation agenda; 4. Utilizing opportunities for synergy; 5. Encouraging and facilitating; 6. Regulating and assuring; 7. Taking action in the event of calamities.</w:t>
      </w:r>
    </w:p>
  </w:footnote>
  <w:footnote w:id="128">
    <w:p w14:paraId="6A50CA68" w14:textId="77777777" w:rsidR="00137018" w:rsidRPr="00F62907" w:rsidRDefault="00137018" w:rsidP="008F0D60">
      <w:pPr>
        <w:spacing w:after="0" w:line="240" w:lineRule="auto"/>
        <w:jc w:val="both"/>
        <w:rPr>
          <w:rFonts w:ascii="Georgia" w:hAnsi="Georgia"/>
          <w:sz w:val="14"/>
          <w:szCs w:val="14"/>
        </w:rPr>
      </w:pPr>
      <w:r w:rsidRPr="00F62907">
        <w:rPr>
          <w:rStyle w:val="Lbjegyzet-hivatkozs"/>
          <w:rFonts w:ascii="Georgia" w:hAnsi="Georgia"/>
          <w:sz w:val="14"/>
          <w:szCs w:val="14"/>
        </w:rPr>
        <w:footnoteRef/>
      </w:r>
      <w:r w:rsidRPr="00F62907">
        <w:rPr>
          <w:rFonts w:ascii="Georgia" w:hAnsi="Georgia"/>
          <w:sz w:val="14"/>
          <w:szCs w:val="14"/>
          <w:lang w:val="en-GB"/>
        </w:rPr>
        <w:t xml:space="preserve"> Climate adaptation is an integral component of the Brabant Health Deal. The programme partners include the Province of Noord-Brabant, the five largest cities in the region including Eindhoven and Breda, water management authorities, municipal health departments, the National Institute for Public Health and the Environment, Utrecht University, the University of Tilburg and its Centre for Sustainable Development, Telos.</w:t>
      </w:r>
    </w:p>
  </w:footnote>
  <w:footnote w:id="129">
    <w:p w14:paraId="3871E1CE" w14:textId="77777777" w:rsidR="00137018" w:rsidRPr="00F62907" w:rsidRDefault="00137018" w:rsidP="008F0D60">
      <w:pPr>
        <w:pStyle w:val="Lbjegyzetszveg"/>
        <w:jc w:val="both"/>
        <w:rPr>
          <w:rFonts w:ascii="Georgia" w:hAnsi="Georgia"/>
          <w:sz w:val="14"/>
          <w:szCs w:val="14"/>
        </w:rPr>
      </w:pPr>
      <w:r w:rsidRPr="00F62907">
        <w:rPr>
          <w:rStyle w:val="Lbjegyzet-hivatkozs"/>
          <w:rFonts w:ascii="Georgia" w:hAnsi="Georgia"/>
          <w:sz w:val="14"/>
          <w:szCs w:val="14"/>
        </w:rPr>
        <w:footnoteRef/>
      </w:r>
      <w:r w:rsidRPr="00F62907">
        <w:rPr>
          <w:rFonts w:ascii="Georgia" w:hAnsi="Georgia"/>
          <w:sz w:val="14"/>
          <w:szCs w:val="14"/>
        </w:rPr>
        <w:t xml:space="preserve"> </w:t>
      </w:r>
      <w:r w:rsidRPr="00F62907">
        <w:rPr>
          <w:rFonts w:ascii="Georgia" w:hAnsi="Georgia"/>
          <w:sz w:val="14"/>
          <w:szCs w:val="14"/>
          <w:lang w:val="en-GB"/>
        </w:rPr>
        <w:t>Such as the Action Program Nature (2021), the Action Program Climate and Built Environment (2020), the Action Program Climate Adaptive Agriculture (2020), the Knowledge Agenda Climate Change and Health (2019), LIFE-IP NASCCELERATE (2022-2027), the Implementation Agenda Climate Resilient Networks (2021), and the National approach climate adaptive built environment (2022-2024).</w:t>
      </w:r>
    </w:p>
  </w:footnote>
  <w:footnote w:id="130">
    <w:p w14:paraId="03F07681" w14:textId="77777777" w:rsidR="00137018" w:rsidRPr="000747FE" w:rsidRDefault="00137018" w:rsidP="008F0D60">
      <w:pPr>
        <w:pStyle w:val="Lbjegyzetszveg"/>
        <w:jc w:val="both"/>
        <w:rPr>
          <w:rFonts w:ascii="Georgia" w:hAnsi="Georgia"/>
          <w:sz w:val="14"/>
          <w:szCs w:val="14"/>
          <w:lang w:val="en-GB"/>
        </w:rPr>
      </w:pPr>
      <w:r w:rsidRPr="000747FE">
        <w:rPr>
          <w:rStyle w:val="Lbjegyzet-hivatkozs"/>
          <w:rFonts w:ascii="Georgia" w:hAnsi="Georgia"/>
          <w:sz w:val="14"/>
          <w:szCs w:val="14"/>
          <w:lang w:val="en-GB"/>
        </w:rPr>
        <w:footnoteRef/>
      </w:r>
      <w:r w:rsidRPr="000747FE">
        <w:rPr>
          <w:rFonts w:ascii="Georgia" w:hAnsi="Georgia"/>
          <w:sz w:val="14"/>
          <w:szCs w:val="14"/>
          <w:lang w:val="en-GB"/>
        </w:rPr>
        <w:t xml:space="preserve"> They have a statutory role (fulfilling their responsibility for policy making in such domains as infrastructure and nature conservation), they take the lead in various processes (encouraging a broad-based approach focusing on all sectors and parties involved), and they also fulfil a supervisory role. Provincial authorities can also act as a catalyst for municipalities that are not yet working on climate adaptation.</w:t>
      </w:r>
    </w:p>
  </w:footnote>
  <w:footnote w:id="131">
    <w:p w14:paraId="3AFEDE19" w14:textId="4C443B6D" w:rsidR="00137018" w:rsidRPr="000747FE" w:rsidRDefault="00137018" w:rsidP="008F0D60">
      <w:pPr>
        <w:pStyle w:val="Lbjegyzetszveg"/>
        <w:jc w:val="both"/>
      </w:pPr>
      <w:r w:rsidRPr="000747FE">
        <w:rPr>
          <w:rStyle w:val="Lbjegyzet-hivatkozs"/>
          <w:rFonts w:ascii="Georgia" w:hAnsi="Georgia"/>
          <w:sz w:val="14"/>
          <w:szCs w:val="14"/>
        </w:rPr>
        <w:footnoteRef/>
      </w:r>
      <w:r w:rsidRPr="000747FE">
        <w:rPr>
          <w:rFonts w:ascii="Georgia" w:hAnsi="Georgia"/>
          <w:sz w:val="14"/>
          <w:szCs w:val="14"/>
        </w:rPr>
        <w:t xml:space="preserve"> </w:t>
      </w:r>
      <w:r w:rsidRPr="000747FE">
        <w:rPr>
          <w:rFonts w:ascii="Georgia" w:hAnsi="Georgia"/>
          <w:sz w:val="14"/>
          <w:szCs w:val="14"/>
          <w:lang w:val="en-GB"/>
        </w:rPr>
        <w:t xml:space="preserve">This programme focuses on the questions whether the implementation of the DP is on schedule and within budget (output), is achieving the set goals (outcome), is addressing the tasks in an integrated manner, and takes place with participation of other parties (authorities, companies, NGO’s and citizens). The system aims to implement a “reflexive monitoring and evaluation”, particularly in relation to 3 themes (flood protection, drinking water supply, spatial planning) and 2 regions (Rhine-Meuse delta; Ijsselmeer region), where the stakeholders involved jointly check the results of the monitoring and comment on the changes that have occurred, comparing them with the objectives, discussing any necessary changes in the management of the program. It builds </w:t>
      </w:r>
      <w:r w:rsidR="008F0D60" w:rsidRPr="000747FE">
        <w:rPr>
          <w:rFonts w:ascii="Georgia" w:hAnsi="Georgia"/>
          <w:sz w:val="14"/>
          <w:szCs w:val="14"/>
          <w:lang w:val="en-GB"/>
        </w:rPr>
        <w:t>upon the</w:t>
      </w:r>
      <w:r w:rsidRPr="000747FE">
        <w:rPr>
          <w:rFonts w:ascii="Georgia" w:hAnsi="Georgia"/>
          <w:sz w:val="14"/>
          <w:szCs w:val="14"/>
          <w:lang w:val="en-GB"/>
        </w:rPr>
        <w:t xml:space="preserve"> traditional contexts-objectives-input-output-outcome logic, going through the entire planning-implementation-feedback chain, concentrating both on effectiveness and efficiency.</w:t>
      </w:r>
    </w:p>
  </w:footnote>
  <w:footnote w:id="132">
    <w:p w14:paraId="5E9B3780" w14:textId="77777777" w:rsidR="00137018" w:rsidRPr="006B24C2" w:rsidRDefault="00137018" w:rsidP="00137018">
      <w:pPr>
        <w:spacing w:before="120" w:after="120" w:line="240" w:lineRule="auto"/>
        <w:jc w:val="both"/>
        <w:rPr>
          <w:rFonts w:ascii="Georgia" w:hAnsi="Georgia"/>
          <w:sz w:val="14"/>
          <w:szCs w:val="14"/>
          <w:lang w:val="en-GB"/>
        </w:rPr>
      </w:pPr>
      <w:r w:rsidRPr="006B24C2">
        <w:rPr>
          <w:rStyle w:val="Lbjegyzet-hivatkozs"/>
          <w:rFonts w:ascii="Georgia" w:hAnsi="Georgia"/>
          <w:sz w:val="14"/>
          <w:szCs w:val="14"/>
          <w:lang w:val="en-GB"/>
        </w:rPr>
        <w:footnoteRef/>
      </w:r>
      <w:r w:rsidRPr="006B24C2">
        <w:rPr>
          <w:rFonts w:ascii="Georgia" w:hAnsi="Georgia"/>
          <w:sz w:val="14"/>
          <w:szCs w:val="14"/>
          <w:lang w:val="en-GB"/>
        </w:rPr>
        <w:t xml:space="preserve"> The Dutch meteorological institute, KNMI (Royal Netherlands Meteorological Institute), is legally obliged to provide observations on atmospheric, oceanic and terrestrial indicators; this includes data on expected extreme weather conditions. The national agency Rijkswaterstaat provides online information on water levels along the coast and in the main rivers and predicts these six hours before they occur. Monitoring extreme climate events is a responsibility of the KNMI. KNMI also provides a National database with Observation with regard to Climate Change. This includes an overview of national observations about temperature, precipitation, sea level, wind and storm, hail and thunder, clouds and solar radiation, evaporation and drought. These national observations are compared with the observations of the IPCC. The knowledge portal “Greenblue Networks” contains a database with results of research on the effectivity of climate adaptation measures, as well as examples of implemented measures. The Association of insurers developed the “Climate monitor”, which shows the amount of damage caused by weather extremes in recent years. The platform “Waarstaatjegemeente.nl” collects and presents figures for Dutch municipalities on important policy areas, such as sustainable environment. Although not explicitly meant for climate adaptation, useful information can be found (i.e. the number of trees and the surface area of paved gardens).</w:t>
      </w:r>
    </w:p>
  </w:footnote>
  <w:footnote w:id="133">
    <w:p w14:paraId="03AD2237" w14:textId="77777777" w:rsidR="00137018" w:rsidRPr="006B24C2" w:rsidRDefault="00137018" w:rsidP="00137018">
      <w:pPr>
        <w:spacing w:before="120" w:after="120" w:line="240" w:lineRule="auto"/>
        <w:jc w:val="both"/>
        <w:rPr>
          <w:rFonts w:ascii="Georgia" w:hAnsi="Georgia"/>
          <w:sz w:val="14"/>
          <w:szCs w:val="14"/>
          <w:lang w:val="en-GB"/>
        </w:rPr>
      </w:pPr>
      <w:r w:rsidRPr="006B24C2">
        <w:rPr>
          <w:rStyle w:val="Lbjegyzet-hivatkozs"/>
          <w:rFonts w:ascii="Georgia" w:hAnsi="Georgia"/>
          <w:sz w:val="14"/>
          <w:szCs w:val="14"/>
          <w:lang w:val="en-GB"/>
        </w:rPr>
        <w:footnoteRef/>
      </w:r>
      <w:r w:rsidRPr="006B24C2">
        <w:rPr>
          <w:rFonts w:ascii="Georgia" w:hAnsi="Georgia"/>
          <w:sz w:val="14"/>
          <w:szCs w:val="14"/>
          <w:lang w:val="en-GB"/>
        </w:rPr>
        <w:t xml:space="preserve"> Special examples: In the region South-Netherlands, different governmental bodies are cooperating on a monitor to create more insight in the progress of climate adaptation programs. This monitor is also meant to provide a basis for evaluation and adjustment of the Implementation programme South-Netherlands. The province of Utrecht intents to develop a monitoring system for climate adaptation, in cooperation with regions and knowledge institutes.</w:t>
      </w:r>
    </w:p>
    <w:p w14:paraId="24063CFF" w14:textId="77777777" w:rsidR="00137018" w:rsidRPr="00DE2E44" w:rsidRDefault="00137018" w:rsidP="00137018">
      <w:pPr>
        <w:pStyle w:val="Lbjegyzetszveg"/>
        <w:rPr>
          <w:sz w:val="16"/>
          <w:szCs w:val="16"/>
        </w:rPr>
      </w:pPr>
    </w:p>
  </w:footnote>
  <w:footnote w:id="134">
    <w:p w14:paraId="1E5ED223" w14:textId="77777777" w:rsidR="00137018" w:rsidRPr="005770BF" w:rsidRDefault="00137018" w:rsidP="00137018">
      <w:pPr>
        <w:pStyle w:val="Lbjegyzetszveg"/>
        <w:rPr>
          <w:rFonts w:ascii="Georgia" w:hAnsi="Georgia"/>
          <w:sz w:val="14"/>
          <w:szCs w:val="14"/>
          <w:lang w:val="en-GB"/>
        </w:rPr>
      </w:pPr>
      <w:r w:rsidRPr="005770BF">
        <w:rPr>
          <w:rStyle w:val="Lbjegyzet-hivatkozs"/>
          <w:rFonts w:ascii="Georgia" w:hAnsi="Georgia"/>
          <w:sz w:val="14"/>
          <w:szCs w:val="14"/>
          <w:lang w:val="en-GB"/>
        </w:rPr>
        <w:footnoteRef/>
      </w:r>
      <w:r w:rsidRPr="005770BF">
        <w:rPr>
          <w:rFonts w:ascii="Georgia" w:hAnsi="Georgia"/>
          <w:sz w:val="14"/>
          <w:szCs w:val="14"/>
          <w:lang w:val="en-GB"/>
        </w:rPr>
        <w:t xml:space="preserve"> In connection with agriculture climate policy says that "Examples of additional impulses are 1)Strengthening regional cooperation, aimed at taking overarching climate adaptation measures; 2) Extra efforts on the Delta Plan for Agricultural Water Management (DAW) to gain knowledge about</w:t>
      </w:r>
      <w:r w:rsidRPr="000A4634">
        <w:rPr>
          <w:rFonts w:ascii="Georgia" w:hAnsi="Georgia"/>
          <w:sz w:val="14"/>
          <w:szCs w:val="14"/>
        </w:rPr>
        <w:t xml:space="preserve"> </w:t>
      </w:r>
      <w:r w:rsidRPr="005770BF">
        <w:rPr>
          <w:rFonts w:ascii="Georgia" w:hAnsi="Georgia"/>
          <w:sz w:val="14"/>
          <w:szCs w:val="14"/>
          <w:lang w:val="en-GB"/>
        </w:rPr>
        <w:t>sharing climate adaptation with farmers"; 3) Nature point mentions South Holland province, critical infra point that "The spatial planning aspects of the climate effects mean that the Dutch infrastructure will only be made climate-proof if RWS and ProRail tackle this in collaboration with all other owners and managers of infrastructure, interested parties."</w:t>
      </w:r>
    </w:p>
  </w:footnote>
  <w:footnote w:id="135">
    <w:p w14:paraId="36B057D7" w14:textId="77777777" w:rsidR="00137018" w:rsidRPr="003C1B82" w:rsidRDefault="00137018" w:rsidP="00137018">
      <w:pPr>
        <w:pStyle w:val="Lbjegyzetszveg"/>
        <w:rPr>
          <w:rStyle w:val="Lbjegyzet-hivatkozs"/>
          <w:rFonts w:ascii="Georgia" w:hAnsi="Georgia"/>
          <w:sz w:val="14"/>
          <w:szCs w:val="14"/>
        </w:rPr>
      </w:pPr>
      <w:r w:rsidRPr="005770BF">
        <w:rPr>
          <w:rStyle w:val="Lbjegyzet-hivatkozs"/>
          <w:rFonts w:ascii="Georgia" w:hAnsi="Georgia"/>
          <w:sz w:val="14"/>
          <w:szCs w:val="14"/>
          <w:lang w:val="en-GB"/>
        </w:rPr>
        <w:footnoteRef/>
      </w:r>
      <w:r w:rsidRPr="005770BF">
        <w:rPr>
          <w:rStyle w:val="Lbjegyzet-hivatkozs"/>
          <w:rFonts w:ascii="Georgia" w:hAnsi="Georgia"/>
          <w:sz w:val="14"/>
          <w:szCs w:val="14"/>
          <w:lang w:val="en-GB"/>
        </w:rPr>
        <w:t xml:space="preserve"> In its Introduction it mentioned that "Although global warming offers opportunities for tourism and recreation, it mainly has negative consequences, including for flood safety, spatial planning, agriculture, nature and public health." The result of evaluation is that the implementation of the NAS must be continued, but that the policy must indeed be intensified in order to reduce the 'adaptation gap' between policy and task. To achieve this three recommendations have been made: 1. Setting concrete goals, gaining more insight into progress and effectiveness; 2. More control and coordination, more implementation power; 3. More attention to the consequences of climate change for people, culture and nature.</w:t>
      </w:r>
    </w:p>
  </w:footnote>
  <w:footnote w:id="136">
    <w:p w14:paraId="2626A5C1" w14:textId="77777777" w:rsidR="00137018" w:rsidRPr="003D5DEB" w:rsidRDefault="00137018" w:rsidP="00137018">
      <w:pPr>
        <w:pStyle w:val="Lbjegyzetszveg"/>
        <w:rPr>
          <w:rFonts w:ascii="Georgia" w:hAnsi="Georgia"/>
          <w:sz w:val="14"/>
          <w:szCs w:val="14"/>
        </w:rPr>
      </w:pPr>
      <w:r w:rsidRPr="003D5DEB">
        <w:rPr>
          <w:rStyle w:val="Lbjegyzet-hivatkozs"/>
          <w:rFonts w:ascii="Georgia" w:hAnsi="Georgia"/>
          <w:sz w:val="14"/>
          <w:szCs w:val="14"/>
        </w:rPr>
        <w:footnoteRef/>
      </w:r>
      <w:r w:rsidRPr="003D5DEB">
        <w:rPr>
          <w:rFonts w:ascii="Georgia" w:hAnsi="Georgia"/>
          <w:sz w:val="14"/>
          <w:szCs w:val="14"/>
        </w:rPr>
        <w:t xml:space="preserve"> </w:t>
      </w:r>
      <w:r w:rsidRPr="003D5DEB">
        <w:rPr>
          <w:rFonts w:ascii="Georgia" w:hAnsi="Georgia"/>
          <w:sz w:val="14"/>
          <w:szCs w:val="14"/>
          <w:lang w:val="en-GB"/>
        </w:rPr>
        <w:t>These are human health; construction; water management; coastal and marine protection; soil protection; biodiversity; agriculture; forestry; fisheries; energy; financial services; transport, transport infrastructure; trade, industry and tourism.</w:t>
      </w:r>
    </w:p>
  </w:footnote>
  <w:footnote w:id="137">
    <w:p w14:paraId="33B19E01" w14:textId="77777777" w:rsidR="00137018" w:rsidRPr="00FB0781" w:rsidRDefault="00137018" w:rsidP="00137018">
      <w:pPr>
        <w:pStyle w:val="Lbjegyzetszveg"/>
        <w:rPr>
          <w:rFonts w:ascii="Georgia" w:hAnsi="Georgia"/>
          <w:sz w:val="14"/>
          <w:szCs w:val="14"/>
        </w:rPr>
      </w:pPr>
      <w:r w:rsidRPr="00FB0781">
        <w:rPr>
          <w:rStyle w:val="Lbjegyzet-hivatkozs"/>
          <w:rFonts w:ascii="Georgia" w:hAnsi="Georgia"/>
          <w:sz w:val="14"/>
          <w:szCs w:val="14"/>
        </w:rPr>
        <w:footnoteRef/>
      </w:r>
      <w:r w:rsidRPr="00FB0781">
        <w:rPr>
          <w:rFonts w:ascii="Georgia" w:hAnsi="Georgia"/>
          <w:sz w:val="14"/>
          <w:szCs w:val="14"/>
        </w:rPr>
        <w:t xml:space="preserve"> </w:t>
      </w:r>
      <w:r w:rsidRPr="00FB0781">
        <w:rPr>
          <w:rFonts w:ascii="Georgia" w:hAnsi="Georgia"/>
          <w:bCs/>
          <w:sz w:val="14"/>
          <w:szCs w:val="14"/>
          <w:lang w:val="en-GB"/>
        </w:rPr>
        <w:t>Four higher federal authorities of the Federal Ministry for Digital and Transport are involved in the DAS Data Service in its current stage of development: German Meteorological Service, the Federal Institute of Hydrology, the Federal Maritime and Hydrographic Agency and the Federal Waterways Engineering and Research Institute. In close cooperation and based on the current state of research (in particular IPCC), the partner authorities develop climatological, hydrological and maritime data products in high spatial resolution and provide a wide range of climate services to various user groups.</w:t>
      </w:r>
    </w:p>
  </w:footnote>
  <w:footnote w:id="138">
    <w:p w14:paraId="40074B61" w14:textId="661C9F53" w:rsidR="00137018" w:rsidRPr="005770BF" w:rsidRDefault="00137018" w:rsidP="002E5300">
      <w:pPr>
        <w:pStyle w:val="Lbjegyzetszveg"/>
        <w:jc w:val="both"/>
        <w:rPr>
          <w:rFonts w:ascii="Georgia" w:hAnsi="Georgia"/>
          <w:sz w:val="14"/>
          <w:szCs w:val="14"/>
          <w:lang w:val="en-GB"/>
        </w:rPr>
      </w:pPr>
      <w:r w:rsidRPr="005770BF">
        <w:rPr>
          <w:rStyle w:val="Lbjegyzet-hivatkozs"/>
          <w:rFonts w:ascii="Georgia" w:hAnsi="Georgia"/>
          <w:sz w:val="14"/>
          <w:szCs w:val="14"/>
          <w:lang w:val="en-GB"/>
        </w:rPr>
        <w:footnoteRef/>
      </w:r>
      <w:r w:rsidRPr="005770BF">
        <w:rPr>
          <w:rFonts w:ascii="Georgia" w:hAnsi="Georgia"/>
          <w:sz w:val="14"/>
          <w:szCs w:val="14"/>
          <w:lang w:val="en-GB"/>
        </w:rPr>
        <w:t xml:space="preserve"> In particular, the German Meteorological Service provides basic climatological data and services digitally through various distribution channels and platforms (such as climate advisory services, the German Climate Atlas, Climate Data </w:t>
      </w:r>
      <w:r w:rsidR="00F17CC6" w:rsidRPr="005770BF">
        <w:rPr>
          <w:rFonts w:ascii="Georgia" w:hAnsi="Georgia"/>
          <w:sz w:val="14"/>
          <w:szCs w:val="14"/>
          <w:lang w:val="en-GB"/>
        </w:rPr>
        <w:t>Centre</w:t>
      </w:r>
      <w:r w:rsidRPr="005770BF">
        <w:rPr>
          <w:rFonts w:ascii="Georgia" w:hAnsi="Georgia"/>
          <w:sz w:val="14"/>
          <w:szCs w:val="14"/>
          <w:lang w:val="en-GB"/>
        </w:rPr>
        <w:t xml:space="preserve">, climate forecast website, </w:t>
      </w:r>
      <w:r w:rsidR="00F17CC6" w:rsidRPr="005770BF">
        <w:rPr>
          <w:rFonts w:ascii="Georgia" w:hAnsi="Georgia"/>
          <w:sz w:val="14"/>
          <w:szCs w:val="14"/>
          <w:lang w:val="en-GB"/>
        </w:rPr>
        <w:t>open data</w:t>
      </w:r>
      <w:r w:rsidRPr="005770BF">
        <w:rPr>
          <w:rFonts w:ascii="Georgia" w:hAnsi="Georgia"/>
          <w:sz w:val="14"/>
          <w:szCs w:val="14"/>
          <w:lang w:val="en-GB"/>
        </w:rPr>
        <w:t xml:space="preserve"> server, etc.). With the development of the natural hazard portal for Germany, the German Meteorological Service also provides information on the situation and precautionary measures as well as early warnings for a continuously growing number of natural hazards. These are published in a central website in a standardised and accessible format containing all the data needed to understand the information and warnings. The DAS Climate and Water Data Service, which has been available since 2020, is gradually expanding the range of standardised and quality-tested basic data sets and climate services that meet requirements, both for the past (climate monitoring) and for the potential climate future (climate forecasts and climate projections). For further information, visit the </w:t>
      </w:r>
      <w:hyperlink r:id="rId4" w:history="1">
        <w:r w:rsidRPr="005770BF">
          <w:rPr>
            <w:rStyle w:val="Hiperhivatkozs"/>
            <w:rFonts w:ascii="Georgia" w:hAnsi="Georgia"/>
            <w:sz w:val="14"/>
            <w:szCs w:val="14"/>
            <w:lang w:val="en-GB"/>
          </w:rPr>
          <w:t>https://www.dwd.de/DE/klimaumwelt/klimaatlas/klimaatlas_node.html</w:t>
        </w:r>
      </w:hyperlink>
      <w:r w:rsidRPr="005770BF">
        <w:rPr>
          <w:rFonts w:ascii="Georgia" w:hAnsi="Georgia"/>
          <w:sz w:val="14"/>
          <w:szCs w:val="14"/>
          <w:lang w:val="en-GB"/>
        </w:rPr>
        <w:t xml:space="preserve"> website.</w:t>
      </w:r>
    </w:p>
  </w:footnote>
  <w:footnote w:id="139">
    <w:p w14:paraId="72E398DC" w14:textId="77777777" w:rsidR="00137018" w:rsidRPr="005770BF" w:rsidRDefault="00137018" w:rsidP="002E5300">
      <w:pPr>
        <w:pStyle w:val="Lbjegyzetszveg"/>
        <w:jc w:val="both"/>
        <w:rPr>
          <w:rFonts w:ascii="Georgia" w:hAnsi="Georgia"/>
          <w:sz w:val="14"/>
          <w:szCs w:val="14"/>
          <w:lang w:val="en-GB"/>
        </w:rPr>
      </w:pPr>
      <w:r w:rsidRPr="005770BF">
        <w:rPr>
          <w:rStyle w:val="Lbjegyzet-hivatkozs"/>
          <w:rFonts w:ascii="Georgia" w:hAnsi="Georgia"/>
          <w:sz w:val="14"/>
          <w:szCs w:val="14"/>
          <w:lang w:val="en-GB"/>
        </w:rPr>
        <w:footnoteRef/>
      </w:r>
      <w:r w:rsidRPr="005770BF">
        <w:rPr>
          <w:rFonts w:ascii="Georgia" w:hAnsi="Georgia"/>
          <w:sz w:val="14"/>
          <w:szCs w:val="14"/>
          <w:lang w:val="en-GB"/>
        </w:rPr>
        <w:t xml:space="preserve"> Examples of the 28 authorities include the German Weather Service (DWD), the Federal Office for Civil Protection and Disaster Assistance (BBK), the Federal Agency for Building and Regional Planning (BBSR), and the Federal Institute of Hydrology (BfG) (</w:t>
      </w:r>
      <w:r w:rsidRPr="005770BF">
        <w:rPr>
          <w:rFonts w:ascii="Georgia" w:hAnsi="Georgia"/>
          <w:smallCaps/>
          <w:sz w:val="14"/>
          <w:szCs w:val="14"/>
          <w:lang w:val="en-GB"/>
        </w:rPr>
        <w:t>van Rüth et al. 2019</w:t>
      </w:r>
      <w:r w:rsidRPr="005770BF">
        <w:rPr>
          <w:rFonts w:ascii="Georgia" w:hAnsi="Georgia"/>
          <w:sz w:val="14"/>
          <w:szCs w:val="14"/>
          <w:lang w:val="en-GB"/>
        </w:rPr>
        <w:t>). The Ministry of the Environment is responsible for providing financial support, and the data is processed and evaluated at the federal level. According to the assessment of a colleague working at the UBA who completed our online questionnaire, cooperation between the Federal Environment Agency and the relevant federal authorities has become increasingly effective since 2008 thanks to mutual communication and detailed documentation of methodological experiences.</w:t>
      </w:r>
    </w:p>
  </w:footnote>
  <w:footnote w:id="140">
    <w:p w14:paraId="206C1AD9" w14:textId="77777777" w:rsidR="00137018" w:rsidRPr="00F378A3" w:rsidRDefault="00137018" w:rsidP="00137018">
      <w:pPr>
        <w:spacing w:after="0" w:line="240" w:lineRule="auto"/>
        <w:jc w:val="both"/>
        <w:rPr>
          <w:rFonts w:ascii="Georgia" w:hAnsi="Georgia"/>
          <w:sz w:val="14"/>
          <w:szCs w:val="14"/>
        </w:rPr>
      </w:pPr>
      <w:r w:rsidRPr="005770BF">
        <w:rPr>
          <w:rStyle w:val="Lbjegyzet-hivatkozs"/>
          <w:rFonts w:ascii="Georgia" w:hAnsi="Georgia"/>
          <w:sz w:val="14"/>
          <w:szCs w:val="14"/>
          <w:lang w:val="en-GB"/>
        </w:rPr>
        <w:footnoteRef/>
      </w:r>
      <w:r w:rsidRPr="005770BF">
        <w:rPr>
          <w:rFonts w:ascii="Georgia" w:hAnsi="Georgia"/>
          <w:sz w:val="14"/>
          <w:szCs w:val="14"/>
          <w:lang w:val="en-GB"/>
        </w:rPr>
        <w:t xml:space="preserve"> The Monitoring Report itself contains few maps (Days with heat warnings in DWD warning districts – mean of the years 2017–2021; Rainfall erosivity – district mean for 2017-2021; Wider tourism type areas in Germany), but at least they emerge and several regionally information-serving diagrams (GE-I-3: Birch pollen burdens; GE-I-4: Ragweed pollen burden; GE-I-5: Pathogen vectors – case study; GE-I-8: Index – case study UV radiation; WW-I-2a: Groundwater level and spring flow – Northern Region; WW-I-2b: Groundwater level and spring flow – Southern Region; WW-I-4: Floodwater; WW-I-7 and 8 and 9: Water levels and temperature and spring algae blooms in lakes; WW-I-9: Spring algal bloom in lakes, etc.; KM-I-2: Sea levels; KM-I-3: Height of storm surges; KM-I-5: Change of flow direction; KM-I-6: Pumping station performance – case study;  LW-I-4: Infestation with pest organism – case study; BAU-I-1: Heat stress in urban areas – case study; BAU-R-1: Recreation areas - according to settlement network element types; VE-I-1: High-water closures to shipping on the Rhine; VE-I-2: Low-water restrictions to shipping on the Rhine; TOU-I-1: Coastal bathing temperatures; TOU-I-2: Snow cover for winter tourism; TOU-I-3: Market shares held by wider tourism areas; TOU-R-1: Seasonality of bed-nights</w:t>
      </w:r>
      <w:r w:rsidRPr="00F378A3">
        <w:rPr>
          <w:rFonts w:ascii="Georgia" w:hAnsi="Georgia"/>
          <w:sz w:val="14"/>
          <w:szCs w:val="14"/>
          <w:lang w:val="en-GB"/>
        </w:rPr>
        <w:t xml:space="preserve"> in wider tourism areas; ). The text parts comprise detailed references to spatial distribution of CC impacts, impacted territories, spatial units.</w:t>
      </w:r>
    </w:p>
  </w:footnote>
  <w:footnote w:id="141">
    <w:p w14:paraId="6E4EB219" w14:textId="77777777" w:rsidR="00137018" w:rsidRPr="007F7226" w:rsidRDefault="00137018" w:rsidP="00137018">
      <w:pPr>
        <w:spacing w:after="0" w:line="240" w:lineRule="auto"/>
        <w:jc w:val="both"/>
        <w:rPr>
          <w:rFonts w:ascii="Georgia" w:hAnsi="Georgia"/>
          <w:sz w:val="14"/>
          <w:szCs w:val="14"/>
        </w:rPr>
      </w:pPr>
      <w:r w:rsidRPr="007F7226">
        <w:rPr>
          <w:rStyle w:val="Lbjegyzet-hivatkozs"/>
          <w:rFonts w:ascii="Georgia" w:hAnsi="Georgia"/>
          <w:sz w:val="14"/>
          <w:szCs w:val="14"/>
        </w:rPr>
        <w:footnoteRef/>
      </w:r>
      <w:r w:rsidRPr="007F7226">
        <w:rPr>
          <w:rFonts w:ascii="Georgia" w:hAnsi="Georgia"/>
          <w:sz w:val="14"/>
          <w:szCs w:val="14"/>
        </w:rPr>
        <w:t xml:space="preserve"> </w:t>
      </w:r>
      <w:r w:rsidRPr="007F7226">
        <w:rPr>
          <w:rFonts w:ascii="Georgia" w:eastAsia="Times New Roman" w:hAnsi="Georgia" w:cs="Calibri"/>
          <w:sz w:val="14"/>
          <w:szCs w:val="14"/>
          <w:lang w:val="en-GB" w:eastAsia="hu-HU"/>
        </w:rPr>
        <w:t xml:space="preserve">The system uses both impact, outcome, output, financial and performance indicators. </w:t>
      </w:r>
      <w:r w:rsidRPr="007F7226">
        <w:rPr>
          <w:rFonts w:ascii="Georgia" w:hAnsi="Georgia"/>
          <w:sz w:val="14"/>
          <w:szCs w:val="14"/>
          <w:lang w:val="en-GB"/>
        </w:rPr>
        <w:t>It comprises 1) Impact indicators (about climate change impacts) to describe climate change and climate change impacts with time series in the action areas and clusters. 2) Response indicators to describe climate adaptation: the indicators assigned to the measurable targets.</w:t>
      </w:r>
    </w:p>
  </w:footnote>
  <w:footnote w:id="142">
    <w:p w14:paraId="5C135CEB" w14:textId="77777777" w:rsidR="00137018" w:rsidRPr="00F378A3" w:rsidRDefault="00137018" w:rsidP="002E5300">
      <w:pPr>
        <w:pStyle w:val="Lbjegyzetszveg"/>
        <w:jc w:val="both"/>
        <w:rPr>
          <w:rFonts w:ascii="Georgia" w:hAnsi="Georgia"/>
          <w:sz w:val="14"/>
          <w:szCs w:val="14"/>
        </w:rPr>
      </w:pPr>
      <w:r w:rsidRPr="00F378A3">
        <w:rPr>
          <w:rStyle w:val="Lbjegyzet-hivatkozs"/>
          <w:rFonts w:ascii="Georgia" w:hAnsi="Georgia"/>
          <w:sz w:val="14"/>
          <w:szCs w:val="14"/>
        </w:rPr>
        <w:footnoteRef/>
      </w:r>
      <w:r w:rsidRPr="00F378A3">
        <w:rPr>
          <w:rFonts w:ascii="Georgia" w:hAnsi="Georgia"/>
          <w:sz w:val="14"/>
          <w:szCs w:val="14"/>
        </w:rPr>
        <w:t xml:space="preserve"> </w:t>
      </w:r>
      <w:r w:rsidRPr="00F378A3">
        <w:rPr>
          <w:rFonts w:ascii="Georgia" w:hAnsi="Georgia"/>
          <w:bCs/>
          <w:sz w:val="14"/>
          <w:szCs w:val="14"/>
          <w:lang w:val="en-GB"/>
        </w:rPr>
        <w:t>The monitoring system is under continuous renewal and updating (for the background and mechanism, see the following subsection), as a result of which 21 new indicators were introduced between 2015 and 2019, partly by replacing previous indicators and partly by creating new ones. According to the Monitoring Report published in 2019, the system includes 105 indicators (of which 56 reflect the impacts of climate change, 44 reflect adaptation responses, and 5 reflect both aspects). When selecting indicators (a process that took six years), two basic criteria were kept in mind. First, the indicator must be closely linked to climate change and climate adaptation. In the case of impact indicators, this means that they must reflect a factor that is affected by climate change</w:t>
      </w:r>
      <w:r w:rsidRPr="00F378A3">
        <w:rPr>
          <w:rFonts w:ascii="Georgia" w:hAnsi="Georgia"/>
          <w:sz w:val="14"/>
          <w:szCs w:val="14"/>
          <w:lang w:val="en-GB"/>
        </w:rPr>
        <w:t xml:space="preserve"> or is expected to be affected in the future. Based on the same criterion, response indicators must reflect activities that either facilitate or hinder adaptation. The second criterion is that the data needed to measure the indicator must be available, that it must be possible to measure the phenomenon in question in the future, and that the cost of producing the indicator and the resources required to do so must be proportionate to the value of the information provided by the indicator, thereby ensuring continuous monitoring at national level. Particular attention was also paid to ensuring that the thematic priorities of the specialist areas were clearly defined and that the indicators used were relevant to policy. The indicator system developed was not intended to replace or supersede any existing sectoral systems.</w:t>
      </w:r>
    </w:p>
  </w:footnote>
  <w:footnote w:id="143">
    <w:p w14:paraId="6DE09CAD" w14:textId="77777777" w:rsidR="00137018" w:rsidRPr="006779DE" w:rsidRDefault="00137018" w:rsidP="002E5300">
      <w:pPr>
        <w:pStyle w:val="Lbjegyzetszveg"/>
        <w:jc w:val="both"/>
        <w:rPr>
          <w:lang w:val="en-GB"/>
        </w:rPr>
      </w:pPr>
      <w:r w:rsidRPr="00F378A3">
        <w:rPr>
          <w:rStyle w:val="Lbjegyzet-hivatkozs"/>
          <w:rFonts w:ascii="Georgia" w:hAnsi="Georgia"/>
          <w:sz w:val="14"/>
          <w:szCs w:val="14"/>
          <w:lang w:val="en-GB"/>
        </w:rPr>
        <w:footnoteRef/>
      </w:r>
      <w:r w:rsidRPr="00F378A3">
        <w:rPr>
          <w:rFonts w:ascii="Georgia" w:hAnsi="Georgia"/>
          <w:sz w:val="14"/>
          <w:szCs w:val="14"/>
          <w:lang w:val="en-GB"/>
        </w:rPr>
        <w:t xml:space="preserve"> At the strategic level, the review of the input phase in the DAS and the action plans (APA I-III so far). The product of the implementation of the process (output) is, on the one hand, the completion of the strategic and operational documents themselves and, on the other hand, the embedding of the institutional reforms specified in them into the activities of federal agencies. The outcomes include the specific interventions carried out by</w:t>
      </w:r>
      <w:r w:rsidRPr="006779DE">
        <w:rPr>
          <w:rFonts w:ascii="Georgia" w:hAnsi="Georgia"/>
          <w:sz w:val="14"/>
          <w:szCs w:val="14"/>
          <w:lang w:val="en-GB"/>
        </w:rPr>
        <w:t xml:space="preserve"> designated actors at the federal or local government level, as well as the practical implementation of the specified adaptation measures by the sectors concerned. At the operational level, the purpose of the evaluation is to monitor specific measures (currently designated in APA IV) by analysing the method and status of implementation. At this level, the outcome evaluation analyses the short- and medium-term effects of the measures on the target groups and beneficiaries. In the impact phase, the overall impact of the entire DAS (and APA) process would be assessed.</w:t>
      </w:r>
    </w:p>
  </w:footnote>
  <w:footnote w:id="144">
    <w:p w14:paraId="5CE79BF9" w14:textId="77777777" w:rsidR="00137018" w:rsidRPr="00B76D9A" w:rsidRDefault="00137018" w:rsidP="00137018">
      <w:pPr>
        <w:pStyle w:val="Lbjegyzetszveg"/>
        <w:rPr>
          <w:rFonts w:ascii="Georgia" w:hAnsi="Georgia"/>
          <w:sz w:val="14"/>
          <w:szCs w:val="14"/>
        </w:rPr>
      </w:pPr>
      <w:r w:rsidRPr="00B76D9A">
        <w:rPr>
          <w:rStyle w:val="Lbjegyzet-hivatkozs"/>
          <w:rFonts w:ascii="Georgia" w:eastAsiaTheme="majorEastAsia" w:hAnsi="Georgia"/>
          <w:sz w:val="14"/>
          <w:szCs w:val="14"/>
        </w:rPr>
        <w:footnoteRef/>
      </w:r>
      <w:r w:rsidRPr="00B76D9A">
        <w:rPr>
          <w:rFonts w:ascii="Georgia" w:hAnsi="Georgia"/>
          <w:sz w:val="14"/>
          <w:szCs w:val="14"/>
        </w:rPr>
        <w:t xml:space="preserve"> </w:t>
      </w:r>
      <w:r w:rsidRPr="00B76D9A">
        <w:rPr>
          <w:rFonts w:ascii="Georgia" w:hAnsi="Georgia"/>
          <w:color w:val="000000"/>
          <w:sz w:val="14"/>
          <w:szCs w:val="14"/>
          <w:lang w:val="en-GB" w:eastAsia="hu-HU"/>
        </w:rPr>
        <w:t>“</w:t>
      </w:r>
      <w:r w:rsidRPr="00B76D9A">
        <w:rPr>
          <w:rFonts w:ascii="Georgia" w:hAnsi="Georgia"/>
          <w:i/>
          <w:color w:val="000000"/>
          <w:sz w:val="14"/>
          <w:szCs w:val="14"/>
          <w:lang w:val="en-GB" w:eastAsia="hu-HU"/>
        </w:rPr>
        <w:t xml:space="preserve">As outlined in Objective C1 the Scottish Government will work in partnership with local government and a broad range of others to facilitate mature regional adaptation partnerships and collaborations covering all regions in Scotland by 2029." </w:t>
      </w:r>
      <w:r w:rsidRPr="00B76D9A">
        <w:rPr>
          <w:rFonts w:ascii="Georgia" w:hAnsi="Georgia"/>
          <w:color w:val="000000"/>
          <w:sz w:val="14"/>
          <w:szCs w:val="14"/>
          <w:lang w:val="en-GB" w:eastAsia="hu-HU"/>
        </w:rPr>
        <w:t>or</w:t>
      </w:r>
      <w:r w:rsidRPr="00B76D9A">
        <w:rPr>
          <w:rFonts w:ascii="Georgia" w:hAnsi="Georgia"/>
          <w:i/>
          <w:color w:val="000000"/>
          <w:sz w:val="14"/>
          <w:szCs w:val="14"/>
          <w:lang w:val="en-GB" w:eastAsia="hu-HU"/>
        </w:rPr>
        <w:t xml:space="preserve"> "to collaborate at multiple levels – with subnational, regional and national governments as well as with international bodies like the United Nations".</w:t>
      </w:r>
    </w:p>
  </w:footnote>
  <w:footnote w:id="145">
    <w:p w14:paraId="3C577480" w14:textId="77777777" w:rsidR="00137018" w:rsidRPr="00B76D9A" w:rsidRDefault="00137018" w:rsidP="00137018">
      <w:pPr>
        <w:jc w:val="both"/>
        <w:rPr>
          <w:rFonts w:ascii="Georgia" w:hAnsi="Georgia"/>
          <w:sz w:val="14"/>
          <w:szCs w:val="14"/>
          <w:lang w:val="en-GB"/>
        </w:rPr>
      </w:pPr>
      <w:r w:rsidRPr="00B76D9A">
        <w:rPr>
          <w:rStyle w:val="Lbjegyzet-hivatkozs"/>
          <w:rFonts w:ascii="Georgia" w:hAnsi="Georgia"/>
          <w:sz w:val="14"/>
          <w:szCs w:val="14"/>
        </w:rPr>
        <w:footnoteRef/>
      </w:r>
      <w:r w:rsidRPr="00B76D9A">
        <w:rPr>
          <w:rFonts w:ascii="Georgia" w:hAnsi="Georgia"/>
          <w:sz w:val="14"/>
          <w:szCs w:val="14"/>
        </w:rPr>
        <w:t xml:space="preserve"> </w:t>
      </w:r>
      <w:r w:rsidRPr="00B76D9A">
        <w:rPr>
          <w:rFonts w:ascii="Georgia" w:hAnsi="Georgia"/>
          <w:sz w:val="14"/>
          <w:szCs w:val="14"/>
          <w:lang w:val="en-GB"/>
        </w:rPr>
        <w:t>Dedicated regional adaptation strategies in Sweden, according to the Climate ADAPT website, are as follows: Regional action plan for climate adaptation in the county of Västernorrland, Adaptation to a changed climate - regional action plan for Blekinge, Regional plan for climate adaptation in Dalarna, Regional action plan for climate adaptation in the county of Gotland 2018–2020, Regional action plan for climate adaptation in the county of Gävleborg, Introduction to climate adaptation in Halland, Action plan for climate adaptation (county of Jämtland), 2021:26 Adaptation to a changing climate - Program of measures 2021-2025 for Jönköping county, Regional action plan for climate adaptation (Kalmar), Regional action plan for climate adaptation in the county of Kronoberg, Climate change in Norrbotten, consequences and adaptation, Regional action plan for climate adaptation 2020-2024 (Skåne), A robust society - regional action plan for climate adaptation in the county of Stockholm, Regional action plan for climate adaptation in the county of Uppsala, Värmland in a changing climate - action plan climate adaptation 2020-2025, Adapt Västerbotten to a changing climate 2020 – 2025. Regional guidelines and action plan, Action plan climate adaptation 2021–2024 (Västra Götaland), Action plan climate adaptation 2021–2025 (Östergötland).</w:t>
      </w:r>
    </w:p>
    <w:p w14:paraId="021D3290" w14:textId="77777777" w:rsidR="00137018" w:rsidRPr="00580A9E" w:rsidRDefault="00137018" w:rsidP="00137018">
      <w:pPr>
        <w:pStyle w:val="Lbjegyzetszveg"/>
      </w:pPr>
    </w:p>
  </w:footnote>
  <w:footnote w:id="146">
    <w:p w14:paraId="35296C8B" w14:textId="77777777" w:rsidR="00137018" w:rsidRPr="00782C1C" w:rsidRDefault="00137018" w:rsidP="00137018">
      <w:pPr>
        <w:pStyle w:val="Lbjegyzetszveg"/>
        <w:rPr>
          <w:rFonts w:ascii="Georgia" w:hAnsi="Georgia"/>
          <w:sz w:val="14"/>
          <w:szCs w:val="14"/>
        </w:rPr>
      </w:pPr>
      <w:r w:rsidRPr="00782C1C">
        <w:rPr>
          <w:rStyle w:val="Lbjegyzet-hivatkozs"/>
          <w:rFonts w:ascii="Georgia" w:hAnsi="Georgia"/>
          <w:sz w:val="14"/>
          <w:szCs w:val="14"/>
        </w:rPr>
        <w:footnoteRef/>
      </w:r>
      <w:r w:rsidRPr="00782C1C">
        <w:rPr>
          <w:rFonts w:ascii="Georgia" w:hAnsi="Georgia"/>
          <w:sz w:val="14"/>
          <w:szCs w:val="14"/>
        </w:rPr>
        <w:t xml:space="preserve"> </w:t>
      </w:r>
      <w:r w:rsidRPr="00782C1C">
        <w:rPr>
          <w:rFonts w:ascii="Georgia" w:eastAsia="Times New Roman" w:hAnsi="Georgia" w:cs="Times New Roman"/>
          <w:color w:val="000000"/>
          <w:sz w:val="14"/>
          <w:szCs w:val="14"/>
          <w:lang w:val="en-GB" w:eastAsia="hu-HU"/>
        </w:rPr>
        <w:t>“Vulnerabilities and inadequate climate adaptation in other countries can also contribute to increased migration and refugee flows".</w:t>
      </w:r>
    </w:p>
  </w:footnote>
  <w:footnote w:id="147">
    <w:p w14:paraId="1135ED1D" w14:textId="77777777" w:rsidR="00137018" w:rsidRPr="005824B0" w:rsidRDefault="00137018" w:rsidP="00137018">
      <w:pPr>
        <w:pStyle w:val="Lbjegyzetszveg"/>
        <w:rPr>
          <w:rFonts w:ascii="Georgia" w:hAnsi="Georgia"/>
          <w:sz w:val="14"/>
          <w:szCs w:val="14"/>
        </w:rPr>
      </w:pPr>
      <w:r w:rsidRPr="005824B0">
        <w:rPr>
          <w:rStyle w:val="Lbjegyzet-hivatkozs"/>
          <w:rFonts w:ascii="Georgia" w:hAnsi="Georgia"/>
          <w:sz w:val="14"/>
          <w:szCs w:val="14"/>
        </w:rPr>
        <w:footnoteRef/>
      </w:r>
      <w:r w:rsidRPr="005824B0">
        <w:rPr>
          <w:rFonts w:ascii="Georgia" w:hAnsi="Georgia"/>
          <w:sz w:val="14"/>
          <w:szCs w:val="14"/>
        </w:rPr>
        <w:t xml:space="preserve"> </w:t>
      </w:r>
      <w:r w:rsidRPr="005824B0">
        <w:rPr>
          <w:rFonts w:ascii="Georgia" w:hAnsi="Georgia"/>
          <w:sz w:val="14"/>
          <w:szCs w:val="14"/>
          <w:lang w:val="en-GB"/>
        </w:rPr>
        <w:t>urn.fi/URN:ISBN:978-952-11-4629-9</w:t>
      </w:r>
    </w:p>
  </w:footnote>
  <w:footnote w:id="148">
    <w:p w14:paraId="5CD62921" w14:textId="77777777" w:rsidR="00137018" w:rsidRPr="005824B0" w:rsidRDefault="00137018" w:rsidP="00137018">
      <w:pPr>
        <w:pStyle w:val="Lbjegyzetszveg"/>
        <w:rPr>
          <w:rFonts w:ascii="Georgia" w:hAnsi="Georgia"/>
          <w:sz w:val="14"/>
          <w:szCs w:val="14"/>
        </w:rPr>
      </w:pPr>
      <w:r w:rsidRPr="005824B0">
        <w:rPr>
          <w:rStyle w:val="Lbjegyzet-hivatkozs"/>
          <w:rFonts w:ascii="Georgia" w:hAnsi="Georgia"/>
          <w:sz w:val="14"/>
          <w:szCs w:val="14"/>
        </w:rPr>
        <w:footnoteRef/>
      </w:r>
      <w:r w:rsidRPr="005824B0">
        <w:rPr>
          <w:rFonts w:ascii="Georgia" w:hAnsi="Georgia"/>
          <w:sz w:val="14"/>
          <w:szCs w:val="14"/>
        </w:rPr>
        <w:t xml:space="preserve"> </w:t>
      </w:r>
      <w:r w:rsidRPr="005824B0">
        <w:rPr>
          <w:rFonts w:ascii="Georgia" w:hAnsi="Georgia"/>
          <w:sz w:val="14"/>
          <w:szCs w:val="14"/>
          <w:lang w:val="en-GB"/>
        </w:rPr>
        <w:t>urn.fi/URN:ISBN:978-952-366-736-5</w:t>
      </w:r>
    </w:p>
  </w:footnote>
  <w:footnote w:id="149">
    <w:p w14:paraId="1EF4CEA7" w14:textId="77777777" w:rsidR="00137018" w:rsidRPr="005824B0" w:rsidRDefault="00137018" w:rsidP="00137018">
      <w:pPr>
        <w:pStyle w:val="Lbjegyzetszveg"/>
        <w:rPr>
          <w:rFonts w:ascii="Georgia" w:hAnsi="Georgia"/>
          <w:sz w:val="14"/>
          <w:szCs w:val="14"/>
        </w:rPr>
      </w:pPr>
      <w:r w:rsidRPr="005824B0">
        <w:rPr>
          <w:rStyle w:val="Lbjegyzet-hivatkozs"/>
          <w:rFonts w:ascii="Georgia" w:hAnsi="Georgia"/>
          <w:sz w:val="14"/>
          <w:szCs w:val="14"/>
        </w:rPr>
        <w:footnoteRef/>
      </w:r>
      <w:r w:rsidRPr="005824B0">
        <w:rPr>
          <w:rFonts w:ascii="Georgia" w:hAnsi="Georgia"/>
          <w:sz w:val="14"/>
          <w:szCs w:val="14"/>
        </w:rPr>
        <w:t xml:space="preserve"> </w:t>
      </w:r>
      <w:r w:rsidRPr="005824B0">
        <w:rPr>
          <w:rFonts w:ascii="Georgia" w:hAnsi="Georgia"/>
          <w:sz w:val="14"/>
          <w:szCs w:val="14"/>
          <w:lang w:val="en-GB"/>
        </w:rPr>
        <w:t>urn.fi/URN:ISBN:978-952-00-8424-0</w:t>
      </w:r>
    </w:p>
  </w:footnote>
  <w:footnote w:id="150">
    <w:p w14:paraId="30A89338" w14:textId="77777777" w:rsidR="00137018" w:rsidRPr="005824B0" w:rsidRDefault="00137018" w:rsidP="00137018">
      <w:pPr>
        <w:pStyle w:val="Lbjegyzetszveg"/>
        <w:rPr>
          <w:rFonts w:ascii="Georgia" w:hAnsi="Georgia"/>
          <w:sz w:val="14"/>
          <w:szCs w:val="14"/>
        </w:rPr>
      </w:pPr>
      <w:r w:rsidRPr="005824B0">
        <w:rPr>
          <w:rStyle w:val="Lbjegyzet-hivatkozs"/>
          <w:rFonts w:ascii="Georgia" w:hAnsi="Georgia"/>
          <w:sz w:val="14"/>
          <w:szCs w:val="14"/>
        </w:rPr>
        <w:footnoteRef/>
      </w:r>
      <w:r w:rsidRPr="005824B0">
        <w:rPr>
          <w:rFonts w:ascii="Georgia" w:hAnsi="Georgia"/>
          <w:sz w:val="14"/>
          <w:szCs w:val="14"/>
        </w:rPr>
        <w:t xml:space="preserve"> </w:t>
      </w:r>
      <w:r w:rsidRPr="005824B0">
        <w:rPr>
          <w:rFonts w:ascii="Georgia" w:hAnsi="Georgia"/>
          <w:sz w:val="14"/>
          <w:szCs w:val="14"/>
          <w:lang w:val="en-GB"/>
        </w:rPr>
        <w:t>defmin.fi/documents/236553176/238659714</w:t>
      </w:r>
    </w:p>
  </w:footnote>
  <w:footnote w:id="151">
    <w:p w14:paraId="4E2487CF" w14:textId="77777777" w:rsidR="00137018" w:rsidRPr="00791581" w:rsidRDefault="00137018" w:rsidP="00137018">
      <w:pPr>
        <w:spacing w:after="0" w:line="240" w:lineRule="auto"/>
        <w:jc w:val="both"/>
        <w:rPr>
          <w:rStyle w:val="Lbjegyzet-hivatkozs"/>
          <w:rFonts w:ascii="Georgia" w:hAnsi="Georgia"/>
          <w:sz w:val="14"/>
          <w:szCs w:val="14"/>
          <w:vertAlign w:val="baseline"/>
          <w:lang w:val="en-GB"/>
        </w:rPr>
      </w:pPr>
      <w:r w:rsidRPr="0098425B">
        <w:rPr>
          <w:rStyle w:val="Lbjegyzet-hivatkozs"/>
          <w:rFonts w:ascii="Georgia" w:hAnsi="Georgia"/>
          <w:sz w:val="14"/>
          <w:szCs w:val="14"/>
          <w:lang w:val="en-GB"/>
        </w:rPr>
        <w:footnoteRef/>
      </w:r>
      <w:r w:rsidRPr="0098425B">
        <w:rPr>
          <w:rStyle w:val="Lbjegyzet-hivatkozs"/>
          <w:rFonts w:ascii="Georgia" w:hAnsi="Georgia"/>
          <w:sz w:val="14"/>
          <w:szCs w:val="14"/>
          <w:lang w:val="en-GB"/>
        </w:rPr>
        <w:t xml:space="preserve"> </w:t>
      </w:r>
      <w:r w:rsidRPr="00791581">
        <w:rPr>
          <w:rStyle w:val="Lbjegyzet-hivatkozs"/>
          <w:rFonts w:ascii="Georgia" w:hAnsi="Georgia"/>
          <w:sz w:val="14"/>
          <w:szCs w:val="14"/>
          <w:vertAlign w:val="baseline"/>
          <w:lang w:val="en-GB"/>
        </w:rPr>
        <w:t>In the Helsinki Metropolitan Area, efforts have been made to promote monitoring of the effectiveness of adaptation measures based on the indicators developed by Helsinki Region Environmental Services (Kankaanpää 2017).</w:t>
      </w:r>
    </w:p>
  </w:footnote>
  <w:footnote w:id="152">
    <w:p w14:paraId="6A7B0071" w14:textId="77777777" w:rsidR="00137018" w:rsidRPr="0098425B" w:rsidRDefault="00137018" w:rsidP="00137018">
      <w:pPr>
        <w:spacing w:after="0" w:line="240" w:lineRule="auto"/>
        <w:jc w:val="both"/>
        <w:rPr>
          <w:rFonts w:ascii="Georgia" w:hAnsi="Georgia"/>
          <w:sz w:val="14"/>
          <w:szCs w:val="14"/>
          <w:lang w:val="en-GB"/>
        </w:rPr>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A central guiding document is the EU Floods Directive as part of which Finland reports on indicators and other related information biennially. The regional measures proposed in the management plans have an estimated implementation schedule and their implementation is monitored annually through the Flood Information System. The indicator assesses the proportion of completed measures out of the total number of proposed measures that can be complete.</w:t>
      </w:r>
    </w:p>
  </w:footnote>
  <w:footnote w:id="153">
    <w:p w14:paraId="0BCCCCA4" w14:textId="77777777" w:rsidR="00137018" w:rsidRPr="0098425B" w:rsidRDefault="00137018" w:rsidP="00137018">
      <w:pPr>
        <w:pStyle w:val="Lbjegyzetszveg"/>
        <w:rPr>
          <w:rFonts w:ascii="Georgia" w:hAnsi="Georgia"/>
          <w:sz w:val="14"/>
          <w:szCs w:val="14"/>
          <w:lang w:val="en-GB"/>
        </w:rPr>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urn.fi/URN:ISBN:978-952-366-588-0</w:t>
      </w:r>
    </w:p>
  </w:footnote>
  <w:footnote w:id="154">
    <w:p w14:paraId="4AD35E09" w14:textId="77777777" w:rsidR="00137018" w:rsidRPr="0098425B" w:rsidRDefault="00137018" w:rsidP="00137018">
      <w:pPr>
        <w:pStyle w:val="Lbjegyzetszveg"/>
        <w:rPr>
          <w:rFonts w:ascii="Georgia" w:hAnsi="Georgia"/>
          <w:sz w:val="14"/>
          <w:szCs w:val="14"/>
          <w:lang w:val="en-GB"/>
        </w:rPr>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urn.fi/URN:ISBN:978-952-383-118-6</w:t>
      </w:r>
    </w:p>
  </w:footnote>
  <w:footnote w:id="155">
    <w:p w14:paraId="29CB4A6D" w14:textId="77777777" w:rsidR="00137018" w:rsidRPr="0098425B" w:rsidRDefault="00137018" w:rsidP="00137018">
      <w:pPr>
        <w:pStyle w:val="Lbjegyzetszveg"/>
        <w:rPr>
          <w:rFonts w:ascii="Georgia" w:hAnsi="Georgia"/>
          <w:sz w:val="14"/>
          <w:szCs w:val="14"/>
          <w:lang w:val="en-GB"/>
        </w:rPr>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urn.fi/URN:ISBN:978-952-366-867-6</w:t>
      </w:r>
    </w:p>
  </w:footnote>
  <w:footnote w:id="156">
    <w:p w14:paraId="76F2F230" w14:textId="77777777" w:rsidR="00137018" w:rsidRPr="0098425B" w:rsidRDefault="00137018" w:rsidP="00137018">
      <w:pPr>
        <w:pStyle w:val="Lbjegyzetszveg"/>
        <w:rPr>
          <w:rFonts w:ascii="Georgia" w:hAnsi="Georgia"/>
          <w:sz w:val="14"/>
          <w:szCs w:val="14"/>
          <w:lang w:val="en-GB"/>
        </w:rPr>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urn.fi/URN:ISBN:978-952-383-566-5</w:t>
      </w:r>
    </w:p>
  </w:footnote>
  <w:footnote w:id="157">
    <w:p w14:paraId="61421D49" w14:textId="77777777" w:rsidR="00137018" w:rsidRPr="00154595" w:rsidRDefault="00137018" w:rsidP="00137018">
      <w:pPr>
        <w:spacing w:after="0" w:line="240" w:lineRule="auto"/>
        <w:jc w:val="both"/>
        <w:rPr>
          <w:sz w:val="14"/>
          <w:szCs w:val="14"/>
        </w:rPr>
      </w:pPr>
      <w:r w:rsidRPr="00154595">
        <w:rPr>
          <w:rStyle w:val="Lbjegyzet-hivatkozs"/>
          <w:rFonts w:ascii="Georgia" w:hAnsi="Georgia"/>
          <w:sz w:val="14"/>
          <w:szCs w:val="14"/>
        </w:rPr>
        <w:footnoteRef/>
      </w:r>
      <w:r w:rsidRPr="00154595">
        <w:rPr>
          <w:rFonts w:ascii="Georgia" w:hAnsi="Georgia"/>
          <w:sz w:val="14"/>
          <w:szCs w:val="14"/>
        </w:rPr>
        <w:t xml:space="preserve"> </w:t>
      </w:r>
      <w:r w:rsidRPr="00154595">
        <w:rPr>
          <w:rFonts w:ascii="Georgia" w:hAnsi="Georgia"/>
          <w:sz w:val="14"/>
          <w:szCs w:val="14"/>
          <w:lang w:val="en-GB"/>
        </w:rPr>
        <w:t xml:space="preserve">Turkey has a national climate change strategy and action plan, integrated in a single document covering the period 2024-2030. The document has an adaptation focus and a sectoral approach. The former CCASAP was formulated for 2011-2023. Since the period covered by the previous plan concludes in 2023, preparatory work for the new CCASAP (2024-2030) has been carried out under the “Enhancing Adaptation Action in Turkey Project” implemented in collaboration with the UNDP and jointly financed by the EU and the Republic of Türkiye. More information: </w:t>
      </w:r>
      <w:r w:rsidRPr="00154595">
        <w:rPr>
          <w:rFonts w:ascii="Georgia" w:hAnsi="Georgia" w:cs="Calibri"/>
          <w:sz w:val="14"/>
          <w:szCs w:val="14"/>
          <w:lang w:val="en-GB"/>
        </w:rPr>
        <w:t>; iklim.gov.tr/db/turkce/icerikler/files/Uyum(1).pdf</w:t>
      </w:r>
    </w:p>
  </w:footnote>
  <w:footnote w:id="158">
    <w:p w14:paraId="406A717B" w14:textId="77777777" w:rsidR="00137018" w:rsidRPr="0055347E" w:rsidRDefault="00137018" w:rsidP="00137018">
      <w:pPr>
        <w:spacing w:after="0" w:line="240" w:lineRule="auto"/>
        <w:jc w:val="both"/>
        <w:rPr>
          <w:rFonts w:ascii="Georgia" w:hAnsi="Georgia"/>
          <w:sz w:val="14"/>
          <w:szCs w:val="14"/>
        </w:rPr>
      </w:pPr>
      <w:r w:rsidRPr="00154595">
        <w:rPr>
          <w:rStyle w:val="Lbjegyzet-hivatkozs"/>
          <w:rFonts w:ascii="Georgia" w:hAnsi="Georgia"/>
          <w:sz w:val="14"/>
          <w:szCs w:val="14"/>
        </w:rPr>
        <w:footnoteRef/>
      </w:r>
      <w:r w:rsidRPr="00154595">
        <w:rPr>
          <w:rFonts w:ascii="Georgia" w:hAnsi="Georgia"/>
          <w:sz w:val="14"/>
          <w:szCs w:val="14"/>
        </w:rPr>
        <w:t xml:space="preserve"> </w:t>
      </w:r>
      <w:r w:rsidRPr="00154595">
        <w:rPr>
          <w:rFonts w:ascii="Georgia" w:hAnsi="Georgia"/>
          <w:sz w:val="14"/>
          <w:szCs w:val="14"/>
          <w:lang w:val="en-GB"/>
        </w:rPr>
        <w:t>Türkiye’s Strategy and Action Plan to Combat Agricultural Drought (2023-2027); Ecosystem-based Adaptation Strategy for Anatolian Steppe Ecosystems (2022-2036); National Programme and Action Plan for Reducing Negative Impacts of Climate Change on Health (2015); Türkiye Disaster Management Strategy (TDMS);  Türkiye Disaster Risk Reduction Plan (TDRRP); Provincial Disaster Risk Reduction Plan (PDRRP);  Türkiye Disaster Response Plan (TDRP); Provincial Disaster Response Plan (PDRP); Türkiye Post-Disaster Recovery Plan (TPDRP); - Provincial Post-Disaster Recovery Plan (PPDRP).</w:t>
      </w:r>
    </w:p>
  </w:footnote>
  <w:footnote w:id="159">
    <w:p w14:paraId="4E904E1B" w14:textId="77777777" w:rsidR="00137018" w:rsidRPr="005F427B" w:rsidRDefault="00137018" w:rsidP="00137018">
      <w:pPr>
        <w:spacing w:after="0" w:line="240" w:lineRule="auto"/>
        <w:jc w:val="both"/>
      </w:pPr>
      <w:r w:rsidRPr="0098425B">
        <w:rPr>
          <w:rStyle w:val="Lbjegyzet-hivatkozs"/>
          <w:rFonts w:ascii="Georgia" w:hAnsi="Georgia"/>
          <w:sz w:val="14"/>
          <w:szCs w:val="14"/>
          <w:lang w:val="en-GB"/>
        </w:rPr>
        <w:footnoteRef/>
      </w:r>
      <w:r w:rsidRPr="0098425B">
        <w:rPr>
          <w:rFonts w:ascii="Georgia" w:hAnsi="Georgia"/>
          <w:sz w:val="14"/>
          <w:szCs w:val="14"/>
          <w:lang w:val="en-GB"/>
        </w:rPr>
        <w:t xml:space="preserve"> “In this context, an online monitoring and evaluation system will be established to track the Climate Change Adaptation Strategy and Action Plan. Institutions responsible for each action under the CCASAP will input the previous year’s developments into the system, which will be open for data entry from 1 January to 31 March annually. Based on the information entered annual monitoring and evaluation reports will be prepared by the DCC of MoEUCC by 30 June each year, with input from the key responsible institutions. The recommendations and actions outlined in the reports will be discussed in the CCACB Working Groups. The annual evaluation report, drafted in coordination with the DCC will be submitted to the CCACB by 31 December of the monitoring year. Where necessary, the action plan may be revised on a case-by-case basis.”- says the Turkish NAS.</w:t>
      </w:r>
    </w:p>
  </w:footnote>
  <w:footnote w:id="160">
    <w:p w14:paraId="11113428" w14:textId="77777777" w:rsidR="00137018" w:rsidRPr="007C3FEC" w:rsidRDefault="00137018" w:rsidP="00992EB3">
      <w:pPr>
        <w:pStyle w:val="Lbjegyzetszveg"/>
        <w:jc w:val="both"/>
        <w:rPr>
          <w:rFonts w:ascii="Georgia" w:hAnsi="Georgia"/>
          <w:sz w:val="14"/>
          <w:szCs w:val="14"/>
        </w:rPr>
      </w:pPr>
      <w:r w:rsidRPr="007C3FEC">
        <w:rPr>
          <w:rStyle w:val="Lbjegyzet-hivatkozs"/>
          <w:rFonts w:ascii="Georgia" w:hAnsi="Georgia"/>
          <w:sz w:val="14"/>
          <w:szCs w:val="14"/>
        </w:rPr>
        <w:footnoteRef/>
      </w:r>
      <w:r w:rsidRPr="007C3FEC">
        <w:rPr>
          <w:rFonts w:ascii="Georgia" w:hAnsi="Georgia"/>
          <w:sz w:val="14"/>
          <w:szCs w:val="14"/>
        </w:rPr>
        <w:t xml:space="preserve"> </w:t>
      </w:r>
      <w:r w:rsidRPr="007C3FEC">
        <w:rPr>
          <w:rFonts w:ascii="Georgia" w:hAnsi="Georgia"/>
          <w:sz w:val="14"/>
          <w:szCs w:val="14"/>
          <w:lang w:val="en-GB"/>
        </w:rPr>
        <w:t>Public institutions and policymakers can access necessary information and resources for developing and implementing climate policies, whereas academics and researchers can access to studies with scientific data, reports, and current research. Private sector and investors may gain insights on climate finance and investment opportunities in the field of climate change, while NGOs and individuals can find materials for awareness campaigns and community engagement.</w:t>
      </w:r>
    </w:p>
  </w:footnote>
  <w:footnote w:id="161">
    <w:p w14:paraId="5C0AADE8" w14:textId="77777777" w:rsidR="00137018" w:rsidRPr="007C3FEC" w:rsidRDefault="00137018" w:rsidP="00137018">
      <w:pPr>
        <w:pStyle w:val="Lbjegyzetszveg"/>
        <w:rPr>
          <w:rFonts w:ascii="Georgia" w:hAnsi="Georgia"/>
          <w:sz w:val="14"/>
          <w:szCs w:val="14"/>
        </w:rPr>
      </w:pPr>
      <w:r w:rsidRPr="007C3FEC">
        <w:rPr>
          <w:rStyle w:val="Lbjegyzet-hivatkozs"/>
          <w:rFonts w:ascii="Georgia" w:eastAsiaTheme="majorEastAsia" w:hAnsi="Georgia"/>
          <w:sz w:val="14"/>
          <w:szCs w:val="14"/>
        </w:rPr>
        <w:footnoteRef/>
      </w:r>
      <w:r w:rsidRPr="007C3FEC">
        <w:rPr>
          <w:rFonts w:ascii="Georgia" w:hAnsi="Georgia"/>
          <w:sz w:val="14"/>
          <w:szCs w:val="14"/>
        </w:rPr>
        <w:t xml:space="preserve"> </w:t>
      </w:r>
      <w:r w:rsidRPr="007C3FEC">
        <w:rPr>
          <w:rFonts w:ascii="Georgia" w:hAnsi="Georgia"/>
          <w:color w:val="000000"/>
          <w:sz w:val="14"/>
          <w:szCs w:val="14"/>
          <w:lang w:val="en-GB" w:eastAsia="hu-HU"/>
        </w:rPr>
        <w:t>To promote coordinated and coherent action to address the effects of climate change in Spain in order to avoid or reduce present and future damage from climate change and to build a more resilient economy and society.</w:t>
      </w:r>
    </w:p>
  </w:footnote>
  <w:footnote w:id="162">
    <w:p w14:paraId="20BE9325" w14:textId="6C3F2753" w:rsidR="00137018" w:rsidRPr="004B23EE" w:rsidRDefault="00137018" w:rsidP="00137018">
      <w:pPr>
        <w:pStyle w:val="Lbjegyzetszveg"/>
        <w:rPr>
          <w:rFonts w:ascii="Georgia" w:hAnsi="Georgia"/>
          <w:sz w:val="14"/>
          <w:szCs w:val="14"/>
        </w:rPr>
      </w:pPr>
      <w:r w:rsidRPr="004B23EE">
        <w:rPr>
          <w:rStyle w:val="Lbjegyzet-hivatkozs"/>
          <w:rFonts w:ascii="Georgia" w:eastAsiaTheme="majorEastAsia" w:hAnsi="Georgia"/>
          <w:sz w:val="14"/>
          <w:szCs w:val="14"/>
        </w:rPr>
        <w:footnoteRef/>
      </w:r>
      <w:r w:rsidRPr="004B23EE">
        <w:rPr>
          <w:rFonts w:ascii="Georgia" w:hAnsi="Georgia"/>
          <w:sz w:val="14"/>
          <w:szCs w:val="14"/>
        </w:rPr>
        <w:t xml:space="preserve"> </w:t>
      </w:r>
      <w:r w:rsidRPr="004B23EE">
        <w:rPr>
          <w:rFonts w:ascii="Georgia" w:hAnsi="Georgia"/>
          <w:color w:val="000000"/>
          <w:sz w:val="14"/>
          <w:szCs w:val="14"/>
          <w:lang w:val="en-GB" w:eastAsia="hu-HU"/>
        </w:rPr>
        <w:t>The "</w:t>
      </w:r>
      <w:r w:rsidRPr="004B23EE">
        <w:rPr>
          <w:rFonts w:ascii="Georgia" w:hAnsi="Georgia"/>
          <w:i/>
          <w:color w:val="000000"/>
          <w:sz w:val="14"/>
          <w:szCs w:val="14"/>
          <w:lang w:val="en-GB" w:eastAsia="hu-HU"/>
        </w:rPr>
        <w:t>deepening in the geographical and social components of vulnerability to climate change</w:t>
      </w:r>
      <w:r w:rsidRPr="004B23EE">
        <w:rPr>
          <w:rFonts w:ascii="Georgia" w:hAnsi="Georgia"/>
          <w:color w:val="000000"/>
          <w:sz w:val="14"/>
          <w:szCs w:val="14"/>
          <w:lang w:val="en-GB" w:eastAsia="hu-HU"/>
        </w:rPr>
        <w:t>" is particular</w:t>
      </w:r>
      <w:r>
        <w:rPr>
          <w:rFonts w:ascii="Georgia" w:hAnsi="Georgia"/>
          <w:color w:val="000000"/>
          <w:sz w:val="14"/>
          <w:szCs w:val="14"/>
          <w:lang w:val="en-GB" w:eastAsia="hu-HU"/>
        </w:rPr>
        <w:t>l</w:t>
      </w:r>
      <w:r w:rsidRPr="004B23EE">
        <w:rPr>
          <w:rFonts w:ascii="Georgia" w:hAnsi="Georgia"/>
          <w:color w:val="000000"/>
          <w:sz w:val="14"/>
          <w:szCs w:val="14"/>
          <w:lang w:val="en-GB" w:eastAsia="hu-HU"/>
        </w:rPr>
        <w:t xml:space="preserve">y worth for </w:t>
      </w:r>
      <w:r w:rsidR="00962E9B" w:rsidRPr="004B23EE">
        <w:rPr>
          <w:rFonts w:ascii="Georgia" w:hAnsi="Georgia"/>
          <w:color w:val="000000"/>
          <w:sz w:val="14"/>
          <w:szCs w:val="14"/>
          <w:lang w:val="en-GB" w:eastAsia="hu-HU"/>
        </w:rPr>
        <w:t>mentioning</w:t>
      </w:r>
      <w:r w:rsidRPr="004B23EE">
        <w:rPr>
          <w:rFonts w:ascii="Georgia" w:hAnsi="Georgia"/>
          <w:color w:val="000000"/>
          <w:sz w:val="14"/>
          <w:szCs w:val="14"/>
          <w:lang w:val="en-GB" w:eastAsia="hu-HU"/>
        </w:rPr>
        <w:t xml:space="preserve"> it says </w:t>
      </w:r>
      <w:r w:rsidRPr="004B23EE">
        <w:rPr>
          <w:rFonts w:ascii="Georgia" w:hAnsi="Georgia"/>
          <w:i/>
          <w:color w:val="000000"/>
          <w:sz w:val="14"/>
          <w:szCs w:val="14"/>
          <w:lang w:val="en-GB" w:eastAsia="hu-HU"/>
        </w:rPr>
        <w:t>"The actual and potential impacts of climate change are unevenly distributed across the territory. These territorial differences (…) must be identified in risk studies and taken into account in the definition of adaptation measures”.</w:t>
      </w:r>
    </w:p>
  </w:footnote>
  <w:footnote w:id="163">
    <w:p w14:paraId="4A1FC191" w14:textId="77777777" w:rsidR="00137018" w:rsidRPr="004B23EE" w:rsidRDefault="00137018" w:rsidP="00137018">
      <w:pPr>
        <w:pStyle w:val="Lbjegyzetszveg"/>
        <w:rPr>
          <w:sz w:val="14"/>
          <w:szCs w:val="14"/>
        </w:rPr>
      </w:pPr>
      <w:r w:rsidRPr="004B23EE">
        <w:rPr>
          <w:rStyle w:val="Lbjegyzet-hivatkozs"/>
          <w:rFonts w:ascii="Georgia" w:eastAsiaTheme="majorEastAsia" w:hAnsi="Georgia"/>
          <w:sz w:val="14"/>
          <w:szCs w:val="14"/>
        </w:rPr>
        <w:footnoteRef/>
      </w:r>
      <w:r w:rsidRPr="004B23EE">
        <w:rPr>
          <w:rFonts w:ascii="Georgia" w:hAnsi="Georgia"/>
          <w:sz w:val="14"/>
          <w:szCs w:val="14"/>
        </w:rPr>
        <w:t xml:space="preserve"> </w:t>
      </w:r>
      <w:r w:rsidRPr="004B23EE">
        <w:rPr>
          <w:rFonts w:ascii="Georgia" w:hAnsi="Georgia"/>
          <w:color w:val="000000"/>
          <w:sz w:val="14"/>
          <w:szCs w:val="14"/>
          <w:lang w:val="en-GB" w:eastAsia="hu-HU"/>
        </w:rPr>
        <w:t>Out of the “Objective Areas of work”, "Peace Security and Social Cohesion" directly mentions global CC risks, emphasising the early detection of potential conflicts for its prevention, strengthening mechanisms to promote peace, security and social cohesion in the face of climate change. Out of the Transversal Aspects, "Cross border effects" mentions geopolitics and international cooperation nominally. Action line group "Peace security and social cohesion” in all its actions (18.1., 18.2.) deals with global climate risks and related consequences and Transversal action line T3 “Cross border effects” also deal with management of international river basins; risks to supply chains in the agri-food sector; cross-border migrations caused by adversities associated with climate change; changes in tourist flows due to changes in climate; changes in maritime transport routes due to the opening of new shipping routes; risks associated with investments in territories and sectors with a high vulnerability to climate change".</w:t>
      </w:r>
    </w:p>
  </w:footnote>
  <w:footnote w:id="164">
    <w:p w14:paraId="3F51AA52" w14:textId="77777777" w:rsidR="00137018" w:rsidRPr="00B362DE" w:rsidRDefault="00137018" w:rsidP="00137018">
      <w:pPr>
        <w:pStyle w:val="Lbjegyzetszveg"/>
        <w:rPr>
          <w:rFonts w:ascii="Georgia" w:hAnsi="Georgia"/>
          <w:sz w:val="14"/>
          <w:szCs w:val="14"/>
        </w:rPr>
      </w:pPr>
      <w:r w:rsidRPr="00B362DE">
        <w:rPr>
          <w:rStyle w:val="Lbjegyzet-hivatkozs"/>
          <w:rFonts w:ascii="Georgia" w:hAnsi="Georgia"/>
          <w:sz w:val="14"/>
          <w:szCs w:val="14"/>
        </w:rPr>
        <w:footnoteRef/>
      </w:r>
      <w:r w:rsidRPr="00B362DE">
        <w:rPr>
          <w:rFonts w:ascii="Georgia" w:hAnsi="Georgia"/>
          <w:sz w:val="14"/>
          <w:szCs w:val="14"/>
        </w:rPr>
        <w:t xml:space="preserve"> </w:t>
      </w:r>
      <w:r w:rsidRPr="00B362DE">
        <w:rPr>
          <w:rFonts w:ascii="Georgia" w:hAnsi="Georgia"/>
          <w:sz w:val="14"/>
          <w:szCs w:val="14"/>
          <w:lang w:val="en-GB"/>
        </w:rPr>
        <w:t>Approximately 150 Hungarian settlements have had their adopted strategies by the end of 2022.</w:t>
      </w:r>
    </w:p>
  </w:footnote>
  <w:footnote w:id="165">
    <w:p w14:paraId="3AFFF30A" w14:textId="77777777" w:rsidR="00137018" w:rsidRPr="00B362DE" w:rsidRDefault="00137018" w:rsidP="00137018">
      <w:pPr>
        <w:spacing w:after="0" w:line="240" w:lineRule="auto"/>
        <w:jc w:val="both"/>
        <w:rPr>
          <w:rFonts w:ascii="Georgia" w:hAnsi="Georgia"/>
          <w:sz w:val="14"/>
          <w:szCs w:val="14"/>
        </w:rPr>
      </w:pPr>
      <w:r w:rsidRPr="00B362DE">
        <w:rPr>
          <w:rStyle w:val="Lbjegyzet-hivatkozs"/>
          <w:rFonts w:ascii="Georgia" w:hAnsi="Georgia"/>
          <w:sz w:val="14"/>
          <w:szCs w:val="14"/>
        </w:rPr>
        <w:footnoteRef/>
      </w:r>
      <w:r w:rsidRPr="00B362DE">
        <w:rPr>
          <w:rFonts w:ascii="Georgia" w:hAnsi="Georgia"/>
          <w:sz w:val="14"/>
          <w:szCs w:val="14"/>
        </w:rPr>
        <w:t xml:space="preserve"> </w:t>
      </w:r>
      <w:r w:rsidRPr="00B362DE">
        <w:rPr>
          <w:rFonts w:ascii="Georgia" w:hAnsi="Georgia"/>
          <w:sz w:val="14"/>
          <w:szCs w:val="14"/>
          <w:lang w:val="en-GB"/>
        </w:rPr>
        <w:t>The main task for the following years is to implement the planned actions of the existing county and municipal strategies. It is also necessary to prepare new climate strategies for those municipalities that have not got their own already. For this purpose, it is essential to provide funds because, in Hungary, climate strategy is mandatory only at the national level. Only financial incentives can encourage settlements to elaborate their strategy at lower territorial levels. The whole situation is, however, aggravated by the current alarming financial situation of the local governments. The county strategies from 2018 recently reach the date of their revision and update (this date is declared in the strategies). To support this process the Ministry of Energy and its adaptation-related background institute, the National Adaptation Centre is contemplating to coordinate the monitoring, revision and re-planning of these strategic documents.</w:t>
      </w:r>
    </w:p>
  </w:footnote>
  <w:footnote w:id="166">
    <w:p w14:paraId="081BAC04" w14:textId="77777777" w:rsidR="00137018" w:rsidRPr="00DC52B6" w:rsidRDefault="00137018" w:rsidP="00791581">
      <w:pPr>
        <w:pStyle w:val="Lbjegyzetszveg"/>
        <w:jc w:val="both"/>
        <w:rPr>
          <w:rFonts w:ascii="Georgia" w:hAnsi="Georgia"/>
          <w:sz w:val="14"/>
          <w:szCs w:val="14"/>
        </w:rPr>
      </w:pPr>
      <w:r w:rsidRPr="00DC52B6">
        <w:rPr>
          <w:rStyle w:val="Lbjegyzet-hivatkozs"/>
          <w:rFonts w:ascii="Georgia" w:hAnsi="Georgia"/>
          <w:sz w:val="14"/>
          <w:szCs w:val="14"/>
        </w:rPr>
        <w:footnoteRef/>
      </w:r>
      <w:r w:rsidRPr="00DC52B6">
        <w:rPr>
          <w:rFonts w:ascii="Georgia" w:hAnsi="Georgia"/>
          <w:sz w:val="14"/>
          <w:szCs w:val="14"/>
        </w:rPr>
        <w:t xml:space="preserve"> </w:t>
      </w:r>
      <w:r w:rsidRPr="00DC52B6">
        <w:rPr>
          <w:rFonts w:ascii="Georgia" w:hAnsi="Georgia" w:cstheme="minorHAnsi"/>
          <w:sz w:val="14"/>
          <w:szCs w:val="14"/>
          <w:lang w:val="en-GB"/>
        </w:rPr>
        <w:t>Th</w:t>
      </w:r>
      <w:r>
        <w:rPr>
          <w:rFonts w:ascii="Georgia" w:hAnsi="Georgia" w:cstheme="minorHAnsi"/>
          <w:sz w:val="14"/>
          <w:szCs w:val="14"/>
          <w:lang w:val="en-GB"/>
        </w:rPr>
        <w:t>e</w:t>
      </w:r>
      <w:r w:rsidRPr="00DC52B6">
        <w:rPr>
          <w:rFonts w:ascii="Georgia" w:hAnsi="Georgia" w:cstheme="minorHAnsi"/>
          <w:sz w:val="14"/>
          <w:szCs w:val="14"/>
          <w:lang w:val="en-GB"/>
        </w:rPr>
        <w:t xml:space="preserve"> model was developed in the framework of the CLAVIER international climate research project to examine the impacts of climate change on ecology and on the built environment and to provide a standardized methodological background to quantitative climate impact assessments.</w:t>
      </w:r>
      <w:r w:rsidRPr="00DC52B6">
        <w:t xml:space="preserve"> </w:t>
      </w:r>
      <w:r w:rsidRPr="00DC52B6">
        <w:rPr>
          <w:rFonts w:ascii="Georgia" w:hAnsi="Georgia" w:cstheme="minorHAnsi"/>
          <w:sz w:val="14"/>
          <w:szCs w:val="14"/>
          <w:lang w:val="en-GB"/>
        </w:rPr>
        <w:t>It operates with an impact-chain based methodology, in accordance with IPCC4’s vulnerability notion as a combination of exposure, sensitivity, impacts and adaptive capacity.</w:t>
      </w:r>
    </w:p>
  </w:footnote>
  <w:footnote w:id="167">
    <w:p w14:paraId="28A2BFB7" w14:textId="72D9D883" w:rsidR="00137018" w:rsidRPr="00821B19" w:rsidRDefault="00137018" w:rsidP="00137018">
      <w:pPr>
        <w:pStyle w:val="Lbjegyzetszveg"/>
        <w:jc w:val="both"/>
        <w:rPr>
          <w:rFonts w:ascii="Georgia" w:hAnsi="Georgia"/>
          <w:sz w:val="14"/>
          <w:szCs w:val="14"/>
          <w:lang w:val="en-GB"/>
        </w:rPr>
      </w:pPr>
      <w:r w:rsidRPr="00821B19">
        <w:rPr>
          <w:rStyle w:val="Lbjegyzet-hivatkozs"/>
          <w:rFonts w:ascii="Georgia" w:hAnsi="Georgia"/>
          <w:sz w:val="14"/>
          <w:szCs w:val="14"/>
          <w:lang w:val="en-GB"/>
        </w:rPr>
        <w:footnoteRef/>
      </w:r>
      <w:r w:rsidRPr="00821B19">
        <w:rPr>
          <w:rFonts w:ascii="Georgia" w:hAnsi="Georgia"/>
          <w:sz w:val="14"/>
          <w:szCs w:val="14"/>
          <w:lang w:val="en-GB"/>
        </w:rPr>
        <w:t xml:space="preserve"> </w:t>
      </w:r>
      <w:r w:rsidRPr="00821B19">
        <w:rPr>
          <w:rFonts w:ascii="Georgia" w:hAnsi="Georgia" w:cstheme="minorHAnsi"/>
          <w:sz w:val="14"/>
          <w:szCs w:val="14"/>
          <w:lang w:val="en-GB"/>
        </w:rPr>
        <w:t xml:space="preserve">During the first development phase climate simulations were based on the future climate projections given </w:t>
      </w:r>
      <w:r w:rsidR="00196863" w:rsidRPr="00821B19">
        <w:rPr>
          <w:rFonts w:ascii="Georgia" w:hAnsi="Georgia" w:cstheme="minorHAnsi"/>
          <w:sz w:val="14"/>
          <w:szCs w:val="14"/>
          <w:lang w:val="en-GB"/>
        </w:rPr>
        <w:t>by ALADIN</w:t>
      </w:r>
      <w:r w:rsidRPr="00821B19">
        <w:rPr>
          <w:rFonts w:ascii="Georgia" w:hAnsi="Georgia" w:cstheme="minorHAnsi"/>
          <w:sz w:val="14"/>
          <w:szCs w:val="14"/>
          <w:lang w:val="en-GB"/>
        </w:rPr>
        <w:t xml:space="preserve">-Climate and RegCM RCM models. In the second development </w:t>
      </w:r>
      <w:r w:rsidR="00791581" w:rsidRPr="00821B19">
        <w:rPr>
          <w:rFonts w:ascii="Georgia" w:hAnsi="Georgia" w:cstheme="minorHAnsi"/>
          <w:sz w:val="14"/>
          <w:szCs w:val="14"/>
          <w:lang w:val="en-GB"/>
        </w:rPr>
        <w:t>phase,</w:t>
      </w:r>
      <w:r w:rsidRPr="00821B19">
        <w:rPr>
          <w:rFonts w:ascii="Georgia" w:hAnsi="Georgia" w:cstheme="minorHAnsi"/>
          <w:sz w:val="14"/>
          <w:szCs w:val="14"/>
          <w:lang w:val="en-GB"/>
        </w:rPr>
        <w:t xml:space="preserve"> four climate model-emission scenario combinations were used based on data from the EURO-CORDEX database. Simulations were created with the RCA4 regional climate model which used data as threshold conditions from the CNRM-CM5 and EC-EARTH global models, and these were combined with two IPCC GHG-emission scenarios, RCP4.5 and RCP8.5 of the IPCC. Climatic indicators of the system in general reflect both on past data and cover future projections based on different climate models. The system’s database includes climate projections-based vulnerability assessment results (sensitivity, adaptive capacity and vulnerability indicators) for present and future time windows (2040-2071 and 2071-2100) introducing projected situations/estimations for the middle and the end of the century. Impact and vulnerability indicators were also calculated for the </w:t>
      </w:r>
      <w:r w:rsidR="00791581">
        <w:rPr>
          <w:rFonts w:ascii="Georgia" w:hAnsi="Georgia" w:cstheme="minorHAnsi"/>
          <w:sz w:val="14"/>
          <w:szCs w:val="14"/>
          <w:lang w:val="en-GB"/>
        </w:rPr>
        <w:t>three</w:t>
      </w:r>
      <w:r w:rsidRPr="00821B19">
        <w:rPr>
          <w:rFonts w:ascii="Georgia" w:hAnsi="Georgia" w:cstheme="minorHAnsi"/>
          <w:sz w:val="14"/>
          <w:szCs w:val="14"/>
          <w:lang w:val="en-GB"/>
        </w:rPr>
        <w:t xml:space="preserve"> time horizons. Sensitivity and adaptive capacity indicators are considered constant in time.</w:t>
      </w:r>
    </w:p>
  </w:footnote>
  <w:footnote w:id="168">
    <w:p w14:paraId="06A1940B" w14:textId="77777777" w:rsidR="00137018" w:rsidRPr="00821B19" w:rsidRDefault="00137018" w:rsidP="00137018">
      <w:pPr>
        <w:pStyle w:val="Lbjegyzetszveg"/>
        <w:jc w:val="both"/>
        <w:rPr>
          <w:rFonts w:ascii="Georgia" w:hAnsi="Georgia"/>
          <w:sz w:val="14"/>
          <w:szCs w:val="14"/>
          <w:lang w:val="en-GB"/>
        </w:rPr>
      </w:pPr>
      <w:r w:rsidRPr="00821B19">
        <w:rPr>
          <w:rFonts w:ascii="Georgia" w:hAnsi="Georgia" w:cstheme="minorHAnsi"/>
          <w:sz w:val="14"/>
          <w:szCs w:val="14"/>
          <w:vertAlign w:val="superscript"/>
          <w:lang w:val="en-GB"/>
        </w:rPr>
        <w:footnoteRef/>
      </w:r>
      <w:r w:rsidRPr="00821B19">
        <w:rPr>
          <w:rFonts w:ascii="Georgia" w:hAnsi="Georgia" w:cstheme="minorHAnsi"/>
          <w:sz w:val="14"/>
          <w:szCs w:val="14"/>
          <w:vertAlign w:val="superscript"/>
          <w:lang w:val="en-GB"/>
        </w:rPr>
        <w:t xml:space="preserve"> </w:t>
      </w:r>
      <w:r w:rsidRPr="00821B19">
        <w:rPr>
          <w:rFonts w:ascii="Georgia" w:hAnsi="Georgia" w:cstheme="minorHAnsi"/>
          <w:sz w:val="14"/>
          <w:szCs w:val="14"/>
          <w:lang w:val="en-GB"/>
        </w:rPr>
        <w:t>a 10x10 km resolution map displaying system containing hundreds of layers, visually showing how different climate impacts may affect various regions of the country. The mapping system is freely available.</w:t>
      </w:r>
    </w:p>
  </w:footnote>
  <w:footnote w:id="169">
    <w:p w14:paraId="7FB92530" w14:textId="77777777" w:rsidR="00137018" w:rsidRPr="00821B19" w:rsidRDefault="00137018" w:rsidP="00137018">
      <w:pPr>
        <w:pStyle w:val="Lbjegyzetszveg"/>
        <w:jc w:val="both"/>
        <w:rPr>
          <w:rFonts w:ascii="Georgia" w:hAnsi="Georgia"/>
          <w:sz w:val="14"/>
          <w:szCs w:val="14"/>
          <w:lang w:val="en-GB"/>
        </w:rPr>
      </w:pPr>
      <w:r w:rsidRPr="00821B19">
        <w:rPr>
          <w:rStyle w:val="Lbjegyzet-hivatkozs"/>
          <w:rFonts w:ascii="Georgia" w:hAnsi="Georgia"/>
          <w:sz w:val="14"/>
          <w:szCs w:val="14"/>
          <w:lang w:val="en-GB"/>
        </w:rPr>
        <w:footnoteRef/>
      </w:r>
      <w:r w:rsidRPr="00821B19">
        <w:rPr>
          <w:rFonts w:ascii="Georgia" w:hAnsi="Georgia"/>
          <w:sz w:val="14"/>
          <w:szCs w:val="14"/>
          <w:lang w:val="en-GB"/>
        </w:rPr>
        <w:t xml:space="preserve"> It comprises the observed and modelled climate data; calculated climatic data-based exposure; and environmental, economic, and social sensitivity/expected impact/adaptability/vulnerability data and calculated indices across 16 vulnerability topics</w:t>
      </w:r>
      <w:r w:rsidRPr="00821B19">
        <w:rPr>
          <w:rFonts w:ascii="Georgia" w:hAnsi="Georgia" w:cstheme="minorHAnsi"/>
          <w:sz w:val="14"/>
          <w:szCs w:val="14"/>
          <w:lang w:val="en-GB"/>
        </w:rPr>
        <w:t xml:space="preserve"> Registered users can use the database for analyses and data extraction.</w:t>
      </w:r>
    </w:p>
  </w:footnote>
  <w:footnote w:id="170">
    <w:p w14:paraId="7CD48F4E" w14:textId="77777777" w:rsidR="00137018" w:rsidRPr="00821B19" w:rsidRDefault="00137018" w:rsidP="00137018">
      <w:pPr>
        <w:pStyle w:val="Lbjegyzetszveg"/>
        <w:jc w:val="both"/>
        <w:rPr>
          <w:rFonts w:ascii="Georgia" w:hAnsi="Georgia"/>
          <w:sz w:val="14"/>
          <w:szCs w:val="14"/>
          <w:lang w:val="en-GB"/>
        </w:rPr>
      </w:pPr>
      <w:r w:rsidRPr="00821B19">
        <w:rPr>
          <w:rStyle w:val="Lbjegyzet-hivatkozs"/>
          <w:rFonts w:ascii="Georgia" w:hAnsi="Georgia"/>
          <w:sz w:val="14"/>
          <w:szCs w:val="14"/>
          <w:lang w:val="en-GB"/>
        </w:rPr>
        <w:footnoteRef/>
      </w:r>
      <w:r w:rsidRPr="00821B19">
        <w:rPr>
          <w:rFonts w:ascii="Georgia" w:hAnsi="Georgia"/>
          <w:sz w:val="14"/>
          <w:szCs w:val="14"/>
          <w:lang w:val="en-GB"/>
        </w:rPr>
        <w:t xml:space="preserve"> It </w:t>
      </w:r>
      <w:r w:rsidRPr="00821B19">
        <w:rPr>
          <w:rFonts w:ascii="Georgia" w:hAnsi="Georgia" w:cstheme="minorHAnsi"/>
          <w:sz w:val="14"/>
          <w:szCs w:val="14"/>
          <w:lang w:val="en-GB"/>
        </w:rPr>
        <w:t>helps users navigate the information, acting as a "data map" for what and where data can be found, with multiple search options across data layers. While the metadata base displays all data layers uploaded to GeoDat, only a narrow subset is represented on the map</w:t>
      </w:r>
    </w:p>
  </w:footnote>
  <w:footnote w:id="171">
    <w:p w14:paraId="018AA0B2" w14:textId="77777777" w:rsidR="00137018" w:rsidRPr="00AB1BBA" w:rsidRDefault="00137018" w:rsidP="00137018">
      <w:pPr>
        <w:pStyle w:val="Lbjegyzetszveg"/>
        <w:jc w:val="both"/>
        <w:rPr>
          <w:rFonts w:ascii="Georgia" w:hAnsi="Georgia"/>
          <w:sz w:val="14"/>
          <w:szCs w:val="14"/>
        </w:rPr>
      </w:pPr>
      <w:r w:rsidRPr="00821B19">
        <w:rPr>
          <w:rStyle w:val="Lbjegyzet-hivatkozs"/>
          <w:rFonts w:ascii="Georgia" w:hAnsi="Georgia"/>
          <w:sz w:val="14"/>
          <w:szCs w:val="14"/>
          <w:lang w:val="en-GB"/>
        </w:rPr>
        <w:footnoteRef/>
      </w:r>
      <w:r w:rsidRPr="00821B19">
        <w:rPr>
          <w:rFonts w:ascii="Georgia" w:hAnsi="Georgia"/>
          <w:sz w:val="14"/>
          <w:szCs w:val="14"/>
          <w:lang w:val="en-GB"/>
        </w:rPr>
        <w:t xml:space="preserve"> </w:t>
      </w:r>
      <w:r w:rsidRPr="00821B19">
        <w:rPr>
          <w:rFonts w:ascii="Georgia" w:hAnsi="Georgia" w:cstheme="minorHAnsi"/>
          <w:sz w:val="14"/>
          <w:szCs w:val="14"/>
          <w:lang w:val="en-GB"/>
        </w:rPr>
        <w:t>It includes research reports, manuals, publications, handbooks and awareness-raising materials created during the different development phases.</w:t>
      </w:r>
    </w:p>
  </w:footnote>
  <w:footnote w:id="172">
    <w:p w14:paraId="3E437BCB" w14:textId="77777777" w:rsidR="00137018" w:rsidRPr="003F4946" w:rsidRDefault="00137018" w:rsidP="00137018">
      <w:pPr>
        <w:pStyle w:val="Lbjegyzetszveg"/>
        <w:jc w:val="both"/>
        <w:rPr>
          <w:rStyle w:val="Lbjegyzet-hivatkozs"/>
          <w:rFonts w:ascii="Georgia" w:hAnsi="Georgia"/>
          <w:sz w:val="14"/>
          <w:szCs w:val="14"/>
          <w:lang w:val="en-GB"/>
        </w:rPr>
      </w:pPr>
      <w:r w:rsidRPr="003F4946">
        <w:rPr>
          <w:rStyle w:val="Lbjegyzet-hivatkozs"/>
          <w:rFonts w:ascii="Georgia" w:hAnsi="Georgia"/>
          <w:sz w:val="14"/>
          <w:szCs w:val="14"/>
          <w:lang w:val="en-GB"/>
        </w:rPr>
        <w:footnoteRef/>
      </w:r>
      <w:r w:rsidRPr="003F4946">
        <w:rPr>
          <w:rStyle w:val="Lbjegyzet-hivatkozs"/>
          <w:rFonts w:ascii="Georgia" w:hAnsi="Georgia"/>
          <w:sz w:val="14"/>
          <w:szCs w:val="14"/>
          <w:lang w:val="en-GB"/>
        </w:rPr>
        <w:t xml:space="preserve"> </w:t>
      </w:r>
      <w:r w:rsidRPr="00137018">
        <w:rPr>
          <w:rStyle w:val="Lbjegyzet-hivatkozs"/>
          <w:rFonts w:ascii="Georgia" w:hAnsi="Georgia"/>
          <w:sz w:val="14"/>
          <w:szCs w:val="14"/>
          <w:vertAlign w:val="baseline"/>
          <w:lang w:val="en-GB"/>
        </w:rPr>
        <w:t>These newly created tools for policy and local government decision support comprised the so-called Settlement Adaptation Baromether (an online situation analysis-supporting survey facilitating local strategic planning by identifying key local climate impacts and potential responses, guiding and encouraging broader stakeholder engagement); the Municipal Decision Support Module (a tool supporting evidence-based preparatory studies for local strategy planning by making climate change impacts and responses more accessible and customizable for local governments); and the Municipal Housing Stock Vulnerability Estimator modules were activated with enhanced online access.</w:t>
      </w:r>
      <w:r w:rsidRPr="00137018">
        <w:rPr>
          <w:lang w:val="en-GB"/>
        </w:rPr>
        <w:t xml:space="preserve"> </w:t>
      </w:r>
      <w:r w:rsidRPr="00137018">
        <w:rPr>
          <w:rStyle w:val="Lbjegyzet-hivatkozs"/>
          <w:rFonts w:ascii="Georgia" w:hAnsi="Georgia"/>
          <w:sz w:val="14"/>
          <w:szCs w:val="14"/>
          <w:vertAlign w:val="baseline"/>
          <w:lang w:val="en-GB"/>
        </w:rPr>
        <w:t>These</w:t>
      </w:r>
      <w:r w:rsidRPr="003F4946">
        <w:rPr>
          <w:rStyle w:val="Lbjegyzet-hivatkozs"/>
          <w:rFonts w:ascii="Georgia" w:hAnsi="Georgia"/>
          <w:sz w:val="14"/>
          <w:szCs w:val="14"/>
          <w:vertAlign w:val="baseline"/>
          <w:lang w:val="en-GB"/>
        </w:rPr>
        <w:t xml:space="preserve"> newly created modules support urban development, climate adaptation planning and implementation, project preparation, development, and implementation, as well as continuous information sharing with decision-makers and the local public.</w:t>
      </w:r>
    </w:p>
  </w:footnote>
  <w:footnote w:id="173">
    <w:p w14:paraId="3DF0FE41" w14:textId="77777777" w:rsidR="00137018" w:rsidRPr="00B362DE" w:rsidRDefault="00137018" w:rsidP="00137018">
      <w:pPr>
        <w:pStyle w:val="Lbjegyzetszveg"/>
        <w:jc w:val="both"/>
        <w:rPr>
          <w:rFonts w:ascii="Georgia" w:hAnsi="Georgia"/>
          <w:sz w:val="14"/>
          <w:szCs w:val="14"/>
        </w:rPr>
      </w:pPr>
      <w:r w:rsidRPr="00B362DE">
        <w:rPr>
          <w:rStyle w:val="Lbjegyzet-hivatkozs"/>
          <w:rFonts w:ascii="Georgia" w:hAnsi="Georgia"/>
          <w:sz w:val="14"/>
          <w:szCs w:val="14"/>
        </w:rPr>
        <w:footnoteRef/>
      </w:r>
      <w:r w:rsidRPr="00B362DE">
        <w:rPr>
          <w:rFonts w:ascii="Georgia" w:hAnsi="Georgia"/>
          <w:sz w:val="14"/>
          <w:szCs w:val="14"/>
        </w:rPr>
        <w:t xml:space="preserve"> </w:t>
      </w:r>
      <w:r w:rsidRPr="00B362DE">
        <w:rPr>
          <w:rFonts w:ascii="Georgia" w:hAnsi="Georgia" w:cstheme="minorHAnsi"/>
          <w:kern w:val="2"/>
          <w:sz w:val="14"/>
          <w:szCs w:val="14"/>
          <w:lang w:val="en-GB"/>
          <w14:ligatures w14:val="standardContextual"/>
        </w:rPr>
        <w:t xml:space="preserve">These are as follows: </w:t>
      </w:r>
      <w:r w:rsidRPr="00B362DE">
        <w:rPr>
          <w:rFonts w:ascii="Georgia" w:hAnsi="Georgia" w:cstheme="minorHAnsi"/>
          <w:color w:val="000000" w:themeColor="text1"/>
          <w:kern w:val="2"/>
          <w:sz w:val="14"/>
          <w:szCs w:val="14"/>
          <w:lang w:val="en-GB"/>
          <w14:ligatures w14:val="standardContextual"/>
        </w:rPr>
        <w:t>analysis of changes in the water regime of Hungary’s large rivers, analysis of the complex vulnerability of the Hungarian tourism sector, study of health effects of climate change in Hungary; analysis of the built environment’s complex vulnerability in settlements</w:t>
      </w:r>
      <w:r w:rsidRPr="00B362DE">
        <w:rPr>
          <w:rFonts w:ascii="Georgia" w:hAnsi="Georgia" w:cstheme="minorHAnsi"/>
          <w:kern w:val="2"/>
          <w:sz w:val="14"/>
          <w:szCs w:val="14"/>
          <w:lang w:val="en-GB"/>
          <w14:ligatures w14:val="standardContextual"/>
        </w:rPr>
        <w:t>.</w:t>
      </w:r>
    </w:p>
  </w:footnote>
  <w:footnote w:id="174">
    <w:p w14:paraId="6156CAF1" w14:textId="77777777" w:rsidR="00137018" w:rsidRPr="00B362DE" w:rsidRDefault="00137018" w:rsidP="00137018">
      <w:pPr>
        <w:pStyle w:val="Lbjegyzetszveg"/>
        <w:jc w:val="both"/>
        <w:rPr>
          <w:rFonts w:ascii="Georgia" w:hAnsi="Georgia"/>
          <w:sz w:val="14"/>
          <w:szCs w:val="14"/>
        </w:rPr>
      </w:pPr>
      <w:r w:rsidRPr="00B362DE">
        <w:rPr>
          <w:rStyle w:val="Lbjegyzet-hivatkozs"/>
          <w:rFonts w:ascii="Georgia" w:hAnsi="Georgia"/>
          <w:sz w:val="14"/>
          <w:szCs w:val="14"/>
        </w:rPr>
        <w:footnoteRef/>
      </w:r>
      <w:r w:rsidRPr="00B362DE">
        <w:rPr>
          <w:rFonts w:ascii="Georgia" w:hAnsi="Georgia"/>
          <w:sz w:val="14"/>
          <w:szCs w:val="14"/>
        </w:rPr>
        <w:t xml:space="preserve"> </w:t>
      </w:r>
      <w:r w:rsidRPr="00B362DE">
        <w:rPr>
          <w:rFonts w:ascii="Georgia" w:hAnsi="Georgia" w:cstheme="minorHAnsi"/>
          <w:kern w:val="2"/>
          <w:sz w:val="14"/>
          <w:szCs w:val="14"/>
          <w:lang w:val="en-GB"/>
          <w14:ligatures w14:val="standardContextual"/>
        </w:rPr>
        <w:t>T</w:t>
      </w:r>
      <w:r w:rsidRPr="00B362DE">
        <w:rPr>
          <w:rFonts w:ascii="Georgia" w:hAnsi="Georgia" w:cstheme="minorHAnsi"/>
          <w:color w:val="000000" w:themeColor="text1"/>
          <w:kern w:val="2"/>
          <w:sz w:val="14"/>
          <w:szCs w:val="14"/>
          <w:lang w:val="en-GB"/>
          <w14:ligatures w14:val="standardContextual"/>
        </w:rPr>
        <w:t>his macro region could be the Carpathian Basin, the Danube catchment area or wider Eastern-Central Europe</w:t>
      </w:r>
      <w:r w:rsidRPr="00B362DE">
        <w:rPr>
          <w:rFonts w:ascii="Georgia" w:hAnsi="Georgia" w:cstheme="minorHAnsi"/>
          <w:kern w:val="2"/>
          <w:sz w:val="14"/>
          <w:szCs w:val="14"/>
          <w:lang w:val="en-GB"/>
          <w14:ligatures w14:val="standardContextual"/>
        </w:rPr>
        <w:t>.</w:t>
      </w:r>
    </w:p>
  </w:footnote>
  <w:footnote w:id="175">
    <w:p w14:paraId="59B47CC1" w14:textId="77777777" w:rsidR="00137018" w:rsidRPr="00B362DE" w:rsidRDefault="00137018" w:rsidP="00137018">
      <w:pPr>
        <w:pStyle w:val="Lbjegyzetszveg"/>
        <w:jc w:val="both"/>
        <w:rPr>
          <w:rFonts w:ascii="Georgia" w:hAnsi="Georgia"/>
          <w:sz w:val="14"/>
          <w:szCs w:val="14"/>
          <w:lang w:val="en-GB"/>
        </w:rPr>
      </w:pPr>
      <w:r w:rsidRPr="00B362DE">
        <w:rPr>
          <w:rStyle w:val="Lbjegyzet-hivatkozs"/>
          <w:rFonts w:ascii="Georgia" w:hAnsi="Georgia"/>
          <w:sz w:val="14"/>
          <w:szCs w:val="14"/>
          <w:lang w:val="en-GB"/>
        </w:rPr>
        <w:footnoteRef/>
      </w:r>
      <w:r w:rsidRPr="00B362DE">
        <w:rPr>
          <w:rFonts w:ascii="Georgia" w:hAnsi="Georgia"/>
          <w:sz w:val="14"/>
          <w:szCs w:val="14"/>
          <w:lang w:val="en-GB"/>
        </w:rPr>
        <w:t xml:space="preserve"> Several international organizations and their documents (EU Adaptation Strategy, UN Agenda 2030; UN Sendai Framework for Disaster Management; Paris Agreement) also call for the development of the indicated activities (monitoring, evaluation) at the national level; Hungary's 7th National Communication in 2017 within the framework of the UNFCCC, also identifies the problem; the international reporting obligations to the EU and the OECD have regularly been touching on the issue (most recently in the 2023 reporting round); the latest recommendation of the World Meteorological Organization (WMO) strongly recommends that individual countries and regions establish climate service frameworks, which would organize the collection of data related to climate change impacts and vulnerability issues into a system (in our case at the national level) and its provision to numerous target groups, and the preparation of queries and reports from these, thus ensuring the increase in the efficiency of policy planning, implementation and evaluation activities; The European Climate Adaptation Plan – ECAP or European Climate Resilience and Risk Management Framework - ECRRMF) planning process currently led by the EU Commission aims to put the EU adaptation strategy into practice. Among the planned 5 ECAP priority axes [1) innovation and competitiveness; 2) strengthening the climate resilience of the climate finance and insurance scene; 3) resilience through design; 4) a package of proposals for a legislative framework strengthening resilience; 5) reaching risk bearers with appropriate digital tools], in addition to the renewal of the EUCRA, the encouragement and framing of national climate risk assessment activities are also discussed in connection with the strengthening of the legislative framework, in addition to the legislative support for climate-resilient governance issues, and the legislative foundation and framing of monitoring-assessment-reporting activities. In connection with reaching risk bearers, the development of appropriate digital decision-support tools and GIS-based tools is also given special emphasis. Within the framework of the UNFCCC UAE-BELÉM work programme, a global (100-piece) set of adaptation indicators is being created for the global adaptation goal, and their mapping and collection at the national level will be an important task in the coming years</w:t>
      </w:r>
      <w:r>
        <w:rPr>
          <w:rFonts w:ascii="Georgia" w:hAnsi="Georgia"/>
          <w:sz w:val="14"/>
          <w:szCs w:val="14"/>
          <w:lang w:val="en-GB"/>
        </w:rPr>
        <w:t xml:space="preserve">. </w:t>
      </w:r>
      <w:r w:rsidRPr="00BD1DAB">
        <w:rPr>
          <w:rFonts w:ascii="Georgia" w:hAnsi="Georgia"/>
          <w:sz w:val="14"/>
          <w:szCs w:val="14"/>
          <w:lang w:val="en-GB"/>
        </w:rPr>
        <w:t>The NCCS-1 also indicated the lack of monitoring activity in climate policy and required the development of a monitoring and evaluation plan within the NCCS-2. The latter strategy assigned this task into the framework of its 1st National Climate Change Action Plan (NACCP). The 1st NACCP developed the preliminary, comprehensive framework of the monitoring and evaluation of the domestic climate policy, in the form of a dedicated chapter, and called the initiation of a research for the foundation of the system in the form of a dedicated NCCAP measure ("Acton V1", "Creation the basis of a comprehensive monitoring and evaluation framework for measuring the results of energy and climate policy measures"). A European outlook and a summary of Hungarian experiences of mitigation monitoring systems were elaborated, coordinated by the Swedish SEPA (Swedish Environmental Agency), from the SRSP support as part of the V1 Action.</w:t>
      </w:r>
    </w:p>
  </w:footnote>
  <w:footnote w:id="176">
    <w:p w14:paraId="7C22E5F4" w14:textId="77777777" w:rsidR="00137018" w:rsidRPr="006C44C7" w:rsidRDefault="00137018" w:rsidP="00196863">
      <w:pPr>
        <w:pStyle w:val="Lbjegyzetszveg"/>
        <w:jc w:val="both"/>
        <w:rPr>
          <w:rFonts w:ascii="Georgia" w:hAnsi="Georgia"/>
          <w:sz w:val="14"/>
          <w:szCs w:val="14"/>
          <w:lang w:val="en-GB"/>
        </w:rPr>
      </w:pPr>
      <w:r w:rsidRPr="006C44C7">
        <w:rPr>
          <w:rStyle w:val="Lbjegyzet-hivatkozs"/>
          <w:rFonts w:ascii="Georgia" w:hAnsi="Georgia"/>
          <w:sz w:val="14"/>
          <w:szCs w:val="14"/>
          <w:lang w:val="en-GB"/>
        </w:rPr>
        <w:footnoteRef/>
      </w:r>
      <w:r w:rsidRPr="006C44C7">
        <w:rPr>
          <w:rFonts w:ascii="Georgia" w:hAnsi="Georgia"/>
          <w:sz w:val="14"/>
          <w:szCs w:val="14"/>
          <w:lang w:val="en-GB"/>
        </w:rPr>
        <w:t xml:space="preserve"> These include conducting an interim assessment of the implementation and achievement of the objectives of the NÉS-2 document; informing policy makers; and feeding back information gained during implementation into the next NÉS and Climate Change Action Plan (ÉCsT) planning cycles.</w:t>
      </w:r>
      <w:r w:rsidRPr="000C11C2">
        <w:rPr>
          <w:rFonts w:ascii="Georgia" w:hAnsi="Georgia"/>
          <w:sz w:val="14"/>
          <w:szCs w:val="14"/>
          <w:lang w:val="en-GB"/>
        </w:rPr>
        <w:t xml:space="preserve"> </w:t>
      </w:r>
      <w:r w:rsidRPr="00BA20CB">
        <w:rPr>
          <w:rFonts w:ascii="Georgia" w:hAnsi="Georgia"/>
          <w:sz w:val="14"/>
          <w:szCs w:val="14"/>
          <w:lang w:val="en-GB"/>
        </w:rPr>
        <w:t>This makes it possible to modify the NES if necessary and to quantify to some extent the results of the developments that have taken place since 2018.</w:t>
      </w:r>
    </w:p>
  </w:footnote>
  <w:footnote w:id="177">
    <w:p w14:paraId="61DCCCC8" w14:textId="77777777" w:rsidR="00137018" w:rsidRPr="00932D3C" w:rsidRDefault="00137018" w:rsidP="00196863">
      <w:pPr>
        <w:pStyle w:val="Lbjegyzetszveg"/>
        <w:jc w:val="both"/>
        <w:rPr>
          <w:rFonts w:ascii="Georgia" w:hAnsi="Georgia"/>
          <w:sz w:val="14"/>
          <w:szCs w:val="14"/>
          <w:lang w:val="en-GB"/>
        </w:rPr>
      </w:pPr>
      <w:r w:rsidRPr="00932D3C">
        <w:rPr>
          <w:rStyle w:val="Lbjegyzet-hivatkozs"/>
          <w:rFonts w:ascii="Georgia" w:hAnsi="Georgia"/>
          <w:sz w:val="14"/>
          <w:szCs w:val="14"/>
          <w:lang w:val="en-GB"/>
        </w:rPr>
        <w:footnoteRef/>
      </w:r>
      <w:r w:rsidRPr="00932D3C">
        <w:rPr>
          <w:rFonts w:ascii="Georgia" w:hAnsi="Georgia"/>
          <w:sz w:val="14"/>
          <w:szCs w:val="14"/>
          <w:lang w:val="en-GB"/>
        </w:rPr>
        <w:t xml:space="preserve"> According to this, of all the regions and region types mentioned, excluding the settlement network categories (settlement, large city, medium-sized city, etc.) and the general types of land use covering the whole country or a significant part of it, and selecting specific, named landscape or spatial units, and mapping them, a strong connection to geographical features (e.g., rivers, large lakes, alluvial fans, foothills) in climate-related issues, landscape classification (specific landscape units), and actual destinations (e.g., Tokaj, Lake Balaton, Lake Tisza) are clearly visible.</w:t>
      </w:r>
    </w:p>
  </w:footnote>
  <w:footnote w:id="178">
    <w:p w14:paraId="6EA8FA55" w14:textId="77777777" w:rsidR="00137018" w:rsidRPr="00690A4B" w:rsidRDefault="00137018" w:rsidP="00137018">
      <w:pPr>
        <w:spacing w:after="0" w:line="240" w:lineRule="auto"/>
        <w:jc w:val="both"/>
        <w:rPr>
          <w:rFonts w:ascii="Georgia" w:hAnsi="Georgia"/>
          <w:sz w:val="14"/>
          <w:szCs w:val="14"/>
          <w:lang w:val="en-GB"/>
        </w:rPr>
      </w:pPr>
      <w:r w:rsidRPr="00690A4B">
        <w:rPr>
          <w:rStyle w:val="Lbjegyzet-hivatkozs"/>
          <w:rFonts w:ascii="Georgia" w:hAnsi="Georgia"/>
          <w:sz w:val="14"/>
          <w:szCs w:val="14"/>
        </w:rPr>
        <w:footnoteRef/>
      </w:r>
      <w:r w:rsidRPr="00690A4B">
        <w:rPr>
          <w:rFonts w:ascii="Georgia" w:hAnsi="Georgia"/>
          <w:sz w:val="14"/>
          <w:szCs w:val="14"/>
        </w:rPr>
        <w:t xml:space="preserve"> </w:t>
      </w:r>
      <w:r w:rsidRPr="00690A4B">
        <w:rPr>
          <w:rFonts w:ascii="Georgia" w:eastAsia="Times New Roman" w:hAnsi="Georgia" w:cs="Times New Roman"/>
          <w:color w:val="000000"/>
          <w:sz w:val="14"/>
          <w:szCs w:val="14"/>
          <w:lang w:val="en-GB" w:eastAsia="hu-HU"/>
        </w:rPr>
        <w:t>Poland’s NAS mentions regional types in general in the narrative sub-objective descriptions coastal areas, mountainous areas and urban zones</w:t>
      </w:r>
      <w:r>
        <w:rPr>
          <w:rFonts w:ascii="Georgia" w:eastAsia="Times New Roman" w:hAnsi="Georgia" w:cs="Times New Roman"/>
          <w:color w:val="000000"/>
          <w:sz w:val="14"/>
          <w:szCs w:val="14"/>
          <w:lang w:val="en-GB" w:eastAsia="hu-HU"/>
        </w:rPr>
        <w:t>. M</w:t>
      </w:r>
      <w:r w:rsidRPr="00690A4B">
        <w:rPr>
          <w:rFonts w:ascii="Georgia" w:eastAsia="Times New Roman" w:hAnsi="Georgia" w:cs="Times New Roman"/>
          <w:color w:val="000000"/>
          <w:sz w:val="14"/>
          <w:szCs w:val="14"/>
          <w:lang w:val="en-GB" w:eastAsia="hu-HU"/>
        </w:rPr>
        <w:t>oreover</w:t>
      </w:r>
      <w:r>
        <w:rPr>
          <w:rFonts w:ascii="Georgia" w:eastAsia="Times New Roman" w:hAnsi="Georgia" w:cs="Times New Roman"/>
          <w:color w:val="000000"/>
          <w:sz w:val="14"/>
          <w:szCs w:val="14"/>
          <w:lang w:val="en-GB" w:eastAsia="hu-HU"/>
        </w:rPr>
        <w:t>,</w:t>
      </w:r>
      <w:r w:rsidRPr="00690A4B">
        <w:rPr>
          <w:rFonts w:ascii="Georgia" w:eastAsia="Times New Roman" w:hAnsi="Georgia" w:cs="Times New Roman"/>
          <w:color w:val="000000"/>
          <w:sz w:val="14"/>
          <w:szCs w:val="14"/>
          <w:lang w:val="en-GB" w:eastAsia="hu-HU"/>
        </w:rPr>
        <w:t xml:space="preserve"> spatial planning also get recurring stable emphasis. Action line 1.1 (adaptation of water management) explicitly describes spatial differences as well as Action Line 2 (Adaptation of coastal zones). Action line 4.1. nominates cities and rural areas, Action line 4.2. urban spatial policy. Territorial monitoring and GIS tool development appear in Action line 1.5. </w:t>
      </w:r>
    </w:p>
    <w:p w14:paraId="63987B60" w14:textId="77777777" w:rsidR="00137018" w:rsidRPr="00690A4B" w:rsidRDefault="00137018" w:rsidP="00137018">
      <w:pPr>
        <w:pStyle w:val="Lbjegyzetszveg"/>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246C1"/>
    <w:multiLevelType w:val="hybridMultilevel"/>
    <w:tmpl w:val="24C87B62"/>
    <w:lvl w:ilvl="0" w:tplc="0413000F">
      <w:start w:val="1"/>
      <w:numFmt w:val="decimal"/>
      <w:lvlText w:val="%1."/>
      <w:lvlJc w:val="left"/>
      <w:pPr>
        <w:ind w:left="1068" w:hanging="360"/>
      </w:p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 w15:restartNumberingAfterBreak="0">
    <w:nsid w:val="0A29700A"/>
    <w:multiLevelType w:val="hybridMultilevel"/>
    <w:tmpl w:val="ED3E15E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C0E1A8B"/>
    <w:multiLevelType w:val="multilevel"/>
    <w:tmpl w:val="F9C0D2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09F63F2"/>
    <w:multiLevelType w:val="hybridMultilevel"/>
    <w:tmpl w:val="BEA6765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1F06833"/>
    <w:multiLevelType w:val="hybridMultilevel"/>
    <w:tmpl w:val="6142BEF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48B41E7"/>
    <w:multiLevelType w:val="hybridMultilevel"/>
    <w:tmpl w:val="14AEC4D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17AD766D"/>
    <w:multiLevelType w:val="hybridMultilevel"/>
    <w:tmpl w:val="15B2D3AA"/>
    <w:lvl w:ilvl="0" w:tplc="0F68511C">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1ABC530A"/>
    <w:multiLevelType w:val="hybridMultilevel"/>
    <w:tmpl w:val="B868F450"/>
    <w:lvl w:ilvl="0" w:tplc="040E000F">
      <w:start w:val="1"/>
      <w:numFmt w:val="decimal"/>
      <w:lvlText w:val="%1."/>
      <w:lvlJc w:val="left"/>
      <w:pPr>
        <w:ind w:left="1080" w:hanging="360"/>
      </w:p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8" w15:restartNumberingAfterBreak="0">
    <w:nsid w:val="1DAF678C"/>
    <w:multiLevelType w:val="hybridMultilevel"/>
    <w:tmpl w:val="55CCF1C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1E530B3D"/>
    <w:multiLevelType w:val="hybridMultilevel"/>
    <w:tmpl w:val="96E09C7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1F4018F1"/>
    <w:multiLevelType w:val="hybridMultilevel"/>
    <w:tmpl w:val="0658C7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2275139F"/>
    <w:multiLevelType w:val="hybridMultilevel"/>
    <w:tmpl w:val="DFB024D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2" w15:restartNumberingAfterBreak="0">
    <w:nsid w:val="23C323B6"/>
    <w:multiLevelType w:val="hybridMultilevel"/>
    <w:tmpl w:val="7FBCED2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6C91803"/>
    <w:multiLevelType w:val="hybridMultilevel"/>
    <w:tmpl w:val="AE4C405E"/>
    <w:lvl w:ilvl="0" w:tplc="67C4519E">
      <w:start w:val="5"/>
      <w:numFmt w:val="bullet"/>
      <w:lvlText w:val=""/>
      <w:lvlJc w:val="left"/>
      <w:pPr>
        <w:ind w:left="1080" w:hanging="360"/>
      </w:pPr>
      <w:rPr>
        <w:rFonts w:ascii="Symbol" w:eastAsiaTheme="minorHAnsi" w:hAnsi="Symbol" w:cstheme="minorBidi"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4" w15:restartNumberingAfterBreak="0">
    <w:nsid w:val="26D45B6F"/>
    <w:multiLevelType w:val="hybridMultilevel"/>
    <w:tmpl w:val="F33E56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28796C7A"/>
    <w:multiLevelType w:val="hybridMultilevel"/>
    <w:tmpl w:val="91CCC4D2"/>
    <w:lvl w:ilvl="0" w:tplc="040E000F">
      <w:start w:val="1"/>
      <w:numFmt w:val="decimal"/>
      <w:lvlText w:val="%1."/>
      <w:lvlJc w:val="left"/>
      <w:pPr>
        <w:ind w:left="2563" w:hanging="360"/>
      </w:pPr>
    </w:lvl>
    <w:lvl w:ilvl="1" w:tplc="040E0019" w:tentative="1">
      <w:start w:val="1"/>
      <w:numFmt w:val="lowerLetter"/>
      <w:lvlText w:val="%2."/>
      <w:lvlJc w:val="left"/>
      <w:pPr>
        <w:ind w:left="3283" w:hanging="360"/>
      </w:pPr>
    </w:lvl>
    <w:lvl w:ilvl="2" w:tplc="040E001B" w:tentative="1">
      <w:start w:val="1"/>
      <w:numFmt w:val="lowerRoman"/>
      <w:lvlText w:val="%3."/>
      <w:lvlJc w:val="right"/>
      <w:pPr>
        <w:ind w:left="4003" w:hanging="180"/>
      </w:pPr>
    </w:lvl>
    <w:lvl w:ilvl="3" w:tplc="040E000F" w:tentative="1">
      <w:start w:val="1"/>
      <w:numFmt w:val="decimal"/>
      <w:lvlText w:val="%4."/>
      <w:lvlJc w:val="left"/>
      <w:pPr>
        <w:ind w:left="4723" w:hanging="360"/>
      </w:pPr>
    </w:lvl>
    <w:lvl w:ilvl="4" w:tplc="040E0019" w:tentative="1">
      <w:start w:val="1"/>
      <w:numFmt w:val="lowerLetter"/>
      <w:lvlText w:val="%5."/>
      <w:lvlJc w:val="left"/>
      <w:pPr>
        <w:ind w:left="5443" w:hanging="360"/>
      </w:pPr>
    </w:lvl>
    <w:lvl w:ilvl="5" w:tplc="040E001B" w:tentative="1">
      <w:start w:val="1"/>
      <w:numFmt w:val="lowerRoman"/>
      <w:lvlText w:val="%6."/>
      <w:lvlJc w:val="right"/>
      <w:pPr>
        <w:ind w:left="6163" w:hanging="180"/>
      </w:pPr>
    </w:lvl>
    <w:lvl w:ilvl="6" w:tplc="040E000F" w:tentative="1">
      <w:start w:val="1"/>
      <w:numFmt w:val="decimal"/>
      <w:lvlText w:val="%7."/>
      <w:lvlJc w:val="left"/>
      <w:pPr>
        <w:ind w:left="6883" w:hanging="360"/>
      </w:pPr>
    </w:lvl>
    <w:lvl w:ilvl="7" w:tplc="040E0019" w:tentative="1">
      <w:start w:val="1"/>
      <w:numFmt w:val="lowerLetter"/>
      <w:lvlText w:val="%8."/>
      <w:lvlJc w:val="left"/>
      <w:pPr>
        <w:ind w:left="7603" w:hanging="360"/>
      </w:pPr>
    </w:lvl>
    <w:lvl w:ilvl="8" w:tplc="040E001B" w:tentative="1">
      <w:start w:val="1"/>
      <w:numFmt w:val="lowerRoman"/>
      <w:lvlText w:val="%9."/>
      <w:lvlJc w:val="right"/>
      <w:pPr>
        <w:ind w:left="8323" w:hanging="180"/>
      </w:pPr>
    </w:lvl>
  </w:abstractNum>
  <w:abstractNum w:abstractNumId="16" w15:restartNumberingAfterBreak="0">
    <w:nsid w:val="2A6C38D4"/>
    <w:multiLevelType w:val="hybridMultilevel"/>
    <w:tmpl w:val="EE421918"/>
    <w:lvl w:ilvl="0" w:tplc="EA787DD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AD31D99"/>
    <w:multiLevelType w:val="hybridMultilevel"/>
    <w:tmpl w:val="65DAEACA"/>
    <w:lvl w:ilvl="0" w:tplc="040E000F">
      <w:start w:val="1"/>
      <w:numFmt w:val="decimal"/>
      <w:lvlText w:val="%1."/>
      <w:lvlJc w:val="left"/>
      <w:pPr>
        <w:ind w:left="3130" w:hanging="360"/>
      </w:pPr>
    </w:lvl>
    <w:lvl w:ilvl="1" w:tplc="040E0019">
      <w:start w:val="1"/>
      <w:numFmt w:val="lowerLetter"/>
      <w:lvlText w:val="%2."/>
      <w:lvlJc w:val="left"/>
      <w:pPr>
        <w:ind w:left="3850" w:hanging="360"/>
      </w:pPr>
    </w:lvl>
    <w:lvl w:ilvl="2" w:tplc="040E001B">
      <w:start w:val="1"/>
      <w:numFmt w:val="lowerRoman"/>
      <w:lvlText w:val="%3."/>
      <w:lvlJc w:val="right"/>
      <w:pPr>
        <w:ind w:left="4570" w:hanging="180"/>
      </w:pPr>
    </w:lvl>
    <w:lvl w:ilvl="3" w:tplc="040E000F">
      <w:start w:val="1"/>
      <w:numFmt w:val="decimal"/>
      <w:lvlText w:val="%4."/>
      <w:lvlJc w:val="left"/>
      <w:pPr>
        <w:ind w:left="5290" w:hanging="360"/>
      </w:pPr>
    </w:lvl>
    <w:lvl w:ilvl="4" w:tplc="040E0019" w:tentative="1">
      <w:start w:val="1"/>
      <w:numFmt w:val="lowerLetter"/>
      <w:lvlText w:val="%5."/>
      <w:lvlJc w:val="left"/>
      <w:pPr>
        <w:ind w:left="6010" w:hanging="360"/>
      </w:pPr>
    </w:lvl>
    <w:lvl w:ilvl="5" w:tplc="040E001B" w:tentative="1">
      <w:start w:val="1"/>
      <w:numFmt w:val="lowerRoman"/>
      <w:lvlText w:val="%6."/>
      <w:lvlJc w:val="right"/>
      <w:pPr>
        <w:ind w:left="6730" w:hanging="180"/>
      </w:pPr>
    </w:lvl>
    <w:lvl w:ilvl="6" w:tplc="040E000F" w:tentative="1">
      <w:start w:val="1"/>
      <w:numFmt w:val="decimal"/>
      <w:lvlText w:val="%7."/>
      <w:lvlJc w:val="left"/>
      <w:pPr>
        <w:ind w:left="7450" w:hanging="360"/>
      </w:pPr>
    </w:lvl>
    <w:lvl w:ilvl="7" w:tplc="040E0019" w:tentative="1">
      <w:start w:val="1"/>
      <w:numFmt w:val="lowerLetter"/>
      <w:lvlText w:val="%8."/>
      <w:lvlJc w:val="left"/>
      <w:pPr>
        <w:ind w:left="8170" w:hanging="360"/>
      </w:pPr>
    </w:lvl>
    <w:lvl w:ilvl="8" w:tplc="040E001B" w:tentative="1">
      <w:start w:val="1"/>
      <w:numFmt w:val="lowerRoman"/>
      <w:lvlText w:val="%9."/>
      <w:lvlJc w:val="right"/>
      <w:pPr>
        <w:ind w:left="8890" w:hanging="180"/>
      </w:pPr>
    </w:lvl>
  </w:abstractNum>
  <w:abstractNum w:abstractNumId="18" w15:restartNumberingAfterBreak="0">
    <w:nsid w:val="2E843DF2"/>
    <w:multiLevelType w:val="hybridMultilevel"/>
    <w:tmpl w:val="2B689A0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1CB63EF"/>
    <w:multiLevelType w:val="multilevel"/>
    <w:tmpl w:val="F9C0D2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299539B"/>
    <w:multiLevelType w:val="hybridMultilevel"/>
    <w:tmpl w:val="436E46DE"/>
    <w:lvl w:ilvl="0" w:tplc="040E000F">
      <w:start w:val="1"/>
      <w:numFmt w:val="decimal"/>
      <w:lvlText w:val="%1."/>
      <w:lvlJc w:val="left"/>
      <w:pPr>
        <w:ind w:left="2160" w:hanging="360"/>
      </w:pPr>
    </w:lvl>
    <w:lvl w:ilvl="1" w:tplc="040E0019" w:tentative="1">
      <w:start w:val="1"/>
      <w:numFmt w:val="lowerLetter"/>
      <w:lvlText w:val="%2."/>
      <w:lvlJc w:val="left"/>
      <w:pPr>
        <w:ind w:left="2880" w:hanging="360"/>
      </w:pPr>
    </w:lvl>
    <w:lvl w:ilvl="2" w:tplc="040E001B" w:tentative="1">
      <w:start w:val="1"/>
      <w:numFmt w:val="lowerRoman"/>
      <w:lvlText w:val="%3."/>
      <w:lvlJc w:val="right"/>
      <w:pPr>
        <w:ind w:left="3600" w:hanging="180"/>
      </w:pPr>
    </w:lvl>
    <w:lvl w:ilvl="3" w:tplc="040E000F" w:tentative="1">
      <w:start w:val="1"/>
      <w:numFmt w:val="decimal"/>
      <w:lvlText w:val="%4."/>
      <w:lvlJc w:val="left"/>
      <w:pPr>
        <w:ind w:left="4320" w:hanging="360"/>
      </w:pPr>
    </w:lvl>
    <w:lvl w:ilvl="4" w:tplc="040E0019" w:tentative="1">
      <w:start w:val="1"/>
      <w:numFmt w:val="lowerLetter"/>
      <w:lvlText w:val="%5."/>
      <w:lvlJc w:val="left"/>
      <w:pPr>
        <w:ind w:left="5040" w:hanging="360"/>
      </w:pPr>
    </w:lvl>
    <w:lvl w:ilvl="5" w:tplc="040E001B" w:tentative="1">
      <w:start w:val="1"/>
      <w:numFmt w:val="lowerRoman"/>
      <w:lvlText w:val="%6."/>
      <w:lvlJc w:val="right"/>
      <w:pPr>
        <w:ind w:left="5760" w:hanging="180"/>
      </w:pPr>
    </w:lvl>
    <w:lvl w:ilvl="6" w:tplc="040E000F" w:tentative="1">
      <w:start w:val="1"/>
      <w:numFmt w:val="decimal"/>
      <w:lvlText w:val="%7."/>
      <w:lvlJc w:val="left"/>
      <w:pPr>
        <w:ind w:left="6480" w:hanging="360"/>
      </w:pPr>
    </w:lvl>
    <w:lvl w:ilvl="7" w:tplc="040E0019" w:tentative="1">
      <w:start w:val="1"/>
      <w:numFmt w:val="lowerLetter"/>
      <w:lvlText w:val="%8."/>
      <w:lvlJc w:val="left"/>
      <w:pPr>
        <w:ind w:left="7200" w:hanging="360"/>
      </w:pPr>
    </w:lvl>
    <w:lvl w:ilvl="8" w:tplc="040E001B" w:tentative="1">
      <w:start w:val="1"/>
      <w:numFmt w:val="lowerRoman"/>
      <w:lvlText w:val="%9."/>
      <w:lvlJc w:val="right"/>
      <w:pPr>
        <w:ind w:left="7920" w:hanging="180"/>
      </w:pPr>
    </w:lvl>
  </w:abstractNum>
  <w:abstractNum w:abstractNumId="21" w15:restartNumberingAfterBreak="0">
    <w:nsid w:val="333A78AA"/>
    <w:multiLevelType w:val="hybridMultilevel"/>
    <w:tmpl w:val="C1CE736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36800FC2"/>
    <w:multiLevelType w:val="hybridMultilevel"/>
    <w:tmpl w:val="E5B6F2EA"/>
    <w:lvl w:ilvl="0" w:tplc="832251E8">
      <w:start w:val="1"/>
      <w:numFmt w:val="bullet"/>
      <w:lvlText w:val=""/>
      <w:lvlJc w:val="left"/>
      <w:pPr>
        <w:ind w:left="1287" w:hanging="360"/>
      </w:pPr>
      <w:rPr>
        <w:rFonts w:ascii="Symbol" w:hAnsi="Symbol" w:hint="default"/>
        <w:color w:val="auto"/>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23" w15:restartNumberingAfterBreak="0">
    <w:nsid w:val="39B352D2"/>
    <w:multiLevelType w:val="hybridMultilevel"/>
    <w:tmpl w:val="3676C79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3A313166"/>
    <w:multiLevelType w:val="multilevel"/>
    <w:tmpl w:val="F9C0D2E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3FBA7BFC"/>
    <w:multiLevelType w:val="hybridMultilevel"/>
    <w:tmpl w:val="688E98FE"/>
    <w:lvl w:ilvl="0" w:tplc="040E0005">
      <w:start w:val="1"/>
      <w:numFmt w:val="bullet"/>
      <w:lvlText w:val=""/>
      <w:lvlJc w:val="left"/>
      <w:pPr>
        <w:ind w:left="2421" w:hanging="360"/>
      </w:pPr>
      <w:rPr>
        <w:rFonts w:ascii="Wingdings" w:hAnsi="Wingdings" w:hint="default"/>
      </w:rPr>
    </w:lvl>
    <w:lvl w:ilvl="1" w:tplc="040E0003" w:tentative="1">
      <w:start w:val="1"/>
      <w:numFmt w:val="bullet"/>
      <w:lvlText w:val="o"/>
      <w:lvlJc w:val="left"/>
      <w:pPr>
        <w:ind w:left="3141" w:hanging="360"/>
      </w:pPr>
      <w:rPr>
        <w:rFonts w:ascii="Courier New" w:hAnsi="Courier New" w:cs="Courier New" w:hint="default"/>
      </w:rPr>
    </w:lvl>
    <w:lvl w:ilvl="2" w:tplc="040E0005" w:tentative="1">
      <w:start w:val="1"/>
      <w:numFmt w:val="bullet"/>
      <w:lvlText w:val=""/>
      <w:lvlJc w:val="left"/>
      <w:pPr>
        <w:ind w:left="3861" w:hanging="360"/>
      </w:pPr>
      <w:rPr>
        <w:rFonts w:ascii="Wingdings" w:hAnsi="Wingdings" w:hint="default"/>
      </w:rPr>
    </w:lvl>
    <w:lvl w:ilvl="3" w:tplc="040E0001" w:tentative="1">
      <w:start w:val="1"/>
      <w:numFmt w:val="bullet"/>
      <w:lvlText w:val=""/>
      <w:lvlJc w:val="left"/>
      <w:pPr>
        <w:ind w:left="4581" w:hanging="360"/>
      </w:pPr>
      <w:rPr>
        <w:rFonts w:ascii="Symbol" w:hAnsi="Symbol" w:hint="default"/>
      </w:rPr>
    </w:lvl>
    <w:lvl w:ilvl="4" w:tplc="040E0003" w:tentative="1">
      <w:start w:val="1"/>
      <w:numFmt w:val="bullet"/>
      <w:lvlText w:val="o"/>
      <w:lvlJc w:val="left"/>
      <w:pPr>
        <w:ind w:left="5301" w:hanging="360"/>
      </w:pPr>
      <w:rPr>
        <w:rFonts w:ascii="Courier New" w:hAnsi="Courier New" w:cs="Courier New" w:hint="default"/>
      </w:rPr>
    </w:lvl>
    <w:lvl w:ilvl="5" w:tplc="040E0005" w:tentative="1">
      <w:start w:val="1"/>
      <w:numFmt w:val="bullet"/>
      <w:lvlText w:val=""/>
      <w:lvlJc w:val="left"/>
      <w:pPr>
        <w:ind w:left="6021" w:hanging="360"/>
      </w:pPr>
      <w:rPr>
        <w:rFonts w:ascii="Wingdings" w:hAnsi="Wingdings" w:hint="default"/>
      </w:rPr>
    </w:lvl>
    <w:lvl w:ilvl="6" w:tplc="040E0001" w:tentative="1">
      <w:start w:val="1"/>
      <w:numFmt w:val="bullet"/>
      <w:lvlText w:val=""/>
      <w:lvlJc w:val="left"/>
      <w:pPr>
        <w:ind w:left="6741" w:hanging="360"/>
      </w:pPr>
      <w:rPr>
        <w:rFonts w:ascii="Symbol" w:hAnsi="Symbol" w:hint="default"/>
      </w:rPr>
    </w:lvl>
    <w:lvl w:ilvl="7" w:tplc="040E0003" w:tentative="1">
      <w:start w:val="1"/>
      <w:numFmt w:val="bullet"/>
      <w:lvlText w:val="o"/>
      <w:lvlJc w:val="left"/>
      <w:pPr>
        <w:ind w:left="7461" w:hanging="360"/>
      </w:pPr>
      <w:rPr>
        <w:rFonts w:ascii="Courier New" w:hAnsi="Courier New" w:cs="Courier New" w:hint="default"/>
      </w:rPr>
    </w:lvl>
    <w:lvl w:ilvl="8" w:tplc="040E0005" w:tentative="1">
      <w:start w:val="1"/>
      <w:numFmt w:val="bullet"/>
      <w:lvlText w:val=""/>
      <w:lvlJc w:val="left"/>
      <w:pPr>
        <w:ind w:left="8181" w:hanging="360"/>
      </w:pPr>
      <w:rPr>
        <w:rFonts w:ascii="Wingdings" w:hAnsi="Wingdings" w:hint="default"/>
      </w:rPr>
    </w:lvl>
  </w:abstractNum>
  <w:abstractNum w:abstractNumId="26" w15:restartNumberingAfterBreak="0">
    <w:nsid w:val="42527DD7"/>
    <w:multiLevelType w:val="hybridMultilevel"/>
    <w:tmpl w:val="ED1CD68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42C138B1"/>
    <w:multiLevelType w:val="multilevel"/>
    <w:tmpl w:val="4A00780A"/>
    <w:lvl w:ilvl="0">
      <w:start w:val="6"/>
      <w:numFmt w:val="decimal"/>
      <w:lvlText w:val="%1."/>
      <w:lvlJc w:val="left"/>
      <w:pPr>
        <w:ind w:left="400" w:hanging="400"/>
      </w:pPr>
      <w:rPr>
        <w:rFonts w:hint="default"/>
      </w:rPr>
    </w:lvl>
    <w:lvl w:ilvl="1">
      <w:start w:val="1"/>
      <w:numFmt w:val="decimal"/>
      <w:lvlText w:val="%1.%2."/>
      <w:lvlJc w:val="left"/>
      <w:pPr>
        <w:ind w:left="840" w:hanging="72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28" w15:restartNumberingAfterBreak="0">
    <w:nsid w:val="42F906E2"/>
    <w:multiLevelType w:val="hybridMultilevel"/>
    <w:tmpl w:val="F8D477CE"/>
    <w:lvl w:ilvl="0" w:tplc="FFFFFFFF">
      <w:start w:val="1"/>
      <w:numFmt w:val="bullet"/>
      <w:lvlText w:val=""/>
      <w:lvlJc w:val="left"/>
      <w:pPr>
        <w:ind w:left="720" w:hanging="360"/>
      </w:pPr>
      <w:rPr>
        <w:rFonts w:ascii="Symbol" w:hAnsi="Symbol" w:hint="default"/>
      </w:rPr>
    </w:lvl>
    <w:lvl w:ilvl="1" w:tplc="040E000F">
      <w:start w:val="1"/>
      <w:numFmt w:val="decimal"/>
      <w:lvlText w:val="%2."/>
      <w:lvlJc w:val="left"/>
      <w:pPr>
        <w:ind w:left="1440" w:hanging="360"/>
      </w:pPr>
    </w:lvl>
    <w:lvl w:ilvl="2" w:tplc="FFFFFFFF">
      <w:start w:val="1"/>
      <w:numFmt w:val="bullet"/>
      <w:lvlText w:val=""/>
      <w:lvlJc w:val="left"/>
      <w:pPr>
        <w:ind w:left="2160" w:hanging="360"/>
      </w:pPr>
      <w:rPr>
        <w:rFonts w:ascii="Symbol" w:hAnsi="Symbol" w:hint="default"/>
      </w:rPr>
    </w:lvl>
    <w:lvl w:ilvl="3" w:tplc="8990E106">
      <w:start w:val="1"/>
      <w:numFmt w:val="decimal"/>
      <w:lvlText w:val="%4)"/>
      <w:lvlJc w:val="left"/>
      <w:pPr>
        <w:ind w:left="2880" w:hanging="360"/>
      </w:pPr>
      <w:rPr>
        <w:rFonts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BD90662"/>
    <w:multiLevelType w:val="hybridMultilevel"/>
    <w:tmpl w:val="45CABC6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1">
      <w:start w:val="1"/>
      <w:numFmt w:val="bullet"/>
      <w:lvlText w:val=""/>
      <w:lvlJc w:val="left"/>
      <w:pPr>
        <w:ind w:left="2160" w:hanging="360"/>
      </w:pPr>
      <w:rPr>
        <w:rFonts w:ascii="Symbol" w:hAnsi="Symbol" w:hint="default"/>
      </w:rPr>
    </w:lvl>
    <w:lvl w:ilvl="3" w:tplc="C730161A">
      <w:numFmt w:val="bullet"/>
      <w:lvlText w:val="-"/>
      <w:lvlJc w:val="left"/>
      <w:pPr>
        <w:ind w:left="2880" w:hanging="360"/>
      </w:pPr>
      <w:rPr>
        <w:rFonts w:ascii="Georgia" w:eastAsia="Times New Roman" w:hAnsi="Georgia" w:cs="Calibri"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53B469E2"/>
    <w:multiLevelType w:val="hybridMultilevel"/>
    <w:tmpl w:val="B81487B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58A15F1A"/>
    <w:multiLevelType w:val="hybridMultilevel"/>
    <w:tmpl w:val="7FD0F5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5A04238D"/>
    <w:multiLevelType w:val="hybridMultilevel"/>
    <w:tmpl w:val="483EF78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5E397A36"/>
    <w:multiLevelType w:val="multilevel"/>
    <w:tmpl w:val="6E202C38"/>
    <w:lvl w:ilvl="0">
      <w:start w:val="5"/>
      <w:numFmt w:val="decimal"/>
      <w:lvlText w:val="%1."/>
      <w:lvlJc w:val="left"/>
      <w:pPr>
        <w:ind w:left="640" w:hanging="640"/>
      </w:pPr>
      <w:rPr>
        <w:rFonts w:hint="default"/>
      </w:rPr>
    </w:lvl>
    <w:lvl w:ilvl="1">
      <w:start w:val="3"/>
      <w:numFmt w:val="decimal"/>
      <w:lvlText w:val="%1.%2."/>
      <w:lvlJc w:val="left"/>
      <w:pPr>
        <w:ind w:left="760" w:hanging="640"/>
      </w:pPr>
      <w:rPr>
        <w:rFonts w:hint="default"/>
      </w:rPr>
    </w:lvl>
    <w:lvl w:ilvl="2">
      <w:start w:val="2"/>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4" w15:restartNumberingAfterBreak="0">
    <w:nsid w:val="61181A29"/>
    <w:multiLevelType w:val="hybridMultilevel"/>
    <w:tmpl w:val="246A4214"/>
    <w:lvl w:ilvl="0" w:tplc="61EE6F48">
      <w:start w:val="1"/>
      <w:numFmt w:val="decimal"/>
      <w:lvlText w:val="%1)"/>
      <w:lvlJc w:val="left"/>
      <w:pPr>
        <w:ind w:left="720" w:hanging="360"/>
      </w:pPr>
      <w:rPr>
        <w:rFonts w:hint="default"/>
        <w:b/>
        <w:bCs/>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695B0684"/>
    <w:multiLevelType w:val="hybridMultilevel"/>
    <w:tmpl w:val="26F27E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75C6018F"/>
    <w:multiLevelType w:val="hybridMultilevel"/>
    <w:tmpl w:val="0E7ADD68"/>
    <w:lvl w:ilvl="0" w:tplc="6B120EA8">
      <w:start w:val="1"/>
      <w:numFmt w:val="bullet"/>
      <w:lvlText w:val=""/>
      <w:lvlJc w:val="left"/>
      <w:pPr>
        <w:ind w:left="720" w:hanging="360"/>
      </w:pPr>
      <w:rPr>
        <w:rFonts w:ascii="Symbol" w:hAnsi="Symbol" w:hint="default"/>
        <w:sz w:val="16"/>
        <w:szCs w:val="16"/>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76DE6FC7"/>
    <w:multiLevelType w:val="hybridMultilevel"/>
    <w:tmpl w:val="E146DCBE"/>
    <w:lvl w:ilvl="0" w:tplc="040E0013">
      <w:start w:val="1"/>
      <w:numFmt w:val="upperRoman"/>
      <w:lvlText w:val="%1."/>
      <w:lvlJc w:val="righ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8" w15:restartNumberingAfterBreak="0">
    <w:nsid w:val="7E887144"/>
    <w:multiLevelType w:val="hybridMultilevel"/>
    <w:tmpl w:val="762CF37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7D6E81A2">
      <w:start w:val="1"/>
      <w:numFmt w:val="bullet"/>
      <w:lvlText w:val=""/>
      <w:lvlJc w:val="left"/>
      <w:pPr>
        <w:ind w:left="2160" w:hanging="360"/>
      </w:pPr>
      <w:rPr>
        <w:rFonts w:ascii="Wingdings" w:hAnsi="Wingdings" w:hint="default"/>
        <w:color w:val="auto"/>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1738243937">
    <w:abstractNumId w:val="22"/>
  </w:num>
  <w:num w:numId="2" w16cid:durableId="15884494">
    <w:abstractNumId w:val="38"/>
  </w:num>
  <w:num w:numId="3" w16cid:durableId="1334576468">
    <w:abstractNumId w:val="36"/>
  </w:num>
  <w:num w:numId="4" w16cid:durableId="646394004">
    <w:abstractNumId w:val="2"/>
  </w:num>
  <w:num w:numId="5" w16cid:durableId="2058428879">
    <w:abstractNumId w:val="26"/>
  </w:num>
  <w:num w:numId="6" w16cid:durableId="1061901421">
    <w:abstractNumId w:val="34"/>
  </w:num>
  <w:num w:numId="7" w16cid:durableId="1845047879">
    <w:abstractNumId w:val="6"/>
  </w:num>
  <w:num w:numId="8" w16cid:durableId="2064717305">
    <w:abstractNumId w:val="21"/>
  </w:num>
  <w:num w:numId="9" w16cid:durableId="974869706">
    <w:abstractNumId w:val="12"/>
  </w:num>
  <w:num w:numId="10" w16cid:durableId="1497963208">
    <w:abstractNumId w:val="33"/>
  </w:num>
  <w:num w:numId="11" w16cid:durableId="203565337">
    <w:abstractNumId w:val="19"/>
  </w:num>
  <w:num w:numId="12" w16cid:durableId="1369179380">
    <w:abstractNumId w:val="29"/>
  </w:num>
  <w:num w:numId="13" w16cid:durableId="341395184">
    <w:abstractNumId w:val="11"/>
  </w:num>
  <w:num w:numId="14" w16cid:durableId="737900665">
    <w:abstractNumId w:val="28"/>
  </w:num>
  <w:num w:numId="15" w16cid:durableId="1477795513">
    <w:abstractNumId w:val="20"/>
  </w:num>
  <w:num w:numId="16" w16cid:durableId="2081751130">
    <w:abstractNumId w:val="23"/>
  </w:num>
  <w:num w:numId="17" w16cid:durableId="125900418">
    <w:abstractNumId w:val="8"/>
  </w:num>
  <w:num w:numId="18" w16cid:durableId="1156334110">
    <w:abstractNumId w:val="15"/>
  </w:num>
  <w:num w:numId="19" w16cid:durableId="1517377615">
    <w:abstractNumId w:val="1"/>
  </w:num>
  <w:num w:numId="20" w16cid:durableId="1512454">
    <w:abstractNumId w:val="32"/>
  </w:num>
  <w:num w:numId="21" w16cid:durableId="1250458607">
    <w:abstractNumId w:val="3"/>
  </w:num>
  <w:num w:numId="22" w16cid:durableId="1796102415">
    <w:abstractNumId w:val="16"/>
  </w:num>
  <w:num w:numId="23" w16cid:durableId="1788625619">
    <w:abstractNumId w:val="18"/>
  </w:num>
  <w:num w:numId="24" w16cid:durableId="870726613">
    <w:abstractNumId w:val="13"/>
  </w:num>
  <w:num w:numId="25" w16cid:durableId="1292520626">
    <w:abstractNumId w:val="0"/>
  </w:num>
  <w:num w:numId="26" w16cid:durableId="890729200">
    <w:abstractNumId w:val="17"/>
  </w:num>
  <w:num w:numId="27" w16cid:durableId="651984848">
    <w:abstractNumId w:val="7"/>
  </w:num>
  <w:num w:numId="28" w16cid:durableId="1839996558">
    <w:abstractNumId w:val="37"/>
  </w:num>
  <w:num w:numId="29" w16cid:durableId="1211921290">
    <w:abstractNumId w:val="24"/>
  </w:num>
  <w:num w:numId="30" w16cid:durableId="1252470792">
    <w:abstractNumId w:val="27"/>
  </w:num>
  <w:num w:numId="31" w16cid:durableId="1059866864">
    <w:abstractNumId w:val="35"/>
  </w:num>
  <w:num w:numId="32" w16cid:durableId="1453329872">
    <w:abstractNumId w:val="14"/>
  </w:num>
  <w:num w:numId="33" w16cid:durableId="1090151873">
    <w:abstractNumId w:val="5"/>
  </w:num>
  <w:num w:numId="34" w16cid:durableId="2124765120">
    <w:abstractNumId w:val="9"/>
  </w:num>
  <w:num w:numId="35" w16cid:durableId="1816994686">
    <w:abstractNumId w:val="31"/>
  </w:num>
  <w:num w:numId="36" w16cid:durableId="877552478">
    <w:abstractNumId w:val="30"/>
  </w:num>
  <w:num w:numId="37" w16cid:durableId="945423377">
    <w:abstractNumId w:val="10"/>
  </w:num>
  <w:num w:numId="38" w16cid:durableId="1569072837">
    <w:abstractNumId w:val="4"/>
  </w:num>
  <w:num w:numId="39" w16cid:durableId="876041546">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982"/>
    <w:rsid w:val="0000065F"/>
    <w:rsid w:val="00000909"/>
    <w:rsid w:val="00000BDE"/>
    <w:rsid w:val="000010BF"/>
    <w:rsid w:val="00001432"/>
    <w:rsid w:val="0000167A"/>
    <w:rsid w:val="0000232C"/>
    <w:rsid w:val="0000288B"/>
    <w:rsid w:val="0000296D"/>
    <w:rsid w:val="00002B1F"/>
    <w:rsid w:val="00002CB5"/>
    <w:rsid w:val="0000321C"/>
    <w:rsid w:val="00003453"/>
    <w:rsid w:val="00003DC0"/>
    <w:rsid w:val="00003FA1"/>
    <w:rsid w:val="00004527"/>
    <w:rsid w:val="000046FE"/>
    <w:rsid w:val="00004788"/>
    <w:rsid w:val="00005891"/>
    <w:rsid w:val="00006401"/>
    <w:rsid w:val="000066CB"/>
    <w:rsid w:val="00006EEC"/>
    <w:rsid w:val="00007425"/>
    <w:rsid w:val="000074AF"/>
    <w:rsid w:val="00007DB3"/>
    <w:rsid w:val="00007F47"/>
    <w:rsid w:val="0001033C"/>
    <w:rsid w:val="000103B1"/>
    <w:rsid w:val="0001099D"/>
    <w:rsid w:val="00010A19"/>
    <w:rsid w:val="00010BFD"/>
    <w:rsid w:val="00010D7C"/>
    <w:rsid w:val="00010EA6"/>
    <w:rsid w:val="00011126"/>
    <w:rsid w:val="000113E3"/>
    <w:rsid w:val="00011705"/>
    <w:rsid w:val="00011B15"/>
    <w:rsid w:val="00011BEC"/>
    <w:rsid w:val="00011E19"/>
    <w:rsid w:val="00012322"/>
    <w:rsid w:val="000123F5"/>
    <w:rsid w:val="0001295A"/>
    <w:rsid w:val="00012B01"/>
    <w:rsid w:val="00012BC3"/>
    <w:rsid w:val="00013365"/>
    <w:rsid w:val="00013751"/>
    <w:rsid w:val="00013C16"/>
    <w:rsid w:val="00013D01"/>
    <w:rsid w:val="00013D7D"/>
    <w:rsid w:val="00013D87"/>
    <w:rsid w:val="00014FDF"/>
    <w:rsid w:val="000150FF"/>
    <w:rsid w:val="0001523B"/>
    <w:rsid w:val="00015AA4"/>
    <w:rsid w:val="00015D43"/>
    <w:rsid w:val="00016639"/>
    <w:rsid w:val="0001678C"/>
    <w:rsid w:val="00016BC1"/>
    <w:rsid w:val="00016D9E"/>
    <w:rsid w:val="0002051B"/>
    <w:rsid w:val="0002056A"/>
    <w:rsid w:val="00020676"/>
    <w:rsid w:val="00020A8F"/>
    <w:rsid w:val="00020A96"/>
    <w:rsid w:val="00020F97"/>
    <w:rsid w:val="00021772"/>
    <w:rsid w:val="00021E5D"/>
    <w:rsid w:val="00021EDC"/>
    <w:rsid w:val="00021F10"/>
    <w:rsid w:val="00022F9C"/>
    <w:rsid w:val="000230D0"/>
    <w:rsid w:val="0002315F"/>
    <w:rsid w:val="00023556"/>
    <w:rsid w:val="00023843"/>
    <w:rsid w:val="0002403D"/>
    <w:rsid w:val="0002441B"/>
    <w:rsid w:val="00024DAD"/>
    <w:rsid w:val="00024DF8"/>
    <w:rsid w:val="00024EAC"/>
    <w:rsid w:val="00024F56"/>
    <w:rsid w:val="000256BC"/>
    <w:rsid w:val="0002596A"/>
    <w:rsid w:val="00025D2E"/>
    <w:rsid w:val="00025EA8"/>
    <w:rsid w:val="00026B8E"/>
    <w:rsid w:val="00027367"/>
    <w:rsid w:val="000278B4"/>
    <w:rsid w:val="00027B7D"/>
    <w:rsid w:val="00027C9C"/>
    <w:rsid w:val="00027F25"/>
    <w:rsid w:val="000301B0"/>
    <w:rsid w:val="000309F5"/>
    <w:rsid w:val="00030E78"/>
    <w:rsid w:val="00031154"/>
    <w:rsid w:val="000314DF"/>
    <w:rsid w:val="000315AA"/>
    <w:rsid w:val="00031B5E"/>
    <w:rsid w:val="000322C1"/>
    <w:rsid w:val="000329CB"/>
    <w:rsid w:val="00032BE3"/>
    <w:rsid w:val="00032EE8"/>
    <w:rsid w:val="00032FF2"/>
    <w:rsid w:val="00033021"/>
    <w:rsid w:val="00033955"/>
    <w:rsid w:val="000344A1"/>
    <w:rsid w:val="0003475D"/>
    <w:rsid w:val="000353B4"/>
    <w:rsid w:val="00035E31"/>
    <w:rsid w:val="000362B4"/>
    <w:rsid w:val="000362C5"/>
    <w:rsid w:val="0003656A"/>
    <w:rsid w:val="000365A7"/>
    <w:rsid w:val="00036977"/>
    <w:rsid w:val="00036B54"/>
    <w:rsid w:val="00036C74"/>
    <w:rsid w:val="00037455"/>
    <w:rsid w:val="00037523"/>
    <w:rsid w:val="00037550"/>
    <w:rsid w:val="00037BDD"/>
    <w:rsid w:val="00037E02"/>
    <w:rsid w:val="00037FF5"/>
    <w:rsid w:val="0004008A"/>
    <w:rsid w:val="00040419"/>
    <w:rsid w:val="00040A32"/>
    <w:rsid w:val="00040D2E"/>
    <w:rsid w:val="000412A2"/>
    <w:rsid w:val="000417AE"/>
    <w:rsid w:val="00041815"/>
    <w:rsid w:val="00041C05"/>
    <w:rsid w:val="00041C4C"/>
    <w:rsid w:val="00041E8D"/>
    <w:rsid w:val="0004222E"/>
    <w:rsid w:val="00042F11"/>
    <w:rsid w:val="00043244"/>
    <w:rsid w:val="0004363C"/>
    <w:rsid w:val="00043780"/>
    <w:rsid w:val="000441CF"/>
    <w:rsid w:val="000446D2"/>
    <w:rsid w:val="0004509C"/>
    <w:rsid w:val="00045329"/>
    <w:rsid w:val="00045D81"/>
    <w:rsid w:val="00046516"/>
    <w:rsid w:val="000465E8"/>
    <w:rsid w:val="00046E67"/>
    <w:rsid w:val="00047A48"/>
    <w:rsid w:val="00050617"/>
    <w:rsid w:val="00050F92"/>
    <w:rsid w:val="00052B28"/>
    <w:rsid w:val="00052B4A"/>
    <w:rsid w:val="00052DCB"/>
    <w:rsid w:val="00052EE5"/>
    <w:rsid w:val="000533E6"/>
    <w:rsid w:val="00053594"/>
    <w:rsid w:val="00053B50"/>
    <w:rsid w:val="00053EE0"/>
    <w:rsid w:val="00054671"/>
    <w:rsid w:val="0005498A"/>
    <w:rsid w:val="00054A9E"/>
    <w:rsid w:val="00054CB8"/>
    <w:rsid w:val="000550DF"/>
    <w:rsid w:val="000553AF"/>
    <w:rsid w:val="00055470"/>
    <w:rsid w:val="000559FD"/>
    <w:rsid w:val="00055A77"/>
    <w:rsid w:val="00055AB6"/>
    <w:rsid w:val="00055BE6"/>
    <w:rsid w:val="00055FE4"/>
    <w:rsid w:val="00056054"/>
    <w:rsid w:val="00056D7B"/>
    <w:rsid w:val="00056DD0"/>
    <w:rsid w:val="000570E0"/>
    <w:rsid w:val="000576CC"/>
    <w:rsid w:val="00057B2F"/>
    <w:rsid w:val="000609ED"/>
    <w:rsid w:val="00060C00"/>
    <w:rsid w:val="00060CB1"/>
    <w:rsid w:val="00060DAE"/>
    <w:rsid w:val="00060F9E"/>
    <w:rsid w:val="00061784"/>
    <w:rsid w:val="000618FD"/>
    <w:rsid w:val="000619C8"/>
    <w:rsid w:val="00062170"/>
    <w:rsid w:val="00062229"/>
    <w:rsid w:val="0006229C"/>
    <w:rsid w:val="00062402"/>
    <w:rsid w:val="000624F4"/>
    <w:rsid w:val="00062933"/>
    <w:rsid w:val="000637A0"/>
    <w:rsid w:val="00063C16"/>
    <w:rsid w:val="00063FD0"/>
    <w:rsid w:val="000641BA"/>
    <w:rsid w:val="00064B15"/>
    <w:rsid w:val="00064C02"/>
    <w:rsid w:val="000654AE"/>
    <w:rsid w:val="00065ED3"/>
    <w:rsid w:val="00066097"/>
    <w:rsid w:val="000663D2"/>
    <w:rsid w:val="000666B4"/>
    <w:rsid w:val="00066AA8"/>
    <w:rsid w:val="00066AAA"/>
    <w:rsid w:val="00066D21"/>
    <w:rsid w:val="00067056"/>
    <w:rsid w:val="000675DC"/>
    <w:rsid w:val="000676EC"/>
    <w:rsid w:val="00067D5B"/>
    <w:rsid w:val="00067E8F"/>
    <w:rsid w:val="00070C18"/>
    <w:rsid w:val="00070E89"/>
    <w:rsid w:val="00071763"/>
    <w:rsid w:val="00071A03"/>
    <w:rsid w:val="00071C23"/>
    <w:rsid w:val="00071CBE"/>
    <w:rsid w:val="00071D33"/>
    <w:rsid w:val="00071E49"/>
    <w:rsid w:val="000729BA"/>
    <w:rsid w:val="00073E86"/>
    <w:rsid w:val="0007488B"/>
    <w:rsid w:val="00074C1D"/>
    <w:rsid w:val="00075158"/>
    <w:rsid w:val="00075EA0"/>
    <w:rsid w:val="00075F86"/>
    <w:rsid w:val="00076DAA"/>
    <w:rsid w:val="00076E41"/>
    <w:rsid w:val="00077390"/>
    <w:rsid w:val="000776E9"/>
    <w:rsid w:val="00077ACB"/>
    <w:rsid w:val="00077B7A"/>
    <w:rsid w:val="000803C1"/>
    <w:rsid w:val="00080516"/>
    <w:rsid w:val="000809A7"/>
    <w:rsid w:val="00080B15"/>
    <w:rsid w:val="00080FA7"/>
    <w:rsid w:val="00081B3A"/>
    <w:rsid w:val="000823E3"/>
    <w:rsid w:val="000827F7"/>
    <w:rsid w:val="00082A54"/>
    <w:rsid w:val="000837D9"/>
    <w:rsid w:val="00083DEA"/>
    <w:rsid w:val="0008404D"/>
    <w:rsid w:val="00084394"/>
    <w:rsid w:val="00084397"/>
    <w:rsid w:val="000845ED"/>
    <w:rsid w:val="00084D2F"/>
    <w:rsid w:val="000854FC"/>
    <w:rsid w:val="00085588"/>
    <w:rsid w:val="00085F80"/>
    <w:rsid w:val="0008606F"/>
    <w:rsid w:val="000860AA"/>
    <w:rsid w:val="000867E3"/>
    <w:rsid w:val="000870A0"/>
    <w:rsid w:val="000870CE"/>
    <w:rsid w:val="0008753F"/>
    <w:rsid w:val="00087882"/>
    <w:rsid w:val="000878D2"/>
    <w:rsid w:val="00087C09"/>
    <w:rsid w:val="00087CCC"/>
    <w:rsid w:val="00090077"/>
    <w:rsid w:val="0009009E"/>
    <w:rsid w:val="0009031A"/>
    <w:rsid w:val="0009031E"/>
    <w:rsid w:val="000904EF"/>
    <w:rsid w:val="000907BE"/>
    <w:rsid w:val="0009145F"/>
    <w:rsid w:val="00091717"/>
    <w:rsid w:val="0009190B"/>
    <w:rsid w:val="00092851"/>
    <w:rsid w:val="0009347E"/>
    <w:rsid w:val="000934F7"/>
    <w:rsid w:val="00093992"/>
    <w:rsid w:val="000948B1"/>
    <w:rsid w:val="00094B13"/>
    <w:rsid w:val="000954E8"/>
    <w:rsid w:val="0009552D"/>
    <w:rsid w:val="000958DB"/>
    <w:rsid w:val="000959CD"/>
    <w:rsid w:val="00095ABF"/>
    <w:rsid w:val="00095FA5"/>
    <w:rsid w:val="0009631C"/>
    <w:rsid w:val="00096978"/>
    <w:rsid w:val="00096A87"/>
    <w:rsid w:val="00097135"/>
    <w:rsid w:val="000976AC"/>
    <w:rsid w:val="000977CE"/>
    <w:rsid w:val="00097A3D"/>
    <w:rsid w:val="00097CC7"/>
    <w:rsid w:val="00097D64"/>
    <w:rsid w:val="00097E9A"/>
    <w:rsid w:val="00097FCB"/>
    <w:rsid w:val="000A0B72"/>
    <w:rsid w:val="000A0CB0"/>
    <w:rsid w:val="000A104A"/>
    <w:rsid w:val="000A159F"/>
    <w:rsid w:val="000A1940"/>
    <w:rsid w:val="000A1AD5"/>
    <w:rsid w:val="000A1C90"/>
    <w:rsid w:val="000A2811"/>
    <w:rsid w:val="000A2DF8"/>
    <w:rsid w:val="000A2FBD"/>
    <w:rsid w:val="000A316D"/>
    <w:rsid w:val="000A3607"/>
    <w:rsid w:val="000A3929"/>
    <w:rsid w:val="000A3A9F"/>
    <w:rsid w:val="000A3BDD"/>
    <w:rsid w:val="000A3C1F"/>
    <w:rsid w:val="000A4AF8"/>
    <w:rsid w:val="000A4C30"/>
    <w:rsid w:val="000A4E74"/>
    <w:rsid w:val="000A531A"/>
    <w:rsid w:val="000A5C0E"/>
    <w:rsid w:val="000A61E2"/>
    <w:rsid w:val="000A636B"/>
    <w:rsid w:val="000A66AD"/>
    <w:rsid w:val="000A7573"/>
    <w:rsid w:val="000A7A17"/>
    <w:rsid w:val="000A7A79"/>
    <w:rsid w:val="000B02DF"/>
    <w:rsid w:val="000B036F"/>
    <w:rsid w:val="000B0745"/>
    <w:rsid w:val="000B0F42"/>
    <w:rsid w:val="000B1AD0"/>
    <w:rsid w:val="000B1B3F"/>
    <w:rsid w:val="000B1FED"/>
    <w:rsid w:val="000B26BD"/>
    <w:rsid w:val="000B29CB"/>
    <w:rsid w:val="000B2ED3"/>
    <w:rsid w:val="000B3214"/>
    <w:rsid w:val="000B33D3"/>
    <w:rsid w:val="000B3581"/>
    <w:rsid w:val="000B4549"/>
    <w:rsid w:val="000B47B2"/>
    <w:rsid w:val="000B53EE"/>
    <w:rsid w:val="000B55AD"/>
    <w:rsid w:val="000B5A9B"/>
    <w:rsid w:val="000B5D11"/>
    <w:rsid w:val="000B5F70"/>
    <w:rsid w:val="000B6292"/>
    <w:rsid w:val="000B70BF"/>
    <w:rsid w:val="000B7822"/>
    <w:rsid w:val="000B79DD"/>
    <w:rsid w:val="000B79E6"/>
    <w:rsid w:val="000B79EA"/>
    <w:rsid w:val="000C0205"/>
    <w:rsid w:val="000C06BA"/>
    <w:rsid w:val="000C07BF"/>
    <w:rsid w:val="000C0879"/>
    <w:rsid w:val="000C0B8D"/>
    <w:rsid w:val="000C0EAA"/>
    <w:rsid w:val="000C1460"/>
    <w:rsid w:val="000C1781"/>
    <w:rsid w:val="000C21BC"/>
    <w:rsid w:val="000C2815"/>
    <w:rsid w:val="000C2B1F"/>
    <w:rsid w:val="000C360B"/>
    <w:rsid w:val="000C3ACC"/>
    <w:rsid w:val="000C3CC6"/>
    <w:rsid w:val="000C4054"/>
    <w:rsid w:val="000C4696"/>
    <w:rsid w:val="000C4805"/>
    <w:rsid w:val="000C4808"/>
    <w:rsid w:val="000C490D"/>
    <w:rsid w:val="000C49BD"/>
    <w:rsid w:val="000C5762"/>
    <w:rsid w:val="000C5886"/>
    <w:rsid w:val="000C5AC8"/>
    <w:rsid w:val="000C5FF7"/>
    <w:rsid w:val="000C6706"/>
    <w:rsid w:val="000C6EBB"/>
    <w:rsid w:val="000C709F"/>
    <w:rsid w:val="000C758F"/>
    <w:rsid w:val="000C7CFA"/>
    <w:rsid w:val="000C7F23"/>
    <w:rsid w:val="000D0284"/>
    <w:rsid w:val="000D0943"/>
    <w:rsid w:val="000D0972"/>
    <w:rsid w:val="000D0D99"/>
    <w:rsid w:val="000D11D2"/>
    <w:rsid w:val="000D15C5"/>
    <w:rsid w:val="000D1C23"/>
    <w:rsid w:val="000D1E72"/>
    <w:rsid w:val="000D1FA4"/>
    <w:rsid w:val="000D23A4"/>
    <w:rsid w:val="000D285D"/>
    <w:rsid w:val="000D28F0"/>
    <w:rsid w:val="000D2C5F"/>
    <w:rsid w:val="000D3EB7"/>
    <w:rsid w:val="000D452F"/>
    <w:rsid w:val="000D4B08"/>
    <w:rsid w:val="000D4CFF"/>
    <w:rsid w:val="000D4D1E"/>
    <w:rsid w:val="000D4D42"/>
    <w:rsid w:val="000D56A6"/>
    <w:rsid w:val="000D5994"/>
    <w:rsid w:val="000D5A5F"/>
    <w:rsid w:val="000D5DA2"/>
    <w:rsid w:val="000D67DD"/>
    <w:rsid w:val="000D6992"/>
    <w:rsid w:val="000D6DA8"/>
    <w:rsid w:val="000D6E97"/>
    <w:rsid w:val="000D6EA6"/>
    <w:rsid w:val="000D7311"/>
    <w:rsid w:val="000D7A31"/>
    <w:rsid w:val="000D7ACB"/>
    <w:rsid w:val="000D7DC0"/>
    <w:rsid w:val="000D7DD3"/>
    <w:rsid w:val="000D7F57"/>
    <w:rsid w:val="000E0708"/>
    <w:rsid w:val="000E09CC"/>
    <w:rsid w:val="000E0CD7"/>
    <w:rsid w:val="000E0D6D"/>
    <w:rsid w:val="000E0F2C"/>
    <w:rsid w:val="000E1320"/>
    <w:rsid w:val="000E147D"/>
    <w:rsid w:val="000E1581"/>
    <w:rsid w:val="000E2AF0"/>
    <w:rsid w:val="000E380E"/>
    <w:rsid w:val="000E384C"/>
    <w:rsid w:val="000E3947"/>
    <w:rsid w:val="000E4022"/>
    <w:rsid w:val="000E4061"/>
    <w:rsid w:val="000E40BD"/>
    <w:rsid w:val="000E4798"/>
    <w:rsid w:val="000E48E7"/>
    <w:rsid w:val="000E4FDC"/>
    <w:rsid w:val="000E517F"/>
    <w:rsid w:val="000E56AC"/>
    <w:rsid w:val="000E59AE"/>
    <w:rsid w:val="000E5BEF"/>
    <w:rsid w:val="000E605B"/>
    <w:rsid w:val="000E638D"/>
    <w:rsid w:val="000E713E"/>
    <w:rsid w:val="000E7237"/>
    <w:rsid w:val="000E740A"/>
    <w:rsid w:val="000E780E"/>
    <w:rsid w:val="000F01B5"/>
    <w:rsid w:val="000F0987"/>
    <w:rsid w:val="000F0AB4"/>
    <w:rsid w:val="000F1418"/>
    <w:rsid w:val="000F14AE"/>
    <w:rsid w:val="000F1798"/>
    <w:rsid w:val="000F24D1"/>
    <w:rsid w:val="000F24FB"/>
    <w:rsid w:val="000F25D0"/>
    <w:rsid w:val="000F26C8"/>
    <w:rsid w:val="000F27BC"/>
    <w:rsid w:val="000F29DA"/>
    <w:rsid w:val="000F2C51"/>
    <w:rsid w:val="000F2E1B"/>
    <w:rsid w:val="000F305F"/>
    <w:rsid w:val="000F3138"/>
    <w:rsid w:val="000F324B"/>
    <w:rsid w:val="000F4441"/>
    <w:rsid w:val="000F50B9"/>
    <w:rsid w:val="000F59BA"/>
    <w:rsid w:val="000F59C8"/>
    <w:rsid w:val="000F6519"/>
    <w:rsid w:val="000F681F"/>
    <w:rsid w:val="000F6837"/>
    <w:rsid w:val="000F6D7F"/>
    <w:rsid w:val="000F74B7"/>
    <w:rsid w:val="000F7F41"/>
    <w:rsid w:val="001000F9"/>
    <w:rsid w:val="00100106"/>
    <w:rsid w:val="00100361"/>
    <w:rsid w:val="0010074C"/>
    <w:rsid w:val="001007DA"/>
    <w:rsid w:val="001007F7"/>
    <w:rsid w:val="0010167B"/>
    <w:rsid w:val="00101795"/>
    <w:rsid w:val="00101A32"/>
    <w:rsid w:val="00101BD1"/>
    <w:rsid w:val="00101D50"/>
    <w:rsid w:val="00101F38"/>
    <w:rsid w:val="00101F6B"/>
    <w:rsid w:val="0010248D"/>
    <w:rsid w:val="001025C5"/>
    <w:rsid w:val="00102C2E"/>
    <w:rsid w:val="00102F95"/>
    <w:rsid w:val="0010335F"/>
    <w:rsid w:val="00103AA1"/>
    <w:rsid w:val="00103CFB"/>
    <w:rsid w:val="001043AA"/>
    <w:rsid w:val="00104530"/>
    <w:rsid w:val="00104784"/>
    <w:rsid w:val="00104C9C"/>
    <w:rsid w:val="001062BB"/>
    <w:rsid w:val="00106850"/>
    <w:rsid w:val="00110262"/>
    <w:rsid w:val="001109FE"/>
    <w:rsid w:val="00111390"/>
    <w:rsid w:val="00111518"/>
    <w:rsid w:val="00111549"/>
    <w:rsid w:val="00111A5D"/>
    <w:rsid w:val="00111E6E"/>
    <w:rsid w:val="0011240F"/>
    <w:rsid w:val="00112578"/>
    <w:rsid w:val="00112C60"/>
    <w:rsid w:val="00112ECA"/>
    <w:rsid w:val="00112F4C"/>
    <w:rsid w:val="0011303C"/>
    <w:rsid w:val="001139E5"/>
    <w:rsid w:val="001139FB"/>
    <w:rsid w:val="00114152"/>
    <w:rsid w:val="001144D4"/>
    <w:rsid w:val="0011477B"/>
    <w:rsid w:val="001147E0"/>
    <w:rsid w:val="001148E6"/>
    <w:rsid w:val="00114964"/>
    <w:rsid w:val="00115145"/>
    <w:rsid w:val="001153AD"/>
    <w:rsid w:val="001155D8"/>
    <w:rsid w:val="001161C3"/>
    <w:rsid w:val="0011656C"/>
    <w:rsid w:val="00116BCF"/>
    <w:rsid w:val="001170EC"/>
    <w:rsid w:val="00117188"/>
    <w:rsid w:val="00117702"/>
    <w:rsid w:val="00117BC9"/>
    <w:rsid w:val="00117C12"/>
    <w:rsid w:val="0012056E"/>
    <w:rsid w:val="001215C3"/>
    <w:rsid w:val="0012174B"/>
    <w:rsid w:val="0012193D"/>
    <w:rsid w:val="00121D4A"/>
    <w:rsid w:val="001222CC"/>
    <w:rsid w:val="00122947"/>
    <w:rsid w:val="00122D41"/>
    <w:rsid w:val="00122EFB"/>
    <w:rsid w:val="001233A9"/>
    <w:rsid w:val="001234E2"/>
    <w:rsid w:val="00123692"/>
    <w:rsid w:val="00123ACC"/>
    <w:rsid w:val="00123BAB"/>
    <w:rsid w:val="00123DF7"/>
    <w:rsid w:val="00124388"/>
    <w:rsid w:val="001247C8"/>
    <w:rsid w:val="00124AF7"/>
    <w:rsid w:val="00125226"/>
    <w:rsid w:val="00126136"/>
    <w:rsid w:val="00126B30"/>
    <w:rsid w:val="0012774F"/>
    <w:rsid w:val="001277ED"/>
    <w:rsid w:val="00127BBC"/>
    <w:rsid w:val="00127D33"/>
    <w:rsid w:val="0013079D"/>
    <w:rsid w:val="00130BCE"/>
    <w:rsid w:val="00131152"/>
    <w:rsid w:val="001311C5"/>
    <w:rsid w:val="001313D8"/>
    <w:rsid w:val="001313E7"/>
    <w:rsid w:val="00131616"/>
    <w:rsid w:val="00131E42"/>
    <w:rsid w:val="00132420"/>
    <w:rsid w:val="001328DB"/>
    <w:rsid w:val="001331AC"/>
    <w:rsid w:val="00134118"/>
    <w:rsid w:val="001341AF"/>
    <w:rsid w:val="00134409"/>
    <w:rsid w:val="001345D5"/>
    <w:rsid w:val="00134C4A"/>
    <w:rsid w:val="00134EED"/>
    <w:rsid w:val="0013572B"/>
    <w:rsid w:val="00135FC2"/>
    <w:rsid w:val="00136364"/>
    <w:rsid w:val="0013677A"/>
    <w:rsid w:val="00136D1F"/>
    <w:rsid w:val="00137018"/>
    <w:rsid w:val="001374A5"/>
    <w:rsid w:val="00137635"/>
    <w:rsid w:val="001378AF"/>
    <w:rsid w:val="00137ACA"/>
    <w:rsid w:val="0014095C"/>
    <w:rsid w:val="00140DBA"/>
    <w:rsid w:val="001410E5"/>
    <w:rsid w:val="0014138C"/>
    <w:rsid w:val="0014156B"/>
    <w:rsid w:val="001419A2"/>
    <w:rsid w:val="00141B22"/>
    <w:rsid w:val="001421C9"/>
    <w:rsid w:val="00143309"/>
    <w:rsid w:val="00143407"/>
    <w:rsid w:val="00143934"/>
    <w:rsid w:val="0014477D"/>
    <w:rsid w:val="001449AF"/>
    <w:rsid w:val="00144E5B"/>
    <w:rsid w:val="00144F42"/>
    <w:rsid w:val="00145755"/>
    <w:rsid w:val="00145853"/>
    <w:rsid w:val="001459E2"/>
    <w:rsid w:val="001459ED"/>
    <w:rsid w:val="00145C7E"/>
    <w:rsid w:val="00145FA9"/>
    <w:rsid w:val="001466BA"/>
    <w:rsid w:val="00146F80"/>
    <w:rsid w:val="001470D9"/>
    <w:rsid w:val="0014750B"/>
    <w:rsid w:val="001509FF"/>
    <w:rsid w:val="00150C38"/>
    <w:rsid w:val="0015139F"/>
    <w:rsid w:val="001516A7"/>
    <w:rsid w:val="00151A6C"/>
    <w:rsid w:val="001528FE"/>
    <w:rsid w:val="00152F94"/>
    <w:rsid w:val="00153313"/>
    <w:rsid w:val="001536BB"/>
    <w:rsid w:val="00153F56"/>
    <w:rsid w:val="00153FF3"/>
    <w:rsid w:val="00154158"/>
    <w:rsid w:val="001545F5"/>
    <w:rsid w:val="001548DB"/>
    <w:rsid w:val="00154CBF"/>
    <w:rsid w:val="001555B8"/>
    <w:rsid w:val="001555C9"/>
    <w:rsid w:val="00155E2B"/>
    <w:rsid w:val="0015600A"/>
    <w:rsid w:val="00156DBE"/>
    <w:rsid w:val="0015702D"/>
    <w:rsid w:val="001601B8"/>
    <w:rsid w:val="00160565"/>
    <w:rsid w:val="001605B8"/>
    <w:rsid w:val="00160C40"/>
    <w:rsid w:val="001617BD"/>
    <w:rsid w:val="00161E10"/>
    <w:rsid w:val="00162BDA"/>
    <w:rsid w:val="00162CB6"/>
    <w:rsid w:val="00163125"/>
    <w:rsid w:val="001632B7"/>
    <w:rsid w:val="0016367F"/>
    <w:rsid w:val="00163940"/>
    <w:rsid w:val="0016394F"/>
    <w:rsid w:val="00163A0E"/>
    <w:rsid w:val="00163A1C"/>
    <w:rsid w:val="00163A96"/>
    <w:rsid w:val="0016440A"/>
    <w:rsid w:val="00164B7D"/>
    <w:rsid w:val="00164C5D"/>
    <w:rsid w:val="00164D83"/>
    <w:rsid w:val="001662C2"/>
    <w:rsid w:val="00166647"/>
    <w:rsid w:val="00166A43"/>
    <w:rsid w:val="001678F5"/>
    <w:rsid w:val="00167B36"/>
    <w:rsid w:val="00167BEF"/>
    <w:rsid w:val="00170356"/>
    <w:rsid w:val="001703B1"/>
    <w:rsid w:val="00170BDA"/>
    <w:rsid w:val="00170C42"/>
    <w:rsid w:val="00170E8A"/>
    <w:rsid w:val="0017113A"/>
    <w:rsid w:val="00171286"/>
    <w:rsid w:val="00171395"/>
    <w:rsid w:val="00171B99"/>
    <w:rsid w:val="00171CF7"/>
    <w:rsid w:val="00172415"/>
    <w:rsid w:val="0017252B"/>
    <w:rsid w:val="00172891"/>
    <w:rsid w:val="00172AEF"/>
    <w:rsid w:val="00172B62"/>
    <w:rsid w:val="00172CEA"/>
    <w:rsid w:val="00173D96"/>
    <w:rsid w:val="001740BE"/>
    <w:rsid w:val="00174889"/>
    <w:rsid w:val="0017493E"/>
    <w:rsid w:val="00174E89"/>
    <w:rsid w:val="001757E8"/>
    <w:rsid w:val="00176363"/>
    <w:rsid w:val="00176D00"/>
    <w:rsid w:val="00176FCF"/>
    <w:rsid w:val="00176FE4"/>
    <w:rsid w:val="0017791B"/>
    <w:rsid w:val="00177D12"/>
    <w:rsid w:val="00177DB6"/>
    <w:rsid w:val="0018009A"/>
    <w:rsid w:val="00180106"/>
    <w:rsid w:val="00180128"/>
    <w:rsid w:val="00180164"/>
    <w:rsid w:val="00180917"/>
    <w:rsid w:val="00180AC6"/>
    <w:rsid w:val="00180BA7"/>
    <w:rsid w:val="00180DD7"/>
    <w:rsid w:val="001811F2"/>
    <w:rsid w:val="001816D2"/>
    <w:rsid w:val="00181BCF"/>
    <w:rsid w:val="001828CC"/>
    <w:rsid w:val="00182C3B"/>
    <w:rsid w:val="00182F1A"/>
    <w:rsid w:val="00182FEB"/>
    <w:rsid w:val="001835AE"/>
    <w:rsid w:val="0018399A"/>
    <w:rsid w:val="00183CB8"/>
    <w:rsid w:val="00183F8A"/>
    <w:rsid w:val="0018405A"/>
    <w:rsid w:val="001840AC"/>
    <w:rsid w:val="00184AA4"/>
    <w:rsid w:val="00184C2C"/>
    <w:rsid w:val="00184D6C"/>
    <w:rsid w:val="00185359"/>
    <w:rsid w:val="00185444"/>
    <w:rsid w:val="00185477"/>
    <w:rsid w:val="00185544"/>
    <w:rsid w:val="00185B52"/>
    <w:rsid w:val="001865A4"/>
    <w:rsid w:val="001866A4"/>
    <w:rsid w:val="00186B15"/>
    <w:rsid w:val="00187035"/>
    <w:rsid w:val="00187211"/>
    <w:rsid w:val="0018757A"/>
    <w:rsid w:val="0018787A"/>
    <w:rsid w:val="0018795F"/>
    <w:rsid w:val="00187CDC"/>
    <w:rsid w:val="00190424"/>
    <w:rsid w:val="00190646"/>
    <w:rsid w:val="0019083D"/>
    <w:rsid w:val="00190B49"/>
    <w:rsid w:val="00191820"/>
    <w:rsid w:val="00191EEF"/>
    <w:rsid w:val="00192745"/>
    <w:rsid w:val="00192D08"/>
    <w:rsid w:val="00192E44"/>
    <w:rsid w:val="00193730"/>
    <w:rsid w:val="001941A4"/>
    <w:rsid w:val="00194289"/>
    <w:rsid w:val="00194D5B"/>
    <w:rsid w:val="00194D91"/>
    <w:rsid w:val="001950D7"/>
    <w:rsid w:val="00195B10"/>
    <w:rsid w:val="00195C0D"/>
    <w:rsid w:val="00196305"/>
    <w:rsid w:val="00196373"/>
    <w:rsid w:val="001965DB"/>
    <w:rsid w:val="00196863"/>
    <w:rsid w:val="001968D5"/>
    <w:rsid w:val="00196902"/>
    <w:rsid w:val="00196A98"/>
    <w:rsid w:val="00196BF5"/>
    <w:rsid w:val="00197029"/>
    <w:rsid w:val="001A071E"/>
    <w:rsid w:val="001A0F33"/>
    <w:rsid w:val="001A103D"/>
    <w:rsid w:val="001A1356"/>
    <w:rsid w:val="001A1374"/>
    <w:rsid w:val="001A160C"/>
    <w:rsid w:val="001A1684"/>
    <w:rsid w:val="001A1ABB"/>
    <w:rsid w:val="001A27F2"/>
    <w:rsid w:val="001A2DCB"/>
    <w:rsid w:val="001A2E21"/>
    <w:rsid w:val="001A312C"/>
    <w:rsid w:val="001A3538"/>
    <w:rsid w:val="001A36BF"/>
    <w:rsid w:val="001A39B5"/>
    <w:rsid w:val="001A3B71"/>
    <w:rsid w:val="001A3BF0"/>
    <w:rsid w:val="001A41BD"/>
    <w:rsid w:val="001A42B2"/>
    <w:rsid w:val="001A4A2D"/>
    <w:rsid w:val="001A4CCF"/>
    <w:rsid w:val="001A4DEC"/>
    <w:rsid w:val="001A4FF9"/>
    <w:rsid w:val="001A5A0C"/>
    <w:rsid w:val="001A5CAF"/>
    <w:rsid w:val="001A60B7"/>
    <w:rsid w:val="001A61BD"/>
    <w:rsid w:val="001A6611"/>
    <w:rsid w:val="001A71BA"/>
    <w:rsid w:val="001A7353"/>
    <w:rsid w:val="001A77EE"/>
    <w:rsid w:val="001B0020"/>
    <w:rsid w:val="001B0A22"/>
    <w:rsid w:val="001B0B39"/>
    <w:rsid w:val="001B0E08"/>
    <w:rsid w:val="001B1072"/>
    <w:rsid w:val="001B10FA"/>
    <w:rsid w:val="001B147C"/>
    <w:rsid w:val="001B14DF"/>
    <w:rsid w:val="001B1910"/>
    <w:rsid w:val="001B2099"/>
    <w:rsid w:val="001B2170"/>
    <w:rsid w:val="001B23EE"/>
    <w:rsid w:val="001B2E30"/>
    <w:rsid w:val="001B2F5E"/>
    <w:rsid w:val="001B36F8"/>
    <w:rsid w:val="001B376D"/>
    <w:rsid w:val="001B42B6"/>
    <w:rsid w:val="001B4616"/>
    <w:rsid w:val="001B50F9"/>
    <w:rsid w:val="001B575B"/>
    <w:rsid w:val="001B59DB"/>
    <w:rsid w:val="001B5C4E"/>
    <w:rsid w:val="001B6B30"/>
    <w:rsid w:val="001B7418"/>
    <w:rsid w:val="001B792F"/>
    <w:rsid w:val="001B7F66"/>
    <w:rsid w:val="001C0795"/>
    <w:rsid w:val="001C0AE3"/>
    <w:rsid w:val="001C0CA8"/>
    <w:rsid w:val="001C0DD8"/>
    <w:rsid w:val="001C14BD"/>
    <w:rsid w:val="001C170E"/>
    <w:rsid w:val="001C178B"/>
    <w:rsid w:val="001C1846"/>
    <w:rsid w:val="001C1C54"/>
    <w:rsid w:val="001C200B"/>
    <w:rsid w:val="001C2257"/>
    <w:rsid w:val="001C2484"/>
    <w:rsid w:val="001C24F0"/>
    <w:rsid w:val="001C2510"/>
    <w:rsid w:val="001C2865"/>
    <w:rsid w:val="001C2A1F"/>
    <w:rsid w:val="001C2D45"/>
    <w:rsid w:val="001C34B1"/>
    <w:rsid w:val="001C35A1"/>
    <w:rsid w:val="001C376A"/>
    <w:rsid w:val="001C3B2C"/>
    <w:rsid w:val="001C3D53"/>
    <w:rsid w:val="001C4068"/>
    <w:rsid w:val="001C42FC"/>
    <w:rsid w:val="001C47AE"/>
    <w:rsid w:val="001C4E60"/>
    <w:rsid w:val="001C4E8E"/>
    <w:rsid w:val="001C4F2C"/>
    <w:rsid w:val="001C500B"/>
    <w:rsid w:val="001C681A"/>
    <w:rsid w:val="001C68CE"/>
    <w:rsid w:val="001C6A8C"/>
    <w:rsid w:val="001C6D6D"/>
    <w:rsid w:val="001C6DB0"/>
    <w:rsid w:val="001D03CD"/>
    <w:rsid w:val="001D0692"/>
    <w:rsid w:val="001D157B"/>
    <w:rsid w:val="001D160F"/>
    <w:rsid w:val="001D1791"/>
    <w:rsid w:val="001D1A78"/>
    <w:rsid w:val="001D2D23"/>
    <w:rsid w:val="001D2EAA"/>
    <w:rsid w:val="001D2F6E"/>
    <w:rsid w:val="001D319A"/>
    <w:rsid w:val="001D3A1B"/>
    <w:rsid w:val="001D3AEC"/>
    <w:rsid w:val="001D3DBE"/>
    <w:rsid w:val="001D44D4"/>
    <w:rsid w:val="001D45A8"/>
    <w:rsid w:val="001D47B3"/>
    <w:rsid w:val="001D4B44"/>
    <w:rsid w:val="001D4CB1"/>
    <w:rsid w:val="001D557B"/>
    <w:rsid w:val="001D5B7A"/>
    <w:rsid w:val="001D5BF8"/>
    <w:rsid w:val="001D5DDB"/>
    <w:rsid w:val="001D5E8E"/>
    <w:rsid w:val="001D67A8"/>
    <w:rsid w:val="001D6EF6"/>
    <w:rsid w:val="001D721F"/>
    <w:rsid w:val="001D7312"/>
    <w:rsid w:val="001D7333"/>
    <w:rsid w:val="001D7482"/>
    <w:rsid w:val="001D7977"/>
    <w:rsid w:val="001D7F41"/>
    <w:rsid w:val="001D7FDE"/>
    <w:rsid w:val="001E011C"/>
    <w:rsid w:val="001E0DD6"/>
    <w:rsid w:val="001E100C"/>
    <w:rsid w:val="001E143F"/>
    <w:rsid w:val="001E1934"/>
    <w:rsid w:val="001E1991"/>
    <w:rsid w:val="001E220D"/>
    <w:rsid w:val="001E2249"/>
    <w:rsid w:val="001E24BF"/>
    <w:rsid w:val="001E2A3D"/>
    <w:rsid w:val="001E2B86"/>
    <w:rsid w:val="001E3285"/>
    <w:rsid w:val="001E3786"/>
    <w:rsid w:val="001E387A"/>
    <w:rsid w:val="001E3C7F"/>
    <w:rsid w:val="001E3D53"/>
    <w:rsid w:val="001E3EED"/>
    <w:rsid w:val="001E4AB1"/>
    <w:rsid w:val="001E4B7E"/>
    <w:rsid w:val="001E57F1"/>
    <w:rsid w:val="001E589D"/>
    <w:rsid w:val="001E59C1"/>
    <w:rsid w:val="001E604E"/>
    <w:rsid w:val="001E673A"/>
    <w:rsid w:val="001E6DC2"/>
    <w:rsid w:val="001E7788"/>
    <w:rsid w:val="001E7824"/>
    <w:rsid w:val="001E7827"/>
    <w:rsid w:val="001E7B5C"/>
    <w:rsid w:val="001E7D15"/>
    <w:rsid w:val="001F0006"/>
    <w:rsid w:val="001F0837"/>
    <w:rsid w:val="001F0B6B"/>
    <w:rsid w:val="001F1774"/>
    <w:rsid w:val="001F24C8"/>
    <w:rsid w:val="001F2639"/>
    <w:rsid w:val="001F27BC"/>
    <w:rsid w:val="001F30AA"/>
    <w:rsid w:val="001F311A"/>
    <w:rsid w:val="001F3162"/>
    <w:rsid w:val="001F42A2"/>
    <w:rsid w:val="001F42FC"/>
    <w:rsid w:val="001F4333"/>
    <w:rsid w:val="001F46CE"/>
    <w:rsid w:val="001F4B7C"/>
    <w:rsid w:val="001F4DDC"/>
    <w:rsid w:val="001F511B"/>
    <w:rsid w:val="001F520D"/>
    <w:rsid w:val="001F602E"/>
    <w:rsid w:val="001F6364"/>
    <w:rsid w:val="001F6451"/>
    <w:rsid w:val="001F6A91"/>
    <w:rsid w:val="001F6F77"/>
    <w:rsid w:val="001F7058"/>
    <w:rsid w:val="001F72D9"/>
    <w:rsid w:val="001F7980"/>
    <w:rsid w:val="001F7A00"/>
    <w:rsid w:val="001F7B8B"/>
    <w:rsid w:val="001F7BEB"/>
    <w:rsid w:val="001F7BF3"/>
    <w:rsid w:val="001F7D5D"/>
    <w:rsid w:val="00200439"/>
    <w:rsid w:val="0020112B"/>
    <w:rsid w:val="00201233"/>
    <w:rsid w:val="002012DA"/>
    <w:rsid w:val="00201A5E"/>
    <w:rsid w:val="00201DF5"/>
    <w:rsid w:val="00201FD3"/>
    <w:rsid w:val="00202E8D"/>
    <w:rsid w:val="0020333C"/>
    <w:rsid w:val="00203385"/>
    <w:rsid w:val="0020355C"/>
    <w:rsid w:val="00203B1F"/>
    <w:rsid w:val="00204351"/>
    <w:rsid w:val="002043F7"/>
    <w:rsid w:val="00204E08"/>
    <w:rsid w:val="0020562C"/>
    <w:rsid w:val="00205C82"/>
    <w:rsid w:val="00206940"/>
    <w:rsid w:val="0020735C"/>
    <w:rsid w:val="002074BF"/>
    <w:rsid w:val="002074DF"/>
    <w:rsid w:val="00207582"/>
    <w:rsid w:val="00207594"/>
    <w:rsid w:val="00207FBE"/>
    <w:rsid w:val="00210026"/>
    <w:rsid w:val="0021072E"/>
    <w:rsid w:val="00210E13"/>
    <w:rsid w:val="002111F2"/>
    <w:rsid w:val="00211629"/>
    <w:rsid w:val="002122A4"/>
    <w:rsid w:val="002124EA"/>
    <w:rsid w:val="00212865"/>
    <w:rsid w:val="00212905"/>
    <w:rsid w:val="00212998"/>
    <w:rsid w:val="002131A1"/>
    <w:rsid w:val="00213213"/>
    <w:rsid w:val="0021325D"/>
    <w:rsid w:val="002136A5"/>
    <w:rsid w:val="00213D21"/>
    <w:rsid w:val="002140BA"/>
    <w:rsid w:val="00214AF6"/>
    <w:rsid w:val="00214BD9"/>
    <w:rsid w:val="00216AD0"/>
    <w:rsid w:val="002179D5"/>
    <w:rsid w:val="00220FC2"/>
    <w:rsid w:val="002211FD"/>
    <w:rsid w:val="00221936"/>
    <w:rsid w:val="00221F53"/>
    <w:rsid w:val="002227ED"/>
    <w:rsid w:val="0022341B"/>
    <w:rsid w:val="00223585"/>
    <w:rsid w:val="002237C2"/>
    <w:rsid w:val="00223B9D"/>
    <w:rsid w:val="00223D45"/>
    <w:rsid w:val="00223E87"/>
    <w:rsid w:val="00223FCA"/>
    <w:rsid w:val="002240D4"/>
    <w:rsid w:val="002240F5"/>
    <w:rsid w:val="0022425C"/>
    <w:rsid w:val="00224C70"/>
    <w:rsid w:val="0022515B"/>
    <w:rsid w:val="00225753"/>
    <w:rsid w:val="002257C6"/>
    <w:rsid w:val="00225871"/>
    <w:rsid w:val="002264D8"/>
    <w:rsid w:val="0022652A"/>
    <w:rsid w:val="00226FAD"/>
    <w:rsid w:val="002273CD"/>
    <w:rsid w:val="00227A0C"/>
    <w:rsid w:val="00227A59"/>
    <w:rsid w:val="00230097"/>
    <w:rsid w:val="00230192"/>
    <w:rsid w:val="002305C1"/>
    <w:rsid w:val="00230716"/>
    <w:rsid w:val="00230D80"/>
    <w:rsid w:val="00231CBF"/>
    <w:rsid w:val="00231DA4"/>
    <w:rsid w:val="002328B7"/>
    <w:rsid w:val="00232994"/>
    <w:rsid w:val="00232A53"/>
    <w:rsid w:val="00232C61"/>
    <w:rsid w:val="002331D0"/>
    <w:rsid w:val="00233359"/>
    <w:rsid w:val="00233471"/>
    <w:rsid w:val="00233528"/>
    <w:rsid w:val="0023353A"/>
    <w:rsid w:val="00233C40"/>
    <w:rsid w:val="002349AF"/>
    <w:rsid w:val="00235C9E"/>
    <w:rsid w:val="0023600E"/>
    <w:rsid w:val="00236073"/>
    <w:rsid w:val="002368A3"/>
    <w:rsid w:val="00236B2E"/>
    <w:rsid w:val="00236CAC"/>
    <w:rsid w:val="00236CBC"/>
    <w:rsid w:val="00236DEC"/>
    <w:rsid w:val="00237145"/>
    <w:rsid w:val="002372B9"/>
    <w:rsid w:val="0023730B"/>
    <w:rsid w:val="00237932"/>
    <w:rsid w:val="00237A20"/>
    <w:rsid w:val="00237F13"/>
    <w:rsid w:val="00240109"/>
    <w:rsid w:val="002403BC"/>
    <w:rsid w:val="00240555"/>
    <w:rsid w:val="002405A4"/>
    <w:rsid w:val="00240A01"/>
    <w:rsid w:val="00240EFC"/>
    <w:rsid w:val="00241009"/>
    <w:rsid w:val="00241C4C"/>
    <w:rsid w:val="00241D95"/>
    <w:rsid w:val="002433EC"/>
    <w:rsid w:val="002434CE"/>
    <w:rsid w:val="00243532"/>
    <w:rsid w:val="00243A0B"/>
    <w:rsid w:val="00243AB2"/>
    <w:rsid w:val="00244524"/>
    <w:rsid w:val="0024473A"/>
    <w:rsid w:val="00244AF4"/>
    <w:rsid w:val="002456F8"/>
    <w:rsid w:val="002458CB"/>
    <w:rsid w:val="00245903"/>
    <w:rsid w:val="00245E45"/>
    <w:rsid w:val="00246765"/>
    <w:rsid w:val="002468BB"/>
    <w:rsid w:val="00246F0F"/>
    <w:rsid w:val="002471D3"/>
    <w:rsid w:val="002476CC"/>
    <w:rsid w:val="00247887"/>
    <w:rsid w:val="00247AA3"/>
    <w:rsid w:val="0025001E"/>
    <w:rsid w:val="00250173"/>
    <w:rsid w:val="0025071E"/>
    <w:rsid w:val="00250BBD"/>
    <w:rsid w:val="002512DA"/>
    <w:rsid w:val="0025167F"/>
    <w:rsid w:val="0025225D"/>
    <w:rsid w:val="00252567"/>
    <w:rsid w:val="00252E49"/>
    <w:rsid w:val="00252FB2"/>
    <w:rsid w:val="00253562"/>
    <w:rsid w:val="00253790"/>
    <w:rsid w:val="00253E9C"/>
    <w:rsid w:val="002543FC"/>
    <w:rsid w:val="00254C0A"/>
    <w:rsid w:val="00254C62"/>
    <w:rsid w:val="00254DB2"/>
    <w:rsid w:val="00255281"/>
    <w:rsid w:val="00255514"/>
    <w:rsid w:val="00255A11"/>
    <w:rsid w:val="0025651D"/>
    <w:rsid w:val="00256864"/>
    <w:rsid w:val="00256B39"/>
    <w:rsid w:val="00256FAB"/>
    <w:rsid w:val="002574F6"/>
    <w:rsid w:val="002575C4"/>
    <w:rsid w:val="0025771E"/>
    <w:rsid w:val="002577B1"/>
    <w:rsid w:val="002601BC"/>
    <w:rsid w:val="002602EC"/>
    <w:rsid w:val="002603F8"/>
    <w:rsid w:val="0026068A"/>
    <w:rsid w:val="00261010"/>
    <w:rsid w:val="0026109F"/>
    <w:rsid w:val="00261565"/>
    <w:rsid w:val="00262033"/>
    <w:rsid w:val="0026235A"/>
    <w:rsid w:val="002628C0"/>
    <w:rsid w:val="00262B1F"/>
    <w:rsid w:val="0026363C"/>
    <w:rsid w:val="0026381F"/>
    <w:rsid w:val="00263EFC"/>
    <w:rsid w:val="00264638"/>
    <w:rsid w:val="0026467E"/>
    <w:rsid w:val="002646F5"/>
    <w:rsid w:val="00264B6C"/>
    <w:rsid w:val="002652A7"/>
    <w:rsid w:val="00265850"/>
    <w:rsid w:val="00265CEB"/>
    <w:rsid w:val="00265E58"/>
    <w:rsid w:val="0026630E"/>
    <w:rsid w:val="002664C5"/>
    <w:rsid w:val="002666D7"/>
    <w:rsid w:val="0026672B"/>
    <w:rsid w:val="002669CC"/>
    <w:rsid w:val="00266F44"/>
    <w:rsid w:val="0026727F"/>
    <w:rsid w:val="002673CD"/>
    <w:rsid w:val="0026783C"/>
    <w:rsid w:val="00267B06"/>
    <w:rsid w:val="00267E7D"/>
    <w:rsid w:val="002701A7"/>
    <w:rsid w:val="00270369"/>
    <w:rsid w:val="00270ADE"/>
    <w:rsid w:val="00270BB4"/>
    <w:rsid w:val="00271033"/>
    <w:rsid w:val="002717B3"/>
    <w:rsid w:val="00271B50"/>
    <w:rsid w:val="00272010"/>
    <w:rsid w:val="0027238D"/>
    <w:rsid w:val="00272793"/>
    <w:rsid w:val="00272841"/>
    <w:rsid w:val="00272AFC"/>
    <w:rsid w:val="00272F5A"/>
    <w:rsid w:val="0027317C"/>
    <w:rsid w:val="00273499"/>
    <w:rsid w:val="002734DD"/>
    <w:rsid w:val="00274595"/>
    <w:rsid w:val="002745E9"/>
    <w:rsid w:val="0027478C"/>
    <w:rsid w:val="002748C3"/>
    <w:rsid w:val="00274C48"/>
    <w:rsid w:val="00274DF6"/>
    <w:rsid w:val="0027582B"/>
    <w:rsid w:val="00275C90"/>
    <w:rsid w:val="00276899"/>
    <w:rsid w:val="00276CA2"/>
    <w:rsid w:val="00276FDE"/>
    <w:rsid w:val="002774FB"/>
    <w:rsid w:val="00277604"/>
    <w:rsid w:val="002778C5"/>
    <w:rsid w:val="00277969"/>
    <w:rsid w:val="00277C89"/>
    <w:rsid w:val="00277D2B"/>
    <w:rsid w:val="002807C3"/>
    <w:rsid w:val="00280AB2"/>
    <w:rsid w:val="00280BB4"/>
    <w:rsid w:val="0028127A"/>
    <w:rsid w:val="002813A0"/>
    <w:rsid w:val="00281492"/>
    <w:rsid w:val="002815AA"/>
    <w:rsid w:val="0028162E"/>
    <w:rsid w:val="00281C72"/>
    <w:rsid w:val="00281DE4"/>
    <w:rsid w:val="002820EC"/>
    <w:rsid w:val="002821D2"/>
    <w:rsid w:val="0028227E"/>
    <w:rsid w:val="00282391"/>
    <w:rsid w:val="002824FF"/>
    <w:rsid w:val="00282CAC"/>
    <w:rsid w:val="00282F72"/>
    <w:rsid w:val="00282FA6"/>
    <w:rsid w:val="00282FD6"/>
    <w:rsid w:val="0028306D"/>
    <w:rsid w:val="002831BE"/>
    <w:rsid w:val="00283698"/>
    <w:rsid w:val="0028375E"/>
    <w:rsid w:val="0028399A"/>
    <w:rsid w:val="00283FC3"/>
    <w:rsid w:val="0028407C"/>
    <w:rsid w:val="00284190"/>
    <w:rsid w:val="00284282"/>
    <w:rsid w:val="0028428C"/>
    <w:rsid w:val="0028450A"/>
    <w:rsid w:val="002845E3"/>
    <w:rsid w:val="0028473D"/>
    <w:rsid w:val="00284D25"/>
    <w:rsid w:val="002850B6"/>
    <w:rsid w:val="002854BB"/>
    <w:rsid w:val="00285C35"/>
    <w:rsid w:val="00285CE1"/>
    <w:rsid w:val="00286150"/>
    <w:rsid w:val="002861E5"/>
    <w:rsid w:val="00286269"/>
    <w:rsid w:val="0028634C"/>
    <w:rsid w:val="002865E7"/>
    <w:rsid w:val="00286791"/>
    <w:rsid w:val="00286EC0"/>
    <w:rsid w:val="00287110"/>
    <w:rsid w:val="00287449"/>
    <w:rsid w:val="0028767B"/>
    <w:rsid w:val="00287B4C"/>
    <w:rsid w:val="00287CF9"/>
    <w:rsid w:val="00287D2E"/>
    <w:rsid w:val="002903EE"/>
    <w:rsid w:val="00290F74"/>
    <w:rsid w:val="00291371"/>
    <w:rsid w:val="00291A34"/>
    <w:rsid w:val="00291B69"/>
    <w:rsid w:val="0029207E"/>
    <w:rsid w:val="00292442"/>
    <w:rsid w:val="0029263A"/>
    <w:rsid w:val="0029273C"/>
    <w:rsid w:val="00292A35"/>
    <w:rsid w:val="00292DA3"/>
    <w:rsid w:val="002934CC"/>
    <w:rsid w:val="00293991"/>
    <w:rsid w:val="00293BBA"/>
    <w:rsid w:val="00293EDE"/>
    <w:rsid w:val="00294134"/>
    <w:rsid w:val="002942F9"/>
    <w:rsid w:val="0029476B"/>
    <w:rsid w:val="00294C2A"/>
    <w:rsid w:val="00295139"/>
    <w:rsid w:val="002952BD"/>
    <w:rsid w:val="0029544C"/>
    <w:rsid w:val="002955F1"/>
    <w:rsid w:val="00295DD8"/>
    <w:rsid w:val="00296528"/>
    <w:rsid w:val="0029686C"/>
    <w:rsid w:val="00296E64"/>
    <w:rsid w:val="00297A85"/>
    <w:rsid w:val="002A0499"/>
    <w:rsid w:val="002A057D"/>
    <w:rsid w:val="002A0B7A"/>
    <w:rsid w:val="002A0BFD"/>
    <w:rsid w:val="002A1000"/>
    <w:rsid w:val="002A145C"/>
    <w:rsid w:val="002A16A1"/>
    <w:rsid w:val="002A201A"/>
    <w:rsid w:val="002A2037"/>
    <w:rsid w:val="002A21D7"/>
    <w:rsid w:val="002A309C"/>
    <w:rsid w:val="002A345B"/>
    <w:rsid w:val="002A34D6"/>
    <w:rsid w:val="002A38EB"/>
    <w:rsid w:val="002A3BF5"/>
    <w:rsid w:val="002A3D69"/>
    <w:rsid w:val="002A43C2"/>
    <w:rsid w:val="002A4624"/>
    <w:rsid w:val="002A521B"/>
    <w:rsid w:val="002A537C"/>
    <w:rsid w:val="002A56FC"/>
    <w:rsid w:val="002A5957"/>
    <w:rsid w:val="002A5C05"/>
    <w:rsid w:val="002A5E81"/>
    <w:rsid w:val="002A6066"/>
    <w:rsid w:val="002A6344"/>
    <w:rsid w:val="002A6540"/>
    <w:rsid w:val="002A68E5"/>
    <w:rsid w:val="002A7055"/>
    <w:rsid w:val="002B032D"/>
    <w:rsid w:val="002B042F"/>
    <w:rsid w:val="002B0BA8"/>
    <w:rsid w:val="002B1D37"/>
    <w:rsid w:val="002B211A"/>
    <w:rsid w:val="002B247E"/>
    <w:rsid w:val="002B2D65"/>
    <w:rsid w:val="002B347D"/>
    <w:rsid w:val="002B3A04"/>
    <w:rsid w:val="002B3AFE"/>
    <w:rsid w:val="002B41D4"/>
    <w:rsid w:val="002B4A3D"/>
    <w:rsid w:val="002B4DCE"/>
    <w:rsid w:val="002B565B"/>
    <w:rsid w:val="002B5A2B"/>
    <w:rsid w:val="002B5B09"/>
    <w:rsid w:val="002B5D0C"/>
    <w:rsid w:val="002B6116"/>
    <w:rsid w:val="002B620A"/>
    <w:rsid w:val="002B64F7"/>
    <w:rsid w:val="002B6A6A"/>
    <w:rsid w:val="002B6C26"/>
    <w:rsid w:val="002B763D"/>
    <w:rsid w:val="002B7718"/>
    <w:rsid w:val="002B775D"/>
    <w:rsid w:val="002B7A84"/>
    <w:rsid w:val="002B7F6C"/>
    <w:rsid w:val="002C0C39"/>
    <w:rsid w:val="002C0E73"/>
    <w:rsid w:val="002C1405"/>
    <w:rsid w:val="002C163F"/>
    <w:rsid w:val="002C1BAB"/>
    <w:rsid w:val="002C2839"/>
    <w:rsid w:val="002C380D"/>
    <w:rsid w:val="002C3B9E"/>
    <w:rsid w:val="002C417D"/>
    <w:rsid w:val="002C4247"/>
    <w:rsid w:val="002C4586"/>
    <w:rsid w:val="002C4994"/>
    <w:rsid w:val="002C4C39"/>
    <w:rsid w:val="002C4CF3"/>
    <w:rsid w:val="002C50E4"/>
    <w:rsid w:val="002C5221"/>
    <w:rsid w:val="002C5337"/>
    <w:rsid w:val="002C54E5"/>
    <w:rsid w:val="002C5679"/>
    <w:rsid w:val="002C5AC4"/>
    <w:rsid w:val="002C5CEE"/>
    <w:rsid w:val="002C5EBD"/>
    <w:rsid w:val="002C69FA"/>
    <w:rsid w:val="002C7123"/>
    <w:rsid w:val="002C7218"/>
    <w:rsid w:val="002C7904"/>
    <w:rsid w:val="002C7DFB"/>
    <w:rsid w:val="002D01BB"/>
    <w:rsid w:val="002D04E1"/>
    <w:rsid w:val="002D0641"/>
    <w:rsid w:val="002D0E08"/>
    <w:rsid w:val="002D1785"/>
    <w:rsid w:val="002D1B22"/>
    <w:rsid w:val="002D1FDC"/>
    <w:rsid w:val="002D3177"/>
    <w:rsid w:val="002D319A"/>
    <w:rsid w:val="002D31CA"/>
    <w:rsid w:val="002D3210"/>
    <w:rsid w:val="002D3CF2"/>
    <w:rsid w:val="002D406B"/>
    <w:rsid w:val="002D544E"/>
    <w:rsid w:val="002D6F72"/>
    <w:rsid w:val="002D71B8"/>
    <w:rsid w:val="002D75A2"/>
    <w:rsid w:val="002E0180"/>
    <w:rsid w:val="002E020D"/>
    <w:rsid w:val="002E04D2"/>
    <w:rsid w:val="002E05BA"/>
    <w:rsid w:val="002E0600"/>
    <w:rsid w:val="002E06B1"/>
    <w:rsid w:val="002E1A59"/>
    <w:rsid w:val="002E1FA1"/>
    <w:rsid w:val="002E2268"/>
    <w:rsid w:val="002E2741"/>
    <w:rsid w:val="002E2A62"/>
    <w:rsid w:val="002E2AC0"/>
    <w:rsid w:val="002E2D1F"/>
    <w:rsid w:val="002E30D8"/>
    <w:rsid w:val="002E33C4"/>
    <w:rsid w:val="002E34CB"/>
    <w:rsid w:val="002E3548"/>
    <w:rsid w:val="002E3564"/>
    <w:rsid w:val="002E4516"/>
    <w:rsid w:val="002E488F"/>
    <w:rsid w:val="002E4A0B"/>
    <w:rsid w:val="002E4FA9"/>
    <w:rsid w:val="002E501A"/>
    <w:rsid w:val="002E5300"/>
    <w:rsid w:val="002E58EB"/>
    <w:rsid w:val="002E6609"/>
    <w:rsid w:val="002E665F"/>
    <w:rsid w:val="002E6865"/>
    <w:rsid w:val="002E6CA1"/>
    <w:rsid w:val="002E6F4C"/>
    <w:rsid w:val="002E73D5"/>
    <w:rsid w:val="002E7AFC"/>
    <w:rsid w:val="002E7EA7"/>
    <w:rsid w:val="002F02E6"/>
    <w:rsid w:val="002F0541"/>
    <w:rsid w:val="002F0754"/>
    <w:rsid w:val="002F07BA"/>
    <w:rsid w:val="002F14D7"/>
    <w:rsid w:val="002F1806"/>
    <w:rsid w:val="002F1B47"/>
    <w:rsid w:val="002F1B82"/>
    <w:rsid w:val="002F1D30"/>
    <w:rsid w:val="002F29F9"/>
    <w:rsid w:val="002F2CB6"/>
    <w:rsid w:val="002F302C"/>
    <w:rsid w:val="002F312E"/>
    <w:rsid w:val="002F3280"/>
    <w:rsid w:val="002F32E8"/>
    <w:rsid w:val="002F33AE"/>
    <w:rsid w:val="002F3DBC"/>
    <w:rsid w:val="002F3E29"/>
    <w:rsid w:val="002F4411"/>
    <w:rsid w:val="002F480E"/>
    <w:rsid w:val="002F4D23"/>
    <w:rsid w:val="002F5719"/>
    <w:rsid w:val="002F5A63"/>
    <w:rsid w:val="002F6179"/>
    <w:rsid w:val="002F62CD"/>
    <w:rsid w:val="002F6906"/>
    <w:rsid w:val="002F6C76"/>
    <w:rsid w:val="002F6FB7"/>
    <w:rsid w:val="00300002"/>
    <w:rsid w:val="00300896"/>
    <w:rsid w:val="00300A07"/>
    <w:rsid w:val="00300B33"/>
    <w:rsid w:val="00300DAC"/>
    <w:rsid w:val="00301180"/>
    <w:rsid w:val="00301F65"/>
    <w:rsid w:val="00302478"/>
    <w:rsid w:val="00302994"/>
    <w:rsid w:val="00302DC6"/>
    <w:rsid w:val="00303109"/>
    <w:rsid w:val="003033E2"/>
    <w:rsid w:val="0030480B"/>
    <w:rsid w:val="00304AF1"/>
    <w:rsid w:val="00304BC0"/>
    <w:rsid w:val="00304E2D"/>
    <w:rsid w:val="00305893"/>
    <w:rsid w:val="0030597C"/>
    <w:rsid w:val="00305BD2"/>
    <w:rsid w:val="003066D7"/>
    <w:rsid w:val="00306760"/>
    <w:rsid w:val="0030693D"/>
    <w:rsid w:val="00306E56"/>
    <w:rsid w:val="003071ED"/>
    <w:rsid w:val="003074CB"/>
    <w:rsid w:val="003076FA"/>
    <w:rsid w:val="003078FF"/>
    <w:rsid w:val="00307963"/>
    <w:rsid w:val="00310008"/>
    <w:rsid w:val="003103F7"/>
    <w:rsid w:val="00310A6C"/>
    <w:rsid w:val="00310E16"/>
    <w:rsid w:val="00311053"/>
    <w:rsid w:val="003110C9"/>
    <w:rsid w:val="003114D1"/>
    <w:rsid w:val="00311BBE"/>
    <w:rsid w:val="00311E08"/>
    <w:rsid w:val="00311F3C"/>
    <w:rsid w:val="00311F76"/>
    <w:rsid w:val="0031207C"/>
    <w:rsid w:val="003124ED"/>
    <w:rsid w:val="003126B7"/>
    <w:rsid w:val="00312BB6"/>
    <w:rsid w:val="00313028"/>
    <w:rsid w:val="003133AB"/>
    <w:rsid w:val="003135EB"/>
    <w:rsid w:val="00313E98"/>
    <w:rsid w:val="00313F62"/>
    <w:rsid w:val="00313F7C"/>
    <w:rsid w:val="003142ED"/>
    <w:rsid w:val="003142FD"/>
    <w:rsid w:val="003145F3"/>
    <w:rsid w:val="00314E2A"/>
    <w:rsid w:val="00315441"/>
    <w:rsid w:val="00315D65"/>
    <w:rsid w:val="00316854"/>
    <w:rsid w:val="0031698B"/>
    <w:rsid w:val="00316A9D"/>
    <w:rsid w:val="00316E5B"/>
    <w:rsid w:val="003171DA"/>
    <w:rsid w:val="0031731B"/>
    <w:rsid w:val="0031763C"/>
    <w:rsid w:val="00317771"/>
    <w:rsid w:val="00317783"/>
    <w:rsid w:val="00317BF7"/>
    <w:rsid w:val="003200D5"/>
    <w:rsid w:val="0032032C"/>
    <w:rsid w:val="00320438"/>
    <w:rsid w:val="00320628"/>
    <w:rsid w:val="00320D0F"/>
    <w:rsid w:val="003210BE"/>
    <w:rsid w:val="0032116C"/>
    <w:rsid w:val="003216EC"/>
    <w:rsid w:val="00321DE0"/>
    <w:rsid w:val="00322394"/>
    <w:rsid w:val="0032369D"/>
    <w:rsid w:val="00323854"/>
    <w:rsid w:val="003245D0"/>
    <w:rsid w:val="003251C7"/>
    <w:rsid w:val="003253C4"/>
    <w:rsid w:val="00325555"/>
    <w:rsid w:val="003257F1"/>
    <w:rsid w:val="0032646F"/>
    <w:rsid w:val="00326982"/>
    <w:rsid w:val="00326B0A"/>
    <w:rsid w:val="0032741F"/>
    <w:rsid w:val="00327542"/>
    <w:rsid w:val="003278FA"/>
    <w:rsid w:val="00327970"/>
    <w:rsid w:val="00327A3E"/>
    <w:rsid w:val="00327DFD"/>
    <w:rsid w:val="003304A6"/>
    <w:rsid w:val="00330691"/>
    <w:rsid w:val="0033071B"/>
    <w:rsid w:val="0033073F"/>
    <w:rsid w:val="00330D5F"/>
    <w:rsid w:val="003314AF"/>
    <w:rsid w:val="003319F0"/>
    <w:rsid w:val="00331F6D"/>
    <w:rsid w:val="00332061"/>
    <w:rsid w:val="00332222"/>
    <w:rsid w:val="00332519"/>
    <w:rsid w:val="00332A34"/>
    <w:rsid w:val="00332EFD"/>
    <w:rsid w:val="00333C74"/>
    <w:rsid w:val="00334152"/>
    <w:rsid w:val="003348C5"/>
    <w:rsid w:val="00334B07"/>
    <w:rsid w:val="003353B7"/>
    <w:rsid w:val="003355F6"/>
    <w:rsid w:val="0033577B"/>
    <w:rsid w:val="00335E31"/>
    <w:rsid w:val="00336238"/>
    <w:rsid w:val="00336618"/>
    <w:rsid w:val="0033725E"/>
    <w:rsid w:val="00337BF1"/>
    <w:rsid w:val="00337C27"/>
    <w:rsid w:val="00337C91"/>
    <w:rsid w:val="00337D68"/>
    <w:rsid w:val="0034048E"/>
    <w:rsid w:val="003405A3"/>
    <w:rsid w:val="003408F3"/>
    <w:rsid w:val="00340965"/>
    <w:rsid w:val="00341390"/>
    <w:rsid w:val="00341429"/>
    <w:rsid w:val="00341598"/>
    <w:rsid w:val="003417E0"/>
    <w:rsid w:val="00342287"/>
    <w:rsid w:val="00342A12"/>
    <w:rsid w:val="00342C4F"/>
    <w:rsid w:val="00342E11"/>
    <w:rsid w:val="00342E40"/>
    <w:rsid w:val="0034326D"/>
    <w:rsid w:val="00343876"/>
    <w:rsid w:val="00343FA0"/>
    <w:rsid w:val="00344820"/>
    <w:rsid w:val="003449F6"/>
    <w:rsid w:val="00345674"/>
    <w:rsid w:val="003463A5"/>
    <w:rsid w:val="003463BB"/>
    <w:rsid w:val="00346504"/>
    <w:rsid w:val="003465A6"/>
    <w:rsid w:val="00346E99"/>
    <w:rsid w:val="003470AB"/>
    <w:rsid w:val="003474FD"/>
    <w:rsid w:val="00347994"/>
    <w:rsid w:val="00350604"/>
    <w:rsid w:val="003506AF"/>
    <w:rsid w:val="00350848"/>
    <w:rsid w:val="0035098D"/>
    <w:rsid w:val="00350BF1"/>
    <w:rsid w:val="00350C35"/>
    <w:rsid w:val="00350E24"/>
    <w:rsid w:val="00350E32"/>
    <w:rsid w:val="00351E18"/>
    <w:rsid w:val="00351FF2"/>
    <w:rsid w:val="00352946"/>
    <w:rsid w:val="00352970"/>
    <w:rsid w:val="003529C1"/>
    <w:rsid w:val="00352B5A"/>
    <w:rsid w:val="00352E3E"/>
    <w:rsid w:val="00353C51"/>
    <w:rsid w:val="00353D28"/>
    <w:rsid w:val="003540F5"/>
    <w:rsid w:val="0035435D"/>
    <w:rsid w:val="00354B43"/>
    <w:rsid w:val="003551EE"/>
    <w:rsid w:val="00355372"/>
    <w:rsid w:val="003556BE"/>
    <w:rsid w:val="00355F07"/>
    <w:rsid w:val="00356525"/>
    <w:rsid w:val="0035655D"/>
    <w:rsid w:val="0035719D"/>
    <w:rsid w:val="00357246"/>
    <w:rsid w:val="0035739B"/>
    <w:rsid w:val="003573BF"/>
    <w:rsid w:val="003578A4"/>
    <w:rsid w:val="00357C19"/>
    <w:rsid w:val="00360654"/>
    <w:rsid w:val="00360CC5"/>
    <w:rsid w:val="00360F10"/>
    <w:rsid w:val="003613DB"/>
    <w:rsid w:val="003617D7"/>
    <w:rsid w:val="00362692"/>
    <w:rsid w:val="00362B2C"/>
    <w:rsid w:val="00362E56"/>
    <w:rsid w:val="00362EA6"/>
    <w:rsid w:val="00362FF3"/>
    <w:rsid w:val="003631E2"/>
    <w:rsid w:val="0036322B"/>
    <w:rsid w:val="00363250"/>
    <w:rsid w:val="003632DE"/>
    <w:rsid w:val="003632E2"/>
    <w:rsid w:val="00363702"/>
    <w:rsid w:val="003638EB"/>
    <w:rsid w:val="003640E8"/>
    <w:rsid w:val="00364AEC"/>
    <w:rsid w:val="003651D8"/>
    <w:rsid w:val="00365DDD"/>
    <w:rsid w:val="00365FF9"/>
    <w:rsid w:val="003661A5"/>
    <w:rsid w:val="00366692"/>
    <w:rsid w:val="003667AC"/>
    <w:rsid w:val="00366D96"/>
    <w:rsid w:val="00367376"/>
    <w:rsid w:val="00367C44"/>
    <w:rsid w:val="00367D27"/>
    <w:rsid w:val="003703AA"/>
    <w:rsid w:val="0037054F"/>
    <w:rsid w:val="003709EE"/>
    <w:rsid w:val="00370CE8"/>
    <w:rsid w:val="0037150A"/>
    <w:rsid w:val="00371E33"/>
    <w:rsid w:val="0037207C"/>
    <w:rsid w:val="003723A8"/>
    <w:rsid w:val="00372635"/>
    <w:rsid w:val="00372981"/>
    <w:rsid w:val="00372A4C"/>
    <w:rsid w:val="00372D27"/>
    <w:rsid w:val="00372E9E"/>
    <w:rsid w:val="00373754"/>
    <w:rsid w:val="003738F7"/>
    <w:rsid w:val="00373BDB"/>
    <w:rsid w:val="00374060"/>
    <w:rsid w:val="00374576"/>
    <w:rsid w:val="00374793"/>
    <w:rsid w:val="00374D6F"/>
    <w:rsid w:val="00374F17"/>
    <w:rsid w:val="003754AF"/>
    <w:rsid w:val="003756D2"/>
    <w:rsid w:val="003762BD"/>
    <w:rsid w:val="0037673E"/>
    <w:rsid w:val="00376A47"/>
    <w:rsid w:val="00376C10"/>
    <w:rsid w:val="00376DBF"/>
    <w:rsid w:val="00376F98"/>
    <w:rsid w:val="003771B2"/>
    <w:rsid w:val="003802E4"/>
    <w:rsid w:val="00380759"/>
    <w:rsid w:val="00381888"/>
    <w:rsid w:val="003826EB"/>
    <w:rsid w:val="003836D7"/>
    <w:rsid w:val="00383C1C"/>
    <w:rsid w:val="00383DD3"/>
    <w:rsid w:val="00383E3B"/>
    <w:rsid w:val="00384097"/>
    <w:rsid w:val="003842E6"/>
    <w:rsid w:val="00384B0F"/>
    <w:rsid w:val="00384B36"/>
    <w:rsid w:val="0038504C"/>
    <w:rsid w:val="003857EF"/>
    <w:rsid w:val="00385B85"/>
    <w:rsid w:val="0038612C"/>
    <w:rsid w:val="00386244"/>
    <w:rsid w:val="00386559"/>
    <w:rsid w:val="0038655A"/>
    <w:rsid w:val="00386C4A"/>
    <w:rsid w:val="00386FD0"/>
    <w:rsid w:val="003871F9"/>
    <w:rsid w:val="00387CB2"/>
    <w:rsid w:val="0039008A"/>
    <w:rsid w:val="003903E6"/>
    <w:rsid w:val="0039050F"/>
    <w:rsid w:val="0039122F"/>
    <w:rsid w:val="00391AC7"/>
    <w:rsid w:val="00391CB3"/>
    <w:rsid w:val="00391CE1"/>
    <w:rsid w:val="00391CE2"/>
    <w:rsid w:val="003924CB"/>
    <w:rsid w:val="00392EF6"/>
    <w:rsid w:val="00393496"/>
    <w:rsid w:val="00393E54"/>
    <w:rsid w:val="0039425D"/>
    <w:rsid w:val="003945C1"/>
    <w:rsid w:val="003947A8"/>
    <w:rsid w:val="00394B4D"/>
    <w:rsid w:val="00394BCB"/>
    <w:rsid w:val="00394C31"/>
    <w:rsid w:val="00394E8E"/>
    <w:rsid w:val="003956B6"/>
    <w:rsid w:val="00395F67"/>
    <w:rsid w:val="003961AF"/>
    <w:rsid w:val="003961D6"/>
    <w:rsid w:val="00396713"/>
    <w:rsid w:val="0039702E"/>
    <w:rsid w:val="003976E2"/>
    <w:rsid w:val="00397755"/>
    <w:rsid w:val="00397C5B"/>
    <w:rsid w:val="003A0395"/>
    <w:rsid w:val="003A07E2"/>
    <w:rsid w:val="003A15A1"/>
    <w:rsid w:val="003A1769"/>
    <w:rsid w:val="003A1A19"/>
    <w:rsid w:val="003A1BDD"/>
    <w:rsid w:val="003A1C4E"/>
    <w:rsid w:val="003A23EC"/>
    <w:rsid w:val="003A23FB"/>
    <w:rsid w:val="003A2526"/>
    <w:rsid w:val="003A273D"/>
    <w:rsid w:val="003A2A3C"/>
    <w:rsid w:val="003A2BD1"/>
    <w:rsid w:val="003A30E5"/>
    <w:rsid w:val="003A3363"/>
    <w:rsid w:val="003A3A7D"/>
    <w:rsid w:val="003A3AF0"/>
    <w:rsid w:val="003A3EFF"/>
    <w:rsid w:val="003A4F78"/>
    <w:rsid w:val="003A5676"/>
    <w:rsid w:val="003A578F"/>
    <w:rsid w:val="003A5995"/>
    <w:rsid w:val="003A5F98"/>
    <w:rsid w:val="003A64AC"/>
    <w:rsid w:val="003A6501"/>
    <w:rsid w:val="003A656C"/>
    <w:rsid w:val="003A65A7"/>
    <w:rsid w:val="003A6630"/>
    <w:rsid w:val="003A6B05"/>
    <w:rsid w:val="003A6E72"/>
    <w:rsid w:val="003A774F"/>
    <w:rsid w:val="003B005C"/>
    <w:rsid w:val="003B04F9"/>
    <w:rsid w:val="003B0602"/>
    <w:rsid w:val="003B063F"/>
    <w:rsid w:val="003B11D9"/>
    <w:rsid w:val="003B1DA7"/>
    <w:rsid w:val="003B2094"/>
    <w:rsid w:val="003B223C"/>
    <w:rsid w:val="003B247E"/>
    <w:rsid w:val="003B2A70"/>
    <w:rsid w:val="003B2DBF"/>
    <w:rsid w:val="003B2F03"/>
    <w:rsid w:val="003B3705"/>
    <w:rsid w:val="003B3D42"/>
    <w:rsid w:val="003B3E34"/>
    <w:rsid w:val="003B4226"/>
    <w:rsid w:val="003B42EB"/>
    <w:rsid w:val="003B478A"/>
    <w:rsid w:val="003B4873"/>
    <w:rsid w:val="003B48C1"/>
    <w:rsid w:val="003B4B61"/>
    <w:rsid w:val="003B4D68"/>
    <w:rsid w:val="003B4DEC"/>
    <w:rsid w:val="003B541D"/>
    <w:rsid w:val="003B56DC"/>
    <w:rsid w:val="003B57E8"/>
    <w:rsid w:val="003B5B6F"/>
    <w:rsid w:val="003B5CA4"/>
    <w:rsid w:val="003B6A33"/>
    <w:rsid w:val="003B6B6D"/>
    <w:rsid w:val="003B6BDD"/>
    <w:rsid w:val="003B6F49"/>
    <w:rsid w:val="003B7055"/>
    <w:rsid w:val="003B710C"/>
    <w:rsid w:val="003B73C8"/>
    <w:rsid w:val="003B75E8"/>
    <w:rsid w:val="003B78D5"/>
    <w:rsid w:val="003B7CE8"/>
    <w:rsid w:val="003C0248"/>
    <w:rsid w:val="003C0B79"/>
    <w:rsid w:val="003C1164"/>
    <w:rsid w:val="003C12D1"/>
    <w:rsid w:val="003C1357"/>
    <w:rsid w:val="003C1B8C"/>
    <w:rsid w:val="003C1E56"/>
    <w:rsid w:val="003C22FD"/>
    <w:rsid w:val="003C2C2E"/>
    <w:rsid w:val="003C31C6"/>
    <w:rsid w:val="003C3316"/>
    <w:rsid w:val="003C3661"/>
    <w:rsid w:val="003C4330"/>
    <w:rsid w:val="003C46E6"/>
    <w:rsid w:val="003C4BC8"/>
    <w:rsid w:val="003C5148"/>
    <w:rsid w:val="003C5864"/>
    <w:rsid w:val="003C626C"/>
    <w:rsid w:val="003C6937"/>
    <w:rsid w:val="003C6AC4"/>
    <w:rsid w:val="003C6E84"/>
    <w:rsid w:val="003C706C"/>
    <w:rsid w:val="003C707B"/>
    <w:rsid w:val="003C723C"/>
    <w:rsid w:val="003C7C55"/>
    <w:rsid w:val="003D0149"/>
    <w:rsid w:val="003D1A18"/>
    <w:rsid w:val="003D2186"/>
    <w:rsid w:val="003D2360"/>
    <w:rsid w:val="003D2552"/>
    <w:rsid w:val="003D3131"/>
    <w:rsid w:val="003D3252"/>
    <w:rsid w:val="003D3316"/>
    <w:rsid w:val="003D3479"/>
    <w:rsid w:val="003D378B"/>
    <w:rsid w:val="003D3979"/>
    <w:rsid w:val="003D3B75"/>
    <w:rsid w:val="003D4410"/>
    <w:rsid w:val="003D483B"/>
    <w:rsid w:val="003D4BD2"/>
    <w:rsid w:val="003D50AB"/>
    <w:rsid w:val="003D546E"/>
    <w:rsid w:val="003D59E0"/>
    <w:rsid w:val="003D5E61"/>
    <w:rsid w:val="003D5F38"/>
    <w:rsid w:val="003D62B6"/>
    <w:rsid w:val="003D6444"/>
    <w:rsid w:val="003D7460"/>
    <w:rsid w:val="003D74D8"/>
    <w:rsid w:val="003D74FE"/>
    <w:rsid w:val="003D77C1"/>
    <w:rsid w:val="003D7EEC"/>
    <w:rsid w:val="003E0072"/>
    <w:rsid w:val="003E0BE0"/>
    <w:rsid w:val="003E0BF6"/>
    <w:rsid w:val="003E11A4"/>
    <w:rsid w:val="003E164F"/>
    <w:rsid w:val="003E1E36"/>
    <w:rsid w:val="003E2364"/>
    <w:rsid w:val="003E2667"/>
    <w:rsid w:val="003E3B36"/>
    <w:rsid w:val="003E3BF3"/>
    <w:rsid w:val="003E3CD9"/>
    <w:rsid w:val="003E4598"/>
    <w:rsid w:val="003E4917"/>
    <w:rsid w:val="003E4935"/>
    <w:rsid w:val="003E4BCC"/>
    <w:rsid w:val="003E4C5F"/>
    <w:rsid w:val="003E4EB9"/>
    <w:rsid w:val="003E4F35"/>
    <w:rsid w:val="003E5442"/>
    <w:rsid w:val="003E5EBB"/>
    <w:rsid w:val="003E60C4"/>
    <w:rsid w:val="003E654C"/>
    <w:rsid w:val="003E65FA"/>
    <w:rsid w:val="003E67E1"/>
    <w:rsid w:val="003E6878"/>
    <w:rsid w:val="003E6E92"/>
    <w:rsid w:val="003E6F1C"/>
    <w:rsid w:val="003E6F91"/>
    <w:rsid w:val="003E7026"/>
    <w:rsid w:val="003E7458"/>
    <w:rsid w:val="003E7A9A"/>
    <w:rsid w:val="003F0AE6"/>
    <w:rsid w:val="003F11B9"/>
    <w:rsid w:val="003F13D9"/>
    <w:rsid w:val="003F1683"/>
    <w:rsid w:val="003F17F3"/>
    <w:rsid w:val="003F23D0"/>
    <w:rsid w:val="003F26E5"/>
    <w:rsid w:val="003F29A1"/>
    <w:rsid w:val="003F2E08"/>
    <w:rsid w:val="003F3AC1"/>
    <w:rsid w:val="003F3CBE"/>
    <w:rsid w:val="003F4410"/>
    <w:rsid w:val="003F4F0C"/>
    <w:rsid w:val="003F511F"/>
    <w:rsid w:val="003F5410"/>
    <w:rsid w:val="003F5431"/>
    <w:rsid w:val="003F5890"/>
    <w:rsid w:val="003F5A55"/>
    <w:rsid w:val="003F5C9A"/>
    <w:rsid w:val="003F6325"/>
    <w:rsid w:val="003F673B"/>
    <w:rsid w:val="003F6895"/>
    <w:rsid w:val="003F6DC0"/>
    <w:rsid w:val="003F7224"/>
    <w:rsid w:val="003F724B"/>
    <w:rsid w:val="003F7C0F"/>
    <w:rsid w:val="003F7F38"/>
    <w:rsid w:val="00400046"/>
    <w:rsid w:val="00400910"/>
    <w:rsid w:val="00400A7D"/>
    <w:rsid w:val="00400E03"/>
    <w:rsid w:val="00401414"/>
    <w:rsid w:val="004014B6"/>
    <w:rsid w:val="00401577"/>
    <w:rsid w:val="004016F7"/>
    <w:rsid w:val="0040237C"/>
    <w:rsid w:val="004026B0"/>
    <w:rsid w:val="00402B12"/>
    <w:rsid w:val="004030E7"/>
    <w:rsid w:val="0040326B"/>
    <w:rsid w:val="00403FAB"/>
    <w:rsid w:val="00404015"/>
    <w:rsid w:val="004041EE"/>
    <w:rsid w:val="00404447"/>
    <w:rsid w:val="00404B52"/>
    <w:rsid w:val="004053F4"/>
    <w:rsid w:val="00406153"/>
    <w:rsid w:val="004061B2"/>
    <w:rsid w:val="0040642A"/>
    <w:rsid w:val="004068F5"/>
    <w:rsid w:val="00407355"/>
    <w:rsid w:val="004077E4"/>
    <w:rsid w:val="00407D31"/>
    <w:rsid w:val="00407F8B"/>
    <w:rsid w:val="00410173"/>
    <w:rsid w:val="004101A7"/>
    <w:rsid w:val="0041029C"/>
    <w:rsid w:val="00410D85"/>
    <w:rsid w:val="00411112"/>
    <w:rsid w:val="004119F8"/>
    <w:rsid w:val="00411B30"/>
    <w:rsid w:val="00412315"/>
    <w:rsid w:val="00412546"/>
    <w:rsid w:val="0041270D"/>
    <w:rsid w:val="0041284A"/>
    <w:rsid w:val="004128E6"/>
    <w:rsid w:val="00412913"/>
    <w:rsid w:val="00412B31"/>
    <w:rsid w:val="004130CD"/>
    <w:rsid w:val="00413665"/>
    <w:rsid w:val="004139F0"/>
    <w:rsid w:val="00413A22"/>
    <w:rsid w:val="00413BA1"/>
    <w:rsid w:val="00414116"/>
    <w:rsid w:val="004141ED"/>
    <w:rsid w:val="0041498D"/>
    <w:rsid w:val="00414CB9"/>
    <w:rsid w:val="0041581A"/>
    <w:rsid w:val="00415CE7"/>
    <w:rsid w:val="004161D3"/>
    <w:rsid w:val="00416EFD"/>
    <w:rsid w:val="00416F07"/>
    <w:rsid w:val="00417827"/>
    <w:rsid w:val="00417B1E"/>
    <w:rsid w:val="0042015C"/>
    <w:rsid w:val="0042041F"/>
    <w:rsid w:val="00420892"/>
    <w:rsid w:val="00420979"/>
    <w:rsid w:val="0042098F"/>
    <w:rsid w:val="00420B3F"/>
    <w:rsid w:val="00420DC5"/>
    <w:rsid w:val="00420E43"/>
    <w:rsid w:val="004222E0"/>
    <w:rsid w:val="00422479"/>
    <w:rsid w:val="00422BA1"/>
    <w:rsid w:val="00423081"/>
    <w:rsid w:val="00423A33"/>
    <w:rsid w:val="00424275"/>
    <w:rsid w:val="004243E9"/>
    <w:rsid w:val="0042454D"/>
    <w:rsid w:val="0042461D"/>
    <w:rsid w:val="00424624"/>
    <w:rsid w:val="004249F6"/>
    <w:rsid w:val="004254B4"/>
    <w:rsid w:val="00425F7B"/>
    <w:rsid w:val="00426704"/>
    <w:rsid w:val="00426F67"/>
    <w:rsid w:val="00427D63"/>
    <w:rsid w:val="004300E5"/>
    <w:rsid w:val="004303F9"/>
    <w:rsid w:val="00430CD2"/>
    <w:rsid w:val="00430F02"/>
    <w:rsid w:val="00430F09"/>
    <w:rsid w:val="00430F61"/>
    <w:rsid w:val="00431050"/>
    <w:rsid w:val="00431360"/>
    <w:rsid w:val="004314FC"/>
    <w:rsid w:val="004316EB"/>
    <w:rsid w:val="0043174A"/>
    <w:rsid w:val="00431F26"/>
    <w:rsid w:val="00431F99"/>
    <w:rsid w:val="004325D3"/>
    <w:rsid w:val="004326F5"/>
    <w:rsid w:val="004329B2"/>
    <w:rsid w:val="00432A1E"/>
    <w:rsid w:val="00432EBD"/>
    <w:rsid w:val="004342E4"/>
    <w:rsid w:val="00434311"/>
    <w:rsid w:val="004344A4"/>
    <w:rsid w:val="00434927"/>
    <w:rsid w:val="00434A46"/>
    <w:rsid w:val="00434B2C"/>
    <w:rsid w:val="00434BAB"/>
    <w:rsid w:val="004355FF"/>
    <w:rsid w:val="004357E5"/>
    <w:rsid w:val="004365A8"/>
    <w:rsid w:val="004373D1"/>
    <w:rsid w:val="00437859"/>
    <w:rsid w:val="004379FB"/>
    <w:rsid w:val="00440225"/>
    <w:rsid w:val="00440352"/>
    <w:rsid w:val="004406D2"/>
    <w:rsid w:val="0044115E"/>
    <w:rsid w:val="00441503"/>
    <w:rsid w:val="004416E8"/>
    <w:rsid w:val="00441B13"/>
    <w:rsid w:val="0044275E"/>
    <w:rsid w:val="00442D71"/>
    <w:rsid w:val="00442E67"/>
    <w:rsid w:val="004430EB"/>
    <w:rsid w:val="00443579"/>
    <w:rsid w:val="00444187"/>
    <w:rsid w:val="004443C8"/>
    <w:rsid w:val="004444AB"/>
    <w:rsid w:val="004446C1"/>
    <w:rsid w:val="00445028"/>
    <w:rsid w:val="004461C7"/>
    <w:rsid w:val="004461DC"/>
    <w:rsid w:val="0044633C"/>
    <w:rsid w:val="0044640B"/>
    <w:rsid w:val="0044685E"/>
    <w:rsid w:val="0044764E"/>
    <w:rsid w:val="0045028E"/>
    <w:rsid w:val="00450D5E"/>
    <w:rsid w:val="00450FFF"/>
    <w:rsid w:val="004513D2"/>
    <w:rsid w:val="00451BE7"/>
    <w:rsid w:val="00451F67"/>
    <w:rsid w:val="00452029"/>
    <w:rsid w:val="004527ED"/>
    <w:rsid w:val="00452AEA"/>
    <w:rsid w:val="00452D71"/>
    <w:rsid w:val="00452D8C"/>
    <w:rsid w:val="00453599"/>
    <w:rsid w:val="00453E26"/>
    <w:rsid w:val="004541FE"/>
    <w:rsid w:val="00455C74"/>
    <w:rsid w:val="0045606D"/>
    <w:rsid w:val="00456464"/>
    <w:rsid w:val="00456626"/>
    <w:rsid w:val="00456796"/>
    <w:rsid w:val="00457174"/>
    <w:rsid w:val="004573C1"/>
    <w:rsid w:val="0045742D"/>
    <w:rsid w:val="00457730"/>
    <w:rsid w:val="004579CA"/>
    <w:rsid w:val="00457F84"/>
    <w:rsid w:val="0046019C"/>
    <w:rsid w:val="00460B45"/>
    <w:rsid w:val="00461130"/>
    <w:rsid w:val="00461272"/>
    <w:rsid w:val="004621D3"/>
    <w:rsid w:val="00462455"/>
    <w:rsid w:val="00462568"/>
    <w:rsid w:val="00462C7A"/>
    <w:rsid w:val="00462D48"/>
    <w:rsid w:val="00463501"/>
    <w:rsid w:val="0046350F"/>
    <w:rsid w:val="004639EA"/>
    <w:rsid w:val="00463A49"/>
    <w:rsid w:val="0046427F"/>
    <w:rsid w:val="0046540F"/>
    <w:rsid w:val="004660F0"/>
    <w:rsid w:val="00466A3F"/>
    <w:rsid w:val="00466DA5"/>
    <w:rsid w:val="00467478"/>
    <w:rsid w:val="00470D2F"/>
    <w:rsid w:val="00470E41"/>
    <w:rsid w:val="004714CB"/>
    <w:rsid w:val="00471514"/>
    <w:rsid w:val="00471D52"/>
    <w:rsid w:val="004725F4"/>
    <w:rsid w:val="00472C1E"/>
    <w:rsid w:val="0047309F"/>
    <w:rsid w:val="004730E7"/>
    <w:rsid w:val="0047328A"/>
    <w:rsid w:val="004733A0"/>
    <w:rsid w:val="00473A44"/>
    <w:rsid w:val="004740B8"/>
    <w:rsid w:val="00474551"/>
    <w:rsid w:val="004746C5"/>
    <w:rsid w:val="00475346"/>
    <w:rsid w:val="00475410"/>
    <w:rsid w:val="004756EC"/>
    <w:rsid w:val="00475A9F"/>
    <w:rsid w:val="00476AF6"/>
    <w:rsid w:val="0047753F"/>
    <w:rsid w:val="00477D36"/>
    <w:rsid w:val="00477ED9"/>
    <w:rsid w:val="00477FBC"/>
    <w:rsid w:val="00480084"/>
    <w:rsid w:val="00480151"/>
    <w:rsid w:val="004802C1"/>
    <w:rsid w:val="00480CE0"/>
    <w:rsid w:val="00481336"/>
    <w:rsid w:val="004813F1"/>
    <w:rsid w:val="00481795"/>
    <w:rsid w:val="004819DA"/>
    <w:rsid w:val="00482079"/>
    <w:rsid w:val="00482391"/>
    <w:rsid w:val="00482807"/>
    <w:rsid w:val="0048306C"/>
    <w:rsid w:val="0048393B"/>
    <w:rsid w:val="00484967"/>
    <w:rsid w:val="00484CD2"/>
    <w:rsid w:val="00484E75"/>
    <w:rsid w:val="00484ECE"/>
    <w:rsid w:val="004854F0"/>
    <w:rsid w:val="0048633F"/>
    <w:rsid w:val="0048642A"/>
    <w:rsid w:val="0048693F"/>
    <w:rsid w:val="00486BB5"/>
    <w:rsid w:val="00486D79"/>
    <w:rsid w:val="00486DBB"/>
    <w:rsid w:val="00486DF5"/>
    <w:rsid w:val="00486FBF"/>
    <w:rsid w:val="00487068"/>
    <w:rsid w:val="00487712"/>
    <w:rsid w:val="00487986"/>
    <w:rsid w:val="00490400"/>
    <w:rsid w:val="004908E2"/>
    <w:rsid w:val="004909DF"/>
    <w:rsid w:val="00490CDD"/>
    <w:rsid w:val="00491518"/>
    <w:rsid w:val="004925DA"/>
    <w:rsid w:val="004929A7"/>
    <w:rsid w:val="00492C8E"/>
    <w:rsid w:val="00492D06"/>
    <w:rsid w:val="00492DB0"/>
    <w:rsid w:val="00492ED9"/>
    <w:rsid w:val="00493286"/>
    <w:rsid w:val="00493518"/>
    <w:rsid w:val="00493C50"/>
    <w:rsid w:val="00494278"/>
    <w:rsid w:val="00494C5F"/>
    <w:rsid w:val="004950E6"/>
    <w:rsid w:val="00496354"/>
    <w:rsid w:val="0049650A"/>
    <w:rsid w:val="00496902"/>
    <w:rsid w:val="00496A4B"/>
    <w:rsid w:val="00496A98"/>
    <w:rsid w:val="00496D8D"/>
    <w:rsid w:val="00496E14"/>
    <w:rsid w:val="00496F05"/>
    <w:rsid w:val="0049795C"/>
    <w:rsid w:val="00497AAD"/>
    <w:rsid w:val="00497AB1"/>
    <w:rsid w:val="004A03DA"/>
    <w:rsid w:val="004A03DC"/>
    <w:rsid w:val="004A0B29"/>
    <w:rsid w:val="004A154F"/>
    <w:rsid w:val="004A1CC4"/>
    <w:rsid w:val="004A1FCE"/>
    <w:rsid w:val="004A20D1"/>
    <w:rsid w:val="004A2382"/>
    <w:rsid w:val="004A2B1F"/>
    <w:rsid w:val="004A30BC"/>
    <w:rsid w:val="004A39E3"/>
    <w:rsid w:val="004A3D58"/>
    <w:rsid w:val="004A3DFB"/>
    <w:rsid w:val="004A3E2A"/>
    <w:rsid w:val="004A43A7"/>
    <w:rsid w:val="004A49FD"/>
    <w:rsid w:val="004A4BA9"/>
    <w:rsid w:val="004A57C8"/>
    <w:rsid w:val="004A5C68"/>
    <w:rsid w:val="004A5DFA"/>
    <w:rsid w:val="004A6087"/>
    <w:rsid w:val="004A65D0"/>
    <w:rsid w:val="004A6705"/>
    <w:rsid w:val="004A6A91"/>
    <w:rsid w:val="004A75B1"/>
    <w:rsid w:val="004A7932"/>
    <w:rsid w:val="004A7A0A"/>
    <w:rsid w:val="004A7B40"/>
    <w:rsid w:val="004B00A9"/>
    <w:rsid w:val="004B0140"/>
    <w:rsid w:val="004B08D4"/>
    <w:rsid w:val="004B18CE"/>
    <w:rsid w:val="004B19F7"/>
    <w:rsid w:val="004B1A19"/>
    <w:rsid w:val="004B24DD"/>
    <w:rsid w:val="004B28D1"/>
    <w:rsid w:val="004B2927"/>
    <w:rsid w:val="004B3C15"/>
    <w:rsid w:val="004B3FED"/>
    <w:rsid w:val="004B4376"/>
    <w:rsid w:val="004B443C"/>
    <w:rsid w:val="004B482B"/>
    <w:rsid w:val="004B4CA7"/>
    <w:rsid w:val="004B547D"/>
    <w:rsid w:val="004B56F9"/>
    <w:rsid w:val="004B5C63"/>
    <w:rsid w:val="004B6145"/>
    <w:rsid w:val="004B673D"/>
    <w:rsid w:val="004B678D"/>
    <w:rsid w:val="004B67B0"/>
    <w:rsid w:val="004B73F6"/>
    <w:rsid w:val="004B7545"/>
    <w:rsid w:val="004B7BA3"/>
    <w:rsid w:val="004C068E"/>
    <w:rsid w:val="004C0C39"/>
    <w:rsid w:val="004C124C"/>
    <w:rsid w:val="004C14EB"/>
    <w:rsid w:val="004C1582"/>
    <w:rsid w:val="004C1D2E"/>
    <w:rsid w:val="004C25DA"/>
    <w:rsid w:val="004C2749"/>
    <w:rsid w:val="004C3248"/>
    <w:rsid w:val="004C327D"/>
    <w:rsid w:val="004C3284"/>
    <w:rsid w:val="004C3CCE"/>
    <w:rsid w:val="004C46E7"/>
    <w:rsid w:val="004C4DFD"/>
    <w:rsid w:val="004C50F7"/>
    <w:rsid w:val="004C56D2"/>
    <w:rsid w:val="004C5CBD"/>
    <w:rsid w:val="004C6037"/>
    <w:rsid w:val="004C6480"/>
    <w:rsid w:val="004C666C"/>
    <w:rsid w:val="004C6945"/>
    <w:rsid w:val="004C6AB2"/>
    <w:rsid w:val="004C6E9B"/>
    <w:rsid w:val="004C74EB"/>
    <w:rsid w:val="004C78D7"/>
    <w:rsid w:val="004C7B5C"/>
    <w:rsid w:val="004D00ED"/>
    <w:rsid w:val="004D022B"/>
    <w:rsid w:val="004D0BB5"/>
    <w:rsid w:val="004D0CE5"/>
    <w:rsid w:val="004D1361"/>
    <w:rsid w:val="004D1389"/>
    <w:rsid w:val="004D157E"/>
    <w:rsid w:val="004D1682"/>
    <w:rsid w:val="004D1B11"/>
    <w:rsid w:val="004D1CD9"/>
    <w:rsid w:val="004D2602"/>
    <w:rsid w:val="004D2822"/>
    <w:rsid w:val="004D283B"/>
    <w:rsid w:val="004D2938"/>
    <w:rsid w:val="004D2939"/>
    <w:rsid w:val="004D3219"/>
    <w:rsid w:val="004D33C7"/>
    <w:rsid w:val="004D3798"/>
    <w:rsid w:val="004D3881"/>
    <w:rsid w:val="004D3C45"/>
    <w:rsid w:val="004D3F5E"/>
    <w:rsid w:val="004D3FAC"/>
    <w:rsid w:val="004D49FD"/>
    <w:rsid w:val="004D4A60"/>
    <w:rsid w:val="004D4F7B"/>
    <w:rsid w:val="004D51AE"/>
    <w:rsid w:val="004D53C5"/>
    <w:rsid w:val="004D59DA"/>
    <w:rsid w:val="004D61EA"/>
    <w:rsid w:val="004D698F"/>
    <w:rsid w:val="004D6B81"/>
    <w:rsid w:val="004D6BDA"/>
    <w:rsid w:val="004D6EAC"/>
    <w:rsid w:val="004D71C2"/>
    <w:rsid w:val="004D7B8A"/>
    <w:rsid w:val="004D7FE0"/>
    <w:rsid w:val="004E0183"/>
    <w:rsid w:val="004E04B8"/>
    <w:rsid w:val="004E06D4"/>
    <w:rsid w:val="004E14BD"/>
    <w:rsid w:val="004E1645"/>
    <w:rsid w:val="004E16A1"/>
    <w:rsid w:val="004E191D"/>
    <w:rsid w:val="004E1C07"/>
    <w:rsid w:val="004E2446"/>
    <w:rsid w:val="004E25D5"/>
    <w:rsid w:val="004E2863"/>
    <w:rsid w:val="004E3231"/>
    <w:rsid w:val="004E36A3"/>
    <w:rsid w:val="004E3791"/>
    <w:rsid w:val="004E3A29"/>
    <w:rsid w:val="004E3FCC"/>
    <w:rsid w:val="004E4610"/>
    <w:rsid w:val="004E47F1"/>
    <w:rsid w:val="004E4820"/>
    <w:rsid w:val="004E4982"/>
    <w:rsid w:val="004E50AC"/>
    <w:rsid w:val="004E5731"/>
    <w:rsid w:val="004E5B35"/>
    <w:rsid w:val="004E5E49"/>
    <w:rsid w:val="004E603D"/>
    <w:rsid w:val="004E62A4"/>
    <w:rsid w:val="004E69D2"/>
    <w:rsid w:val="004E6B6D"/>
    <w:rsid w:val="004E6FE2"/>
    <w:rsid w:val="004F0195"/>
    <w:rsid w:val="004F026A"/>
    <w:rsid w:val="004F0420"/>
    <w:rsid w:val="004F0440"/>
    <w:rsid w:val="004F0992"/>
    <w:rsid w:val="004F1147"/>
    <w:rsid w:val="004F1DB2"/>
    <w:rsid w:val="004F21C2"/>
    <w:rsid w:val="004F2594"/>
    <w:rsid w:val="004F2638"/>
    <w:rsid w:val="004F2AEB"/>
    <w:rsid w:val="004F2E6E"/>
    <w:rsid w:val="004F385D"/>
    <w:rsid w:val="004F3E00"/>
    <w:rsid w:val="004F3E94"/>
    <w:rsid w:val="004F3F44"/>
    <w:rsid w:val="004F40BC"/>
    <w:rsid w:val="004F48B3"/>
    <w:rsid w:val="004F4EF1"/>
    <w:rsid w:val="004F502E"/>
    <w:rsid w:val="004F5214"/>
    <w:rsid w:val="004F52B0"/>
    <w:rsid w:val="004F52B4"/>
    <w:rsid w:val="004F5BDD"/>
    <w:rsid w:val="004F5E96"/>
    <w:rsid w:val="004F607E"/>
    <w:rsid w:val="004F69D2"/>
    <w:rsid w:val="004F6BA0"/>
    <w:rsid w:val="004F6E51"/>
    <w:rsid w:val="004F74A6"/>
    <w:rsid w:val="004F7581"/>
    <w:rsid w:val="004F7E08"/>
    <w:rsid w:val="0050062E"/>
    <w:rsid w:val="005007BA"/>
    <w:rsid w:val="005009C3"/>
    <w:rsid w:val="00500D7C"/>
    <w:rsid w:val="00500DFF"/>
    <w:rsid w:val="00501023"/>
    <w:rsid w:val="00501261"/>
    <w:rsid w:val="00501F2F"/>
    <w:rsid w:val="005020B4"/>
    <w:rsid w:val="00502730"/>
    <w:rsid w:val="00502ECF"/>
    <w:rsid w:val="00503084"/>
    <w:rsid w:val="00503116"/>
    <w:rsid w:val="00503633"/>
    <w:rsid w:val="005039EF"/>
    <w:rsid w:val="00503D1B"/>
    <w:rsid w:val="00503F1D"/>
    <w:rsid w:val="0050402B"/>
    <w:rsid w:val="00504228"/>
    <w:rsid w:val="00504E08"/>
    <w:rsid w:val="00504EAC"/>
    <w:rsid w:val="00505312"/>
    <w:rsid w:val="005054F0"/>
    <w:rsid w:val="00505D22"/>
    <w:rsid w:val="00505E95"/>
    <w:rsid w:val="005061F3"/>
    <w:rsid w:val="00506495"/>
    <w:rsid w:val="0050675D"/>
    <w:rsid w:val="00506792"/>
    <w:rsid w:val="005067F7"/>
    <w:rsid w:val="00506AB9"/>
    <w:rsid w:val="00506EEE"/>
    <w:rsid w:val="0050707C"/>
    <w:rsid w:val="005074C6"/>
    <w:rsid w:val="0050778F"/>
    <w:rsid w:val="00507AEF"/>
    <w:rsid w:val="00507F78"/>
    <w:rsid w:val="00510A33"/>
    <w:rsid w:val="00510C9C"/>
    <w:rsid w:val="005115EF"/>
    <w:rsid w:val="00511AF8"/>
    <w:rsid w:val="00511EF4"/>
    <w:rsid w:val="00512102"/>
    <w:rsid w:val="005131D0"/>
    <w:rsid w:val="005131DB"/>
    <w:rsid w:val="005143F1"/>
    <w:rsid w:val="0051469C"/>
    <w:rsid w:val="00515679"/>
    <w:rsid w:val="005157C5"/>
    <w:rsid w:val="00515849"/>
    <w:rsid w:val="00515CA9"/>
    <w:rsid w:val="0051618A"/>
    <w:rsid w:val="0051624A"/>
    <w:rsid w:val="00516619"/>
    <w:rsid w:val="00516747"/>
    <w:rsid w:val="00517273"/>
    <w:rsid w:val="00517299"/>
    <w:rsid w:val="0051731E"/>
    <w:rsid w:val="00517972"/>
    <w:rsid w:val="00517B11"/>
    <w:rsid w:val="00520198"/>
    <w:rsid w:val="005203F7"/>
    <w:rsid w:val="0052121D"/>
    <w:rsid w:val="005213FC"/>
    <w:rsid w:val="00521F94"/>
    <w:rsid w:val="0052205A"/>
    <w:rsid w:val="0052221D"/>
    <w:rsid w:val="005224AC"/>
    <w:rsid w:val="005225B6"/>
    <w:rsid w:val="00522A6E"/>
    <w:rsid w:val="00523484"/>
    <w:rsid w:val="005235CD"/>
    <w:rsid w:val="00523A92"/>
    <w:rsid w:val="00523F57"/>
    <w:rsid w:val="00524A75"/>
    <w:rsid w:val="00524C96"/>
    <w:rsid w:val="00525653"/>
    <w:rsid w:val="00525E15"/>
    <w:rsid w:val="00526614"/>
    <w:rsid w:val="00526BD1"/>
    <w:rsid w:val="00527204"/>
    <w:rsid w:val="00527531"/>
    <w:rsid w:val="0052774B"/>
    <w:rsid w:val="00527910"/>
    <w:rsid w:val="00527A0C"/>
    <w:rsid w:val="00527E6C"/>
    <w:rsid w:val="00530031"/>
    <w:rsid w:val="00530179"/>
    <w:rsid w:val="005304F4"/>
    <w:rsid w:val="0053089B"/>
    <w:rsid w:val="00530987"/>
    <w:rsid w:val="00530CA9"/>
    <w:rsid w:val="00530DF9"/>
    <w:rsid w:val="00530EEA"/>
    <w:rsid w:val="00531316"/>
    <w:rsid w:val="00531B2D"/>
    <w:rsid w:val="00531E42"/>
    <w:rsid w:val="0053274B"/>
    <w:rsid w:val="00532A23"/>
    <w:rsid w:val="00532A62"/>
    <w:rsid w:val="0053313F"/>
    <w:rsid w:val="00533416"/>
    <w:rsid w:val="0053399C"/>
    <w:rsid w:val="00533FDD"/>
    <w:rsid w:val="00534220"/>
    <w:rsid w:val="005359E4"/>
    <w:rsid w:val="0053618E"/>
    <w:rsid w:val="0053656F"/>
    <w:rsid w:val="0053694D"/>
    <w:rsid w:val="00536B7F"/>
    <w:rsid w:val="005372EC"/>
    <w:rsid w:val="00537409"/>
    <w:rsid w:val="00537AB2"/>
    <w:rsid w:val="00540247"/>
    <w:rsid w:val="00540602"/>
    <w:rsid w:val="00540A0D"/>
    <w:rsid w:val="00540BF6"/>
    <w:rsid w:val="00541074"/>
    <w:rsid w:val="005417FC"/>
    <w:rsid w:val="0054180E"/>
    <w:rsid w:val="00541D8C"/>
    <w:rsid w:val="00541ED4"/>
    <w:rsid w:val="00541F56"/>
    <w:rsid w:val="0054211B"/>
    <w:rsid w:val="00542349"/>
    <w:rsid w:val="00542AF0"/>
    <w:rsid w:val="00543224"/>
    <w:rsid w:val="00543C3E"/>
    <w:rsid w:val="00543FEE"/>
    <w:rsid w:val="0054416C"/>
    <w:rsid w:val="00544218"/>
    <w:rsid w:val="00544A3D"/>
    <w:rsid w:val="00544FEA"/>
    <w:rsid w:val="0054559A"/>
    <w:rsid w:val="00545A76"/>
    <w:rsid w:val="0054650A"/>
    <w:rsid w:val="00546958"/>
    <w:rsid w:val="005469D5"/>
    <w:rsid w:val="00546DB0"/>
    <w:rsid w:val="0054723E"/>
    <w:rsid w:val="005474B2"/>
    <w:rsid w:val="0054777D"/>
    <w:rsid w:val="00547EF8"/>
    <w:rsid w:val="00550218"/>
    <w:rsid w:val="00550546"/>
    <w:rsid w:val="00550C66"/>
    <w:rsid w:val="00550D30"/>
    <w:rsid w:val="00550D42"/>
    <w:rsid w:val="00550F34"/>
    <w:rsid w:val="00550F53"/>
    <w:rsid w:val="005514B2"/>
    <w:rsid w:val="00551B99"/>
    <w:rsid w:val="00551CBF"/>
    <w:rsid w:val="00552090"/>
    <w:rsid w:val="005526CF"/>
    <w:rsid w:val="0055277C"/>
    <w:rsid w:val="00552F16"/>
    <w:rsid w:val="00552F79"/>
    <w:rsid w:val="00553884"/>
    <w:rsid w:val="00554206"/>
    <w:rsid w:val="00554AE1"/>
    <w:rsid w:val="00554C30"/>
    <w:rsid w:val="00554D7F"/>
    <w:rsid w:val="00554F54"/>
    <w:rsid w:val="005553A9"/>
    <w:rsid w:val="00555483"/>
    <w:rsid w:val="00555B5A"/>
    <w:rsid w:val="00555BC9"/>
    <w:rsid w:val="00555C73"/>
    <w:rsid w:val="00555DE3"/>
    <w:rsid w:val="00555FDF"/>
    <w:rsid w:val="005560EF"/>
    <w:rsid w:val="00556205"/>
    <w:rsid w:val="005564A7"/>
    <w:rsid w:val="00557312"/>
    <w:rsid w:val="005575CC"/>
    <w:rsid w:val="00557BC9"/>
    <w:rsid w:val="00557DAF"/>
    <w:rsid w:val="00557F0C"/>
    <w:rsid w:val="00560EBB"/>
    <w:rsid w:val="00560F72"/>
    <w:rsid w:val="00561490"/>
    <w:rsid w:val="005622FF"/>
    <w:rsid w:val="0056267C"/>
    <w:rsid w:val="00562B25"/>
    <w:rsid w:val="00562C2B"/>
    <w:rsid w:val="0056315A"/>
    <w:rsid w:val="00563447"/>
    <w:rsid w:val="00563607"/>
    <w:rsid w:val="005636D0"/>
    <w:rsid w:val="00563945"/>
    <w:rsid w:val="00563C42"/>
    <w:rsid w:val="00563D03"/>
    <w:rsid w:val="005642FD"/>
    <w:rsid w:val="0056450E"/>
    <w:rsid w:val="005645D7"/>
    <w:rsid w:val="00564882"/>
    <w:rsid w:val="005648D2"/>
    <w:rsid w:val="0056501E"/>
    <w:rsid w:val="005650AA"/>
    <w:rsid w:val="00565257"/>
    <w:rsid w:val="0056530A"/>
    <w:rsid w:val="005655E0"/>
    <w:rsid w:val="005656B3"/>
    <w:rsid w:val="00565C15"/>
    <w:rsid w:val="005662EA"/>
    <w:rsid w:val="00566322"/>
    <w:rsid w:val="00566727"/>
    <w:rsid w:val="00566CE9"/>
    <w:rsid w:val="0056711F"/>
    <w:rsid w:val="00567694"/>
    <w:rsid w:val="00567C32"/>
    <w:rsid w:val="00567D23"/>
    <w:rsid w:val="005700B5"/>
    <w:rsid w:val="005703FD"/>
    <w:rsid w:val="00570516"/>
    <w:rsid w:val="00570521"/>
    <w:rsid w:val="00570C16"/>
    <w:rsid w:val="00570DBB"/>
    <w:rsid w:val="00570E45"/>
    <w:rsid w:val="00571195"/>
    <w:rsid w:val="00571301"/>
    <w:rsid w:val="00572666"/>
    <w:rsid w:val="00572670"/>
    <w:rsid w:val="00573028"/>
    <w:rsid w:val="005735B3"/>
    <w:rsid w:val="00573810"/>
    <w:rsid w:val="005738D2"/>
    <w:rsid w:val="00573C51"/>
    <w:rsid w:val="0057401C"/>
    <w:rsid w:val="00574313"/>
    <w:rsid w:val="0057497C"/>
    <w:rsid w:val="00574DC5"/>
    <w:rsid w:val="00575B6C"/>
    <w:rsid w:val="00576276"/>
    <w:rsid w:val="005764EF"/>
    <w:rsid w:val="0057719F"/>
    <w:rsid w:val="00577333"/>
    <w:rsid w:val="0057750F"/>
    <w:rsid w:val="00577512"/>
    <w:rsid w:val="005775B0"/>
    <w:rsid w:val="005776EA"/>
    <w:rsid w:val="005778B3"/>
    <w:rsid w:val="005779DF"/>
    <w:rsid w:val="00577DE2"/>
    <w:rsid w:val="005807B8"/>
    <w:rsid w:val="00580817"/>
    <w:rsid w:val="005808C2"/>
    <w:rsid w:val="005819EC"/>
    <w:rsid w:val="0058219F"/>
    <w:rsid w:val="00582563"/>
    <w:rsid w:val="005829A5"/>
    <w:rsid w:val="00582C63"/>
    <w:rsid w:val="00583299"/>
    <w:rsid w:val="005835E7"/>
    <w:rsid w:val="00584BA4"/>
    <w:rsid w:val="00584C6B"/>
    <w:rsid w:val="0058547A"/>
    <w:rsid w:val="0058617D"/>
    <w:rsid w:val="00586275"/>
    <w:rsid w:val="005863BD"/>
    <w:rsid w:val="0058644C"/>
    <w:rsid w:val="00587030"/>
    <w:rsid w:val="0058705F"/>
    <w:rsid w:val="005878B4"/>
    <w:rsid w:val="0058792F"/>
    <w:rsid w:val="005879E5"/>
    <w:rsid w:val="00587A26"/>
    <w:rsid w:val="00590011"/>
    <w:rsid w:val="00590060"/>
    <w:rsid w:val="005904DF"/>
    <w:rsid w:val="00591060"/>
    <w:rsid w:val="005913E0"/>
    <w:rsid w:val="0059194F"/>
    <w:rsid w:val="00591C9A"/>
    <w:rsid w:val="00593199"/>
    <w:rsid w:val="00593DD0"/>
    <w:rsid w:val="00593E37"/>
    <w:rsid w:val="00594102"/>
    <w:rsid w:val="005942F7"/>
    <w:rsid w:val="00594398"/>
    <w:rsid w:val="005948EA"/>
    <w:rsid w:val="00594D55"/>
    <w:rsid w:val="00594F5E"/>
    <w:rsid w:val="005957F8"/>
    <w:rsid w:val="00596262"/>
    <w:rsid w:val="0059630B"/>
    <w:rsid w:val="0059662C"/>
    <w:rsid w:val="00596939"/>
    <w:rsid w:val="00596E15"/>
    <w:rsid w:val="005970F3"/>
    <w:rsid w:val="005972A5"/>
    <w:rsid w:val="005972E0"/>
    <w:rsid w:val="005974A9"/>
    <w:rsid w:val="00597D56"/>
    <w:rsid w:val="00597DA1"/>
    <w:rsid w:val="005A08DA"/>
    <w:rsid w:val="005A0D9D"/>
    <w:rsid w:val="005A14DE"/>
    <w:rsid w:val="005A1F86"/>
    <w:rsid w:val="005A2A64"/>
    <w:rsid w:val="005A2E0F"/>
    <w:rsid w:val="005A3018"/>
    <w:rsid w:val="005A30CA"/>
    <w:rsid w:val="005A36FF"/>
    <w:rsid w:val="005A377B"/>
    <w:rsid w:val="005A3A51"/>
    <w:rsid w:val="005A3CB8"/>
    <w:rsid w:val="005A3EB9"/>
    <w:rsid w:val="005A3F71"/>
    <w:rsid w:val="005A3FA9"/>
    <w:rsid w:val="005A514A"/>
    <w:rsid w:val="005A51DE"/>
    <w:rsid w:val="005A54E8"/>
    <w:rsid w:val="005A54FB"/>
    <w:rsid w:val="005A5628"/>
    <w:rsid w:val="005A5678"/>
    <w:rsid w:val="005A56F4"/>
    <w:rsid w:val="005A57D6"/>
    <w:rsid w:val="005A57F1"/>
    <w:rsid w:val="005A5A21"/>
    <w:rsid w:val="005A5DDC"/>
    <w:rsid w:val="005A6039"/>
    <w:rsid w:val="005A6134"/>
    <w:rsid w:val="005A6643"/>
    <w:rsid w:val="005A66FB"/>
    <w:rsid w:val="005A6D7E"/>
    <w:rsid w:val="005A736C"/>
    <w:rsid w:val="005A79E4"/>
    <w:rsid w:val="005A7AB3"/>
    <w:rsid w:val="005B0550"/>
    <w:rsid w:val="005B05A5"/>
    <w:rsid w:val="005B065C"/>
    <w:rsid w:val="005B0C16"/>
    <w:rsid w:val="005B12D4"/>
    <w:rsid w:val="005B166A"/>
    <w:rsid w:val="005B19FA"/>
    <w:rsid w:val="005B1B99"/>
    <w:rsid w:val="005B1E67"/>
    <w:rsid w:val="005B23CE"/>
    <w:rsid w:val="005B3205"/>
    <w:rsid w:val="005B43DD"/>
    <w:rsid w:val="005B48FA"/>
    <w:rsid w:val="005B4940"/>
    <w:rsid w:val="005B4B7B"/>
    <w:rsid w:val="005B4E3B"/>
    <w:rsid w:val="005B51C1"/>
    <w:rsid w:val="005B59A3"/>
    <w:rsid w:val="005B5A0A"/>
    <w:rsid w:val="005B5C5D"/>
    <w:rsid w:val="005B5CE1"/>
    <w:rsid w:val="005B5D51"/>
    <w:rsid w:val="005B5E43"/>
    <w:rsid w:val="005B6311"/>
    <w:rsid w:val="005B6463"/>
    <w:rsid w:val="005B6D53"/>
    <w:rsid w:val="005B6FFD"/>
    <w:rsid w:val="005B7132"/>
    <w:rsid w:val="005B7623"/>
    <w:rsid w:val="005B7FCA"/>
    <w:rsid w:val="005C0273"/>
    <w:rsid w:val="005C05B7"/>
    <w:rsid w:val="005C11C7"/>
    <w:rsid w:val="005C14E5"/>
    <w:rsid w:val="005C2324"/>
    <w:rsid w:val="005C2731"/>
    <w:rsid w:val="005C32C2"/>
    <w:rsid w:val="005C3343"/>
    <w:rsid w:val="005C33AF"/>
    <w:rsid w:val="005C348E"/>
    <w:rsid w:val="005C39B0"/>
    <w:rsid w:val="005C3E59"/>
    <w:rsid w:val="005C4C99"/>
    <w:rsid w:val="005C4FAA"/>
    <w:rsid w:val="005C4FF5"/>
    <w:rsid w:val="005C5520"/>
    <w:rsid w:val="005C57CB"/>
    <w:rsid w:val="005C593B"/>
    <w:rsid w:val="005C610A"/>
    <w:rsid w:val="005C6B05"/>
    <w:rsid w:val="005C72E3"/>
    <w:rsid w:val="005D01B1"/>
    <w:rsid w:val="005D0394"/>
    <w:rsid w:val="005D0440"/>
    <w:rsid w:val="005D0774"/>
    <w:rsid w:val="005D0AA2"/>
    <w:rsid w:val="005D1063"/>
    <w:rsid w:val="005D1564"/>
    <w:rsid w:val="005D15C7"/>
    <w:rsid w:val="005D1B1F"/>
    <w:rsid w:val="005D1C72"/>
    <w:rsid w:val="005D1D5B"/>
    <w:rsid w:val="005D2080"/>
    <w:rsid w:val="005D271A"/>
    <w:rsid w:val="005D2F2D"/>
    <w:rsid w:val="005D3014"/>
    <w:rsid w:val="005D3070"/>
    <w:rsid w:val="005D4635"/>
    <w:rsid w:val="005D47B5"/>
    <w:rsid w:val="005D4A50"/>
    <w:rsid w:val="005D4B59"/>
    <w:rsid w:val="005D5034"/>
    <w:rsid w:val="005D503D"/>
    <w:rsid w:val="005D50CF"/>
    <w:rsid w:val="005D512E"/>
    <w:rsid w:val="005D51D8"/>
    <w:rsid w:val="005D5BFC"/>
    <w:rsid w:val="005D6546"/>
    <w:rsid w:val="005D671A"/>
    <w:rsid w:val="005D6916"/>
    <w:rsid w:val="005D6A09"/>
    <w:rsid w:val="005D6D87"/>
    <w:rsid w:val="005D6DC5"/>
    <w:rsid w:val="005D7415"/>
    <w:rsid w:val="005D78FF"/>
    <w:rsid w:val="005D79E5"/>
    <w:rsid w:val="005E00D0"/>
    <w:rsid w:val="005E0596"/>
    <w:rsid w:val="005E0A46"/>
    <w:rsid w:val="005E0ABF"/>
    <w:rsid w:val="005E0C09"/>
    <w:rsid w:val="005E1141"/>
    <w:rsid w:val="005E1258"/>
    <w:rsid w:val="005E1B28"/>
    <w:rsid w:val="005E1CA6"/>
    <w:rsid w:val="005E1F2B"/>
    <w:rsid w:val="005E2068"/>
    <w:rsid w:val="005E213D"/>
    <w:rsid w:val="005E2B56"/>
    <w:rsid w:val="005E2E9E"/>
    <w:rsid w:val="005E2F8E"/>
    <w:rsid w:val="005E31E7"/>
    <w:rsid w:val="005E33F1"/>
    <w:rsid w:val="005E35B3"/>
    <w:rsid w:val="005E37A4"/>
    <w:rsid w:val="005E37A8"/>
    <w:rsid w:val="005E4025"/>
    <w:rsid w:val="005E428D"/>
    <w:rsid w:val="005E4B86"/>
    <w:rsid w:val="005E5247"/>
    <w:rsid w:val="005E536E"/>
    <w:rsid w:val="005E5923"/>
    <w:rsid w:val="005E5DF5"/>
    <w:rsid w:val="005E6077"/>
    <w:rsid w:val="005E61EE"/>
    <w:rsid w:val="005E64EF"/>
    <w:rsid w:val="005E6E33"/>
    <w:rsid w:val="005E6E80"/>
    <w:rsid w:val="005E6EC7"/>
    <w:rsid w:val="005E71CD"/>
    <w:rsid w:val="005E7310"/>
    <w:rsid w:val="005E7414"/>
    <w:rsid w:val="005E7C9A"/>
    <w:rsid w:val="005F0D01"/>
    <w:rsid w:val="005F11A5"/>
    <w:rsid w:val="005F1367"/>
    <w:rsid w:val="005F1480"/>
    <w:rsid w:val="005F168F"/>
    <w:rsid w:val="005F185D"/>
    <w:rsid w:val="005F20A7"/>
    <w:rsid w:val="005F26F2"/>
    <w:rsid w:val="005F2AE9"/>
    <w:rsid w:val="005F2B59"/>
    <w:rsid w:val="005F2BFC"/>
    <w:rsid w:val="005F2CFC"/>
    <w:rsid w:val="005F2DB8"/>
    <w:rsid w:val="005F2E09"/>
    <w:rsid w:val="005F35F0"/>
    <w:rsid w:val="005F3BA1"/>
    <w:rsid w:val="005F4034"/>
    <w:rsid w:val="005F43EF"/>
    <w:rsid w:val="005F4D55"/>
    <w:rsid w:val="005F5268"/>
    <w:rsid w:val="005F67B1"/>
    <w:rsid w:val="005F6E16"/>
    <w:rsid w:val="006001A9"/>
    <w:rsid w:val="006018D7"/>
    <w:rsid w:val="00602216"/>
    <w:rsid w:val="006024FC"/>
    <w:rsid w:val="00602D34"/>
    <w:rsid w:val="006030C9"/>
    <w:rsid w:val="006032A6"/>
    <w:rsid w:val="00603340"/>
    <w:rsid w:val="00603355"/>
    <w:rsid w:val="006037C5"/>
    <w:rsid w:val="00603C2D"/>
    <w:rsid w:val="00603CBC"/>
    <w:rsid w:val="00604118"/>
    <w:rsid w:val="006043E2"/>
    <w:rsid w:val="006046E6"/>
    <w:rsid w:val="00604D64"/>
    <w:rsid w:val="00604D67"/>
    <w:rsid w:val="00604FF8"/>
    <w:rsid w:val="006055C7"/>
    <w:rsid w:val="006059D4"/>
    <w:rsid w:val="00605BDF"/>
    <w:rsid w:val="00606673"/>
    <w:rsid w:val="00606821"/>
    <w:rsid w:val="00606AFF"/>
    <w:rsid w:val="00607325"/>
    <w:rsid w:val="00607ADE"/>
    <w:rsid w:val="00607B67"/>
    <w:rsid w:val="00610A32"/>
    <w:rsid w:val="00610B5A"/>
    <w:rsid w:val="00610C51"/>
    <w:rsid w:val="0061232D"/>
    <w:rsid w:val="00613CA2"/>
    <w:rsid w:val="00613D62"/>
    <w:rsid w:val="00614127"/>
    <w:rsid w:val="006143CA"/>
    <w:rsid w:val="006144D9"/>
    <w:rsid w:val="00614532"/>
    <w:rsid w:val="00614966"/>
    <w:rsid w:val="00614B54"/>
    <w:rsid w:val="00614D70"/>
    <w:rsid w:val="00614FF5"/>
    <w:rsid w:val="0061506E"/>
    <w:rsid w:val="0061555A"/>
    <w:rsid w:val="00615B76"/>
    <w:rsid w:val="00615FE4"/>
    <w:rsid w:val="00616B4E"/>
    <w:rsid w:val="00616C45"/>
    <w:rsid w:val="00616D89"/>
    <w:rsid w:val="006173A8"/>
    <w:rsid w:val="00617614"/>
    <w:rsid w:val="00617678"/>
    <w:rsid w:val="00617867"/>
    <w:rsid w:val="00617C12"/>
    <w:rsid w:val="006202D7"/>
    <w:rsid w:val="00620762"/>
    <w:rsid w:val="006209D4"/>
    <w:rsid w:val="0062125C"/>
    <w:rsid w:val="0062148B"/>
    <w:rsid w:val="006218EB"/>
    <w:rsid w:val="00621AAB"/>
    <w:rsid w:val="00621DD5"/>
    <w:rsid w:val="00622480"/>
    <w:rsid w:val="00622DA2"/>
    <w:rsid w:val="006237D8"/>
    <w:rsid w:val="00623B65"/>
    <w:rsid w:val="006240C6"/>
    <w:rsid w:val="006244A3"/>
    <w:rsid w:val="006249CF"/>
    <w:rsid w:val="0062598E"/>
    <w:rsid w:val="00625B5C"/>
    <w:rsid w:val="00625EAA"/>
    <w:rsid w:val="006265FB"/>
    <w:rsid w:val="006269AC"/>
    <w:rsid w:val="00626EF2"/>
    <w:rsid w:val="006270AD"/>
    <w:rsid w:val="00627532"/>
    <w:rsid w:val="006275AC"/>
    <w:rsid w:val="00627A41"/>
    <w:rsid w:val="00627CB0"/>
    <w:rsid w:val="00627CDC"/>
    <w:rsid w:val="00627D22"/>
    <w:rsid w:val="00627DBB"/>
    <w:rsid w:val="00627EB9"/>
    <w:rsid w:val="00627F9A"/>
    <w:rsid w:val="006308BE"/>
    <w:rsid w:val="00631776"/>
    <w:rsid w:val="00631816"/>
    <w:rsid w:val="00631BFA"/>
    <w:rsid w:val="006333F0"/>
    <w:rsid w:val="006341B7"/>
    <w:rsid w:val="006345CE"/>
    <w:rsid w:val="00634765"/>
    <w:rsid w:val="00634B48"/>
    <w:rsid w:val="0063512B"/>
    <w:rsid w:val="00635270"/>
    <w:rsid w:val="0063535F"/>
    <w:rsid w:val="0063560B"/>
    <w:rsid w:val="00635B9D"/>
    <w:rsid w:val="0063612F"/>
    <w:rsid w:val="00636367"/>
    <w:rsid w:val="006368D0"/>
    <w:rsid w:val="006369AC"/>
    <w:rsid w:val="00636B4C"/>
    <w:rsid w:val="00637678"/>
    <w:rsid w:val="00640ACF"/>
    <w:rsid w:val="00640E08"/>
    <w:rsid w:val="00640F00"/>
    <w:rsid w:val="00640F7C"/>
    <w:rsid w:val="006412E8"/>
    <w:rsid w:val="0064186C"/>
    <w:rsid w:val="00642C86"/>
    <w:rsid w:val="00643774"/>
    <w:rsid w:val="00643A6C"/>
    <w:rsid w:val="00643E78"/>
    <w:rsid w:val="006442A2"/>
    <w:rsid w:val="006447F3"/>
    <w:rsid w:val="006448CD"/>
    <w:rsid w:val="00644AB5"/>
    <w:rsid w:val="00644B35"/>
    <w:rsid w:val="00645199"/>
    <w:rsid w:val="00645575"/>
    <w:rsid w:val="00645A26"/>
    <w:rsid w:val="00645C8A"/>
    <w:rsid w:val="00646024"/>
    <w:rsid w:val="0064606E"/>
    <w:rsid w:val="0064659B"/>
    <w:rsid w:val="0064691B"/>
    <w:rsid w:val="00646A7D"/>
    <w:rsid w:val="00647A56"/>
    <w:rsid w:val="00647E36"/>
    <w:rsid w:val="00650B72"/>
    <w:rsid w:val="006510A7"/>
    <w:rsid w:val="00651192"/>
    <w:rsid w:val="00651546"/>
    <w:rsid w:val="006515C5"/>
    <w:rsid w:val="00651703"/>
    <w:rsid w:val="00651E00"/>
    <w:rsid w:val="006528F2"/>
    <w:rsid w:val="00652B1E"/>
    <w:rsid w:val="00652BA1"/>
    <w:rsid w:val="00652CF3"/>
    <w:rsid w:val="006536C7"/>
    <w:rsid w:val="00653CB8"/>
    <w:rsid w:val="006542B6"/>
    <w:rsid w:val="00654465"/>
    <w:rsid w:val="006545A4"/>
    <w:rsid w:val="00654E0E"/>
    <w:rsid w:val="006559D0"/>
    <w:rsid w:val="00655CD7"/>
    <w:rsid w:val="00656049"/>
    <w:rsid w:val="00656431"/>
    <w:rsid w:val="0065651F"/>
    <w:rsid w:val="00656FD7"/>
    <w:rsid w:val="006574F5"/>
    <w:rsid w:val="0065770E"/>
    <w:rsid w:val="00657835"/>
    <w:rsid w:val="00657A81"/>
    <w:rsid w:val="00657C25"/>
    <w:rsid w:val="00657CA1"/>
    <w:rsid w:val="00657EED"/>
    <w:rsid w:val="00660DF9"/>
    <w:rsid w:val="0066184F"/>
    <w:rsid w:val="0066190C"/>
    <w:rsid w:val="006619D6"/>
    <w:rsid w:val="0066226D"/>
    <w:rsid w:val="00662422"/>
    <w:rsid w:val="00662550"/>
    <w:rsid w:val="00662AF0"/>
    <w:rsid w:val="00663849"/>
    <w:rsid w:val="00663904"/>
    <w:rsid w:val="00663F82"/>
    <w:rsid w:val="00664ECA"/>
    <w:rsid w:val="006654BC"/>
    <w:rsid w:val="00665A6E"/>
    <w:rsid w:val="00665CB1"/>
    <w:rsid w:val="00665D94"/>
    <w:rsid w:val="006662B9"/>
    <w:rsid w:val="00666B4E"/>
    <w:rsid w:val="00666E18"/>
    <w:rsid w:val="00666EF7"/>
    <w:rsid w:val="006675A4"/>
    <w:rsid w:val="00667745"/>
    <w:rsid w:val="00667F39"/>
    <w:rsid w:val="006702E9"/>
    <w:rsid w:val="006706E1"/>
    <w:rsid w:val="006708BE"/>
    <w:rsid w:val="00670D20"/>
    <w:rsid w:val="0067165B"/>
    <w:rsid w:val="006716B4"/>
    <w:rsid w:val="0067211C"/>
    <w:rsid w:val="00672DE2"/>
    <w:rsid w:val="00673CF8"/>
    <w:rsid w:val="006741B0"/>
    <w:rsid w:val="006751A2"/>
    <w:rsid w:val="006762BC"/>
    <w:rsid w:val="0067641A"/>
    <w:rsid w:val="006766F6"/>
    <w:rsid w:val="00676BAE"/>
    <w:rsid w:val="006777E4"/>
    <w:rsid w:val="00677846"/>
    <w:rsid w:val="006779E3"/>
    <w:rsid w:val="00677D66"/>
    <w:rsid w:val="00677E2C"/>
    <w:rsid w:val="00677FBA"/>
    <w:rsid w:val="00680384"/>
    <w:rsid w:val="0068068A"/>
    <w:rsid w:val="006806C4"/>
    <w:rsid w:val="00680922"/>
    <w:rsid w:val="00680AB4"/>
    <w:rsid w:val="00680BB6"/>
    <w:rsid w:val="006819D9"/>
    <w:rsid w:val="0068203D"/>
    <w:rsid w:val="006820D0"/>
    <w:rsid w:val="0068218B"/>
    <w:rsid w:val="006826CD"/>
    <w:rsid w:val="00682957"/>
    <w:rsid w:val="00683BF6"/>
    <w:rsid w:val="00684065"/>
    <w:rsid w:val="00684123"/>
    <w:rsid w:val="006844B4"/>
    <w:rsid w:val="0068518D"/>
    <w:rsid w:val="006852B2"/>
    <w:rsid w:val="006853DE"/>
    <w:rsid w:val="006854AE"/>
    <w:rsid w:val="00685C12"/>
    <w:rsid w:val="006861F4"/>
    <w:rsid w:val="006866B8"/>
    <w:rsid w:val="00687568"/>
    <w:rsid w:val="00687587"/>
    <w:rsid w:val="00687FA8"/>
    <w:rsid w:val="006900F1"/>
    <w:rsid w:val="006903BE"/>
    <w:rsid w:val="00690516"/>
    <w:rsid w:val="0069093A"/>
    <w:rsid w:val="0069120A"/>
    <w:rsid w:val="006917A4"/>
    <w:rsid w:val="00692509"/>
    <w:rsid w:val="00692556"/>
    <w:rsid w:val="0069274A"/>
    <w:rsid w:val="0069277A"/>
    <w:rsid w:val="00692975"/>
    <w:rsid w:val="00692B91"/>
    <w:rsid w:val="00692D17"/>
    <w:rsid w:val="0069352A"/>
    <w:rsid w:val="00693955"/>
    <w:rsid w:val="00693DAE"/>
    <w:rsid w:val="006940C2"/>
    <w:rsid w:val="00694716"/>
    <w:rsid w:val="00694811"/>
    <w:rsid w:val="00694E45"/>
    <w:rsid w:val="00694F47"/>
    <w:rsid w:val="00694FEA"/>
    <w:rsid w:val="006953AF"/>
    <w:rsid w:val="00695906"/>
    <w:rsid w:val="00695B77"/>
    <w:rsid w:val="00695CB9"/>
    <w:rsid w:val="0069646A"/>
    <w:rsid w:val="006967FD"/>
    <w:rsid w:val="00697121"/>
    <w:rsid w:val="006973D2"/>
    <w:rsid w:val="0069750F"/>
    <w:rsid w:val="006A158F"/>
    <w:rsid w:val="006A15A6"/>
    <w:rsid w:val="006A1B33"/>
    <w:rsid w:val="006A22D9"/>
    <w:rsid w:val="006A23C9"/>
    <w:rsid w:val="006A2405"/>
    <w:rsid w:val="006A24C4"/>
    <w:rsid w:val="006A250E"/>
    <w:rsid w:val="006A27A9"/>
    <w:rsid w:val="006A2D42"/>
    <w:rsid w:val="006A3041"/>
    <w:rsid w:val="006A3235"/>
    <w:rsid w:val="006A3257"/>
    <w:rsid w:val="006A351E"/>
    <w:rsid w:val="006A391E"/>
    <w:rsid w:val="006A3C6A"/>
    <w:rsid w:val="006A415E"/>
    <w:rsid w:val="006A48E7"/>
    <w:rsid w:val="006A4D6A"/>
    <w:rsid w:val="006A5646"/>
    <w:rsid w:val="006A5A3A"/>
    <w:rsid w:val="006A5D01"/>
    <w:rsid w:val="006A62F0"/>
    <w:rsid w:val="006A6755"/>
    <w:rsid w:val="006A6912"/>
    <w:rsid w:val="006A69DD"/>
    <w:rsid w:val="006A6AE1"/>
    <w:rsid w:val="006A742D"/>
    <w:rsid w:val="006A7875"/>
    <w:rsid w:val="006B03E8"/>
    <w:rsid w:val="006B03FA"/>
    <w:rsid w:val="006B06E3"/>
    <w:rsid w:val="006B0A47"/>
    <w:rsid w:val="006B11CF"/>
    <w:rsid w:val="006B12C9"/>
    <w:rsid w:val="006B13C2"/>
    <w:rsid w:val="006B232F"/>
    <w:rsid w:val="006B2D4D"/>
    <w:rsid w:val="006B347F"/>
    <w:rsid w:val="006B3993"/>
    <w:rsid w:val="006B39EF"/>
    <w:rsid w:val="006B42B2"/>
    <w:rsid w:val="006B4495"/>
    <w:rsid w:val="006B44E2"/>
    <w:rsid w:val="006B4F01"/>
    <w:rsid w:val="006B50C8"/>
    <w:rsid w:val="006B5230"/>
    <w:rsid w:val="006B633A"/>
    <w:rsid w:val="006B67C7"/>
    <w:rsid w:val="006B6CCF"/>
    <w:rsid w:val="006B71D5"/>
    <w:rsid w:val="006B79E4"/>
    <w:rsid w:val="006B7D40"/>
    <w:rsid w:val="006B7EAA"/>
    <w:rsid w:val="006C0C9B"/>
    <w:rsid w:val="006C10E7"/>
    <w:rsid w:val="006C1538"/>
    <w:rsid w:val="006C1A60"/>
    <w:rsid w:val="006C1B9E"/>
    <w:rsid w:val="006C1DEC"/>
    <w:rsid w:val="006C1F4A"/>
    <w:rsid w:val="006C2129"/>
    <w:rsid w:val="006C28C0"/>
    <w:rsid w:val="006C2AEC"/>
    <w:rsid w:val="006C2F1A"/>
    <w:rsid w:val="006C317D"/>
    <w:rsid w:val="006C31C2"/>
    <w:rsid w:val="006C383B"/>
    <w:rsid w:val="006C3ADA"/>
    <w:rsid w:val="006C4452"/>
    <w:rsid w:val="006C494D"/>
    <w:rsid w:val="006C54F5"/>
    <w:rsid w:val="006C5682"/>
    <w:rsid w:val="006C6024"/>
    <w:rsid w:val="006C6F06"/>
    <w:rsid w:val="006C6F91"/>
    <w:rsid w:val="006C71E8"/>
    <w:rsid w:val="006C72F0"/>
    <w:rsid w:val="006C7AA6"/>
    <w:rsid w:val="006C7F4F"/>
    <w:rsid w:val="006D07C0"/>
    <w:rsid w:val="006D0885"/>
    <w:rsid w:val="006D088E"/>
    <w:rsid w:val="006D09B5"/>
    <w:rsid w:val="006D0C88"/>
    <w:rsid w:val="006D12CC"/>
    <w:rsid w:val="006D12F5"/>
    <w:rsid w:val="006D1EC1"/>
    <w:rsid w:val="006D20F3"/>
    <w:rsid w:val="006D2EAA"/>
    <w:rsid w:val="006D2F98"/>
    <w:rsid w:val="006D30EA"/>
    <w:rsid w:val="006D3357"/>
    <w:rsid w:val="006D337D"/>
    <w:rsid w:val="006D38AC"/>
    <w:rsid w:val="006D3D5B"/>
    <w:rsid w:val="006D4623"/>
    <w:rsid w:val="006D4A9C"/>
    <w:rsid w:val="006D4B82"/>
    <w:rsid w:val="006D4E8C"/>
    <w:rsid w:val="006D4EA0"/>
    <w:rsid w:val="006D5070"/>
    <w:rsid w:val="006D517C"/>
    <w:rsid w:val="006D5191"/>
    <w:rsid w:val="006D5733"/>
    <w:rsid w:val="006D5E45"/>
    <w:rsid w:val="006D5FF7"/>
    <w:rsid w:val="006D673E"/>
    <w:rsid w:val="006D6890"/>
    <w:rsid w:val="006D6C0F"/>
    <w:rsid w:val="006D7022"/>
    <w:rsid w:val="006D733F"/>
    <w:rsid w:val="006D74F4"/>
    <w:rsid w:val="006D7665"/>
    <w:rsid w:val="006D7BD8"/>
    <w:rsid w:val="006D7EA4"/>
    <w:rsid w:val="006E0254"/>
    <w:rsid w:val="006E062C"/>
    <w:rsid w:val="006E0919"/>
    <w:rsid w:val="006E0931"/>
    <w:rsid w:val="006E0B7A"/>
    <w:rsid w:val="006E10F0"/>
    <w:rsid w:val="006E16AA"/>
    <w:rsid w:val="006E1930"/>
    <w:rsid w:val="006E1F5A"/>
    <w:rsid w:val="006E2469"/>
    <w:rsid w:val="006E267C"/>
    <w:rsid w:val="006E286E"/>
    <w:rsid w:val="006E3F31"/>
    <w:rsid w:val="006E3FC5"/>
    <w:rsid w:val="006E4029"/>
    <w:rsid w:val="006E4161"/>
    <w:rsid w:val="006E4501"/>
    <w:rsid w:val="006E4866"/>
    <w:rsid w:val="006E4F40"/>
    <w:rsid w:val="006E53C2"/>
    <w:rsid w:val="006E6282"/>
    <w:rsid w:val="006E6873"/>
    <w:rsid w:val="006E687D"/>
    <w:rsid w:val="006E70B9"/>
    <w:rsid w:val="006E70CA"/>
    <w:rsid w:val="006E73A3"/>
    <w:rsid w:val="006E747F"/>
    <w:rsid w:val="006E7B44"/>
    <w:rsid w:val="006F02D8"/>
    <w:rsid w:val="006F07C5"/>
    <w:rsid w:val="006F0D1B"/>
    <w:rsid w:val="006F18C0"/>
    <w:rsid w:val="006F1A98"/>
    <w:rsid w:val="006F1AD0"/>
    <w:rsid w:val="006F222C"/>
    <w:rsid w:val="006F276A"/>
    <w:rsid w:val="006F2928"/>
    <w:rsid w:val="006F2DF7"/>
    <w:rsid w:val="006F3B8D"/>
    <w:rsid w:val="006F3E1E"/>
    <w:rsid w:val="006F4376"/>
    <w:rsid w:val="006F4569"/>
    <w:rsid w:val="006F4944"/>
    <w:rsid w:val="006F4AB4"/>
    <w:rsid w:val="006F550B"/>
    <w:rsid w:val="006F564A"/>
    <w:rsid w:val="006F5994"/>
    <w:rsid w:val="006F5A99"/>
    <w:rsid w:val="006F5F2C"/>
    <w:rsid w:val="006F62B7"/>
    <w:rsid w:val="006F67EB"/>
    <w:rsid w:val="006F6835"/>
    <w:rsid w:val="006F76C9"/>
    <w:rsid w:val="006F7E35"/>
    <w:rsid w:val="007008B1"/>
    <w:rsid w:val="007010A6"/>
    <w:rsid w:val="00701AE8"/>
    <w:rsid w:val="00701F88"/>
    <w:rsid w:val="0070233C"/>
    <w:rsid w:val="007027DA"/>
    <w:rsid w:val="00702C0E"/>
    <w:rsid w:val="00702F8C"/>
    <w:rsid w:val="00703026"/>
    <w:rsid w:val="007039FB"/>
    <w:rsid w:val="007047AD"/>
    <w:rsid w:val="007060AC"/>
    <w:rsid w:val="00706115"/>
    <w:rsid w:val="0070611A"/>
    <w:rsid w:val="007062F3"/>
    <w:rsid w:val="007067D3"/>
    <w:rsid w:val="00706891"/>
    <w:rsid w:val="00706CEE"/>
    <w:rsid w:val="00706F32"/>
    <w:rsid w:val="007075FF"/>
    <w:rsid w:val="007077C8"/>
    <w:rsid w:val="007077FD"/>
    <w:rsid w:val="00707BF7"/>
    <w:rsid w:val="00710091"/>
    <w:rsid w:val="007100EE"/>
    <w:rsid w:val="007107CE"/>
    <w:rsid w:val="00710EAD"/>
    <w:rsid w:val="00711AD5"/>
    <w:rsid w:val="00712D31"/>
    <w:rsid w:val="00712F72"/>
    <w:rsid w:val="007130AE"/>
    <w:rsid w:val="007130DC"/>
    <w:rsid w:val="00713138"/>
    <w:rsid w:val="007133D4"/>
    <w:rsid w:val="00713492"/>
    <w:rsid w:val="007135F0"/>
    <w:rsid w:val="00713677"/>
    <w:rsid w:val="007136D7"/>
    <w:rsid w:val="00713789"/>
    <w:rsid w:val="00713D39"/>
    <w:rsid w:val="00713DFF"/>
    <w:rsid w:val="00713E0F"/>
    <w:rsid w:val="00713FB6"/>
    <w:rsid w:val="007141FE"/>
    <w:rsid w:val="0071467C"/>
    <w:rsid w:val="007149BA"/>
    <w:rsid w:val="00714DD8"/>
    <w:rsid w:val="0071517D"/>
    <w:rsid w:val="00715463"/>
    <w:rsid w:val="007154C2"/>
    <w:rsid w:val="0071590A"/>
    <w:rsid w:val="00715A78"/>
    <w:rsid w:val="00715D4E"/>
    <w:rsid w:val="007166C1"/>
    <w:rsid w:val="00716706"/>
    <w:rsid w:val="0071703E"/>
    <w:rsid w:val="007170A8"/>
    <w:rsid w:val="007177FD"/>
    <w:rsid w:val="00717862"/>
    <w:rsid w:val="00720A42"/>
    <w:rsid w:val="00721357"/>
    <w:rsid w:val="00721CCA"/>
    <w:rsid w:val="00721FB0"/>
    <w:rsid w:val="00722BC4"/>
    <w:rsid w:val="00722DC5"/>
    <w:rsid w:val="00723259"/>
    <w:rsid w:val="00723306"/>
    <w:rsid w:val="00723710"/>
    <w:rsid w:val="007237A9"/>
    <w:rsid w:val="00723BEB"/>
    <w:rsid w:val="00723D3A"/>
    <w:rsid w:val="00723F21"/>
    <w:rsid w:val="00724195"/>
    <w:rsid w:val="007244A1"/>
    <w:rsid w:val="007244F4"/>
    <w:rsid w:val="007245D2"/>
    <w:rsid w:val="007258B1"/>
    <w:rsid w:val="00725DA2"/>
    <w:rsid w:val="007263D7"/>
    <w:rsid w:val="007268C0"/>
    <w:rsid w:val="00726950"/>
    <w:rsid w:val="00726D31"/>
    <w:rsid w:val="0072796C"/>
    <w:rsid w:val="007279A8"/>
    <w:rsid w:val="007306C4"/>
    <w:rsid w:val="00730817"/>
    <w:rsid w:val="00730823"/>
    <w:rsid w:val="007308BD"/>
    <w:rsid w:val="007313AC"/>
    <w:rsid w:val="007314E8"/>
    <w:rsid w:val="00731C95"/>
    <w:rsid w:val="0073202B"/>
    <w:rsid w:val="00732119"/>
    <w:rsid w:val="007329A7"/>
    <w:rsid w:val="007329EE"/>
    <w:rsid w:val="0073342F"/>
    <w:rsid w:val="007335F4"/>
    <w:rsid w:val="0073362C"/>
    <w:rsid w:val="00733BD5"/>
    <w:rsid w:val="00733E97"/>
    <w:rsid w:val="007340A9"/>
    <w:rsid w:val="007341C1"/>
    <w:rsid w:val="0073454F"/>
    <w:rsid w:val="00734A12"/>
    <w:rsid w:val="00734B0B"/>
    <w:rsid w:val="00734C95"/>
    <w:rsid w:val="00735281"/>
    <w:rsid w:val="007353A5"/>
    <w:rsid w:val="007353B5"/>
    <w:rsid w:val="00735403"/>
    <w:rsid w:val="00735426"/>
    <w:rsid w:val="00736436"/>
    <w:rsid w:val="0073645B"/>
    <w:rsid w:val="00736813"/>
    <w:rsid w:val="00736E80"/>
    <w:rsid w:val="00737015"/>
    <w:rsid w:val="00737087"/>
    <w:rsid w:val="007377F9"/>
    <w:rsid w:val="00737B35"/>
    <w:rsid w:val="00737D66"/>
    <w:rsid w:val="00737EC2"/>
    <w:rsid w:val="00737EFC"/>
    <w:rsid w:val="007400E0"/>
    <w:rsid w:val="00740144"/>
    <w:rsid w:val="00740656"/>
    <w:rsid w:val="0074072F"/>
    <w:rsid w:val="00740783"/>
    <w:rsid w:val="007418AC"/>
    <w:rsid w:val="007418DC"/>
    <w:rsid w:val="007423A7"/>
    <w:rsid w:val="00743033"/>
    <w:rsid w:val="007433C6"/>
    <w:rsid w:val="00743700"/>
    <w:rsid w:val="00743C9B"/>
    <w:rsid w:val="00744330"/>
    <w:rsid w:val="0074442B"/>
    <w:rsid w:val="00744431"/>
    <w:rsid w:val="007446AD"/>
    <w:rsid w:val="0074519C"/>
    <w:rsid w:val="00745271"/>
    <w:rsid w:val="007455D5"/>
    <w:rsid w:val="00745A23"/>
    <w:rsid w:val="00745A28"/>
    <w:rsid w:val="00745BF4"/>
    <w:rsid w:val="00745BFD"/>
    <w:rsid w:val="00745C73"/>
    <w:rsid w:val="007465F1"/>
    <w:rsid w:val="007467E9"/>
    <w:rsid w:val="0074704C"/>
    <w:rsid w:val="007475E5"/>
    <w:rsid w:val="00747816"/>
    <w:rsid w:val="007478A6"/>
    <w:rsid w:val="00747AC3"/>
    <w:rsid w:val="007506FB"/>
    <w:rsid w:val="00750A7E"/>
    <w:rsid w:val="00750ECB"/>
    <w:rsid w:val="00751322"/>
    <w:rsid w:val="007517A8"/>
    <w:rsid w:val="00751C9C"/>
    <w:rsid w:val="007526C2"/>
    <w:rsid w:val="00752F08"/>
    <w:rsid w:val="007536BB"/>
    <w:rsid w:val="00754002"/>
    <w:rsid w:val="0075418A"/>
    <w:rsid w:val="007543EB"/>
    <w:rsid w:val="00754554"/>
    <w:rsid w:val="00754C8E"/>
    <w:rsid w:val="007552E1"/>
    <w:rsid w:val="007554D3"/>
    <w:rsid w:val="0075563A"/>
    <w:rsid w:val="0075584E"/>
    <w:rsid w:val="00755AA9"/>
    <w:rsid w:val="00755ADC"/>
    <w:rsid w:val="00756098"/>
    <w:rsid w:val="007567B2"/>
    <w:rsid w:val="007567D5"/>
    <w:rsid w:val="0075680B"/>
    <w:rsid w:val="00756E29"/>
    <w:rsid w:val="0075772A"/>
    <w:rsid w:val="00757C15"/>
    <w:rsid w:val="007604A8"/>
    <w:rsid w:val="00760CB3"/>
    <w:rsid w:val="00760E53"/>
    <w:rsid w:val="00761011"/>
    <w:rsid w:val="0076108C"/>
    <w:rsid w:val="007611E9"/>
    <w:rsid w:val="007611F7"/>
    <w:rsid w:val="00761F66"/>
    <w:rsid w:val="0076296D"/>
    <w:rsid w:val="0076324A"/>
    <w:rsid w:val="007635F1"/>
    <w:rsid w:val="00763C44"/>
    <w:rsid w:val="00763FDF"/>
    <w:rsid w:val="007649DE"/>
    <w:rsid w:val="00764D10"/>
    <w:rsid w:val="00764E3C"/>
    <w:rsid w:val="00764E47"/>
    <w:rsid w:val="0076551A"/>
    <w:rsid w:val="00765610"/>
    <w:rsid w:val="00765B0C"/>
    <w:rsid w:val="0076718C"/>
    <w:rsid w:val="00767217"/>
    <w:rsid w:val="007673DB"/>
    <w:rsid w:val="00767573"/>
    <w:rsid w:val="00767691"/>
    <w:rsid w:val="00767816"/>
    <w:rsid w:val="007679E8"/>
    <w:rsid w:val="00767C7E"/>
    <w:rsid w:val="0077022F"/>
    <w:rsid w:val="007705B0"/>
    <w:rsid w:val="00770609"/>
    <w:rsid w:val="007712D9"/>
    <w:rsid w:val="00771708"/>
    <w:rsid w:val="0077175D"/>
    <w:rsid w:val="00771FC8"/>
    <w:rsid w:val="007720AC"/>
    <w:rsid w:val="007720C5"/>
    <w:rsid w:val="0077210C"/>
    <w:rsid w:val="00772380"/>
    <w:rsid w:val="007733A7"/>
    <w:rsid w:val="0077369A"/>
    <w:rsid w:val="00773825"/>
    <w:rsid w:val="00773C98"/>
    <w:rsid w:val="00773F32"/>
    <w:rsid w:val="00773FA9"/>
    <w:rsid w:val="00773FFA"/>
    <w:rsid w:val="0077402F"/>
    <w:rsid w:val="0077467A"/>
    <w:rsid w:val="00774B65"/>
    <w:rsid w:val="00774D3F"/>
    <w:rsid w:val="00775475"/>
    <w:rsid w:val="0077585E"/>
    <w:rsid w:val="00775A75"/>
    <w:rsid w:val="00775D26"/>
    <w:rsid w:val="00776436"/>
    <w:rsid w:val="00776A34"/>
    <w:rsid w:val="00776D29"/>
    <w:rsid w:val="00777703"/>
    <w:rsid w:val="0077771F"/>
    <w:rsid w:val="00777F84"/>
    <w:rsid w:val="00777FE1"/>
    <w:rsid w:val="00780498"/>
    <w:rsid w:val="007806F4"/>
    <w:rsid w:val="00780A66"/>
    <w:rsid w:val="00780BB8"/>
    <w:rsid w:val="007816C1"/>
    <w:rsid w:val="00781A85"/>
    <w:rsid w:val="00781CA1"/>
    <w:rsid w:val="00781CDB"/>
    <w:rsid w:val="00781DC9"/>
    <w:rsid w:val="00781F37"/>
    <w:rsid w:val="007820CF"/>
    <w:rsid w:val="00782157"/>
    <w:rsid w:val="00782376"/>
    <w:rsid w:val="0078248A"/>
    <w:rsid w:val="00782515"/>
    <w:rsid w:val="0078259A"/>
    <w:rsid w:val="00782D67"/>
    <w:rsid w:val="00782D9A"/>
    <w:rsid w:val="00782F31"/>
    <w:rsid w:val="007830DC"/>
    <w:rsid w:val="00783423"/>
    <w:rsid w:val="00783444"/>
    <w:rsid w:val="00783ECC"/>
    <w:rsid w:val="00784322"/>
    <w:rsid w:val="00784508"/>
    <w:rsid w:val="0078465E"/>
    <w:rsid w:val="0078482A"/>
    <w:rsid w:val="00784847"/>
    <w:rsid w:val="00784BC5"/>
    <w:rsid w:val="0078547B"/>
    <w:rsid w:val="0078666A"/>
    <w:rsid w:val="00786928"/>
    <w:rsid w:val="00786EFF"/>
    <w:rsid w:val="00787502"/>
    <w:rsid w:val="0078759F"/>
    <w:rsid w:val="00787DA6"/>
    <w:rsid w:val="00790034"/>
    <w:rsid w:val="0079025B"/>
    <w:rsid w:val="007902B3"/>
    <w:rsid w:val="00790BC3"/>
    <w:rsid w:val="00790C07"/>
    <w:rsid w:val="00791581"/>
    <w:rsid w:val="00791B53"/>
    <w:rsid w:val="00791CFE"/>
    <w:rsid w:val="007923F4"/>
    <w:rsid w:val="007929E5"/>
    <w:rsid w:val="00792B3A"/>
    <w:rsid w:val="00793243"/>
    <w:rsid w:val="00793D67"/>
    <w:rsid w:val="00795077"/>
    <w:rsid w:val="007955BF"/>
    <w:rsid w:val="00795685"/>
    <w:rsid w:val="00795832"/>
    <w:rsid w:val="00795ADE"/>
    <w:rsid w:val="00795BE7"/>
    <w:rsid w:val="00795E5A"/>
    <w:rsid w:val="00796061"/>
    <w:rsid w:val="00796208"/>
    <w:rsid w:val="00796351"/>
    <w:rsid w:val="007963FF"/>
    <w:rsid w:val="00796A34"/>
    <w:rsid w:val="007970AF"/>
    <w:rsid w:val="00797550"/>
    <w:rsid w:val="007A003E"/>
    <w:rsid w:val="007A01FC"/>
    <w:rsid w:val="007A09FF"/>
    <w:rsid w:val="007A1444"/>
    <w:rsid w:val="007A190E"/>
    <w:rsid w:val="007A24CD"/>
    <w:rsid w:val="007A28AE"/>
    <w:rsid w:val="007A2BEA"/>
    <w:rsid w:val="007A2CA3"/>
    <w:rsid w:val="007A32C5"/>
    <w:rsid w:val="007A4614"/>
    <w:rsid w:val="007A49A4"/>
    <w:rsid w:val="007A5168"/>
    <w:rsid w:val="007A5246"/>
    <w:rsid w:val="007A534C"/>
    <w:rsid w:val="007A6061"/>
    <w:rsid w:val="007A60F6"/>
    <w:rsid w:val="007A60F8"/>
    <w:rsid w:val="007A6406"/>
    <w:rsid w:val="007A67CF"/>
    <w:rsid w:val="007A7596"/>
    <w:rsid w:val="007A7602"/>
    <w:rsid w:val="007A7E3B"/>
    <w:rsid w:val="007A7F58"/>
    <w:rsid w:val="007B017A"/>
    <w:rsid w:val="007B0298"/>
    <w:rsid w:val="007B04D9"/>
    <w:rsid w:val="007B05CF"/>
    <w:rsid w:val="007B087C"/>
    <w:rsid w:val="007B0EBD"/>
    <w:rsid w:val="007B10FA"/>
    <w:rsid w:val="007B1761"/>
    <w:rsid w:val="007B2582"/>
    <w:rsid w:val="007B25AF"/>
    <w:rsid w:val="007B2645"/>
    <w:rsid w:val="007B277A"/>
    <w:rsid w:val="007B2801"/>
    <w:rsid w:val="007B280D"/>
    <w:rsid w:val="007B2BBD"/>
    <w:rsid w:val="007B30F2"/>
    <w:rsid w:val="007B3298"/>
    <w:rsid w:val="007B34F0"/>
    <w:rsid w:val="007B3D25"/>
    <w:rsid w:val="007B4408"/>
    <w:rsid w:val="007B5009"/>
    <w:rsid w:val="007B5B8B"/>
    <w:rsid w:val="007B659F"/>
    <w:rsid w:val="007B685D"/>
    <w:rsid w:val="007B6C37"/>
    <w:rsid w:val="007B74D0"/>
    <w:rsid w:val="007B754B"/>
    <w:rsid w:val="007B773E"/>
    <w:rsid w:val="007B7BAC"/>
    <w:rsid w:val="007C0947"/>
    <w:rsid w:val="007C0CF8"/>
    <w:rsid w:val="007C0FC0"/>
    <w:rsid w:val="007C13A5"/>
    <w:rsid w:val="007C1C41"/>
    <w:rsid w:val="007C23EE"/>
    <w:rsid w:val="007C261C"/>
    <w:rsid w:val="007C2F0F"/>
    <w:rsid w:val="007C328C"/>
    <w:rsid w:val="007C39E1"/>
    <w:rsid w:val="007C3AD6"/>
    <w:rsid w:val="007C4D17"/>
    <w:rsid w:val="007C5205"/>
    <w:rsid w:val="007C56EB"/>
    <w:rsid w:val="007C59E1"/>
    <w:rsid w:val="007C5DB8"/>
    <w:rsid w:val="007C6973"/>
    <w:rsid w:val="007C6D8E"/>
    <w:rsid w:val="007C7094"/>
    <w:rsid w:val="007C74BA"/>
    <w:rsid w:val="007D0BE0"/>
    <w:rsid w:val="007D0CB7"/>
    <w:rsid w:val="007D0CBD"/>
    <w:rsid w:val="007D0CF2"/>
    <w:rsid w:val="007D0F91"/>
    <w:rsid w:val="007D14B7"/>
    <w:rsid w:val="007D15BB"/>
    <w:rsid w:val="007D22BE"/>
    <w:rsid w:val="007D2C36"/>
    <w:rsid w:val="007D2DA9"/>
    <w:rsid w:val="007D3264"/>
    <w:rsid w:val="007D34AC"/>
    <w:rsid w:val="007D351B"/>
    <w:rsid w:val="007D3D41"/>
    <w:rsid w:val="007D3E21"/>
    <w:rsid w:val="007D44B7"/>
    <w:rsid w:val="007D4703"/>
    <w:rsid w:val="007D47E5"/>
    <w:rsid w:val="007D4D5E"/>
    <w:rsid w:val="007D6651"/>
    <w:rsid w:val="007D67E9"/>
    <w:rsid w:val="007D68C7"/>
    <w:rsid w:val="007D69C9"/>
    <w:rsid w:val="007D7101"/>
    <w:rsid w:val="007D718E"/>
    <w:rsid w:val="007D7230"/>
    <w:rsid w:val="007D76EF"/>
    <w:rsid w:val="007D7C3F"/>
    <w:rsid w:val="007E001C"/>
    <w:rsid w:val="007E0139"/>
    <w:rsid w:val="007E0888"/>
    <w:rsid w:val="007E0955"/>
    <w:rsid w:val="007E0A08"/>
    <w:rsid w:val="007E1B94"/>
    <w:rsid w:val="007E26C6"/>
    <w:rsid w:val="007E2847"/>
    <w:rsid w:val="007E30D3"/>
    <w:rsid w:val="007E3324"/>
    <w:rsid w:val="007E33CD"/>
    <w:rsid w:val="007E3AE4"/>
    <w:rsid w:val="007E3E5B"/>
    <w:rsid w:val="007E43B2"/>
    <w:rsid w:val="007E457F"/>
    <w:rsid w:val="007E48D9"/>
    <w:rsid w:val="007E4B35"/>
    <w:rsid w:val="007E50FD"/>
    <w:rsid w:val="007E580A"/>
    <w:rsid w:val="007E5BC2"/>
    <w:rsid w:val="007E5EA4"/>
    <w:rsid w:val="007E6371"/>
    <w:rsid w:val="007E6910"/>
    <w:rsid w:val="007E6912"/>
    <w:rsid w:val="007E6C95"/>
    <w:rsid w:val="007E6CB5"/>
    <w:rsid w:val="007E7080"/>
    <w:rsid w:val="007E7416"/>
    <w:rsid w:val="007E7434"/>
    <w:rsid w:val="007F096A"/>
    <w:rsid w:val="007F09A0"/>
    <w:rsid w:val="007F0FED"/>
    <w:rsid w:val="007F1575"/>
    <w:rsid w:val="007F1C12"/>
    <w:rsid w:val="007F1C29"/>
    <w:rsid w:val="007F1DC5"/>
    <w:rsid w:val="007F1DDC"/>
    <w:rsid w:val="007F209D"/>
    <w:rsid w:val="007F29D8"/>
    <w:rsid w:val="007F2A92"/>
    <w:rsid w:val="007F2FC2"/>
    <w:rsid w:val="007F319F"/>
    <w:rsid w:val="007F3AE0"/>
    <w:rsid w:val="007F3DD0"/>
    <w:rsid w:val="007F3F6B"/>
    <w:rsid w:val="007F4167"/>
    <w:rsid w:val="007F47CF"/>
    <w:rsid w:val="007F48C2"/>
    <w:rsid w:val="007F4B6A"/>
    <w:rsid w:val="007F4BA3"/>
    <w:rsid w:val="007F5651"/>
    <w:rsid w:val="007F57C1"/>
    <w:rsid w:val="007F6476"/>
    <w:rsid w:val="007F6734"/>
    <w:rsid w:val="007F6777"/>
    <w:rsid w:val="007F68E2"/>
    <w:rsid w:val="007F6945"/>
    <w:rsid w:val="007F69EA"/>
    <w:rsid w:val="007F7848"/>
    <w:rsid w:val="007F793F"/>
    <w:rsid w:val="007F7ACF"/>
    <w:rsid w:val="008007A6"/>
    <w:rsid w:val="00800B7F"/>
    <w:rsid w:val="0080129E"/>
    <w:rsid w:val="00801A88"/>
    <w:rsid w:val="00801C92"/>
    <w:rsid w:val="00801FB1"/>
    <w:rsid w:val="00802011"/>
    <w:rsid w:val="008023DD"/>
    <w:rsid w:val="008025A8"/>
    <w:rsid w:val="008029B3"/>
    <w:rsid w:val="00802EB3"/>
    <w:rsid w:val="00803844"/>
    <w:rsid w:val="00803A4A"/>
    <w:rsid w:val="00803C64"/>
    <w:rsid w:val="00803DD2"/>
    <w:rsid w:val="008046DA"/>
    <w:rsid w:val="00804C42"/>
    <w:rsid w:val="00804E43"/>
    <w:rsid w:val="00804EA7"/>
    <w:rsid w:val="0080500E"/>
    <w:rsid w:val="00805277"/>
    <w:rsid w:val="00805C71"/>
    <w:rsid w:val="00805D14"/>
    <w:rsid w:val="00806069"/>
    <w:rsid w:val="008060A7"/>
    <w:rsid w:val="0080615B"/>
    <w:rsid w:val="00806434"/>
    <w:rsid w:val="00806558"/>
    <w:rsid w:val="008065E3"/>
    <w:rsid w:val="00806E5D"/>
    <w:rsid w:val="00807062"/>
    <w:rsid w:val="00807522"/>
    <w:rsid w:val="0080793E"/>
    <w:rsid w:val="00807A04"/>
    <w:rsid w:val="0081022F"/>
    <w:rsid w:val="0081043F"/>
    <w:rsid w:val="00810468"/>
    <w:rsid w:val="00810E31"/>
    <w:rsid w:val="00811577"/>
    <w:rsid w:val="00811E7B"/>
    <w:rsid w:val="00812058"/>
    <w:rsid w:val="0081216C"/>
    <w:rsid w:val="00812D76"/>
    <w:rsid w:val="00812D7F"/>
    <w:rsid w:val="0081354E"/>
    <w:rsid w:val="00813EF0"/>
    <w:rsid w:val="008144AA"/>
    <w:rsid w:val="00814659"/>
    <w:rsid w:val="00814F8D"/>
    <w:rsid w:val="0081529B"/>
    <w:rsid w:val="00815370"/>
    <w:rsid w:val="00815F5F"/>
    <w:rsid w:val="0081608F"/>
    <w:rsid w:val="008161F4"/>
    <w:rsid w:val="00816398"/>
    <w:rsid w:val="0081647A"/>
    <w:rsid w:val="0081655B"/>
    <w:rsid w:val="008176B9"/>
    <w:rsid w:val="0081797B"/>
    <w:rsid w:val="00817A2B"/>
    <w:rsid w:val="00820110"/>
    <w:rsid w:val="00820492"/>
    <w:rsid w:val="0082094C"/>
    <w:rsid w:val="008209C6"/>
    <w:rsid w:val="00820DBC"/>
    <w:rsid w:val="00820E0E"/>
    <w:rsid w:val="00821904"/>
    <w:rsid w:val="00821BBA"/>
    <w:rsid w:val="00821D7F"/>
    <w:rsid w:val="00821FFB"/>
    <w:rsid w:val="0082202E"/>
    <w:rsid w:val="00822190"/>
    <w:rsid w:val="008228E5"/>
    <w:rsid w:val="00822E84"/>
    <w:rsid w:val="00823197"/>
    <w:rsid w:val="00823A1A"/>
    <w:rsid w:val="00823DC7"/>
    <w:rsid w:val="00823EB7"/>
    <w:rsid w:val="00823F34"/>
    <w:rsid w:val="008240CD"/>
    <w:rsid w:val="00824411"/>
    <w:rsid w:val="0082461B"/>
    <w:rsid w:val="008248DD"/>
    <w:rsid w:val="00824AFB"/>
    <w:rsid w:val="00824BC3"/>
    <w:rsid w:val="00824F7E"/>
    <w:rsid w:val="0082599B"/>
    <w:rsid w:val="00826018"/>
    <w:rsid w:val="00826641"/>
    <w:rsid w:val="00826723"/>
    <w:rsid w:val="00826756"/>
    <w:rsid w:val="00826B10"/>
    <w:rsid w:val="00826E0C"/>
    <w:rsid w:val="008274D7"/>
    <w:rsid w:val="00827852"/>
    <w:rsid w:val="00827FD7"/>
    <w:rsid w:val="008308D9"/>
    <w:rsid w:val="0083149B"/>
    <w:rsid w:val="008316F8"/>
    <w:rsid w:val="008318FD"/>
    <w:rsid w:val="00831FC0"/>
    <w:rsid w:val="00832302"/>
    <w:rsid w:val="008328BC"/>
    <w:rsid w:val="0083290C"/>
    <w:rsid w:val="00832927"/>
    <w:rsid w:val="00832EAE"/>
    <w:rsid w:val="008331C3"/>
    <w:rsid w:val="00834183"/>
    <w:rsid w:val="00834541"/>
    <w:rsid w:val="008348B3"/>
    <w:rsid w:val="00835DC4"/>
    <w:rsid w:val="00835E17"/>
    <w:rsid w:val="00835E83"/>
    <w:rsid w:val="00836390"/>
    <w:rsid w:val="00836EB5"/>
    <w:rsid w:val="00837593"/>
    <w:rsid w:val="00837625"/>
    <w:rsid w:val="00837D37"/>
    <w:rsid w:val="0084039E"/>
    <w:rsid w:val="00841494"/>
    <w:rsid w:val="008414EA"/>
    <w:rsid w:val="00841A8F"/>
    <w:rsid w:val="00842A62"/>
    <w:rsid w:val="00842FF6"/>
    <w:rsid w:val="00843A73"/>
    <w:rsid w:val="00843C3F"/>
    <w:rsid w:val="00844093"/>
    <w:rsid w:val="00844119"/>
    <w:rsid w:val="00844371"/>
    <w:rsid w:val="008446F5"/>
    <w:rsid w:val="008450B5"/>
    <w:rsid w:val="0084526E"/>
    <w:rsid w:val="0084570D"/>
    <w:rsid w:val="008457D9"/>
    <w:rsid w:val="00846013"/>
    <w:rsid w:val="00846220"/>
    <w:rsid w:val="0084651E"/>
    <w:rsid w:val="00846809"/>
    <w:rsid w:val="008477FC"/>
    <w:rsid w:val="008479A5"/>
    <w:rsid w:val="00847BC5"/>
    <w:rsid w:val="00847CF9"/>
    <w:rsid w:val="00847DA6"/>
    <w:rsid w:val="00850511"/>
    <w:rsid w:val="008506FA"/>
    <w:rsid w:val="0085090B"/>
    <w:rsid w:val="00850AAB"/>
    <w:rsid w:val="00850CC2"/>
    <w:rsid w:val="00850F22"/>
    <w:rsid w:val="0085119F"/>
    <w:rsid w:val="00851427"/>
    <w:rsid w:val="00851AC3"/>
    <w:rsid w:val="00852206"/>
    <w:rsid w:val="0085229C"/>
    <w:rsid w:val="008524EF"/>
    <w:rsid w:val="00852AAE"/>
    <w:rsid w:val="00853687"/>
    <w:rsid w:val="008544C4"/>
    <w:rsid w:val="00854579"/>
    <w:rsid w:val="00854630"/>
    <w:rsid w:val="008546E2"/>
    <w:rsid w:val="00854E15"/>
    <w:rsid w:val="00854F11"/>
    <w:rsid w:val="008556C8"/>
    <w:rsid w:val="00855B1F"/>
    <w:rsid w:val="008567AA"/>
    <w:rsid w:val="00856AAB"/>
    <w:rsid w:val="008576C7"/>
    <w:rsid w:val="00857BA3"/>
    <w:rsid w:val="00857E08"/>
    <w:rsid w:val="008609BE"/>
    <w:rsid w:val="00860A95"/>
    <w:rsid w:val="00860B6A"/>
    <w:rsid w:val="00860EB1"/>
    <w:rsid w:val="00861200"/>
    <w:rsid w:val="008617BF"/>
    <w:rsid w:val="00861A0F"/>
    <w:rsid w:val="00861A3A"/>
    <w:rsid w:val="00861DB5"/>
    <w:rsid w:val="00862723"/>
    <w:rsid w:val="00862A01"/>
    <w:rsid w:val="00863B48"/>
    <w:rsid w:val="00864225"/>
    <w:rsid w:val="00865797"/>
    <w:rsid w:val="0086588E"/>
    <w:rsid w:val="00865BD6"/>
    <w:rsid w:val="0086688A"/>
    <w:rsid w:val="00867091"/>
    <w:rsid w:val="00867310"/>
    <w:rsid w:val="008679D3"/>
    <w:rsid w:val="0087065D"/>
    <w:rsid w:val="0087066F"/>
    <w:rsid w:val="00870983"/>
    <w:rsid w:val="00870AE9"/>
    <w:rsid w:val="00870B64"/>
    <w:rsid w:val="00871028"/>
    <w:rsid w:val="00871581"/>
    <w:rsid w:val="008726BA"/>
    <w:rsid w:val="008726D9"/>
    <w:rsid w:val="00872C65"/>
    <w:rsid w:val="00872EBF"/>
    <w:rsid w:val="00872F45"/>
    <w:rsid w:val="00872FEC"/>
    <w:rsid w:val="008730AD"/>
    <w:rsid w:val="008730D8"/>
    <w:rsid w:val="008731CD"/>
    <w:rsid w:val="00873224"/>
    <w:rsid w:val="008734DF"/>
    <w:rsid w:val="00873A51"/>
    <w:rsid w:val="00873E5E"/>
    <w:rsid w:val="0087434F"/>
    <w:rsid w:val="00874478"/>
    <w:rsid w:val="00874828"/>
    <w:rsid w:val="00874B1B"/>
    <w:rsid w:val="00874ECC"/>
    <w:rsid w:val="00875741"/>
    <w:rsid w:val="008758E0"/>
    <w:rsid w:val="00875CD6"/>
    <w:rsid w:val="00875D47"/>
    <w:rsid w:val="00876144"/>
    <w:rsid w:val="008763EF"/>
    <w:rsid w:val="00876579"/>
    <w:rsid w:val="0087668A"/>
    <w:rsid w:val="0087696B"/>
    <w:rsid w:val="00876A05"/>
    <w:rsid w:val="00876A45"/>
    <w:rsid w:val="0087707B"/>
    <w:rsid w:val="00877760"/>
    <w:rsid w:val="00877BCB"/>
    <w:rsid w:val="008800ED"/>
    <w:rsid w:val="0088050F"/>
    <w:rsid w:val="0088085A"/>
    <w:rsid w:val="00880ADD"/>
    <w:rsid w:val="00880B1B"/>
    <w:rsid w:val="00880BF0"/>
    <w:rsid w:val="00880E4F"/>
    <w:rsid w:val="008813C6"/>
    <w:rsid w:val="00881D31"/>
    <w:rsid w:val="008821BC"/>
    <w:rsid w:val="008821BF"/>
    <w:rsid w:val="00882372"/>
    <w:rsid w:val="00882741"/>
    <w:rsid w:val="00882AD3"/>
    <w:rsid w:val="00883101"/>
    <w:rsid w:val="00883120"/>
    <w:rsid w:val="00883312"/>
    <w:rsid w:val="0088352E"/>
    <w:rsid w:val="00883A3A"/>
    <w:rsid w:val="00883C75"/>
    <w:rsid w:val="00883CEF"/>
    <w:rsid w:val="00883D3F"/>
    <w:rsid w:val="0088405D"/>
    <w:rsid w:val="0088406F"/>
    <w:rsid w:val="008840B6"/>
    <w:rsid w:val="008840CC"/>
    <w:rsid w:val="00884601"/>
    <w:rsid w:val="00884A28"/>
    <w:rsid w:val="008850EA"/>
    <w:rsid w:val="00885379"/>
    <w:rsid w:val="00885499"/>
    <w:rsid w:val="008855DC"/>
    <w:rsid w:val="0088571B"/>
    <w:rsid w:val="0088590B"/>
    <w:rsid w:val="00885CB0"/>
    <w:rsid w:val="008864C3"/>
    <w:rsid w:val="00886673"/>
    <w:rsid w:val="008866CE"/>
    <w:rsid w:val="008867F1"/>
    <w:rsid w:val="00886990"/>
    <w:rsid w:val="00886B4B"/>
    <w:rsid w:val="00886DA5"/>
    <w:rsid w:val="00887675"/>
    <w:rsid w:val="008876C1"/>
    <w:rsid w:val="00887CD0"/>
    <w:rsid w:val="00887E27"/>
    <w:rsid w:val="00890931"/>
    <w:rsid w:val="00890CFC"/>
    <w:rsid w:val="00890E27"/>
    <w:rsid w:val="00891291"/>
    <w:rsid w:val="008915BA"/>
    <w:rsid w:val="0089171C"/>
    <w:rsid w:val="00892955"/>
    <w:rsid w:val="00893027"/>
    <w:rsid w:val="008937D9"/>
    <w:rsid w:val="00893BB1"/>
    <w:rsid w:val="00893D99"/>
    <w:rsid w:val="008942AB"/>
    <w:rsid w:val="0089453C"/>
    <w:rsid w:val="00894816"/>
    <w:rsid w:val="00894E38"/>
    <w:rsid w:val="00895641"/>
    <w:rsid w:val="00895CBC"/>
    <w:rsid w:val="00895DD0"/>
    <w:rsid w:val="00896312"/>
    <w:rsid w:val="00896553"/>
    <w:rsid w:val="00896804"/>
    <w:rsid w:val="00896987"/>
    <w:rsid w:val="0089763B"/>
    <w:rsid w:val="00897884"/>
    <w:rsid w:val="008A000A"/>
    <w:rsid w:val="008A0C05"/>
    <w:rsid w:val="008A0DFB"/>
    <w:rsid w:val="008A1118"/>
    <w:rsid w:val="008A14CC"/>
    <w:rsid w:val="008A163C"/>
    <w:rsid w:val="008A1AE5"/>
    <w:rsid w:val="008A20C7"/>
    <w:rsid w:val="008A238B"/>
    <w:rsid w:val="008A2B96"/>
    <w:rsid w:val="008A2F0D"/>
    <w:rsid w:val="008A3241"/>
    <w:rsid w:val="008A33A0"/>
    <w:rsid w:val="008A38C9"/>
    <w:rsid w:val="008A3D3A"/>
    <w:rsid w:val="008A3E68"/>
    <w:rsid w:val="008A41AF"/>
    <w:rsid w:val="008A464B"/>
    <w:rsid w:val="008A4C51"/>
    <w:rsid w:val="008A527C"/>
    <w:rsid w:val="008A5718"/>
    <w:rsid w:val="008A5B81"/>
    <w:rsid w:val="008A5F70"/>
    <w:rsid w:val="008A628B"/>
    <w:rsid w:val="008A687D"/>
    <w:rsid w:val="008A6A6C"/>
    <w:rsid w:val="008A6BB7"/>
    <w:rsid w:val="008A6ECD"/>
    <w:rsid w:val="008A784C"/>
    <w:rsid w:val="008A7F41"/>
    <w:rsid w:val="008B00AE"/>
    <w:rsid w:val="008B02EE"/>
    <w:rsid w:val="008B0E26"/>
    <w:rsid w:val="008B1DDC"/>
    <w:rsid w:val="008B2131"/>
    <w:rsid w:val="008B2182"/>
    <w:rsid w:val="008B2241"/>
    <w:rsid w:val="008B2558"/>
    <w:rsid w:val="008B3316"/>
    <w:rsid w:val="008B33ED"/>
    <w:rsid w:val="008B35DD"/>
    <w:rsid w:val="008B3AD4"/>
    <w:rsid w:val="008B4216"/>
    <w:rsid w:val="008B4651"/>
    <w:rsid w:val="008B4BAA"/>
    <w:rsid w:val="008B4FA8"/>
    <w:rsid w:val="008B5E35"/>
    <w:rsid w:val="008B60FF"/>
    <w:rsid w:val="008B653C"/>
    <w:rsid w:val="008B71DE"/>
    <w:rsid w:val="008B72BD"/>
    <w:rsid w:val="008B753D"/>
    <w:rsid w:val="008B7809"/>
    <w:rsid w:val="008C00C5"/>
    <w:rsid w:val="008C02C5"/>
    <w:rsid w:val="008C03CE"/>
    <w:rsid w:val="008C09C6"/>
    <w:rsid w:val="008C0D58"/>
    <w:rsid w:val="008C1909"/>
    <w:rsid w:val="008C1A57"/>
    <w:rsid w:val="008C1DEE"/>
    <w:rsid w:val="008C1FD9"/>
    <w:rsid w:val="008C256D"/>
    <w:rsid w:val="008C26AD"/>
    <w:rsid w:val="008C275D"/>
    <w:rsid w:val="008C2F95"/>
    <w:rsid w:val="008C4A58"/>
    <w:rsid w:val="008C5350"/>
    <w:rsid w:val="008C57D9"/>
    <w:rsid w:val="008C61D1"/>
    <w:rsid w:val="008C655F"/>
    <w:rsid w:val="008C6DB2"/>
    <w:rsid w:val="008C7305"/>
    <w:rsid w:val="008C744C"/>
    <w:rsid w:val="008C76C5"/>
    <w:rsid w:val="008C7E45"/>
    <w:rsid w:val="008D03CD"/>
    <w:rsid w:val="008D0717"/>
    <w:rsid w:val="008D08C1"/>
    <w:rsid w:val="008D08F7"/>
    <w:rsid w:val="008D1102"/>
    <w:rsid w:val="008D15DB"/>
    <w:rsid w:val="008D1CCE"/>
    <w:rsid w:val="008D21DB"/>
    <w:rsid w:val="008D27DE"/>
    <w:rsid w:val="008D2863"/>
    <w:rsid w:val="008D2A24"/>
    <w:rsid w:val="008D2DD3"/>
    <w:rsid w:val="008D3264"/>
    <w:rsid w:val="008D390B"/>
    <w:rsid w:val="008D40C0"/>
    <w:rsid w:val="008D4F8C"/>
    <w:rsid w:val="008D5BDF"/>
    <w:rsid w:val="008D5CA0"/>
    <w:rsid w:val="008D5D0E"/>
    <w:rsid w:val="008D5D24"/>
    <w:rsid w:val="008D6472"/>
    <w:rsid w:val="008D6ADF"/>
    <w:rsid w:val="008D71BD"/>
    <w:rsid w:val="008D7671"/>
    <w:rsid w:val="008D77A7"/>
    <w:rsid w:val="008E013F"/>
    <w:rsid w:val="008E0383"/>
    <w:rsid w:val="008E048D"/>
    <w:rsid w:val="008E0554"/>
    <w:rsid w:val="008E08A1"/>
    <w:rsid w:val="008E0A62"/>
    <w:rsid w:val="008E0AF9"/>
    <w:rsid w:val="008E12E2"/>
    <w:rsid w:val="008E19CE"/>
    <w:rsid w:val="008E19DE"/>
    <w:rsid w:val="008E20CC"/>
    <w:rsid w:val="008E27EC"/>
    <w:rsid w:val="008E2AEF"/>
    <w:rsid w:val="008E2D6A"/>
    <w:rsid w:val="008E3D0E"/>
    <w:rsid w:val="008E3D14"/>
    <w:rsid w:val="008E4CAB"/>
    <w:rsid w:val="008E519D"/>
    <w:rsid w:val="008E51B3"/>
    <w:rsid w:val="008E52FC"/>
    <w:rsid w:val="008E5439"/>
    <w:rsid w:val="008E5598"/>
    <w:rsid w:val="008E59A7"/>
    <w:rsid w:val="008E5C5A"/>
    <w:rsid w:val="008E5CD2"/>
    <w:rsid w:val="008E5FBA"/>
    <w:rsid w:val="008E6E3B"/>
    <w:rsid w:val="008E717D"/>
    <w:rsid w:val="008F0D60"/>
    <w:rsid w:val="008F0DDC"/>
    <w:rsid w:val="008F1017"/>
    <w:rsid w:val="008F132A"/>
    <w:rsid w:val="008F13FC"/>
    <w:rsid w:val="008F1467"/>
    <w:rsid w:val="008F1D31"/>
    <w:rsid w:val="008F1F39"/>
    <w:rsid w:val="008F1FD4"/>
    <w:rsid w:val="008F1FDE"/>
    <w:rsid w:val="008F21D6"/>
    <w:rsid w:val="008F23FE"/>
    <w:rsid w:val="008F25A5"/>
    <w:rsid w:val="008F2B04"/>
    <w:rsid w:val="008F2CEE"/>
    <w:rsid w:val="008F318C"/>
    <w:rsid w:val="008F36E4"/>
    <w:rsid w:val="008F372D"/>
    <w:rsid w:val="008F3977"/>
    <w:rsid w:val="008F3B9F"/>
    <w:rsid w:val="008F43A7"/>
    <w:rsid w:val="008F46DE"/>
    <w:rsid w:val="008F4D51"/>
    <w:rsid w:val="008F4DD2"/>
    <w:rsid w:val="008F50AE"/>
    <w:rsid w:val="008F6092"/>
    <w:rsid w:val="008F6A1D"/>
    <w:rsid w:val="008F6A58"/>
    <w:rsid w:val="008F6F2F"/>
    <w:rsid w:val="008F715E"/>
    <w:rsid w:val="00900034"/>
    <w:rsid w:val="009003CF"/>
    <w:rsid w:val="00900884"/>
    <w:rsid w:val="00900FFF"/>
    <w:rsid w:val="0090144E"/>
    <w:rsid w:val="00901543"/>
    <w:rsid w:val="0090154A"/>
    <w:rsid w:val="009017E6"/>
    <w:rsid w:val="00901826"/>
    <w:rsid w:val="00902352"/>
    <w:rsid w:val="00902E08"/>
    <w:rsid w:val="009033DE"/>
    <w:rsid w:val="0090364E"/>
    <w:rsid w:val="009036AA"/>
    <w:rsid w:val="00903AEC"/>
    <w:rsid w:val="00904353"/>
    <w:rsid w:val="009047CE"/>
    <w:rsid w:val="00904982"/>
    <w:rsid w:val="00904BD8"/>
    <w:rsid w:val="00904CAF"/>
    <w:rsid w:val="00905308"/>
    <w:rsid w:val="009055C7"/>
    <w:rsid w:val="009057D3"/>
    <w:rsid w:val="00905BE9"/>
    <w:rsid w:val="009060F3"/>
    <w:rsid w:val="0090635C"/>
    <w:rsid w:val="00906362"/>
    <w:rsid w:val="009066D0"/>
    <w:rsid w:val="00907CE1"/>
    <w:rsid w:val="0091050E"/>
    <w:rsid w:val="00910C2D"/>
    <w:rsid w:val="00910C7D"/>
    <w:rsid w:val="00910FEF"/>
    <w:rsid w:val="009119C6"/>
    <w:rsid w:val="00911B62"/>
    <w:rsid w:val="00911C32"/>
    <w:rsid w:val="0091260D"/>
    <w:rsid w:val="0091283C"/>
    <w:rsid w:val="00912CF4"/>
    <w:rsid w:val="009131CA"/>
    <w:rsid w:val="009139A9"/>
    <w:rsid w:val="00914547"/>
    <w:rsid w:val="009147D2"/>
    <w:rsid w:val="0091480F"/>
    <w:rsid w:val="00914D78"/>
    <w:rsid w:val="009153A3"/>
    <w:rsid w:val="0091663A"/>
    <w:rsid w:val="00916859"/>
    <w:rsid w:val="00916B41"/>
    <w:rsid w:val="00916BB7"/>
    <w:rsid w:val="0091703D"/>
    <w:rsid w:val="009175CE"/>
    <w:rsid w:val="0092014E"/>
    <w:rsid w:val="009206E2"/>
    <w:rsid w:val="0092109C"/>
    <w:rsid w:val="00921BAA"/>
    <w:rsid w:val="00921E2C"/>
    <w:rsid w:val="00921E46"/>
    <w:rsid w:val="009220DA"/>
    <w:rsid w:val="0092241D"/>
    <w:rsid w:val="0092330F"/>
    <w:rsid w:val="00923552"/>
    <w:rsid w:val="009236A3"/>
    <w:rsid w:val="009236CF"/>
    <w:rsid w:val="009236EB"/>
    <w:rsid w:val="00923801"/>
    <w:rsid w:val="00923D56"/>
    <w:rsid w:val="009242BA"/>
    <w:rsid w:val="00924A75"/>
    <w:rsid w:val="00924D5B"/>
    <w:rsid w:val="00924D78"/>
    <w:rsid w:val="009251A8"/>
    <w:rsid w:val="009253CC"/>
    <w:rsid w:val="00925ABD"/>
    <w:rsid w:val="00925AF5"/>
    <w:rsid w:val="009271B7"/>
    <w:rsid w:val="0092731D"/>
    <w:rsid w:val="0092743A"/>
    <w:rsid w:val="009275E2"/>
    <w:rsid w:val="0092767E"/>
    <w:rsid w:val="0093020D"/>
    <w:rsid w:val="009306F4"/>
    <w:rsid w:val="009309F5"/>
    <w:rsid w:val="009312C5"/>
    <w:rsid w:val="009314E4"/>
    <w:rsid w:val="009314EA"/>
    <w:rsid w:val="0093152D"/>
    <w:rsid w:val="00931A92"/>
    <w:rsid w:val="00931ABB"/>
    <w:rsid w:val="00931CB9"/>
    <w:rsid w:val="00931CE1"/>
    <w:rsid w:val="00932021"/>
    <w:rsid w:val="00932173"/>
    <w:rsid w:val="00932196"/>
    <w:rsid w:val="0093232A"/>
    <w:rsid w:val="0093269E"/>
    <w:rsid w:val="009326F0"/>
    <w:rsid w:val="00932BF9"/>
    <w:rsid w:val="00932F02"/>
    <w:rsid w:val="00933B2D"/>
    <w:rsid w:val="00934951"/>
    <w:rsid w:val="00934AAE"/>
    <w:rsid w:val="00934D03"/>
    <w:rsid w:val="0093560A"/>
    <w:rsid w:val="00935F6B"/>
    <w:rsid w:val="00936491"/>
    <w:rsid w:val="00936BB6"/>
    <w:rsid w:val="0093728D"/>
    <w:rsid w:val="00937B03"/>
    <w:rsid w:val="00937E40"/>
    <w:rsid w:val="00940023"/>
    <w:rsid w:val="00940192"/>
    <w:rsid w:val="0094046C"/>
    <w:rsid w:val="00940728"/>
    <w:rsid w:val="00940DF1"/>
    <w:rsid w:val="00940EEA"/>
    <w:rsid w:val="00940EFD"/>
    <w:rsid w:val="00941DDD"/>
    <w:rsid w:val="0094276F"/>
    <w:rsid w:val="00942C0A"/>
    <w:rsid w:val="00942C2A"/>
    <w:rsid w:val="009431AA"/>
    <w:rsid w:val="00943617"/>
    <w:rsid w:val="00943F8E"/>
    <w:rsid w:val="009440E3"/>
    <w:rsid w:val="00944188"/>
    <w:rsid w:val="00944450"/>
    <w:rsid w:val="0094509F"/>
    <w:rsid w:val="0094530A"/>
    <w:rsid w:val="00945376"/>
    <w:rsid w:val="00945938"/>
    <w:rsid w:val="009459E2"/>
    <w:rsid w:val="00945B03"/>
    <w:rsid w:val="00945BFC"/>
    <w:rsid w:val="009460F0"/>
    <w:rsid w:val="00946560"/>
    <w:rsid w:val="00946C60"/>
    <w:rsid w:val="00946CB7"/>
    <w:rsid w:val="00947215"/>
    <w:rsid w:val="00947C51"/>
    <w:rsid w:val="00947C9D"/>
    <w:rsid w:val="0095033C"/>
    <w:rsid w:val="00950F6F"/>
    <w:rsid w:val="00950FDE"/>
    <w:rsid w:val="009517E4"/>
    <w:rsid w:val="0095186E"/>
    <w:rsid w:val="00951894"/>
    <w:rsid w:val="00951920"/>
    <w:rsid w:val="009522A8"/>
    <w:rsid w:val="0095283D"/>
    <w:rsid w:val="00953046"/>
    <w:rsid w:val="00953F50"/>
    <w:rsid w:val="0095460C"/>
    <w:rsid w:val="0095481A"/>
    <w:rsid w:val="00954952"/>
    <w:rsid w:val="00954A52"/>
    <w:rsid w:val="0095500F"/>
    <w:rsid w:val="00955D93"/>
    <w:rsid w:val="00955E4A"/>
    <w:rsid w:val="00956040"/>
    <w:rsid w:val="009560A0"/>
    <w:rsid w:val="00956366"/>
    <w:rsid w:val="00956740"/>
    <w:rsid w:val="0095693F"/>
    <w:rsid w:val="00956C83"/>
    <w:rsid w:val="009570BB"/>
    <w:rsid w:val="00957558"/>
    <w:rsid w:val="009576EB"/>
    <w:rsid w:val="00957A37"/>
    <w:rsid w:val="00957ACB"/>
    <w:rsid w:val="00957DC5"/>
    <w:rsid w:val="00957FDF"/>
    <w:rsid w:val="009600F4"/>
    <w:rsid w:val="009602F1"/>
    <w:rsid w:val="0096044B"/>
    <w:rsid w:val="009605B5"/>
    <w:rsid w:val="00960A7E"/>
    <w:rsid w:val="00960B67"/>
    <w:rsid w:val="009611B9"/>
    <w:rsid w:val="0096162C"/>
    <w:rsid w:val="00961739"/>
    <w:rsid w:val="00961B41"/>
    <w:rsid w:val="00962CDB"/>
    <w:rsid w:val="00962E9B"/>
    <w:rsid w:val="00963857"/>
    <w:rsid w:val="00963B31"/>
    <w:rsid w:val="00963BFB"/>
    <w:rsid w:val="00963EA6"/>
    <w:rsid w:val="009640C6"/>
    <w:rsid w:val="009648CE"/>
    <w:rsid w:val="00964909"/>
    <w:rsid w:val="009649ED"/>
    <w:rsid w:val="00964A81"/>
    <w:rsid w:val="00964B38"/>
    <w:rsid w:val="00965025"/>
    <w:rsid w:val="00965417"/>
    <w:rsid w:val="00965B42"/>
    <w:rsid w:val="00966052"/>
    <w:rsid w:val="0096653C"/>
    <w:rsid w:val="009665BB"/>
    <w:rsid w:val="009668D2"/>
    <w:rsid w:val="00966D21"/>
    <w:rsid w:val="00966DC0"/>
    <w:rsid w:val="009675F9"/>
    <w:rsid w:val="009677BC"/>
    <w:rsid w:val="00967859"/>
    <w:rsid w:val="009678D3"/>
    <w:rsid w:val="00967D44"/>
    <w:rsid w:val="00970388"/>
    <w:rsid w:val="0097040F"/>
    <w:rsid w:val="00970437"/>
    <w:rsid w:val="00970479"/>
    <w:rsid w:val="00970573"/>
    <w:rsid w:val="009710CA"/>
    <w:rsid w:val="00971466"/>
    <w:rsid w:val="009719B8"/>
    <w:rsid w:val="00971CE7"/>
    <w:rsid w:val="00971F5B"/>
    <w:rsid w:val="00972688"/>
    <w:rsid w:val="00972F81"/>
    <w:rsid w:val="0097330B"/>
    <w:rsid w:val="00973673"/>
    <w:rsid w:val="00973D3C"/>
    <w:rsid w:val="00974589"/>
    <w:rsid w:val="00974873"/>
    <w:rsid w:val="00974FEF"/>
    <w:rsid w:val="009751AB"/>
    <w:rsid w:val="00975422"/>
    <w:rsid w:val="00975C02"/>
    <w:rsid w:val="00976182"/>
    <w:rsid w:val="0097643A"/>
    <w:rsid w:val="009765FD"/>
    <w:rsid w:val="00976C04"/>
    <w:rsid w:val="009771FE"/>
    <w:rsid w:val="00977333"/>
    <w:rsid w:val="0097737C"/>
    <w:rsid w:val="00977735"/>
    <w:rsid w:val="00977995"/>
    <w:rsid w:val="00977D42"/>
    <w:rsid w:val="00980790"/>
    <w:rsid w:val="00980E39"/>
    <w:rsid w:val="009811FD"/>
    <w:rsid w:val="00981B6F"/>
    <w:rsid w:val="00981BDA"/>
    <w:rsid w:val="00981E17"/>
    <w:rsid w:val="00982134"/>
    <w:rsid w:val="009828E0"/>
    <w:rsid w:val="009838B2"/>
    <w:rsid w:val="00983AC6"/>
    <w:rsid w:val="009848BE"/>
    <w:rsid w:val="009849DF"/>
    <w:rsid w:val="00984F04"/>
    <w:rsid w:val="009853C2"/>
    <w:rsid w:val="00985555"/>
    <w:rsid w:val="00985740"/>
    <w:rsid w:val="009858B4"/>
    <w:rsid w:val="00985921"/>
    <w:rsid w:val="009859AA"/>
    <w:rsid w:val="00985DB8"/>
    <w:rsid w:val="00985DF2"/>
    <w:rsid w:val="00986213"/>
    <w:rsid w:val="0098689E"/>
    <w:rsid w:val="00986AE7"/>
    <w:rsid w:val="00986BC5"/>
    <w:rsid w:val="00986F89"/>
    <w:rsid w:val="0099073E"/>
    <w:rsid w:val="009909BA"/>
    <w:rsid w:val="00990AAF"/>
    <w:rsid w:val="00990D05"/>
    <w:rsid w:val="00990D32"/>
    <w:rsid w:val="00990E62"/>
    <w:rsid w:val="00990EED"/>
    <w:rsid w:val="0099126C"/>
    <w:rsid w:val="009914A2"/>
    <w:rsid w:val="009917D0"/>
    <w:rsid w:val="009928B8"/>
    <w:rsid w:val="00992AC8"/>
    <w:rsid w:val="00992EB3"/>
    <w:rsid w:val="00993806"/>
    <w:rsid w:val="00993D53"/>
    <w:rsid w:val="009949B5"/>
    <w:rsid w:val="00994B0A"/>
    <w:rsid w:val="00994B85"/>
    <w:rsid w:val="0099581A"/>
    <w:rsid w:val="009958E4"/>
    <w:rsid w:val="00995974"/>
    <w:rsid w:val="009964EB"/>
    <w:rsid w:val="00996610"/>
    <w:rsid w:val="00996AE0"/>
    <w:rsid w:val="009970FA"/>
    <w:rsid w:val="009975D7"/>
    <w:rsid w:val="0099786F"/>
    <w:rsid w:val="009A03F0"/>
    <w:rsid w:val="009A044D"/>
    <w:rsid w:val="009A065D"/>
    <w:rsid w:val="009A07DA"/>
    <w:rsid w:val="009A0B3E"/>
    <w:rsid w:val="009A0F9F"/>
    <w:rsid w:val="009A1614"/>
    <w:rsid w:val="009A18E8"/>
    <w:rsid w:val="009A1B83"/>
    <w:rsid w:val="009A2357"/>
    <w:rsid w:val="009A25CA"/>
    <w:rsid w:val="009A2A44"/>
    <w:rsid w:val="009A2C7E"/>
    <w:rsid w:val="009A2F44"/>
    <w:rsid w:val="009A351B"/>
    <w:rsid w:val="009A3671"/>
    <w:rsid w:val="009A38EB"/>
    <w:rsid w:val="009A3D97"/>
    <w:rsid w:val="009A40C1"/>
    <w:rsid w:val="009A4691"/>
    <w:rsid w:val="009A5E12"/>
    <w:rsid w:val="009A5F8A"/>
    <w:rsid w:val="009A60A0"/>
    <w:rsid w:val="009A65E6"/>
    <w:rsid w:val="009A68C8"/>
    <w:rsid w:val="009A7176"/>
    <w:rsid w:val="009A7311"/>
    <w:rsid w:val="009A7D17"/>
    <w:rsid w:val="009B0032"/>
    <w:rsid w:val="009B0DFF"/>
    <w:rsid w:val="009B1C07"/>
    <w:rsid w:val="009B1F58"/>
    <w:rsid w:val="009B223A"/>
    <w:rsid w:val="009B230A"/>
    <w:rsid w:val="009B24B4"/>
    <w:rsid w:val="009B280D"/>
    <w:rsid w:val="009B316E"/>
    <w:rsid w:val="009B39DF"/>
    <w:rsid w:val="009B3C8A"/>
    <w:rsid w:val="009B42CB"/>
    <w:rsid w:val="009B4676"/>
    <w:rsid w:val="009B4BFF"/>
    <w:rsid w:val="009B4CBD"/>
    <w:rsid w:val="009B4FAC"/>
    <w:rsid w:val="009B5314"/>
    <w:rsid w:val="009B58F6"/>
    <w:rsid w:val="009B5A9C"/>
    <w:rsid w:val="009B61D0"/>
    <w:rsid w:val="009B64C2"/>
    <w:rsid w:val="009B6946"/>
    <w:rsid w:val="009B69D6"/>
    <w:rsid w:val="009B6BB5"/>
    <w:rsid w:val="009B7012"/>
    <w:rsid w:val="009B719F"/>
    <w:rsid w:val="009B7597"/>
    <w:rsid w:val="009B75F2"/>
    <w:rsid w:val="009B7DE4"/>
    <w:rsid w:val="009B7E5F"/>
    <w:rsid w:val="009B7E70"/>
    <w:rsid w:val="009C0176"/>
    <w:rsid w:val="009C0407"/>
    <w:rsid w:val="009C04B6"/>
    <w:rsid w:val="009C0813"/>
    <w:rsid w:val="009C0E11"/>
    <w:rsid w:val="009C0F54"/>
    <w:rsid w:val="009C148D"/>
    <w:rsid w:val="009C1C63"/>
    <w:rsid w:val="009C21A3"/>
    <w:rsid w:val="009C2525"/>
    <w:rsid w:val="009C2759"/>
    <w:rsid w:val="009C32D8"/>
    <w:rsid w:val="009C37EC"/>
    <w:rsid w:val="009C3A7A"/>
    <w:rsid w:val="009C3A99"/>
    <w:rsid w:val="009C4275"/>
    <w:rsid w:val="009C462B"/>
    <w:rsid w:val="009C4FB3"/>
    <w:rsid w:val="009C52CA"/>
    <w:rsid w:val="009C5348"/>
    <w:rsid w:val="009C590C"/>
    <w:rsid w:val="009C5D8A"/>
    <w:rsid w:val="009C6907"/>
    <w:rsid w:val="009C6C99"/>
    <w:rsid w:val="009C6F74"/>
    <w:rsid w:val="009C7311"/>
    <w:rsid w:val="009C7374"/>
    <w:rsid w:val="009C75B1"/>
    <w:rsid w:val="009C7D10"/>
    <w:rsid w:val="009D0749"/>
    <w:rsid w:val="009D0B60"/>
    <w:rsid w:val="009D0BDA"/>
    <w:rsid w:val="009D0C11"/>
    <w:rsid w:val="009D131C"/>
    <w:rsid w:val="009D1824"/>
    <w:rsid w:val="009D1874"/>
    <w:rsid w:val="009D18A5"/>
    <w:rsid w:val="009D1DDA"/>
    <w:rsid w:val="009D201D"/>
    <w:rsid w:val="009D20F6"/>
    <w:rsid w:val="009D38FB"/>
    <w:rsid w:val="009D422A"/>
    <w:rsid w:val="009D429A"/>
    <w:rsid w:val="009D43AA"/>
    <w:rsid w:val="009D4495"/>
    <w:rsid w:val="009D49A1"/>
    <w:rsid w:val="009D4DAF"/>
    <w:rsid w:val="009D509A"/>
    <w:rsid w:val="009D5489"/>
    <w:rsid w:val="009D5614"/>
    <w:rsid w:val="009D5FD6"/>
    <w:rsid w:val="009D6434"/>
    <w:rsid w:val="009D69D8"/>
    <w:rsid w:val="009D6A3D"/>
    <w:rsid w:val="009D6EBC"/>
    <w:rsid w:val="009D6F4F"/>
    <w:rsid w:val="009D74A7"/>
    <w:rsid w:val="009D7FA8"/>
    <w:rsid w:val="009E0285"/>
    <w:rsid w:val="009E05CD"/>
    <w:rsid w:val="009E0DEB"/>
    <w:rsid w:val="009E1E8E"/>
    <w:rsid w:val="009E2183"/>
    <w:rsid w:val="009E374D"/>
    <w:rsid w:val="009E3A92"/>
    <w:rsid w:val="009E3FA1"/>
    <w:rsid w:val="009E47D0"/>
    <w:rsid w:val="009E4E80"/>
    <w:rsid w:val="009E5031"/>
    <w:rsid w:val="009E5239"/>
    <w:rsid w:val="009E5259"/>
    <w:rsid w:val="009E5385"/>
    <w:rsid w:val="009E544B"/>
    <w:rsid w:val="009E5BD0"/>
    <w:rsid w:val="009E5F7E"/>
    <w:rsid w:val="009E5FB9"/>
    <w:rsid w:val="009E6165"/>
    <w:rsid w:val="009E641D"/>
    <w:rsid w:val="009E6499"/>
    <w:rsid w:val="009E6EC2"/>
    <w:rsid w:val="009E6EE9"/>
    <w:rsid w:val="009E705A"/>
    <w:rsid w:val="009E71F0"/>
    <w:rsid w:val="009E7424"/>
    <w:rsid w:val="009E7A0D"/>
    <w:rsid w:val="009E7ABD"/>
    <w:rsid w:val="009E7AC0"/>
    <w:rsid w:val="009F0038"/>
    <w:rsid w:val="009F0609"/>
    <w:rsid w:val="009F06E6"/>
    <w:rsid w:val="009F0976"/>
    <w:rsid w:val="009F0CA6"/>
    <w:rsid w:val="009F0D70"/>
    <w:rsid w:val="009F1E03"/>
    <w:rsid w:val="009F2054"/>
    <w:rsid w:val="009F2250"/>
    <w:rsid w:val="009F2254"/>
    <w:rsid w:val="009F243E"/>
    <w:rsid w:val="009F2CBA"/>
    <w:rsid w:val="009F2D97"/>
    <w:rsid w:val="009F2FFE"/>
    <w:rsid w:val="009F307B"/>
    <w:rsid w:val="009F3143"/>
    <w:rsid w:val="009F4027"/>
    <w:rsid w:val="009F41E9"/>
    <w:rsid w:val="009F42B6"/>
    <w:rsid w:val="009F44C4"/>
    <w:rsid w:val="009F5412"/>
    <w:rsid w:val="009F55BD"/>
    <w:rsid w:val="009F5700"/>
    <w:rsid w:val="009F5768"/>
    <w:rsid w:val="009F5A71"/>
    <w:rsid w:val="009F5F85"/>
    <w:rsid w:val="009F6163"/>
    <w:rsid w:val="009F64C7"/>
    <w:rsid w:val="009F66FE"/>
    <w:rsid w:val="009F6880"/>
    <w:rsid w:val="009F6AD3"/>
    <w:rsid w:val="009F7FB2"/>
    <w:rsid w:val="00A00196"/>
    <w:rsid w:val="00A00370"/>
    <w:rsid w:val="00A00706"/>
    <w:rsid w:val="00A00DBB"/>
    <w:rsid w:val="00A01195"/>
    <w:rsid w:val="00A013A6"/>
    <w:rsid w:val="00A01453"/>
    <w:rsid w:val="00A01708"/>
    <w:rsid w:val="00A018AD"/>
    <w:rsid w:val="00A01BCB"/>
    <w:rsid w:val="00A01E35"/>
    <w:rsid w:val="00A02012"/>
    <w:rsid w:val="00A02104"/>
    <w:rsid w:val="00A02184"/>
    <w:rsid w:val="00A025E8"/>
    <w:rsid w:val="00A03DAD"/>
    <w:rsid w:val="00A04221"/>
    <w:rsid w:val="00A0464F"/>
    <w:rsid w:val="00A0473E"/>
    <w:rsid w:val="00A048C0"/>
    <w:rsid w:val="00A04B32"/>
    <w:rsid w:val="00A05597"/>
    <w:rsid w:val="00A05948"/>
    <w:rsid w:val="00A05BEB"/>
    <w:rsid w:val="00A06EC7"/>
    <w:rsid w:val="00A0716E"/>
    <w:rsid w:val="00A07311"/>
    <w:rsid w:val="00A074E7"/>
    <w:rsid w:val="00A078E6"/>
    <w:rsid w:val="00A07A35"/>
    <w:rsid w:val="00A10E9F"/>
    <w:rsid w:val="00A10FF1"/>
    <w:rsid w:val="00A113A8"/>
    <w:rsid w:val="00A11BDF"/>
    <w:rsid w:val="00A11D84"/>
    <w:rsid w:val="00A11F16"/>
    <w:rsid w:val="00A126A3"/>
    <w:rsid w:val="00A136E1"/>
    <w:rsid w:val="00A13A93"/>
    <w:rsid w:val="00A13D42"/>
    <w:rsid w:val="00A14214"/>
    <w:rsid w:val="00A145A9"/>
    <w:rsid w:val="00A14FDE"/>
    <w:rsid w:val="00A15196"/>
    <w:rsid w:val="00A158B9"/>
    <w:rsid w:val="00A1594D"/>
    <w:rsid w:val="00A16266"/>
    <w:rsid w:val="00A1644D"/>
    <w:rsid w:val="00A16A42"/>
    <w:rsid w:val="00A16CCB"/>
    <w:rsid w:val="00A16D43"/>
    <w:rsid w:val="00A16DD2"/>
    <w:rsid w:val="00A17216"/>
    <w:rsid w:val="00A1771E"/>
    <w:rsid w:val="00A20043"/>
    <w:rsid w:val="00A20049"/>
    <w:rsid w:val="00A20222"/>
    <w:rsid w:val="00A2025D"/>
    <w:rsid w:val="00A2050E"/>
    <w:rsid w:val="00A209ED"/>
    <w:rsid w:val="00A20D88"/>
    <w:rsid w:val="00A20DB8"/>
    <w:rsid w:val="00A212FB"/>
    <w:rsid w:val="00A2154E"/>
    <w:rsid w:val="00A21AD5"/>
    <w:rsid w:val="00A21C28"/>
    <w:rsid w:val="00A21DC2"/>
    <w:rsid w:val="00A21F84"/>
    <w:rsid w:val="00A221CB"/>
    <w:rsid w:val="00A227F5"/>
    <w:rsid w:val="00A228B1"/>
    <w:rsid w:val="00A2293E"/>
    <w:rsid w:val="00A2373C"/>
    <w:rsid w:val="00A2376C"/>
    <w:rsid w:val="00A23CA0"/>
    <w:rsid w:val="00A23FAE"/>
    <w:rsid w:val="00A24508"/>
    <w:rsid w:val="00A245DE"/>
    <w:rsid w:val="00A247CC"/>
    <w:rsid w:val="00A24861"/>
    <w:rsid w:val="00A249B8"/>
    <w:rsid w:val="00A24E81"/>
    <w:rsid w:val="00A2554E"/>
    <w:rsid w:val="00A25D42"/>
    <w:rsid w:val="00A25DEB"/>
    <w:rsid w:val="00A25E6E"/>
    <w:rsid w:val="00A25EB9"/>
    <w:rsid w:val="00A25F4E"/>
    <w:rsid w:val="00A2683A"/>
    <w:rsid w:val="00A26876"/>
    <w:rsid w:val="00A26B9A"/>
    <w:rsid w:val="00A26FD5"/>
    <w:rsid w:val="00A2704D"/>
    <w:rsid w:val="00A274F7"/>
    <w:rsid w:val="00A27530"/>
    <w:rsid w:val="00A2781A"/>
    <w:rsid w:val="00A2798F"/>
    <w:rsid w:val="00A30736"/>
    <w:rsid w:val="00A30B2F"/>
    <w:rsid w:val="00A3144F"/>
    <w:rsid w:val="00A31824"/>
    <w:rsid w:val="00A31D33"/>
    <w:rsid w:val="00A320BD"/>
    <w:rsid w:val="00A32748"/>
    <w:rsid w:val="00A32A27"/>
    <w:rsid w:val="00A32DE1"/>
    <w:rsid w:val="00A32E66"/>
    <w:rsid w:val="00A33029"/>
    <w:rsid w:val="00A3325E"/>
    <w:rsid w:val="00A33AAC"/>
    <w:rsid w:val="00A3468F"/>
    <w:rsid w:val="00A34781"/>
    <w:rsid w:val="00A34B7C"/>
    <w:rsid w:val="00A34DA0"/>
    <w:rsid w:val="00A35177"/>
    <w:rsid w:val="00A35347"/>
    <w:rsid w:val="00A35625"/>
    <w:rsid w:val="00A35AFF"/>
    <w:rsid w:val="00A35BC1"/>
    <w:rsid w:val="00A35FAF"/>
    <w:rsid w:val="00A366A4"/>
    <w:rsid w:val="00A368A2"/>
    <w:rsid w:val="00A36966"/>
    <w:rsid w:val="00A36ED7"/>
    <w:rsid w:val="00A37200"/>
    <w:rsid w:val="00A37513"/>
    <w:rsid w:val="00A377A0"/>
    <w:rsid w:val="00A37D00"/>
    <w:rsid w:val="00A402A6"/>
    <w:rsid w:val="00A40439"/>
    <w:rsid w:val="00A40768"/>
    <w:rsid w:val="00A409E1"/>
    <w:rsid w:val="00A40DA3"/>
    <w:rsid w:val="00A40DC3"/>
    <w:rsid w:val="00A41176"/>
    <w:rsid w:val="00A412A8"/>
    <w:rsid w:val="00A417CA"/>
    <w:rsid w:val="00A4189C"/>
    <w:rsid w:val="00A41D7B"/>
    <w:rsid w:val="00A427D5"/>
    <w:rsid w:val="00A427E4"/>
    <w:rsid w:val="00A427F5"/>
    <w:rsid w:val="00A42811"/>
    <w:rsid w:val="00A428FF"/>
    <w:rsid w:val="00A42C45"/>
    <w:rsid w:val="00A42ECD"/>
    <w:rsid w:val="00A43D6C"/>
    <w:rsid w:val="00A44205"/>
    <w:rsid w:val="00A4495C"/>
    <w:rsid w:val="00A449DB"/>
    <w:rsid w:val="00A44A79"/>
    <w:rsid w:val="00A44CA2"/>
    <w:rsid w:val="00A44F15"/>
    <w:rsid w:val="00A45015"/>
    <w:rsid w:val="00A45581"/>
    <w:rsid w:val="00A4577E"/>
    <w:rsid w:val="00A45DD6"/>
    <w:rsid w:val="00A46AAE"/>
    <w:rsid w:val="00A47507"/>
    <w:rsid w:val="00A47768"/>
    <w:rsid w:val="00A50731"/>
    <w:rsid w:val="00A50BC2"/>
    <w:rsid w:val="00A50C6C"/>
    <w:rsid w:val="00A51540"/>
    <w:rsid w:val="00A524F7"/>
    <w:rsid w:val="00A5266C"/>
    <w:rsid w:val="00A52A0D"/>
    <w:rsid w:val="00A53241"/>
    <w:rsid w:val="00A532B2"/>
    <w:rsid w:val="00A53462"/>
    <w:rsid w:val="00A538D5"/>
    <w:rsid w:val="00A539A1"/>
    <w:rsid w:val="00A54379"/>
    <w:rsid w:val="00A543BB"/>
    <w:rsid w:val="00A549AD"/>
    <w:rsid w:val="00A54B9F"/>
    <w:rsid w:val="00A54EBC"/>
    <w:rsid w:val="00A55134"/>
    <w:rsid w:val="00A55180"/>
    <w:rsid w:val="00A554A0"/>
    <w:rsid w:val="00A560DE"/>
    <w:rsid w:val="00A56384"/>
    <w:rsid w:val="00A564B7"/>
    <w:rsid w:val="00A569DE"/>
    <w:rsid w:val="00A571D3"/>
    <w:rsid w:val="00A60170"/>
    <w:rsid w:val="00A6042F"/>
    <w:rsid w:val="00A608BD"/>
    <w:rsid w:val="00A60E83"/>
    <w:rsid w:val="00A60F45"/>
    <w:rsid w:val="00A60FE3"/>
    <w:rsid w:val="00A610D1"/>
    <w:rsid w:val="00A6177B"/>
    <w:rsid w:val="00A61DE5"/>
    <w:rsid w:val="00A61DF5"/>
    <w:rsid w:val="00A628B8"/>
    <w:rsid w:val="00A6299D"/>
    <w:rsid w:val="00A62B7D"/>
    <w:rsid w:val="00A62FA4"/>
    <w:rsid w:val="00A63829"/>
    <w:rsid w:val="00A6393C"/>
    <w:rsid w:val="00A63D3C"/>
    <w:rsid w:val="00A65469"/>
    <w:rsid w:val="00A65695"/>
    <w:rsid w:val="00A658E9"/>
    <w:rsid w:val="00A6631B"/>
    <w:rsid w:val="00A666A8"/>
    <w:rsid w:val="00A66804"/>
    <w:rsid w:val="00A6787F"/>
    <w:rsid w:val="00A67FF0"/>
    <w:rsid w:val="00A706E0"/>
    <w:rsid w:val="00A70790"/>
    <w:rsid w:val="00A709E7"/>
    <w:rsid w:val="00A70B4E"/>
    <w:rsid w:val="00A710B5"/>
    <w:rsid w:val="00A7127A"/>
    <w:rsid w:val="00A71499"/>
    <w:rsid w:val="00A71E4B"/>
    <w:rsid w:val="00A72186"/>
    <w:rsid w:val="00A72819"/>
    <w:rsid w:val="00A7372D"/>
    <w:rsid w:val="00A73758"/>
    <w:rsid w:val="00A73AC5"/>
    <w:rsid w:val="00A740B2"/>
    <w:rsid w:val="00A7437F"/>
    <w:rsid w:val="00A74456"/>
    <w:rsid w:val="00A747D3"/>
    <w:rsid w:val="00A74AAA"/>
    <w:rsid w:val="00A74C94"/>
    <w:rsid w:val="00A74F4F"/>
    <w:rsid w:val="00A74F8D"/>
    <w:rsid w:val="00A75308"/>
    <w:rsid w:val="00A75E77"/>
    <w:rsid w:val="00A762C7"/>
    <w:rsid w:val="00A76A05"/>
    <w:rsid w:val="00A77932"/>
    <w:rsid w:val="00A77B04"/>
    <w:rsid w:val="00A77E02"/>
    <w:rsid w:val="00A77F59"/>
    <w:rsid w:val="00A8001B"/>
    <w:rsid w:val="00A80101"/>
    <w:rsid w:val="00A80B53"/>
    <w:rsid w:val="00A815FD"/>
    <w:rsid w:val="00A82480"/>
    <w:rsid w:val="00A82AF3"/>
    <w:rsid w:val="00A82C19"/>
    <w:rsid w:val="00A82DBB"/>
    <w:rsid w:val="00A83556"/>
    <w:rsid w:val="00A83670"/>
    <w:rsid w:val="00A83891"/>
    <w:rsid w:val="00A83997"/>
    <w:rsid w:val="00A83A27"/>
    <w:rsid w:val="00A83ADF"/>
    <w:rsid w:val="00A83C58"/>
    <w:rsid w:val="00A84031"/>
    <w:rsid w:val="00A840E0"/>
    <w:rsid w:val="00A840FA"/>
    <w:rsid w:val="00A84373"/>
    <w:rsid w:val="00A84655"/>
    <w:rsid w:val="00A84768"/>
    <w:rsid w:val="00A847D4"/>
    <w:rsid w:val="00A84A91"/>
    <w:rsid w:val="00A84F3F"/>
    <w:rsid w:val="00A85129"/>
    <w:rsid w:val="00A857A4"/>
    <w:rsid w:val="00A85943"/>
    <w:rsid w:val="00A85C71"/>
    <w:rsid w:val="00A85D4B"/>
    <w:rsid w:val="00A86625"/>
    <w:rsid w:val="00A86AE4"/>
    <w:rsid w:val="00A86E51"/>
    <w:rsid w:val="00A870D9"/>
    <w:rsid w:val="00A870E1"/>
    <w:rsid w:val="00A87B78"/>
    <w:rsid w:val="00A87CB4"/>
    <w:rsid w:val="00A9009E"/>
    <w:rsid w:val="00A90498"/>
    <w:rsid w:val="00A90F01"/>
    <w:rsid w:val="00A91246"/>
    <w:rsid w:val="00A915BF"/>
    <w:rsid w:val="00A91F0A"/>
    <w:rsid w:val="00A91FDB"/>
    <w:rsid w:val="00A921DB"/>
    <w:rsid w:val="00A926A5"/>
    <w:rsid w:val="00A92B9C"/>
    <w:rsid w:val="00A9369D"/>
    <w:rsid w:val="00A93F4A"/>
    <w:rsid w:val="00A9420C"/>
    <w:rsid w:val="00A94741"/>
    <w:rsid w:val="00A95639"/>
    <w:rsid w:val="00A958D0"/>
    <w:rsid w:val="00A95ADD"/>
    <w:rsid w:val="00A95BAF"/>
    <w:rsid w:val="00A95D70"/>
    <w:rsid w:val="00A960ED"/>
    <w:rsid w:val="00A96376"/>
    <w:rsid w:val="00A963FD"/>
    <w:rsid w:val="00A96783"/>
    <w:rsid w:val="00A96886"/>
    <w:rsid w:val="00A96D8C"/>
    <w:rsid w:val="00A97D48"/>
    <w:rsid w:val="00AA006A"/>
    <w:rsid w:val="00AA090F"/>
    <w:rsid w:val="00AA10AB"/>
    <w:rsid w:val="00AA1E5C"/>
    <w:rsid w:val="00AA1EB8"/>
    <w:rsid w:val="00AA2693"/>
    <w:rsid w:val="00AA368D"/>
    <w:rsid w:val="00AA36E7"/>
    <w:rsid w:val="00AA37DC"/>
    <w:rsid w:val="00AA3B74"/>
    <w:rsid w:val="00AA3CCF"/>
    <w:rsid w:val="00AA3F29"/>
    <w:rsid w:val="00AA412C"/>
    <w:rsid w:val="00AA5069"/>
    <w:rsid w:val="00AA565C"/>
    <w:rsid w:val="00AA56F3"/>
    <w:rsid w:val="00AA57C0"/>
    <w:rsid w:val="00AA6113"/>
    <w:rsid w:val="00AA6678"/>
    <w:rsid w:val="00AA7D11"/>
    <w:rsid w:val="00AB0BE9"/>
    <w:rsid w:val="00AB0D88"/>
    <w:rsid w:val="00AB11BB"/>
    <w:rsid w:val="00AB12AB"/>
    <w:rsid w:val="00AB1461"/>
    <w:rsid w:val="00AB1C08"/>
    <w:rsid w:val="00AB24AE"/>
    <w:rsid w:val="00AB2827"/>
    <w:rsid w:val="00AB3357"/>
    <w:rsid w:val="00AB35C2"/>
    <w:rsid w:val="00AB35EB"/>
    <w:rsid w:val="00AB3E67"/>
    <w:rsid w:val="00AB4888"/>
    <w:rsid w:val="00AB4CD3"/>
    <w:rsid w:val="00AB4FA1"/>
    <w:rsid w:val="00AB51CD"/>
    <w:rsid w:val="00AB5255"/>
    <w:rsid w:val="00AB5438"/>
    <w:rsid w:val="00AB5457"/>
    <w:rsid w:val="00AB5694"/>
    <w:rsid w:val="00AB5D72"/>
    <w:rsid w:val="00AB6ADE"/>
    <w:rsid w:val="00AB6C3D"/>
    <w:rsid w:val="00AB7170"/>
    <w:rsid w:val="00AB71D9"/>
    <w:rsid w:val="00AB79B4"/>
    <w:rsid w:val="00AC011C"/>
    <w:rsid w:val="00AC0BDC"/>
    <w:rsid w:val="00AC0E5B"/>
    <w:rsid w:val="00AC1256"/>
    <w:rsid w:val="00AC1D91"/>
    <w:rsid w:val="00AC208B"/>
    <w:rsid w:val="00AC21EB"/>
    <w:rsid w:val="00AC21FA"/>
    <w:rsid w:val="00AC25F5"/>
    <w:rsid w:val="00AC2648"/>
    <w:rsid w:val="00AC2A76"/>
    <w:rsid w:val="00AC2FC4"/>
    <w:rsid w:val="00AC4DE9"/>
    <w:rsid w:val="00AC5238"/>
    <w:rsid w:val="00AC5B77"/>
    <w:rsid w:val="00AC68D3"/>
    <w:rsid w:val="00AC6E87"/>
    <w:rsid w:val="00AC71BA"/>
    <w:rsid w:val="00AC7AF5"/>
    <w:rsid w:val="00AC7CCF"/>
    <w:rsid w:val="00AC7E30"/>
    <w:rsid w:val="00AD0267"/>
    <w:rsid w:val="00AD073C"/>
    <w:rsid w:val="00AD091C"/>
    <w:rsid w:val="00AD0A3B"/>
    <w:rsid w:val="00AD1B71"/>
    <w:rsid w:val="00AD1CFC"/>
    <w:rsid w:val="00AD27E0"/>
    <w:rsid w:val="00AD2A70"/>
    <w:rsid w:val="00AD2AC8"/>
    <w:rsid w:val="00AD33ED"/>
    <w:rsid w:val="00AD3586"/>
    <w:rsid w:val="00AD3A9C"/>
    <w:rsid w:val="00AD4A67"/>
    <w:rsid w:val="00AD56E6"/>
    <w:rsid w:val="00AD639D"/>
    <w:rsid w:val="00AD6A85"/>
    <w:rsid w:val="00AD6C63"/>
    <w:rsid w:val="00AD7199"/>
    <w:rsid w:val="00AD7317"/>
    <w:rsid w:val="00AD7548"/>
    <w:rsid w:val="00AD75FD"/>
    <w:rsid w:val="00AD7AA9"/>
    <w:rsid w:val="00AD7D82"/>
    <w:rsid w:val="00AE0925"/>
    <w:rsid w:val="00AE173B"/>
    <w:rsid w:val="00AE3977"/>
    <w:rsid w:val="00AE3A8B"/>
    <w:rsid w:val="00AE3CCD"/>
    <w:rsid w:val="00AE43BC"/>
    <w:rsid w:val="00AE452C"/>
    <w:rsid w:val="00AE4A65"/>
    <w:rsid w:val="00AE4EC6"/>
    <w:rsid w:val="00AE55F2"/>
    <w:rsid w:val="00AE588F"/>
    <w:rsid w:val="00AE59A3"/>
    <w:rsid w:val="00AE59F9"/>
    <w:rsid w:val="00AE5B4E"/>
    <w:rsid w:val="00AE5EAA"/>
    <w:rsid w:val="00AE60FC"/>
    <w:rsid w:val="00AE6303"/>
    <w:rsid w:val="00AE67C8"/>
    <w:rsid w:val="00AE6EFF"/>
    <w:rsid w:val="00AE7838"/>
    <w:rsid w:val="00AE7B33"/>
    <w:rsid w:val="00AE7B57"/>
    <w:rsid w:val="00AE7ED2"/>
    <w:rsid w:val="00AF0039"/>
    <w:rsid w:val="00AF0466"/>
    <w:rsid w:val="00AF072D"/>
    <w:rsid w:val="00AF074E"/>
    <w:rsid w:val="00AF188E"/>
    <w:rsid w:val="00AF1B75"/>
    <w:rsid w:val="00AF1E19"/>
    <w:rsid w:val="00AF2406"/>
    <w:rsid w:val="00AF242B"/>
    <w:rsid w:val="00AF2471"/>
    <w:rsid w:val="00AF2A35"/>
    <w:rsid w:val="00AF2D8B"/>
    <w:rsid w:val="00AF2FC3"/>
    <w:rsid w:val="00AF304B"/>
    <w:rsid w:val="00AF318C"/>
    <w:rsid w:val="00AF31A3"/>
    <w:rsid w:val="00AF35C1"/>
    <w:rsid w:val="00AF37E9"/>
    <w:rsid w:val="00AF38EE"/>
    <w:rsid w:val="00AF3CEF"/>
    <w:rsid w:val="00AF3D56"/>
    <w:rsid w:val="00AF477B"/>
    <w:rsid w:val="00AF48D1"/>
    <w:rsid w:val="00AF493E"/>
    <w:rsid w:val="00AF495E"/>
    <w:rsid w:val="00AF49D3"/>
    <w:rsid w:val="00AF62BD"/>
    <w:rsid w:val="00AF6332"/>
    <w:rsid w:val="00AF6B66"/>
    <w:rsid w:val="00B00130"/>
    <w:rsid w:val="00B002C0"/>
    <w:rsid w:val="00B00A4D"/>
    <w:rsid w:val="00B00AE7"/>
    <w:rsid w:val="00B010E0"/>
    <w:rsid w:val="00B011DA"/>
    <w:rsid w:val="00B01230"/>
    <w:rsid w:val="00B0178B"/>
    <w:rsid w:val="00B01A78"/>
    <w:rsid w:val="00B0218D"/>
    <w:rsid w:val="00B024CA"/>
    <w:rsid w:val="00B0271F"/>
    <w:rsid w:val="00B027E1"/>
    <w:rsid w:val="00B02AB0"/>
    <w:rsid w:val="00B034CE"/>
    <w:rsid w:val="00B034E4"/>
    <w:rsid w:val="00B03651"/>
    <w:rsid w:val="00B03B66"/>
    <w:rsid w:val="00B03D08"/>
    <w:rsid w:val="00B043CD"/>
    <w:rsid w:val="00B0477D"/>
    <w:rsid w:val="00B05591"/>
    <w:rsid w:val="00B055B0"/>
    <w:rsid w:val="00B055EA"/>
    <w:rsid w:val="00B05857"/>
    <w:rsid w:val="00B0589F"/>
    <w:rsid w:val="00B05CA9"/>
    <w:rsid w:val="00B05DE6"/>
    <w:rsid w:val="00B06202"/>
    <w:rsid w:val="00B06937"/>
    <w:rsid w:val="00B06BBD"/>
    <w:rsid w:val="00B06CD1"/>
    <w:rsid w:val="00B06FE9"/>
    <w:rsid w:val="00B07ABB"/>
    <w:rsid w:val="00B10293"/>
    <w:rsid w:val="00B10910"/>
    <w:rsid w:val="00B10A84"/>
    <w:rsid w:val="00B115E4"/>
    <w:rsid w:val="00B117D5"/>
    <w:rsid w:val="00B11CF8"/>
    <w:rsid w:val="00B12056"/>
    <w:rsid w:val="00B12141"/>
    <w:rsid w:val="00B12530"/>
    <w:rsid w:val="00B127E7"/>
    <w:rsid w:val="00B133DC"/>
    <w:rsid w:val="00B13C0C"/>
    <w:rsid w:val="00B13D9A"/>
    <w:rsid w:val="00B140AB"/>
    <w:rsid w:val="00B14379"/>
    <w:rsid w:val="00B14736"/>
    <w:rsid w:val="00B147AD"/>
    <w:rsid w:val="00B148F8"/>
    <w:rsid w:val="00B14C2C"/>
    <w:rsid w:val="00B14DC0"/>
    <w:rsid w:val="00B1512B"/>
    <w:rsid w:val="00B15282"/>
    <w:rsid w:val="00B153C0"/>
    <w:rsid w:val="00B15ECA"/>
    <w:rsid w:val="00B16127"/>
    <w:rsid w:val="00B16633"/>
    <w:rsid w:val="00B16682"/>
    <w:rsid w:val="00B168C5"/>
    <w:rsid w:val="00B16B6E"/>
    <w:rsid w:val="00B16EE1"/>
    <w:rsid w:val="00B1718A"/>
    <w:rsid w:val="00B174FF"/>
    <w:rsid w:val="00B17510"/>
    <w:rsid w:val="00B17623"/>
    <w:rsid w:val="00B17CC3"/>
    <w:rsid w:val="00B2009B"/>
    <w:rsid w:val="00B20270"/>
    <w:rsid w:val="00B20300"/>
    <w:rsid w:val="00B20337"/>
    <w:rsid w:val="00B203B3"/>
    <w:rsid w:val="00B20438"/>
    <w:rsid w:val="00B205BE"/>
    <w:rsid w:val="00B20613"/>
    <w:rsid w:val="00B20B2C"/>
    <w:rsid w:val="00B20C93"/>
    <w:rsid w:val="00B213A5"/>
    <w:rsid w:val="00B21D7B"/>
    <w:rsid w:val="00B21E92"/>
    <w:rsid w:val="00B2235D"/>
    <w:rsid w:val="00B22364"/>
    <w:rsid w:val="00B223E3"/>
    <w:rsid w:val="00B2310E"/>
    <w:rsid w:val="00B23EB1"/>
    <w:rsid w:val="00B24CEE"/>
    <w:rsid w:val="00B25385"/>
    <w:rsid w:val="00B254CC"/>
    <w:rsid w:val="00B25BF1"/>
    <w:rsid w:val="00B25DB3"/>
    <w:rsid w:val="00B25E7D"/>
    <w:rsid w:val="00B25EC6"/>
    <w:rsid w:val="00B25ED0"/>
    <w:rsid w:val="00B26031"/>
    <w:rsid w:val="00B263F2"/>
    <w:rsid w:val="00B27332"/>
    <w:rsid w:val="00B27355"/>
    <w:rsid w:val="00B27386"/>
    <w:rsid w:val="00B27571"/>
    <w:rsid w:val="00B27BBE"/>
    <w:rsid w:val="00B30045"/>
    <w:rsid w:val="00B303BD"/>
    <w:rsid w:val="00B30686"/>
    <w:rsid w:val="00B30F69"/>
    <w:rsid w:val="00B311F9"/>
    <w:rsid w:val="00B31C42"/>
    <w:rsid w:val="00B31E32"/>
    <w:rsid w:val="00B32023"/>
    <w:rsid w:val="00B3202C"/>
    <w:rsid w:val="00B32513"/>
    <w:rsid w:val="00B3297B"/>
    <w:rsid w:val="00B32A60"/>
    <w:rsid w:val="00B32D5E"/>
    <w:rsid w:val="00B337B0"/>
    <w:rsid w:val="00B33833"/>
    <w:rsid w:val="00B338EF"/>
    <w:rsid w:val="00B338F3"/>
    <w:rsid w:val="00B33A0E"/>
    <w:rsid w:val="00B34425"/>
    <w:rsid w:val="00B3483C"/>
    <w:rsid w:val="00B3550C"/>
    <w:rsid w:val="00B358E3"/>
    <w:rsid w:val="00B35D4E"/>
    <w:rsid w:val="00B35E59"/>
    <w:rsid w:val="00B360BB"/>
    <w:rsid w:val="00B3678F"/>
    <w:rsid w:val="00B36900"/>
    <w:rsid w:val="00B36E37"/>
    <w:rsid w:val="00B36F94"/>
    <w:rsid w:val="00B37855"/>
    <w:rsid w:val="00B3785C"/>
    <w:rsid w:val="00B37BCE"/>
    <w:rsid w:val="00B40153"/>
    <w:rsid w:val="00B4030C"/>
    <w:rsid w:val="00B4041B"/>
    <w:rsid w:val="00B41028"/>
    <w:rsid w:val="00B41CC4"/>
    <w:rsid w:val="00B41DA9"/>
    <w:rsid w:val="00B41EC0"/>
    <w:rsid w:val="00B42000"/>
    <w:rsid w:val="00B43295"/>
    <w:rsid w:val="00B43702"/>
    <w:rsid w:val="00B44070"/>
    <w:rsid w:val="00B44345"/>
    <w:rsid w:val="00B444CD"/>
    <w:rsid w:val="00B445E9"/>
    <w:rsid w:val="00B446FD"/>
    <w:rsid w:val="00B44764"/>
    <w:rsid w:val="00B44DD2"/>
    <w:rsid w:val="00B454E8"/>
    <w:rsid w:val="00B45F11"/>
    <w:rsid w:val="00B46900"/>
    <w:rsid w:val="00B46EF4"/>
    <w:rsid w:val="00B47436"/>
    <w:rsid w:val="00B47CA5"/>
    <w:rsid w:val="00B5072A"/>
    <w:rsid w:val="00B50785"/>
    <w:rsid w:val="00B51175"/>
    <w:rsid w:val="00B51500"/>
    <w:rsid w:val="00B522F4"/>
    <w:rsid w:val="00B5240A"/>
    <w:rsid w:val="00B52532"/>
    <w:rsid w:val="00B52578"/>
    <w:rsid w:val="00B52A3F"/>
    <w:rsid w:val="00B52A9F"/>
    <w:rsid w:val="00B52F46"/>
    <w:rsid w:val="00B53AEC"/>
    <w:rsid w:val="00B53DC5"/>
    <w:rsid w:val="00B54139"/>
    <w:rsid w:val="00B543D4"/>
    <w:rsid w:val="00B54447"/>
    <w:rsid w:val="00B54748"/>
    <w:rsid w:val="00B54833"/>
    <w:rsid w:val="00B54861"/>
    <w:rsid w:val="00B54894"/>
    <w:rsid w:val="00B54A1E"/>
    <w:rsid w:val="00B54C51"/>
    <w:rsid w:val="00B54D5A"/>
    <w:rsid w:val="00B5524E"/>
    <w:rsid w:val="00B558D8"/>
    <w:rsid w:val="00B55905"/>
    <w:rsid w:val="00B5603E"/>
    <w:rsid w:val="00B566B3"/>
    <w:rsid w:val="00B56C03"/>
    <w:rsid w:val="00B56D79"/>
    <w:rsid w:val="00B56EE1"/>
    <w:rsid w:val="00B57268"/>
    <w:rsid w:val="00B57A54"/>
    <w:rsid w:val="00B57C05"/>
    <w:rsid w:val="00B57E54"/>
    <w:rsid w:val="00B600D3"/>
    <w:rsid w:val="00B604BB"/>
    <w:rsid w:val="00B6063E"/>
    <w:rsid w:val="00B609A7"/>
    <w:rsid w:val="00B609ED"/>
    <w:rsid w:val="00B60A31"/>
    <w:rsid w:val="00B60C8F"/>
    <w:rsid w:val="00B60CFC"/>
    <w:rsid w:val="00B613F3"/>
    <w:rsid w:val="00B61AB6"/>
    <w:rsid w:val="00B61D8D"/>
    <w:rsid w:val="00B626F7"/>
    <w:rsid w:val="00B62801"/>
    <w:rsid w:val="00B62A19"/>
    <w:rsid w:val="00B62E5A"/>
    <w:rsid w:val="00B62F5C"/>
    <w:rsid w:val="00B63601"/>
    <w:rsid w:val="00B63849"/>
    <w:rsid w:val="00B63D5E"/>
    <w:rsid w:val="00B64308"/>
    <w:rsid w:val="00B64BB9"/>
    <w:rsid w:val="00B64C66"/>
    <w:rsid w:val="00B64DC5"/>
    <w:rsid w:val="00B653A2"/>
    <w:rsid w:val="00B66185"/>
    <w:rsid w:val="00B6666F"/>
    <w:rsid w:val="00B66CFA"/>
    <w:rsid w:val="00B66E28"/>
    <w:rsid w:val="00B67266"/>
    <w:rsid w:val="00B67782"/>
    <w:rsid w:val="00B67A22"/>
    <w:rsid w:val="00B67E25"/>
    <w:rsid w:val="00B70BAF"/>
    <w:rsid w:val="00B70DA8"/>
    <w:rsid w:val="00B71165"/>
    <w:rsid w:val="00B71C53"/>
    <w:rsid w:val="00B71FE5"/>
    <w:rsid w:val="00B723F6"/>
    <w:rsid w:val="00B731DB"/>
    <w:rsid w:val="00B73408"/>
    <w:rsid w:val="00B734E0"/>
    <w:rsid w:val="00B737B6"/>
    <w:rsid w:val="00B73E96"/>
    <w:rsid w:val="00B743CE"/>
    <w:rsid w:val="00B747D4"/>
    <w:rsid w:val="00B74899"/>
    <w:rsid w:val="00B74928"/>
    <w:rsid w:val="00B74AC2"/>
    <w:rsid w:val="00B74EA5"/>
    <w:rsid w:val="00B75247"/>
    <w:rsid w:val="00B75292"/>
    <w:rsid w:val="00B75A27"/>
    <w:rsid w:val="00B75B40"/>
    <w:rsid w:val="00B75F3D"/>
    <w:rsid w:val="00B76257"/>
    <w:rsid w:val="00B7645F"/>
    <w:rsid w:val="00B764D9"/>
    <w:rsid w:val="00B773D1"/>
    <w:rsid w:val="00B77721"/>
    <w:rsid w:val="00B80001"/>
    <w:rsid w:val="00B8023F"/>
    <w:rsid w:val="00B80285"/>
    <w:rsid w:val="00B8091D"/>
    <w:rsid w:val="00B80E15"/>
    <w:rsid w:val="00B8147D"/>
    <w:rsid w:val="00B81691"/>
    <w:rsid w:val="00B8229D"/>
    <w:rsid w:val="00B826E3"/>
    <w:rsid w:val="00B828AE"/>
    <w:rsid w:val="00B83018"/>
    <w:rsid w:val="00B837C1"/>
    <w:rsid w:val="00B83CA8"/>
    <w:rsid w:val="00B83F00"/>
    <w:rsid w:val="00B84264"/>
    <w:rsid w:val="00B844FD"/>
    <w:rsid w:val="00B8457D"/>
    <w:rsid w:val="00B849C0"/>
    <w:rsid w:val="00B84B6B"/>
    <w:rsid w:val="00B84F70"/>
    <w:rsid w:val="00B855C1"/>
    <w:rsid w:val="00B85B0B"/>
    <w:rsid w:val="00B85B0F"/>
    <w:rsid w:val="00B85C5C"/>
    <w:rsid w:val="00B87277"/>
    <w:rsid w:val="00B873C9"/>
    <w:rsid w:val="00B874AD"/>
    <w:rsid w:val="00B87798"/>
    <w:rsid w:val="00B87D52"/>
    <w:rsid w:val="00B90462"/>
    <w:rsid w:val="00B9155A"/>
    <w:rsid w:val="00B91A7E"/>
    <w:rsid w:val="00B91E59"/>
    <w:rsid w:val="00B92522"/>
    <w:rsid w:val="00B92849"/>
    <w:rsid w:val="00B92B97"/>
    <w:rsid w:val="00B92E3B"/>
    <w:rsid w:val="00B92E6F"/>
    <w:rsid w:val="00B92F32"/>
    <w:rsid w:val="00B9307B"/>
    <w:rsid w:val="00B9398A"/>
    <w:rsid w:val="00B93B3E"/>
    <w:rsid w:val="00B941F5"/>
    <w:rsid w:val="00B9443D"/>
    <w:rsid w:val="00B94521"/>
    <w:rsid w:val="00B94B9D"/>
    <w:rsid w:val="00B951E9"/>
    <w:rsid w:val="00B96456"/>
    <w:rsid w:val="00B9651D"/>
    <w:rsid w:val="00B96AE7"/>
    <w:rsid w:val="00B96CA2"/>
    <w:rsid w:val="00B96E47"/>
    <w:rsid w:val="00B97392"/>
    <w:rsid w:val="00B975D0"/>
    <w:rsid w:val="00BA0128"/>
    <w:rsid w:val="00BA01D2"/>
    <w:rsid w:val="00BA01DB"/>
    <w:rsid w:val="00BA026D"/>
    <w:rsid w:val="00BA0605"/>
    <w:rsid w:val="00BA093F"/>
    <w:rsid w:val="00BA1591"/>
    <w:rsid w:val="00BA15F5"/>
    <w:rsid w:val="00BA1D47"/>
    <w:rsid w:val="00BA1E10"/>
    <w:rsid w:val="00BA2076"/>
    <w:rsid w:val="00BA208F"/>
    <w:rsid w:val="00BA2177"/>
    <w:rsid w:val="00BA26AA"/>
    <w:rsid w:val="00BA39E1"/>
    <w:rsid w:val="00BA3F16"/>
    <w:rsid w:val="00BA425E"/>
    <w:rsid w:val="00BA4906"/>
    <w:rsid w:val="00BA496D"/>
    <w:rsid w:val="00BA49D6"/>
    <w:rsid w:val="00BA4A0E"/>
    <w:rsid w:val="00BA54EA"/>
    <w:rsid w:val="00BA586C"/>
    <w:rsid w:val="00BA5975"/>
    <w:rsid w:val="00BA5A3A"/>
    <w:rsid w:val="00BA5A71"/>
    <w:rsid w:val="00BA5AC6"/>
    <w:rsid w:val="00BA603D"/>
    <w:rsid w:val="00BA6233"/>
    <w:rsid w:val="00BA699B"/>
    <w:rsid w:val="00BA69D9"/>
    <w:rsid w:val="00BA6F78"/>
    <w:rsid w:val="00BA73BC"/>
    <w:rsid w:val="00BA75C6"/>
    <w:rsid w:val="00BA7810"/>
    <w:rsid w:val="00BA7A02"/>
    <w:rsid w:val="00BB0235"/>
    <w:rsid w:val="00BB0354"/>
    <w:rsid w:val="00BB07BE"/>
    <w:rsid w:val="00BB0D0C"/>
    <w:rsid w:val="00BB18C2"/>
    <w:rsid w:val="00BB1C88"/>
    <w:rsid w:val="00BB254F"/>
    <w:rsid w:val="00BB25BA"/>
    <w:rsid w:val="00BB3270"/>
    <w:rsid w:val="00BB34E0"/>
    <w:rsid w:val="00BB3769"/>
    <w:rsid w:val="00BB3BB8"/>
    <w:rsid w:val="00BB3DC7"/>
    <w:rsid w:val="00BB45CC"/>
    <w:rsid w:val="00BB483B"/>
    <w:rsid w:val="00BB48D6"/>
    <w:rsid w:val="00BB4BC8"/>
    <w:rsid w:val="00BB4DD7"/>
    <w:rsid w:val="00BB5715"/>
    <w:rsid w:val="00BB5762"/>
    <w:rsid w:val="00BB5950"/>
    <w:rsid w:val="00BB6036"/>
    <w:rsid w:val="00BB6043"/>
    <w:rsid w:val="00BB66A8"/>
    <w:rsid w:val="00BB68A5"/>
    <w:rsid w:val="00BB72C6"/>
    <w:rsid w:val="00BB78C1"/>
    <w:rsid w:val="00BB7F26"/>
    <w:rsid w:val="00BC090A"/>
    <w:rsid w:val="00BC0DA4"/>
    <w:rsid w:val="00BC1032"/>
    <w:rsid w:val="00BC10AF"/>
    <w:rsid w:val="00BC1DB4"/>
    <w:rsid w:val="00BC1EBC"/>
    <w:rsid w:val="00BC1F38"/>
    <w:rsid w:val="00BC21FE"/>
    <w:rsid w:val="00BC23CD"/>
    <w:rsid w:val="00BC24AD"/>
    <w:rsid w:val="00BC24F3"/>
    <w:rsid w:val="00BC2A23"/>
    <w:rsid w:val="00BC2A6B"/>
    <w:rsid w:val="00BC2C5B"/>
    <w:rsid w:val="00BC2FF1"/>
    <w:rsid w:val="00BC3472"/>
    <w:rsid w:val="00BC3527"/>
    <w:rsid w:val="00BC3AB9"/>
    <w:rsid w:val="00BC41EB"/>
    <w:rsid w:val="00BC465A"/>
    <w:rsid w:val="00BC4B75"/>
    <w:rsid w:val="00BC4BB3"/>
    <w:rsid w:val="00BC4F0A"/>
    <w:rsid w:val="00BC5730"/>
    <w:rsid w:val="00BC5EBC"/>
    <w:rsid w:val="00BC5F93"/>
    <w:rsid w:val="00BC659D"/>
    <w:rsid w:val="00BC66F1"/>
    <w:rsid w:val="00BC7017"/>
    <w:rsid w:val="00BC70A5"/>
    <w:rsid w:val="00BC77BE"/>
    <w:rsid w:val="00BC7903"/>
    <w:rsid w:val="00BC7EB5"/>
    <w:rsid w:val="00BD03C8"/>
    <w:rsid w:val="00BD0447"/>
    <w:rsid w:val="00BD084E"/>
    <w:rsid w:val="00BD1543"/>
    <w:rsid w:val="00BD2AAA"/>
    <w:rsid w:val="00BD2FA5"/>
    <w:rsid w:val="00BD3584"/>
    <w:rsid w:val="00BD3719"/>
    <w:rsid w:val="00BD3B48"/>
    <w:rsid w:val="00BD3BD0"/>
    <w:rsid w:val="00BD3C38"/>
    <w:rsid w:val="00BD3DF5"/>
    <w:rsid w:val="00BD40C7"/>
    <w:rsid w:val="00BD443D"/>
    <w:rsid w:val="00BD444D"/>
    <w:rsid w:val="00BD445B"/>
    <w:rsid w:val="00BD45B8"/>
    <w:rsid w:val="00BD47B4"/>
    <w:rsid w:val="00BD4B52"/>
    <w:rsid w:val="00BD4CF2"/>
    <w:rsid w:val="00BD4F38"/>
    <w:rsid w:val="00BD5192"/>
    <w:rsid w:val="00BD54A1"/>
    <w:rsid w:val="00BD594F"/>
    <w:rsid w:val="00BD5ACA"/>
    <w:rsid w:val="00BD5CA2"/>
    <w:rsid w:val="00BD5D34"/>
    <w:rsid w:val="00BD5DAB"/>
    <w:rsid w:val="00BD673A"/>
    <w:rsid w:val="00BD69D3"/>
    <w:rsid w:val="00BD6ABD"/>
    <w:rsid w:val="00BD6D79"/>
    <w:rsid w:val="00BD6FE2"/>
    <w:rsid w:val="00BD7FE5"/>
    <w:rsid w:val="00BE01C2"/>
    <w:rsid w:val="00BE01C4"/>
    <w:rsid w:val="00BE0C99"/>
    <w:rsid w:val="00BE0DEF"/>
    <w:rsid w:val="00BE0E2B"/>
    <w:rsid w:val="00BE11F4"/>
    <w:rsid w:val="00BE157C"/>
    <w:rsid w:val="00BE16D5"/>
    <w:rsid w:val="00BE18FC"/>
    <w:rsid w:val="00BE1A29"/>
    <w:rsid w:val="00BE2912"/>
    <w:rsid w:val="00BE2BF5"/>
    <w:rsid w:val="00BE37AC"/>
    <w:rsid w:val="00BE37C2"/>
    <w:rsid w:val="00BE38AC"/>
    <w:rsid w:val="00BE3BD3"/>
    <w:rsid w:val="00BE3E7F"/>
    <w:rsid w:val="00BE3F42"/>
    <w:rsid w:val="00BE45E5"/>
    <w:rsid w:val="00BE4B07"/>
    <w:rsid w:val="00BE5073"/>
    <w:rsid w:val="00BE52D0"/>
    <w:rsid w:val="00BE582F"/>
    <w:rsid w:val="00BE597A"/>
    <w:rsid w:val="00BE5F70"/>
    <w:rsid w:val="00BE60F5"/>
    <w:rsid w:val="00BE639F"/>
    <w:rsid w:val="00BE63B0"/>
    <w:rsid w:val="00BE6418"/>
    <w:rsid w:val="00BE662B"/>
    <w:rsid w:val="00BE687D"/>
    <w:rsid w:val="00BE741D"/>
    <w:rsid w:val="00BE7442"/>
    <w:rsid w:val="00BE77AD"/>
    <w:rsid w:val="00BE7B1A"/>
    <w:rsid w:val="00BE7E80"/>
    <w:rsid w:val="00BF09BC"/>
    <w:rsid w:val="00BF0BB5"/>
    <w:rsid w:val="00BF0D63"/>
    <w:rsid w:val="00BF1616"/>
    <w:rsid w:val="00BF1896"/>
    <w:rsid w:val="00BF1C8B"/>
    <w:rsid w:val="00BF1E98"/>
    <w:rsid w:val="00BF2002"/>
    <w:rsid w:val="00BF231F"/>
    <w:rsid w:val="00BF2CAC"/>
    <w:rsid w:val="00BF2EB9"/>
    <w:rsid w:val="00BF313C"/>
    <w:rsid w:val="00BF34C6"/>
    <w:rsid w:val="00BF3616"/>
    <w:rsid w:val="00BF364F"/>
    <w:rsid w:val="00BF3787"/>
    <w:rsid w:val="00BF37EB"/>
    <w:rsid w:val="00BF3859"/>
    <w:rsid w:val="00BF3FDD"/>
    <w:rsid w:val="00BF42D7"/>
    <w:rsid w:val="00BF537D"/>
    <w:rsid w:val="00BF5537"/>
    <w:rsid w:val="00BF682D"/>
    <w:rsid w:val="00BF6905"/>
    <w:rsid w:val="00BF77FA"/>
    <w:rsid w:val="00BF79EF"/>
    <w:rsid w:val="00BF7D04"/>
    <w:rsid w:val="00BF7FF4"/>
    <w:rsid w:val="00C000A7"/>
    <w:rsid w:val="00C001D3"/>
    <w:rsid w:val="00C00EE6"/>
    <w:rsid w:val="00C0138F"/>
    <w:rsid w:val="00C01539"/>
    <w:rsid w:val="00C01700"/>
    <w:rsid w:val="00C01895"/>
    <w:rsid w:val="00C01F40"/>
    <w:rsid w:val="00C0217E"/>
    <w:rsid w:val="00C0232C"/>
    <w:rsid w:val="00C02A4B"/>
    <w:rsid w:val="00C02D8F"/>
    <w:rsid w:val="00C03EAA"/>
    <w:rsid w:val="00C03FFF"/>
    <w:rsid w:val="00C045AD"/>
    <w:rsid w:val="00C0475B"/>
    <w:rsid w:val="00C04BF5"/>
    <w:rsid w:val="00C04E67"/>
    <w:rsid w:val="00C05175"/>
    <w:rsid w:val="00C05655"/>
    <w:rsid w:val="00C062C6"/>
    <w:rsid w:val="00C06529"/>
    <w:rsid w:val="00C06A59"/>
    <w:rsid w:val="00C070B1"/>
    <w:rsid w:val="00C07139"/>
    <w:rsid w:val="00C07936"/>
    <w:rsid w:val="00C07D7E"/>
    <w:rsid w:val="00C07DD8"/>
    <w:rsid w:val="00C1211B"/>
    <w:rsid w:val="00C12200"/>
    <w:rsid w:val="00C1237E"/>
    <w:rsid w:val="00C12D6B"/>
    <w:rsid w:val="00C1318A"/>
    <w:rsid w:val="00C1323B"/>
    <w:rsid w:val="00C13577"/>
    <w:rsid w:val="00C13797"/>
    <w:rsid w:val="00C1396A"/>
    <w:rsid w:val="00C13973"/>
    <w:rsid w:val="00C13B43"/>
    <w:rsid w:val="00C1440B"/>
    <w:rsid w:val="00C149B1"/>
    <w:rsid w:val="00C14C00"/>
    <w:rsid w:val="00C14D19"/>
    <w:rsid w:val="00C15106"/>
    <w:rsid w:val="00C15972"/>
    <w:rsid w:val="00C15CF1"/>
    <w:rsid w:val="00C15F9B"/>
    <w:rsid w:val="00C15FCE"/>
    <w:rsid w:val="00C16653"/>
    <w:rsid w:val="00C1729F"/>
    <w:rsid w:val="00C175F4"/>
    <w:rsid w:val="00C1798F"/>
    <w:rsid w:val="00C201E8"/>
    <w:rsid w:val="00C2031E"/>
    <w:rsid w:val="00C203A6"/>
    <w:rsid w:val="00C20DD0"/>
    <w:rsid w:val="00C20E3E"/>
    <w:rsid w:val="00C20F27"/>
    <w:rsid w:val="00C20F4D"/>
    <w:rsid w:val="00C214E9"/>
    <w:rsid w:val="00C2153C"/>
    <w:rsid w:val="00C21CD7"/>
    <w:rsid w:val="00C21DA2"/>
    <w:rsid w:val="00C223B9"/>
    <w:rsid w:val="00C2274A"/>
    <w:rsid w:val="00C22A5C"/>
    <w:rsid w:val="00C22F34"/>
    <w:rsid w:val="00C23CE4"/>
    <w:rsid w:val="00C240C7"/>
    <w:rsid w:val="00C245AE"/>
    <w:rsid w:val="00C249E1"/>
    <w:rsid w:val="00C24CF6"/>
    <w:rsid w:val="00C25A61"/>
    <w:rsid w:val="00C266B5"/>
    <w:rsid w:val="00C26D06"/>
    <w:rsid w:val="00C270B0"/>
    <w:rsid w:val="00C27385"/>
    <w:rsid w:val="00C27777"/>
    <w:rsid w:val="00C27BD7"/>
    <w:rsid w:val="00C27C18"/>
    <w:rsid w:val="00C27D9D"/>
    <w:rsid w:val="00C3092F"/>
    <w:rsid w:val="00C309D5"/>
    <w:rsid w:val="00C31191"/>
    <w:rsid w:val="00C3151C"/>
    <w:rsid w:val="00C31A4C"/>
    <w:rsid w:val="00C31AB7"/>
    <w:rsid w:val="00C32126"/>
    <w:rsid w:val="00C32814"/>
    <w:rsid w:val="00C32DA1"/>
    <w:rsid w:val="00C32E0F"/>
    <w:rsid w:val="00C3302D"/>
    <w:rsid w:val="00C334EE"/>
    <w:rsid w:val="00C33794"/>
    <w:rsid w:val="00C352E3"/>
    <w:rsid w:val="00C35378"/>
    <w:rsid w:val="00C3583F"/>
    <w:rsid w:val="00C3587F"/>
    <w:rsid w:val="00C35A96"/>
    <w:rsid w:val="00C361FD"/>
    <w:rsid w:val="00C36715"/>
    <w:rsid w:val="00C368C4"/>
    <w:rsid w:val="00C3787A"/>
    <w:rsid w:val="00C37A63"/>
    <w:rsid w:val="00C37C39"/>
    <w:rsid w:val="00C37D25"/>
    <w:rsid w:val="00C40280"/>
    <w:rsid w:val="00C4091D"/>
    <w:rsid w:val="00C40A6A"/>
    <w:rsid w:val="00C40C45"/>
    <w:rsid w:val="00C40DBA"/>
    <w:rsid w:val="00C40E46"/>
    <w:rsid w:val="00C40EB4"/>
    <w:rsid w:val="00C41557"/>
    <w:rsid w:val="00C41B05"/>
    <w:rsid w:val="00C41D44"/>
    <w:rsid w:val="00C41F16"/>
    <w:rsid w:val="00C42370"/>
    <w:rsid w:val="00C423B1"/>
    <w:rsid w:val="00C4269C"/>
    <w:rsid w:val="00C42ABF"/>
    <w:rsid w:val="00C42B84"/>
    <w:rsid w:val="00C42C5C"/>
    <w:rsid w:val="00C42ECF"/>
    <w:rsid w:val="00C4425E"/>
    <w:rsid w:val="00C443B5"/>
    <w:rsid w:val="00C44C16"/>
    <w:rsid w:val="00C4576E"/>
    <w:rsid w:val="00C45DC0"/>
    <w:rsid w:val="00C46C91"/>
    <w:rsid w:val="00C46D39"/>
    <w:rsid w:val="00C46FB0"/>
    <w:rsid w:val="00C4701E"/>
    <w:rsid w:val="00C471DA"/>
    <w:rsid w:val="00C47393"/>
    <w:rsid w:val="00C474A9"/>
    <w:rsid w:val="00C47AA8"/>
    <w:rsid w:val="00C519DC"/>
    <w:rsid w:val="00C51E9C"/>
    <w:rsid w:val="00C52294"/>
    <w:rsid w:val="00C52C35"/>
    <w:rsid w:val="00C52F02"/>
    <w:rsid w:val="00C544F0"/>
    <w:rsid w:val="00C5460A"/>
    <w:rsid w:val="00C54A07"/>
    <w:rsid w:val="00C54FBE"/>
    <w:rsid w:val="00C55435"/>
    <w:rsid w:val="00C554A7"/>
    <w:rsid w:val="00C558A9"/>
    <w:rsid w:val="00C559E0"/>
    <w:rsid w:val="00C55A23"/>
    <w:rsid w:val="00C56098"/>
    <w:rsid w:val="00C561F2"/>
    <w:rsid w:val="00C562A6"/>
    <w:rsid w:val="00C567B0"/>
    <w:rsid w:val="00C56F9F"/>
    <w:rsid w:val="00C577DD"/>
    <w:rsid w:val="00C57A0D"/>
    <w:rsid w:val="00C57C0E"/>
    <w:rsid w:val="00C602C2"/>
    <w:rsid w:val="00C6056A"/>
    <w:rsid w:val="00C6070A"/>
    <w:rsid w:val="00C60C17"/>
    <w:rsid w:val="00C60CF5"/>
    <w:rsid w:val="00C60E97"/>
    <w:rsid w:val="00C61E4C"/>
    <w:rsid w:val="00C61F53"/>
    <w:rsid w:val="00C627BA"/>
    <w:rsid w:val="00C63039"/>
    <w:rsid w:val="00C6342C"/>
    <w:rsid w:val="00C6349E"/>
    <w:rsid w:val="00C635EB"/>
    <w:rsid w:val="00C63783"/>
    <w:rsid w:val="00C63B84"/>
    <w:rsid w:val="00C64237"/>
    <w:rsid w:val="00C645D8"/>
    <w:rsid w:val="00C646AD"/>
    <w:rsid w:val="00C64791"/>
    <w:rsid w:val="00C64C2F"/>
    <w:rsid w:val="00C64D81"/>
    <w:rsid w:val="00C65184"/>
    <w:rsid w:val="00C65640"/>
    <w:rsid w:val="00C656E9"/>
    <w:rsid w:val="00C6591F"/>
    <w:rsid w:val="00C65D41"/>
    <w:rsid w:val="00C66429"/>
    <w:rsid w:val="00C66A4B"/>
    <w:rsid w:val="00C67115"/>
    <w:rsid w:val="00C67295"/>
    <w:rsid w:val="00C6732A"/>
    <w:rsid w:val="00C67D35"/>
    <w:rsid w:val="00C67E1E"/>
    <w:rsid w:val="00C67E62"/>
    <w:rsid w:val="00C7019F"/>
    <w:rsid w:val="00C70784"/>
    <w:rsid w:val="00C70985"/>
    <w:rsid w:val="00C70AEB"/>
    <w:rsid w:val="00C70E03"/>
    <w:rsid w:val="00C70E41"/>
    <w:rsid w:val="00C71793"/>
    <w:rsid w:val="00C72D6C"/>
    <w:rsid w:val="00C72E9C"/>
    <w:rsid w:val="00C72ED4"/>
    <w:rsid w:val="00C73029"/>
    <w:rsid w:val="00C73074"/>
    <w:rsid w:val="00C73329"/>
    <w:rsid w:val="00C738A1"/>
    <w:rsid w:val="00C738F1"/>
    <w:rsid w:val="00C7419E"/>
    <w:rsid w:val="00C7474E"/>
    <w:rsid w:val="00C74AEF"/>
    <w:rsid w:val="00C74C7F"/>
    <w:rsid w:val="00C74DA6"/>
    <w:rsid w:val="00C7516B"/>
    <w:rsid w:val="00C75918"/>
    <w:rsid w:val="00C75A6E"/>
    <w:rsid w:val="00C75F81"/>
    <w:rsid w:val="00C75FE0"/>
    <w:rsid w:val="00C76897"/>
    <w:rsid w:val="00C76C09"/>
    <w:rsid w:val="00C77900"/>
    <w:rsid w:val="00C77C1B"/>
    <w:rsid w:val="00C77C3E"/>
    <w:rsid w:val="00C77F9F"/>
    <w:rsid w:val="00C803B6"/>
    <w:rsid w:val="00C80D8B"/>
    <w:rsid w:val="00C8122B"/>
    <w:rsid w:val="00C81612"/>
    <w:rsid w:val="00C81EC0"/>
    <w:rsid w:val="00C81FD2"/>
    <w:rsid w:val="00C8236A"/>
    <w:rsid w:val="00C8242E"/>
    <w:rsid w:val="00C825E6"/>
    <w:rsid w:val="00C829A2"/>
    <w:rsid w:val="00C82CC2"/>
    <w:rsid w:val="00C836AC"/>
    <w:rsid w:val="00C83F8C"/>
    <w:rsid w:val="00C84752"/>
    <w:rsid w:val="00C854CC"/>
    <w:rsid w:val="00C85708"/>
    <w:rsid w:val="00C857BD"/>
    <w:rsid w:val="00C85C57"/>
    <w:rsid w:val="00C85F01"/>
    <w:rsid w:val="00C85F67"/>
    <w:rsid w:val="00C86724"/>
    <w:rsid w:val="00C86B14"/>
    <w:rsid w:val="00C86C49"/>
    <w:rsid w:val="00C87222"/>
    <w:rsid w:val="00C875CB"/>
    <w:rsid w:val="00C87897"/>
    <w:rsid w:val="00C9070B"/>
    <w:rsid w:val="00C90EB1"/>
    <w:rsid w:val="00C910A7"/>
    <w:rsid w:val="00C9119E"/>
    <w:rsid w:val="00C9168E"/>
    <w:rsid w:val="00C91D76"/>
    <w:rsid w:val="00C92668"/>
    <w:rsid w:val="00C92CD0"/>
    <w:rsid w:val="00C93441"/>
    <w:rsid w:val="00C9370E"/>
    <w:rsid w:val="00C93EA7"/>
    <w:rsid w:val="00C9425F"/>
    <w:rsid w:val="00C946D3"/>
    <w:rsid w:val="00C94C02"/>
    <w:rsid w:val="00C94C68"/>
    <w:rsid w:val="00C94DB8"/>
    <w:rsid w:val="00C95002"/>
    <w:rsid w:val="00C956D2"/>
    <w:rsid w:val="00C95723"/>
    <w:rsid w:val="00C958E7"/>
    <w:rsid w:val="00C95C07"/>
    <w:rsid w:val="00C96218"/>
    <w:rsid w:val="00C96584"/>
    <w:rsid w:val="00C96645"/>
    <w:rsid w:val="00C97035"/>
    <w:rsid w:val="00C970E1"/>
    <w:rsid w:val="00C975EB"/>
    <w:rsid w:val="00C97B61"/>
    <w:rsid w:val="00C97C9C"/>
    <w:rsid w:val="00CA0923"/>
    <w:rsid w:val="00CA0A5F"/>
    <w:rsid w:val="00CA0C46"/>
    <w:rsid w:val="00CA0CE5"/>
    <w:rsid w:val="00CA16BC"/>
    <w:rsid w:val="00CA1958"/>
    <w:rsid w:val="00CA1B4D"/>
    <w:rsid w:val="00CA1C0A"/>
    <w:rsid w:val="00CA1EE3"/>
    <w:rsid w:val="00CA231C"/>
    <w:rsid w:val="00CA238C"/>
    <w:rsid w:val="00CA261F"/>
    <w:rsid w:val="00CA2AC6"/>
    <w:rsid w:val="00CA2BEB"/>
    <w:rsid w:val="00CA2C85"/>
    <w:rsid w:val="00CA2DDA"/>
    <w:rsid w:val="00CA3051"/>
    <w:rsid w:val="00CA3CEE"/>
    <w:rsid w:val="00CA4A7B"/>
    <w:rsid w:val="00CA4B70"/>
    <w:rsid w:val="00CA548C"/>
    <w:rsid w:val="00CA5C77"/>
    <w:rsid w:val="00CA5D9C"/>
    <w:rsid w:val="00CA5E3C"/>
    <w:rsid w:val="00CA65A8"/>
    <w:rsid w:val="00CA6635"/>
    <w:rsid w:val="00CA6A02"/>
    <w:rsid w:val="00CA6A8E"/>
    <w:rsid w:val="00CA72C4"/>
    <w:rsid w:val="00CB0573"/>
    <w:rsid w:val="00CB1009"/>
    <w:rsid w:val="00CB1217"/>
    <w:rsid w:val="00CB15A8"/>
    <w:rsid w:val="00CB22D7"/>
    <w:rsid w:val="00CB23E1"/>
    <w:rsid w:val="00CB27F1"/>
    <w:rsid w:val="00CB282D"/>
    <w:rsid w:val="00CB28CC"/>
    <w:rsid w:val="00CB2DD3"/>
    <w:rsid w:val="00CB2F49"/>
    <w:rsid w:val="00CB3054"/>
    <w:rsid w:val="00CB38A5"/>
    <w:rsid w:val="00CB3A4E"/>
    <w:rsid w:val="00CB3A78"/>
    <w:rsid w:val="00CB3AEC"/>
    <w:rsid w:val="00CB3BD8"/>
    <w:rsid w:val="00CB41A6"/>
    <w:rsid w:val="00CB4519"/>
    <w:rsid w:val="00CB4ECE"/>
    <w:rsid w:val="00CB4FE4"/>
    <w:rsid w:val="00CB551D"/>
    <w:rsid w:val="00CB5EBE"/>
    <w:rsid w:val="00CB5EC3"/>
    <w:rsid w:val="00CB6005"/>
    <w:rsid w:val="00CB6048"/>
    <w:rsid w:val="00CB62C0"/>
    <w:rsid w:val="00CB634A"/>
    <w:rsid w:val="00CB6580"/>
    <w:rsid w:val="00CB6E47"/>
    <w:rsid w:val="00CB6F11"/>
    <w:rsid w:val="00CB6F1B"/>
    <w:rsid w:val="00CB71D7"/>
    <w:rsid w:val="00CB7371"/>
    <w:rsid w:val="00CB7524"/>
    <w:rsid w:val="00CB788D"/>
    <w:rsid w:val="00CB78E4"/>
    <w:rsid w:val="00CB798E"/>
    <w:rsid w:val="00CB7A0A"/>
    <w:rsid w:val="00CB7AB1"/>
    <w:rsid w:val="00CB7B8B"/>
    <w:rsid w:val="00CB7ED4"/>
    <w:rsid w:val="00CC01E4"/>
    <w:rsid w:val="00CC0736"/>
    <w:rsid w:val="00CC13FE"/>
    <w:rsid w:val="00CC140C"/>
    <w:rsid w:val="00CC1FFF"/>
    <w:rsid w:val="00CC2915"/>
    <w:rsid w:val="00CC356A"/>
    <w:rsid w:val="00CC3C3E"/>
    <w:rsid w:val="00CC442C"/>
    <w:rsid w:val="00CC443E"/>
    <w:rsid w:val="00CC454D"/>
    <w:rsid w:val="00CC4DBC"/>
    <w:rsid w:val="00CC4F6A"/>
    <w:rsid w:val="00CC5218"/>
    <w:rsid w:val="00CC5591"/>
    <w:rsid w:val="00CC590E"/>
    <w:rsid w:val="00CC5CB4"/>
    <w:rsid w:val="00CC618F"/>
    <w:rsid w:val="00CC6ACA"/>
    <w:rsid w:val="00CC73EE"/>
    <w:rsid w:val="00CC75F1"/>
    <w:rsid w:val="00CC7CA3"/>
    <w:rsid w:val="00CD0595"/>
    <w:rsid w:val="00CD06C5"/>
    <w:rsid w:val="00CD0942"/>
    <w:rsid w:val="00CD0DA6"/>
    <w:rsid w:val="00CD0F40"/>
    <w:rsid w:val="00CD12BC"/>
    <w:rsid w:val="00CD1473"/>
    <w:rsid w:val="00CD1F99"/>
    <w:rsid w:val="00CD20D4"/>
    <w:rsid w:val="00CD270A"/>
    <w:rsid w:val="00CD32DC"/>
    <w:rsid w:val="00CD3574"/>
    <w:rsid w:val="00CD42AD"/>
    <w:rsid w:val="00CD4ED6"/>
    <w:rsid w:val="00CD56E4"/>
    <w:rsid w:val="00CD5BF3"/>
    <w:rsid w:val="00CD5F77"/>
    <w:rsid w:val="00CD62C9"/>
    <w:rsid w:val="00CD68A2"/>
    <w:rsid w:val="00CD6BD0"/>
    <w:rsid w:val="00CD72FB"/>
    <w:rsid w:val="00CD780E"/>
    <w:rsid w:val="00CD7815"/>
    <w:rsid w:val="00CD78F8"/>
    <w:rsid w:val="00CD7F0B"/>
    <w:rsid w:val="00CE0A46"/>
    <w:rsid w:val="00CE0D12"/>
    <w:rsid w:val="00CE0F51"/>
    <w:rsid w:val="00CE1D57"/>
    <w:rsid w:val="00CE200D"/>
    <w:rsid w:val="00CE2495"/>
    <w:rsid w:val="00CE2622"/>
    <w:rsid w:val="00CE2995"/>
    <w:rsid w:val="00CE2BE0"/>
    <w:rsid w:val="00CE311D"/>
    <w:rsid w:val="00CE352C"/>
    <w:rsid w:val="00CE36B6"/>
    <w:rsid w:val="00CE3E42"/>
    <w:rsid w:val="00CE46BC"/>
    <w:rsid w:val="00CE4B18"/>
    <w:rsid w:val="00CE4B2A"/>
    <w:rsid w:val="00CE4DC1"/>
    <w:rsid w:val="00CE5324"/>
    <w:rsid w:val="00CE54DB"/>
    <w:rsid w:val="00CE55AA"/>
    <w:rsid w:val="00CE5994"/>
    <w:rsid w:val="00CE63AB"/>
    <w:rsid w:val="00CE64E7"/>
    <w:rsid w:val="00CE6892"/>
    <w:rsid w:val="00CE6D10"/>
    <w:rsid w:val="00CE6EC6"/>
    <w:rsid w:val="00CE750E"/>
    <w:rsid w:val="00CE77D7"/>
    <w:rsid w:val="00CF05D5"/>
    <w:rsid w:val="00CF0733"/>
    <w:rsid w:val="00CF08C6"/>
    <w:rsid w:val="00CF08D5"/>
    <w:rsid w:val="00CF185D"/>
    <w:rsid w:val="00CF2159"/>
    <w:rsid w:val="00CF2A03"/>
    <w:rsid w:val="00CF3058"/>
    <w:rsid w:val="00CF3364"/>
    <w:rsid w:val="00CF374D"/>
    <w:rsid w:val="00CF4AF7"/>
    <w:rsid w:val="00CF4CBD"/>
    <w:rsid w:val="00CF583F"/>
    <w:rsid w:val="00CF5B9A"/>
    <w:rsid w:val="00CF5C1E"/>
    <w:rsid w:val="00CF5D88"/>
    <w:rsid w:val="00CF5E1D"/>
    <w:rsid w:val="00CF6B77"/>
    <w:rsid w:val="00CF7540"/>
    <w:rsid w:val="00CF7C43"/>
    <w:rsid w:val="00CF7F4A"/>
    <w:rsid w:val="00D0002C"/>
    <w:rsid w:val="00D0002F"/>
    <w:rsid w:val="00D00192"/>
    <w:rsid w:val="00D0054B"/>
    <w:rsid w:val="00D00730"/>
    <w:rsid w:val="00D00B27"/>
    <w:rsid w:val="00D00D85"/>
    <w:rsid w:val="00D014F4"/>
    <w:rsid w:val="00D01622"/>
    <w:rsid w:val="00D01C7E"/>
    <w:rsid w:val="00D01DCC"/>
    <w:rsid w:val="00D020C3"/>
    <w:rsid w:val="00D0273E"/>
    <w:rsid w:val="00D0281E"/>
    <w:rsid w:val="00D028CA"/>
    <w:rsid w:val="00D029DA"/>
    <w:rsid w:val="00D02DB2"/>
    <w:rsid w:val="00D02F73"/>
    <w:rsid w:val="00D02FBA"/>
    <w:rsid w:val="00D03CCB"/>
    <w:rsid w:val="00D040B0"/>
    <w:rsid w:val="00D04D3C"/>
    <w:rsid w:val="00D04F81"/>
    <w:rsid w:val="00D050EC"/>
    <w:rsid w:val="00D054DE"/>
    <w:rsid w:val="00D05524"/>
    <w:rsid w:val="00D05858"/>
    <w:rsid w:val="00D05D83"/>
    <w:rsid w:val="00D06613"/>
    <w:rsid w:val="00D066A4"/>
    <w:rsid w:val="00D066E0"/>
    <w:rsid w:val="00D068CA"/>
    <w:rsid w:val="00D06ED6"/>
    <w:rsid w:val="00D06F9C"/>
    <w:rsid w:val="00D07079"/>
    <w:rsid w:val="00D070E4"/>
    <w:rsid w:val="00D07552"/>
    <w:rsid w:val="00D07561"/>
    <w:rsid w:val="00D1002D"/>
    <w:rsid w:val="00D10FFC"/>
    <w:rsid w:val="00D11378"/>
    <w:rsid w:val="00D114CA"/>
    <w:rsid w:val="00D1158A"/>
    <w:rsid w:val="00D1162C"/>
    <w:rsid w:val="00D11B20"/>
    <w:rsid w:val="00D11CFD"/>
    <w:rsid w:val="00D12A99"/>
    <w:rsid w:val="00D12C35"/>
    <w:rsid w:val="00D1306C"/>
    <w:rsid w:val="00D1387B"/>
    <w:rsid w:val="00D13EDF"/>
    <w:rsid w:val="00D13FBC"/>
    <w:rsid w:val="00D140F3"/>
    <w:rsid w:val="00D14AAD"/>
    <w:rsid w:val="00D15296"/>
    <w:rsid w:val="00D1554B"/>
    <w:rsid w:val="00D1568A"/>
    <w:rsid w:val="00D156D6"/>
    <w:rsid w:val="00D159B4"/>
    <w:rsid w:val="00D15DFC"/>
    <w:rsid w:val="00D162B2"/>
    <w:rsid w:val="00D165C5"/>
    <w:rsid w:val="00D1683B"/>
    <w:rsid w:val="00D17729"/>
    <w:rsid w:val="00D17B85"/>
    <w:rsid w:val="00D17BAA"/>
    <w:rsid w:val="00D20736"/>
    <w:rsid w:val="00D20835"/>
    <w:rsid w:val="00D20A49"/>
    <w:rsid w:val="00D20BBF"/>
    <w:rsid w:val="00D211A2"/>
    <w:rsid w:val="00D21611"/>
    <w:rsid w:val="00D21948"/>
    <w:rsid w:val="00D219E6"/>
    <w:rsid w:val="00D21C95"/>
    <w:rsid w:val="00D21D48"/>
    <w:rsid w:val="00D22D4D"/>
    <w:rsid w:val="00D22F45"/>
    <w:rsid w:val="00D230BA"/>
    <w:rsid w:val="00D23962"/>
    <w:rsid w:val="00D23E3A"/>
    <w:rsid w:val="00D23F78"/>
    <w:rsid w:val="00D24CCD"/>
    <w:rsid w:val="00D24E7A"/>
    <w:rsid w:val="00D25094"/>
    <w:rsid w:val="00D25CC9"/>
    <w:rsid w:val="00D26376"/>
    <w:rsid w:val="00D268BF"/>
    <w:rsid w:val="00D2749C"/>
    <w:rsid w:val="00D27622"/>
    <w:rsid w:val="00D27CFF"/>
    <w:rsid w:val="00D3037E"/>
    <w:rsid w:val="00D3062D"/>
    <w:rsid w:val="00D31469"/>
    <w:rsid w:val="00D3181D"/>
    <w:rsid w:val="00D31A1D"/>
    <w:rsid w:val="00D31A66"/>
    <w:rsid w:val="00D31AD8"/>
    <w:rsid w:val="00D31C2B"/>
    <w:rsid w:val="00D31C98"/>
    <w:rsid w:val="00D323B7"/>
    <w:rsid w:val="00D3241D"/>
    <w:rsid w:val="00D3249C"/>
    <w:rsid w:val="00D32621"/>
    <w:rsid w:val="00D32703"/>
    <w:rsid w:val="00D328A2"/>
    <w:rsid w:val="00D32D52"/>
    <w:rsid w:val="00D337C4"/>
    <w:rsid w:val="00D33A94"/>
    <w:rsid w:val="00D33BD2"/>
    <w:rsid w:val="00D33C8D"/>
    <w:rsid w:val="00D33DF7"/>
    <w:rsid w:val="00D33EAB"/>
    <w:rsid w:val="00D33EC5"/>
    <w:rsid w:val="00D343DD"/>
    <w:rsid w:val="00D34700"/>
    <w:rsid w:val="00D34AA3"/>
    <w:rsid w:val="00D35A5B"/>
    <w:rsid w:val="00D35D5A"/>
    <w:rsid w:val="00D36217"/>
    <w:rsid w:val="00D36221"/>
    <w:rsid w:val="00D36E84"/>
    <w:rsid w:val="00D37488"/>
    <w:rsid w:val="00D37728"/>
    <w:rsid w:val="00D37735"/>
    <w:rsid w:val="00D37C1F"/>
    <w:rsid w:val="00D401A6"/>
    <w:rsid w:val="00D40A53"/>
    <w:rsid w:val="00D40BFD"/>
    <w:rsid w:val="00D40EF2"/>
    <w:rsid w:val="00D41020"/>
    <w:rsid w:val="00D41226"/>
    <w:rsid w:val="00D4133A"/>
    <w:rsid w:val="00D4144B"/>
    <w:rsid w:val="00D416FD"/>
    <w:rsid w:val="00D42095"/>
    <w:rsid w:val="00D42336"/>
    <w:rsid w:val="00D42B4E"/>
    <w:rsid w:val="00D434C2"/>
    <w:rsid w:val="00D435E8"/>
    <w:rsid w:val="00D43B25"/>
    <w:rsid w:val="00D44064"/>
    <w:rsid w:val="00D44853"/>
    <w:rsid w:val="00D44BD1"/>
    <w:rsid w:val="00D4523B"/>
    <w:rsid w:val="00D452C5"/>
    <w:rsid w:val="00D45578"/>
    <w:rsid w:val="00D45620"/>
    <w:rsid w:val="00D458CD"/>
    <w:rsid w:val="00D45EA2"/>
    <w:rsid w:val="00D45F90"/>
    <w:rsid w:val="00D46024"/>
    <w:rsid w:val="00D46125"/>
    <w:rsid w:val="00D4618E"/>
    <w:rsid w:val="00D46339"/>
    <w:rsid w:val="00D46718"/>
    <w:rsid w:val="00D4676D"/>
    <w:rsid w:val="00D46FF5"/>
    <w:rsid w:val="00D470D3"/>
    <w:rsid w:val="00D470F9"/>
    <w:rsid w:val="00D47A50"/>
    <w:rsid w:val="00D47AF6"/>
    <w:rsid w:val="00D500B7"/>
    <w:rsid w:val="00D501C5"/>
    <w:rsid w:val="00D5031F"/>
    <w:rsid w:val="00D503EB"/>
    <w:rsid w:val="00D50896"/>
    <w:rsid w:val="00D5099F"/>
    <w:rsid w:val="00D50C33"/>
    <w:rsid w:val="00D50C71"/>
    <w:rsid w:val="00D513E4"/>
    <w:rsid w:val="00D5212A"/>
    <w:rsid w:val="00D52584"/>
    <w:rsid w:val="00D5275A"/>
    <w:rsid w:val="00D52B00"/>
    <w:rsid w:val="00D53B2E"/>
    <w:rsid w:val="00D54424"/>
    <w:rsid w:val="00D54A34"/>
    <w:rsid w:val="00D54A8F"/>
    <w:rsid w:val="00D54EAA"/>
    <w:rsid w:val="00D551C6"/>
    <w:rsid w:val="00D5581E"/>
    <w:rsid w:val="00D55B13"/>
    <w:rsid w:val="00D55C14"/>
    <w:rsid w:val="00D55D1A"/>
    <w:rsid w:val="00D55D92"/>
    <w:rsid w:val="00D55E13"/>
    <w:rsid w:val="00D560A9"/>
    <w:rsid w:val="00D56113"/>
    <w:rsid w:val="00D5699D"/>
    <w:rsid w:val="00D56E6F"/>
    <w:rsid w:val="00D56F7F"/>
    <w:rsid w:val="00D56FAC"/>
    <w:rsid w:val="00D57247"/>
    <w:rsid w:val="00D572D3"/>
    <w:rsid w:val="00D5752F"/>
    <w:rsid w:val="00D57654"/>
    <w:rsid w:val="00D578A0"/>
    <w:rsid w:val="00D5790B"/>
    <w:rsid w:val="00D57DBA"/>
    <w:rsid w:val="00D60413"/>
    <w:rsid w:val="00D605C0"/>
    <w:rsid w:val="00D606E4"/>
    <w:rsid w:val="00D60C94"/>
    <w:rsid w:val="00D60F6A"/>
    <w:rsid w:val="00D61E62"/>
    <w:rsid w:val="00D61F7C"/>
    <w:rsid w:val="00D62569"/>
    <w:rsid w:val="00D62595"/>
    <w:rsid w:val="00D625B0"/>
    <w:rsid w:val="00D62B50"/>
    <w:rsid w:val="00D63128"/>
    <w:rsid w:val="00D6333E"/>
    <w:rsid w:val="00D63355"/>
    <w:rsid w:val="00D63CA9"/>
    <w:rsid w:val="00D6400D"/>
    <w:rsid w:val="00D643A3"/>
    <w:rsid w:val="00D6494E"/>
    <w:rsid w:val="00D64A34"/>
    <w:rsid w:val="00D64BDC"/>
    <w:rsid w:val="00D656B6"/>
    <w:rsid w:val="00D65D22"/>
    <w:rsid w:val="00D65E42"/>
    <w:rsid w:val="00D66076"/>
    <w:rsid w:val="00D66FE5"/>
    <w:rsid w:val="00D67D34"/>
    <w:rsid w:val="00D67E0F"/>
    <w:rsid w:val="00D7011B"/>
    <w:rsid w:val="00D706EA"/>
    <w:rsid w:val="00D708AA"/>
    <w:rsid w:val="00D70D72"/>
    <w:rsid w:val="00D71261"/>
    <w:rsid w:val="00D712D8"/>
    <w:rsid w:val="00D7158F"/>
    <w:rsid w:val="00D71594"/>
    <w:rsid w:val="00D71F1D"/>
    <w:rsid w:val="00D71FAE"/>
    <w:rsid w:val="00D720BA"/>
    <w:rsid w:val="00D7251C"/>
    <w:rsid w:val="00D727B7"/>
    <w:rsid w:val="00D72CC2"/>
    <w:rsid w:val="00D73304"/>
    <w:rsid w:val="00D7339A"/>
    <w:rsid w:val="00D7344E"/>
    <w:rsid w:val="00D737E3"/>
    <w:rsid w:val="00D73D00"/>
    <w:rsid w:val="00D740B5"/>
    <w:rsid w:val="00D7414E"/>
    <w:rsid w:val="00D7433F"/>
    <w:rsid w:val="00D7488E"/>
    <w:rsid w:val="00D74E24"/>
    <w:rsid w:val="00D7512A"/>
    <w:rsid w:val="00D755D7"/>
    <w:rsid w:val="00D75860"/>
    <w:rsid w:val="00D75A56"/>
    <w:rsid w:val="00D75ABB"/>
    <w:rsid w:val="00D75B85"/>
    <w:rsid w:val="00D7639B"/>
    <w:rsid w:val="00D768EC"/>
    <w:rsid w:val="00D76B60"/>
    <w:rsid w:val="00D76F68"/>
    <w:rsid w:val="00D772B5"/>
    <w:rsid w:val="00D778AA"/>
    <w:rsid w:val="00D77A1B"/>
    <w:rsid w:val="00D77BD7"/>
    <w:rsid w:val="00D77DEA"/>
    <w:rsid w:val="00D80175"/>
    <w:rsid w:val="00D8017D"/>
    <w:rsid w:val="00D802FA"/>
    <w:rsid w:val="00D80362"/>
    <w:rsid w:val="00D804B6"/>
    <w:rsid w:val="00D80515"/>
    <w:rsid w:val="00D8089F"/>
    <w:rsid w:val="00D80A05"/>
    <w:rsid w:val="00D80E42"/>
    <w:rsid w:val="00D81637"/>
    <w:rsid w:val="00D81D6D"/>
    <w:rsid w:val="00D82924"/>
    <w:rsid w:val="00D82E46"/>
    <w:rsid w:val="00D82EA4"/>
    <w:rsid w:val="00D82FF8"/>
    <w:rsid w:val="00D8357F"/>
    <w:rsid w:val="00D8464C"/>
    <w:rsid w:val="00D84A3F"/>
    <w:rsid w:val="00D84E0A"/>
    <w:rsid w:val="00D84FDC"/>
    <w:rsid w:val="00D84FDD"/>
    <w:rsid w:val="00D858C8"/>
    <w:rsid w:val="00D86003"/>
    <w:rsid w:val="00D8612B"/>
    <w:rsid w:val="00D862A1"/>
    <w:rsid w:val="00D862CF"/>
    <w:rsid w:val="00D86736"/>
    <w:rsid w:val="00D86938"/>
    <w:rsid w:val="00D87417"/>
    <w:rsid w:val="00D90186"/>
    <w:rsid w:val="00D90293"/>
    <w:rsid w:val="00D90B4A"/>
    <w:rsid w:val="00D91906"/>
    <w:rsid w:val="00D91927"/>
    <w:rsid w:val="00D91ADA"/>
    <w:rsid w:val="00D91B6A"/>
    <w:rsid w:val="00D92143"/>
    <w:rsid w:val="00D925FF"/>
    <w:rsid w:val="00D9293C"/>
    <w:rsid w:val="00D9294C"/>
    <w:rsid w:val="00D92AD3"/>
    <w:rsid w:val="00D92D7A"/>
    <w:rsid w:val="00D92E3A"/>
    <w:rsid w:val="00D92F51"/>
    <w:rsid w:val="00D933D3"/>
    <w:rsid w:val="00D938B7"/>
    <w:rsid w:val="00D93A48"/>
    <w:rsid w:val="00D93BAA"/>
    <w:rsid w:val="00D93CE7"/>
    <w:rsid w:val="00D94080"/>
    <w:rsid w:val="00D948FF"/>
    <w:rsid w:val="00D94D14"/>
    <w:rsid w:val="00D94E94"/>
    <w:rsid w:val="00D94FE6"/>
    <w:rsid w:val="00D95325"/>
    <w:rsid w:val="00D9573D"/>
    <w:rsid w:val="00D95DD3"/>
    <w:rsid w:val="00D963A7"/>
    <w:rsid w:val="00D9655D"/>
    <w:rsid w:val="00D96AB1"/>
    <w:rsid w:val="00D96FF3"/>
    <w:rsid w:val="00D9717A"/>
    <w:rsid w:val="00D977ED"/>
    <w:rsid w:val="00D97ACC"/>
    <w:rsid w:val="00D97F0F"/>
    <w:rsid w:val="00DA0085"/>
    <w:rsid w:val="00DA0573"/>
    <w:rsid w:val="00DA17CF"/>
    <w:rsid w:val="00DA184B"/>
    <w:rsid w:val="00DA19B5"/>
    <w:rsid w:val="00DA1B8D"/>
    <w:rsid w:val="00DA1D50"/>
    <w:rsid w:val="00DA1DF4"/>
    <w:rsid w:val="00DA216C"/>
    <w:rsid w:val="00DA2759"/>
    <w:rsid w:val="00DA28B1"/>
    <w:rsid w:val="00DA29C0"/>
    <w:rsid w:val="00DA2CB7"/>
    <w:rsid w:val="00DA2F4F"/>
    <w:rsid w:val="00DA2FB2"/>
    <w:rsid w:val="00DA34A3"/>
    <w:rsid w:val="00DA365A"/>
    <w:rsid w:val="00DA3BD3"/>
    <w:rsid w:val="00DA3E3C"/>
    <w:rsid w:val="00DA48CD"/>
    <w:rsid w:val="00DA4B7A"/>
    <w:rsid w:val="00DA5628"/>
    <w:rsid w:val="00DA5AB3"/>
    <w:rsid w:val="00DA6135"/>
    <w:rsid w:val="00DA65E0"/>
    <w:rsid w:val="00DA6FB3"/>
    <w:rsid w:val="00DA74CD"/>
    <w:rsid w:val="00DA79B3"/>
    <w:rsid w:val="00DA7CAF"/>
    <w:rsid w:val="00DA7E77"/>
    <w:rsid w:val="00DA7F84"/>
    <w:rsid w:val="00DB002E"/>
    <w:rsid w:val="00DB0347"/>
    <w:rsid w:val="00DB0E48"/>
    <w:rsid w:val="00DB107A"/>
    <w:rsid w:val="00DB115E"/>
    <w:rsid w:val="00DB1708"/>
    <w:rsid w:val="00DB1BF5"/>
    <w:rsid w:val="00DB3302"/>
    <w:rsid w:val="00DB3745"/>
    <w:rsid w:val="00DB395C"/>
    <w:rsid w:val="00DB3E90"/>
    <w:rsid w:val="00DB4812"/>
    <w:rsid w:val="00DB4DDA"/>
    <w:rsid w:val="00DB53AA"/>
    <w:rsid w:val="00DB5971"/>
    <w:rsid w:val="00DB5E1B"/>
    <w:rsid w:val="00DB6B9F"/>
    <w:rsid w:val="00DB6E7B"/>
    <w:rsid w:val="00DB7395"/>
    <w:rsid w:val="00DB7C1D"/>
    <w:rsid w:val="00DB7D39"/>
    <w:rsid w:val="00DC004B"/>
    <w:rsid w:val="00DC024C"/>
    <w:rsid w:val="00DC099C"/>
    <w:rsid w:val="00DC0D84"/>
    <w:rsid w:val="00DC1114"/>
    <w:rsid w:val="00DC1265"/>
    <w:rsid w:val="00DC1461"/>
    <w:rsid w:val="00DC1654"/>
    <w:rsid w:val="00DC1800"/>
    <w:rsid w:val="00DC1CF5"/>
    <w:rsid w:val="00DC1FE2"/>
    <w:rsid w:val="00DC2C1E"/>
    <w:rsid w:val="00DC2C71"/>
    <w:rsid w:val="00DC3177"/>
    <w:rsid w:val="00DC3250"/>
    <w:rsid w:val="00DC37C8"/>
    <w:rsid w:val="00DC3864"/>
    <w:rsid w:val="00DC4451"/>
    <w:rsid w:val="00DC49D4"/>
    <w:rsid w:val="00DC4F45"/>
    <w:rsid w:val="00DC58C1"/>
    <w:rsid w:val="00DC5DEF"/>
    <w:rsid w:val="00DC60CB"/>
    <w:rsid w:val="00DC69F7"/>
    <w:rsid w:val="00DC6ECC"/>
    <w:rsid w:val="00DC75A9"/>
    <w:rsid w:val="00DC7D6D"/>
    <w:rsid w:val="00DC7ECE"/>
    <w:rsid w:val="00DD018E"/>
    <w:rsid w:val="00DD02A8"/>
    <w:rsid w:val="00DD0458"/>
    <w:rsid w:val="00DD0469"/>
    <w:rsid w:val="00DD08B2"/>
    <w:rsid w:val="00DD0944"/>
    <w:rsid w:val="00DD0AEC"/>
    <w:rsid w:val="00DD0E67"/>
    <w:rsid w:val="00DD135D"/>
    <w:rsid w:val="00DD1548"/>
    <w:rsid w:val="00DD17C7"/>
    <w:rsid w:val="00DD1863"/>
    <w:rsid w:val="00DD20AD"/>
    <w:rsid w:val="00DD252D"/>
    <w:rsid w:val="00DD2941"/>
    <w:rsid w:val="00DD2BCB"/>
    <w:rsid w:val="00DD2D6C"/>
    <w:rsid w:val="00DD3384"/>
    <w:rsid w:val="00DD3515"/>
    <w:rsid w:val="00DD3B17"/>
    <w:rsid w:val="00DD3C2A"/>
    <w:rsid w:val="00DD410C"/>
    <w:rsid w:val="00DD438D"/>
    <w:rsid w:val="00DD4B6F"/>
    <w:rsid w:val="00DD5446"/>
    <w:rsid w:val="00DD5593"/>
    <w:rsid w:val="00DD5750"/>
    <w:rsid w:val="00DD593D"/>
    <w:rsid w:val="00DD60AE"/>
    <w:rsid w:val="00DD67C5"/>
    <w:rsid w:val="00DD6F8A"/>
    <w:rsid w:val="00DD7746"/>
    <w:rsid w:val="00DD786D"/>
    <w:rsid w:val="00DD7C18"/>
    <w:rsid w:val="00DE0370"/>
    <w:rsid w:val="00DE039F"/>
    <w:rsid w:val="00DE05BE"/>
    <w:rsid w:val="00DE1DA4"/>
    <w:rsid w:val="00DE208B"/>
    <w:rsid w:val="00DE291C"/>
    <w:rsid w:val="00DE2F5C"/>
    <w:rsid w:val="00DE2FFC"/>
    <w:rsid w:val="00DE3619"/>
    <w:rsid w:val="00DE3CC1"/>
    <w:rsid w:val="00DE3F16"/>
    <w:rsid w:val="00DE42FF"/>
    <w:rsid w:val="00DE4832"/>
    <w:rsid w:val="00DE4A50"/>
    <w:rsid w:val="00DE537A"/>
    <w:rsid w:val="00DE538C"/>
    <w:rsid w:val="00DE53A5"/>
    <w:rsid w:val="00DE5A68"/>
    <w:rsid w:val="00DE5B40"/>
    <w:rsid w:val="00DE5C2B"/>
    <w:rsid w:val="00DE5C32"/>
    <w:rsid w:val="00DE61DD"/>
    <w:rsid w:val="00DE64A9"/>
    <w:rsid w:val="00DE66B8"/>
    <w:rsid w:val="00DE7781"/>
    <w:rsid w:val="00DF012E"/>
    <w:rsid w:val="00DF0437"/>
    <w:rsid w:val="00DF072A"/>
    <w:rsid w:val="00DF0C07"/>
    <w:rsid w:val="00DF0D18"/>
    <w:rsid w:val="00DF1272"/>
    <w:rsid w:val="00DF12A4"/>
    <w:rsid w:val="00DF135C"/>
    <w:rsid w:val="00DF1B47"/>
    <w:rsid w:val="00DF3273"/>
    <w:rsid w:val="00DF3415"/>
    <w:rsid w:val="00DF380D"/>
    <w:rsid w:val="00DF3F78"/>
    <w:rsid w:val="00DF46BD"/>
    <w:rsid w:val="00DF48F7"/>
    <w:rsid w:val="00DF4E7C"/>
    <w:rsid w:val="00DF5123"/>
    <w:rsid w:val="00DF5852"/>
    <w:rsid w:val="00DF5B88"/>
    <w:rsid w:val="00DF5DC8"/>
    <w:rsid w:val="00DF6AC4"/>
    <w:rsid w:val="00DF7048"/>
    <w:rsid w:val="00DF70AB"/>
    <w:rsid w:val="00E0022B"/>
    <w:rsid w:val="00E002B4"/>
    <w:rsid w:val="00E00C04"/>
    <w:rsid w:val="00E01C39"/>
    <w:rsid w:val="00E02241"/>
    <w:rsid w:val="00E02381"/>
    <w:rsid w:val="00E02CA0"/>
    <w:rsid w:val="00E02E34"/>
    <w:rsid w:val="00E02FE6"/>
    <w:rsid w:val="00E03150"/>
    <w:rsid w:val="00E039C0"/>
    <w:rsid w:val="00E042BB"/>
    <w:rsid w:val="00E04A42"/>
    <w:rsid w:val="00E04B2D"/>
    <w:rsid w:val="00E04BE4"/>
    <w:rsid w:val="00E04F50"/>
    <w:rsid w:val="00E05024"/>
    <w:rsid w:val="00E05262"/>
    <w:rsid w:val="00E0541B"/>
    <w:rsid w:val="00E054C7"/>
    <w:rsid w:val="00E059B4"/>
    <w:rsid w:val="00E05AA4"/>
    <w:rsid w:val="00E05BB9"/>
    <w:rsid w:val="00E05CB7"/>
    <w:rsid w:val="00E05D63"/>
    <w:rsid w:val="00E05FCD"/>
    <w:rsid w:val="00E067D3"/>
    <w:rsid w:val="00E0744B"/>
    <w:rsid w:val="00E07AEA"/>
    <w:rsid w:val="00E07C09"/>
    <w:rsid w:val="00E07C1D"/>
    <w:rsid w:val="00E07D9A"/>
    <w:rsid w:val="00E100E8"/>
    <w:rsid w:val="00E103EB"/>
    <w:rsid w:val="00E10884"/>
    <w:rsid w:val="00E10BC5"/>
    <w:rsid w:val="00E11426"/>
    <w:rsid w:val="00E11C7B"/>
    <w:rsid w:val="00E120A9"/>
    <w:rsid w:val="00E1221F"/>
    <w:rsid w:val="00E12418"/>
    <w:rsid w:val="00E1249B"/>
    <w:rsid w:val="00E128AB"/>
    <w:rsid w:val="00E12F3B"/>
    <w:rsid w:val="00E1348C"/>
    <w:rsid w:val="00E1349E"/>
    <w:rsid w:val="00E13A87"/>
    <w:rsid w:val="00E13C51"/>
    <w:rsid w:val="00E13F5F"/>
    <w:rsid w:val="00E1412D"/>
    <w:rsid w:val="00E1429C"/>
    <w:rsid w:val="00E1431D"/>
    <w:rsid w:val="00E14380"/>
    <w:rsid w:val="00E14726"/>
    <w:rsid w:val="00E148A3"/>
    <w:rsid w:val="00E14C52"/>
    <w:rsid w:val="00E14E1A"/>
    <w:rsid w:val="00E14FE6"/>
    <w:rsid w:val="00E150F4"/>
    <w:rsid w:val="00E15970"/>
    <w:rsid w:val="00E1598C"/>
    <w:rsid w:val="00E15C80"/>
    <w:rsid w:val="00E15FB7"/>
    <w:rsid w:val="00E16545"/>
    <w:rsid w:val="00E16F22"/>
    <w:rsid w:val="00E171D3"/>
    <w:rsid w:val="00E208EF"/>
    <w:rsid w:val="00E20F0F"/>
    <w:rsid w:val="00E21071"/>
    <w:rsid w:val="00E21494"/>
    <w:rsid w:val="00E214B3"/>
    <w:rsid w:val="00E2163B"/>
    <w:rsid w:val="00E21BED"/>
    <w:rsid w:val="00E2270F"/>
    <w:rsid w:val="00E22766"/>
    <w:rsid w:val="00E22FDD"/>
    <w:rsid w:val="00E2303E"/>
    <w:rsid w:val="00E2311E"/>
    <w:rsid w:val="00E2325C"/>
    <w:rsid w:val="00E2386F"/>
    <w:rsid w:val="00E23FCC"/>
    <w:rsid w:val="00E24381"/>
    <w:rsid w:val="00E24EF3"/>
    <w:rsid w:val="00E24EFB"/>
    <w:rsid w:val="00E252E9"/>
    <w:rsid w:val="00E254DB"/>
    <w:rsid w:val="00E25D01"/>
    <w:rsid w:val="00E272B9"/>
    <w:rsid w:val="00E30318"/>
    <w:rsid w:val="00E30696"/>
    <w:rsid w:val="00E308AE"/>
    <w:rsid w:val="00E3096A"/>
    <w:rsid w:val="00E3107E"/>
    <w:rsid w:val="00E31241"/>
    <w:rsid w:val="00E314C0"/>
    <w:rsid w:val="00E315B0"/>
    <w:rsid w:val="00E315DF"/>
    <w:rsid w:val="00E31B1A"/>
    <w:rsid w:val="00E31CE3"/>
    <w:rsid w:val="00E3200A"/>
    <w:rsid w:val="00E3218E"/>
    <w:rsid w:val="00E325B1"/>
    <w:rsid w:val="00E3273A"/>
    <w:rsid w:val="00E32D97"/>
    <w:rsid w:val="00E32DF9"/>
    <w:rsid w:val="00E32F60"/>
    <w:rsid w:val="00E32FB2"/>
    <w:rsid w:val="00E3337E"/>
    <w:rsid w:val="00E33677"/>
    <w:rsid w:val="00E33E0F"/>
    <w:rsid w:val="00E33FCF"/>
    <w:rsid w:val="00E341E3"/>
    <w:rsid w:val="00E34308"/>
    <w:rsid w:val="00E34468"/>
    <w:rsid w:val="00E34781"/>
    <w:rsid w:val="00E349DE"/>
    <w:rsid w:val="00E34BA5"/>
    <w:rsid w:val="00E350D1"/>
    <w:rsid w:val="00E356FB"/>
    <w:rsid w:val="00E35C97"/>
    <w:rsid w:val="00E35E47"/>
    <w:rsid w:val="00E364DE"/>
    <w:rsid w:val="00E36897"/>
    <w:rsid w:val="00E369F1"/>
    <w:rsid w:val="00E36E13"/>
    <w:rsid w:val="00E37041"/>
    <w:rsid w:val="00E376FF"/>
    <w:rsid w:val="00E37DD6"/>
    <w:rsid w:val="00E37EB5"/>
    <w:rsid w:val="00E40254"/>
    <w:rsid w:val="00E405B6"/>
    <w:rsid w:val="00E40933"/>
    <w:rsid w:val="00E4154A"/>
    <w:rsid w:val="00E418E2"/>
    <w:rsid w:val="00E42133"/>
    <w:rsid w:val="00E42541"/>
    <w:rsid w:val="00E428A7"/>
    <w:rsid w:val="00E42C77"/>
    <w:rsid w:val="00E4416E"/>
    <w:rsid w:val="00E449F0"/>
    <w:rsid w:val="00E44C83"/>
    <w:rsid w:val="00E4516C"/>
    <w:rsid w:val="00E45207"/>
    <w:rsid w:val="00E4521F"/>
    <w:rsid w:val="00E4552E"/>
    <w:rsid w:val="00E456E5"/>
    <w:rsid w:val="00E46AE1"/>
    <w:rsid w:val="00E47046"/>
    <w:rsid w:val="00E470EA"/>
    <w:rsid w:val="00E4718F"/>
    <w:rsid w:val="00E47777"/>
    <w:rsid w:val="00E47888"/>
    <w:rsid w:val="00E47930"/>
    <w:rsid w:val="00E47A02"/>
    <w:rsid w:val="00E47EF6"/>
    <w:rsid w:val="00E500D4"/>
    <w:rsid w:val="00E5019A"/>
    <w:rsid w:val="00E506B5"/>
    <w:rsid w:val="00E50797"/>
    <w:rsid w:val="00E50A2B"/>
    <w:rsid w:val="00E50ABC"/>
    <w:rsid w:val="00E50B57"/>
    <w:rsid w:val="00E5159F"/>
    <w:rsid w:val="00E51D2F"/>
    <w:rsid w:val="00E52320"/>
    <w:rsid w:val="00E529C6"/>
    <w:rsid w:val="00E52D09"/>
    <w:rsid w:val="00E53494"/>
    <w:rsid w:val="00E5367F"/>
    <w:rsid w:val="00E53D95"/>
    <w:rsid w:val="00E53E8A"/>
    <w:rsid w:val="00E543A8"/>
    <w:rsid w:val="00E54599"/>
    <w:rsid w:val="00E54B66"/>
    <w:rsid w:val="00E550D0"/>
    <w:rsid w:val="00E55451"/>
    <w:rsid w:val="00E56254"/>
    <w:rsid w:val="00E5639E"/>
    <w:rsid w:val="00E564F7"/>
    <w:rsid w:val="00E56AD7"/>
    <w:rsid w:val="00E5737F"/>
    <w:rsid w:val="00E57720"/>
    <w:rsid w:val="00E579DC"/>
    <w:rsid w:val="00E57DCC"/>
    <w:rsid w:val="00E61131"/>
    <w:rsid w:val="00E614D7"/>
    <w:rsid w:val="00E6185B"/>
    <w:rsid w:val="00E61865"/>
    <w:rsid w:val="00E619B6"/>
    <w:rsid w:val="00E61A88"/>
    <w:rsid w:val="00E61D9E"/>
    <w:rsid w:val="00E61F7B"/>
    <w:rsid w:val="00E62A6B"/>
    <w:rsid w:val="00E62A70"/>
    <w:rsid w:val="00E63001"/>
    <w:rsid w:val="00E63189"/>
    <w:rsid w:val="00E6379D"/>
    <w:rsid w:val="00E639EC"/>
    <w:rsid w:val="00E63B85"/>
    <w:rsid w:val="00E64246"/>
    <w:rsid w:val="00E64582"/>
    <w:rsid w:val="00E64F32"/>
    <w:rsid w:val="00E64FA4"/>
    <w:rsid w:val="00E665E2"/>
    <w:rsid w:val="00E668EC"/>
    <w:rsid w:val="00E67351"/>
    <w:rsid w:val="00E6754F"/>
    <w:rsid w:val="00E67C0E"/>
    <w:rsid w:val="00E67CEF"/>
    <w:rsid w:val="00E67D58"/>
    <w:rsid w:val="00E67EFF"/>
    <w:rsid w:val="00E701CA"/>
    <w:rsid w:val="00E70522"/>
    <w:rsid w:val="00E7062F"/>
    <w:rsid w:val="00E706A0"/>
    <w:rsid w:val="00E70711"/>
    <w:rsid w:val="00E70A64"/>
    <w:rsid w:val="00E70B72"/>
    <w:rsid w:val="00E71A1D"/>
    <w:rsid w:val="00E71B33"/>
    <w:rsid w:val="00E71F21"/>
    <w:rsid w:val="00E720C3"/>
    <w:rsid w:val="00E723CD"/>
    <w:rsid w:val="00E72687"/>
    <w:rsid w:val="00E72DDD"/>
    <w:rsid w:val="00E733E7"/>
    <w:rsid w:val="00E7357F"/>
    <w:rsid w:val="00E73751"/>
    <w:rsid w:val="00E741F7"/>
    <w:rsid w:val="00E7447F"/>
    <w:rsid w:val="00E7459B"/>
    <w:rsid w:val="00E7587B"/>
    <w:rsid w:val="00E75ADD"/>
    <w:rsid w:val="00E7662D"/>
    <w:rsid w:val="00E76BAE"/>
    <w:rsid w:val="00E76DEF"/>
    <w:rsid w:val="00E80189"/>
    <w:rsid w:val="00E8031F"/>
    <w:rsid w:val="00E8050F"/>
    <w:rsid w:val="00E80A72"/>
    <w:rsid w:val="00E80D74"/>
    <w:rsid w:val="00E80EAD"/>
    <w:rsid w:val="00E81FEF"/>
    <w:rsid w:val="00E8211F"/>
    <w:rsid w:val="00E82AE7"/>
    <w:rsid w:val="00E83348"/>
    <w:rsid w:val="00E83DC8"/>
    <w:rsid w:val="00E8429C"/>
    <w:rsid w:val="00E845BE"/>
    <w:rsid w:val="00E84EC8"/>
    <w:rsid w:val="00E851D1"/>
    <w:rsid w:val="00E8523A"/>
    <w:rsid w:val="00E8528C"/>
    <w:rsid w:val="00E854E6"/>
    <w:rsid w:val="00E85922"/>
    <w:rsid w:val="00E85ED2"/>
    <w:rsid w:val="00E86023"/>
    <w:rsid w:val="00E86094"/>
    <w:rsid w:val="00E8610C"/>
    <w:rsid w:val="00E865AF"/>
    <w:rsid w:val="00E86A42"/>
    <w:rsid w:val="00E86D2F"/>
    <w:rsid w:val="00E8741E"/>
    <w:rsid w:val="00E87935"/>
    <w:rsid w:val="00E87940"/>
    <w:rsid w:val="00E87CCB"/>
    <w:rsid w:val="00E87DE4"/>
    <w:rsid w:val="00E87E68"/>
    <w:rsid w:val="00E90759"/>
    <w:rsid w:val="00E90959"/>
    <w:rsid w:val="00E90A1D"/>
    <w:rsid w:val="00E90E9A"/>
    <w:rsid w:val="00E912B5"/>
    <w:rsid w:val="00E92195"/>
    <w:rsid w:val="00E9230E"/>
    <w:rsid w:val="00E92418"/>
    <w:rsid w:val="00E92630"/>
    <w:rsid w:val="00E92ED4"/>
    <w:rsid w:val="00E93633"/>
    <w:rsid w:val="00E93713"/>
    <w:rsid w:val="00E9413D"/>
    <w:rsid w:val="00E952D1"/>
    <w:rsid w:val="00E95ADD"/>
    <w:rsid w:val="00E95C2F"/>
    <w:rsid w:val="00E95FD2"/>
    <w:rsid w:val="00E96384"/>
    <w:rsid w:val="00E96F17"/>
    <w:rsid w:val="00E96FA3"/>
    <w:rsid w:val="00E97900"/>
    <w:rsid w:val="00E979F2"/>
    <w:rsid w:val="00EA014C"/>
    <w:rsid w:val="00EA1188"/>
    <w:rsid w:val="00EA15C2"/>
    <w:rsid w:val="00EA1712"/>
    <w:rsid w:val="00EA1B2B"/>
    <w:rsid w:val="00EA1CBD"/>
    <w:rsid w:val="00EA222C"/>
    <w:rsid w:val="00EA2724"/>
    <w:rsid w:val="00EA31C2"/>
    <w:rsid w:val="00EA32DF"/>
    <w:rsid w:val="00EA3D5D"/>
    <w:rsid w:val="00EA3EA0"/>
    <w:rsid w:val="00EA421B"/>
    <w:rsid w:val="00EA49DF"/>
    <w:rsid w:val="00EA4AE0"/>
    <w:rsid w:val="00EA4B58"/>
    <w:rsid w:val="00EA4BA2"/>
    <w:rsid w:val="00EA4E47"/>
    <w:rsid w:val="00EA5089"/>
    <w:rsid w:val="00EA51A7"/>
    <w:rsid w:val="00EA5327"/>
    <w:rsid w:val="00EA58F4"/>
    <w:rsid w:val="00EA5AB0"/>
    <w:rsid w:val="00EA5FE8"/>
    <w:rsid w:val="00EA609D"/>
    <w:rsid w:val="00EA60A3"/>
    <w:rsid w:val="00EA61CE"/>
    <w:rsid w:val="00EA6730"/>
    <w:rsid w:val="00EA70F7"/>
    <w:rsid w:val="00EA73D8"/>
    <w:rsid w:val="00EA7945"/>
    <w:rsid w:val="00EA79C7"/>
    <w:rsid w:val="00EA7CB1"/>
    <w:rsid w:val="00EB020A"/>
    <w:rsid w:val="00EB02DA"/>
    <w:rsid w:val="00EB0784"/>
    <w:rsid w:val="00EB09D0"/>
    <w:rsid w:val="00EB1281"/>
    <w:rsid w:val="00EB1A27"/>
    <w:rsid w:val="00EB1AC8"/>
    <w:rsid w:val="00EB1E14"/>
    <w:rsid w:val="00EB2232"/>
    <w:rsid w:val="00EB24BE"/>
    <w:rsid w:val="00EB2917"/>
    <w:rsid w:val="00EB2BF1"/>
    <w:rsid w:val="00EB2CC5"/>
    <w:rsid w:val="00EB2D13"/>
    <w:rsid w:val="00EB32AC"/>
    <w:rsid w:val="00EB3386"/>
    <w:rsid w:val="00EB3E93"/>
    <w:rsid w:val="00EB4324"/>
    <w:rsid w:val="00EB45C3"/>
    <w:rsid w:val="00EB490A"/>
    <w:rsid w:val="00EB4BAE"/>
    <w:rsid w:val="00EB5520"/>
    <w:rsid w:val="00EB5E77"/>
    <w:rsid w:val="00EB6EDC"/>
    <w:rsid w:val="00EC009D"/>
    <w:rsid w:val="00EC0384"/>
    <w:rsid w:val="00EC0637"/>
    <w:rsid w:val="00EC0696"/>
    <w:rsid w:val="00EC0E7F"/>
    <w:rsid w:val="00EC1671"/>
    <w:rsid w:val="00EC17DD"/>
    <w:rsid w:val="00EC24F8"/>
    <w:rsid w:val="00EC2DEA"/>
    <w:rsid w:val="00EC2E37"/>
    <w:rsid w:val="00EC363E"/>
    <w:rsid w:val="00EC386E"/>
    <w:rsid w:val="00EC3D8A"/>
    <w:rsid w:val="00EC411E"/>
    <w:rsid w:val="00EC4200"/>
    <w:rsid w:val="00EC4377"/>
    <w:rsid w:val="00EC4FD5"/>
    <w:rsid w:val="00EC5281"/>
    <w:rsid w:val="00EC555F"/>
    <w:rsid w:val="00EC5B7B"/>
    <w:rsid w:val="00EC6018"/>
    <w:rsid w:val="00EC6369"/>
    <w:rsid w:val="00EC6760"/>
    <w:rsid w:val="00EC6928"/>
    <w:rsid w:val="00EC6A64"/>
    <w:rsid w:val="00EC6BE2"/>
    <w:rsid w:val="00EC752A"/>
    <w:rsid w:val="00EC7699"/>
    <w:rsid w:val="00ED00E3"/>
    <w:rsid w:val="00ED0363"/>
    <w:rsid w:val="00ED07DF"/>
    <w:rsid w:val="00ED0C72"/>
    <w:rsid w:val="00ED0CF0"/>
    <w:rsid w:val="00ED0D25"/>
    <w:rsid w:val="00ED0F46"/>
    <w:rsid w:val="00ED1085"/>
    <w:rsid w:val="00ED11E2"/>
    <w:rsid w:val="00ED17CD"/>
    <w:rsid w:val="00ED1B13"/>
    <w:rsid w:val="00ED1CFC"/>
    <w:rsid w:val="00ED20B0"/>
    <w:rsid w:val="00ED2C55"/>
    <w:rsid w:val="00ED3215"/>
    <w:rsid w:val="00ED389F"/>
    <w:rsid w:val="00ED3D63"/>
    <w:rsid w:val="00ED4491"/>
    <w:rsid w:val="00ED4551"/>
    <w:rsid w:val="00ED4943"/>
    <w:rsid w:val="00ED4D7E"/>
    <w:rsid w:val="00ED52EC"/>
    <w:rsid w:val="00ED58E6"/>
    <w:rsid w:val="00ED5BBE"/>
    <w:rsid w:val="00ED5E1F"/>
    <w:rsid w:val="00ED5EA1"/>
    <w:rsid w:val="00ED5EA9"/>
    <w:rsid w:val="00ED6078"/>
    <w:rsid w:val="00ED6210"/>
    <w:rsid w:val="00ED6974"/>
    <w:rsid w:val="00ED6AA6"/>
    <w:rsid w:val="00ED6C69"/>
    <w:rsid w:val="00ED76AA"/>
    <w:rsid w:val="00ED7E8B"/>
    <w:rsid w:val="00EE0035"/>
    <w:rsid w:val="00EE0793"/>
    <w:rsid w:val="00EE1227"/>
    <w:rsid w:val="00EE1249"/>
    <w:rsid w:val="00EE1495"/>
    <w:rsid w:val="00EE1DA9"/>
    <w:rsid w:val="00EE1E07"/>
    <w:rsid w:val="00EE1E10"/>
    <w:rsid w:val="00EE1F38"/>
    <w:rsid w:val="00EE2610"/>
    <w:rsid w:val="00EE2B83"/>
    <w:rsid w:val="00EE2D5F"/>
    <w:rsid w:val="00EE3320"/>
    <w:rsid w:val="00EE3A3C"/>
    <w:rsid w:val="00EE3A73"/>
    <w:rsid w:val="00EE3D0D"/>
    <w:rsid w:val="00EE4228"/>
    <w:rsid w:val="00EE49A0"/>
    <w:rsid w:val="00EE52B8"/>
    <w:rsid w:val="00EE5452"/>
    <w:rsid w:val="00EE55F3"/>
    <w:rsid w:val="00EE5E5C"/>
    <w:rsid w:val="00EE6EDB"/>
    <w:rsid w:val="00EE709B"/>
    <w:rsid w:val="00EE71C0"/>
    <w:rsid w:val="00EE71D1"/>
    <w:rsid w:val="00EE7286"/>
    <w:rsid w:val="00EE753F"/>
    <w:rsid w:val="00EE796B"/>
    <w:rsid w:val="00EE7A36"/>
    <w:rsid w:val="00EF0459"/>
    <w:rsid w:val="00EF0B54"/>
    <w:rsid w:val="00EF111F"/>
    <w:rsid w:val="00EF1468"/>
    <w:rsid w:val="00EF194B"/>
    <w:rsid w:val="00EF1A87"/>
    <w:rsid w:val="00EF1B63"/>
    <w:rsid w:val="00EF1CE3"/>
    <w:rsid w:val="00EF1F30"/>
    <w:rsid w:val="00EF2371"/>
    <w:rsid w:val="00EF2697"/>
    <w:rsid w:val="00EF26B5"/>
    <w:rsid w:val="00EF48D9"/>
    <w:rsid w:val="00EF4930"/>
    <w:rsid w:val="00EF4CC9"/>
    <w:rsid w:val="00EF51F9"/>
    <w:rsid w:val="00EF568E"/>
    <w:rsid w:val="00EF593B"/>
    <w:rsid w:val="00EF5C36"/>
    <w:rsid w:val="00EF60BE"/>
    <w:rsid w:val="00EF645F"/>
    <w:rsid w:val="00EF694D"/>
    <w:rsid w:val="00EF72B1"/>
    <w:rsid w:val="00EF7487"/>
    <w:rsid w:val="00EF74BA"/>
    <w:rsid w:val="00EF76AF"/>
    <w:rsid w:val="00EF7C2C"/>
    <w:rsid w:val="00F000B0"/>
    <w:rsid w:val="00F00152"/>
    <w:rsid w:val="00F00409"/>
    <w:rsid w:val="00F00D78"/>
    <w:rsid w:val="00F012C6"/>
    <w:rsid w:val="00F0190F"/>
    <w:rsid w:val="00F01A73"/>
    <w:rsid w:val="00F01EEF"/>
    <w:rsid w:val="00F01F69"/>
    <w:rsid w:val="00F02452"/>
    <w:rsid w:val="00F0276F"/>
    <w:rsid w:val="00F02DE3"/>
    <w:rsid w:val="00F03DE2"/>
    <w:rsid w:val="00F04116"/>
    <w:rsid w:val="00F04162"/>
    <w:rsid w:val="00F04606"/>
    <w:rsid w:val="00F048E0"/>
    <w:rsid w:val="00F04D6A"/>
    <w:rsid w:val="00F050F4"/>
    <w:rsid w:val="00F0574C"/>
    <w:rsid w:val="00F05E0A"/>
    <w:rsid w:val="00F06409"/>
    <w:rsid w:val="00F06CA6"/>
    <w:rsid w:val="00F06E99"/>
    <w:rsid w:val="00F06F33"/>
    <w:rsid w:val="00F077EC"/>
    <w:rsid w:val="00F0795C"/>
    <w:rsid w:val="00F07D3E"/>
    <w:rsid w:val="00F07EF8"/>
    <w:rsid w:val="00F100FE"/>
    <w:rsid w:val="00F108EF"/>
    <w:rsid w:val="00F10A50"/>
    <w:rsid w:val="00F10C8F"/>
    <w:rsid w:val="00F10F35"/>
    <w:rsid w:val="00F11046"/>
    <w:rsid w:val="00F110BE"/>
    <w:rsid w:val="00F11E7E"/>
    <w:rsid w:val="00F12669"/>
    <w:rsid w:val="00F128D7"/>
    <w:rsid w:val="00F13775"/>
    <w:rsid w:val="00F13862"/>
    <w:rsid w:val="00F13B37"/>
    <w:rsid w:val="00F13C24"/>
    <w:rsid w:val="00F13D13"/>
    <w:rsid w:val="00F14073"/>
    <w:rsid w:val="00F140A9"/>
    <w:rsid w:val="00F14434"/>
    <w:rsid w:val="00F1445E"/>
    <w:rsid w:val="00F14931"/>
    <w:rsid w:val="00F14A23"/>
    <w:rsid w:val="00F14D57"/>
    <w:rsid w:val="00F15B92"/>
    <w:rsid w:val="00F15E79"/>
    <w:rsid w:val="00F160CB"/>
    <w:rsid w:val="00F162D9"/>
    <w:rsid w:val="00F16BC1"/>
    <w:rsid w:val="00F16D64"/>
    <w:rsid w:val="00F170C0"/>
    <w:rsid w:val="00F171B1"/>
    <w:rsid w:val="00F17405"/>
    <w:rsid w:val="00F1741F"/>
    <w:rsid w:val="00F17CC6"/>
    <w:rsid w:val="00F20812"/>
    <w:rsid w:val="00F209F0"/>
    <w:rsid w:val="00F20D21"/>
    <w:rsid w:val="00F21321"/>
    <w:rsid w:val="00F2133B"/>
    <w:rsid w:val="00F2146D"/>
    <w:rsid w:val="00F2168B"/>
    <w:rsid w:val="00F22766"/>
    <w:rsid w:val="00F2281E"/>
    <w:rsid w:val="00F22CAE"/>
    <w:rsid w:val="00F22D0C"/>
    <w:rsid w:val="00F22DEB"/>
    <w:rsid w:val="00F231EE"/>
    <w:rsid w:val="00F235BD"/>
    <w:rsid w:val="00F23C1E"/>
    <w:rsid w:val="00F23D15"/>
    <w:rsid w:val="00F23DB3"/>
    <w:rsid w:val="00F2417B"/>
    <w:rsid w:val="00F24827"/>
    <w:rsid w:val="00F24908"/>
    <w:rsid w:val="00F24C30"/>
    <w:rsid w:val="00F24D46"/>
    <w:rsid w:val="00F24D72"/>
    <w:rsid w:val="00F24F31"/>
    <w:rsid w:val="00F2537A"/>
    <w:rsid w:val="00F254B8"/>
    <w:rsid w:val="00F257BA"/>
    <w:rsid w:val="00F25ACD"/>
    <w:rsid w:val="00F260D2"/>
    <w:rsid w:val="00F2624F"/>
    <w:rsid w:val="00F270D8"/>
    <w:rsid w:val="00F27E86"/>
    <w:rsid w:val="00F27F00"/>
    <w:rsid w:val="00F3061A"/>
    <w:rsid w:val="00F307A7"/>
    <w:rsid w:val="00F308B6"/>
    <w:rsid w:val="00F30950"/>
    <w:rsid w:val="00F30A5E"/>
    <w:rsid w:val="00F30E6D"/>
    <w:rsid w:val="00F31715"/>
    <w:rsid w:val="00F317DC"/>
    <w:rsid w:val="00F31FA6"/>
    <w:rsid w:val="00F324D1"/>
    <w:rsid w:val="00F32624"/>
    <w:rsid w:val="00F32D0C"/>
    <w:rsid w:val="00F332B9"/>
    <w:rsid w:val="00F339B1"/>
    <w:rsid w:val="00F340DE"/>
    <w:rsid w:val="00F34F68"/>
    <w:rsid w:val="00F3501C"/>
    <w:rsid w:val="00F354ED"/>
    <w:rsid w:val="00F356BD"/>
    <w:rsid w:val="00F35D4E"/>
    <w:rsid w:val="00F36027"/>
    <w:rsid w:val="00F3672C"/>
    <w:rsid w:val="00F3691D"/>
    <w:rsid w:val="00F36B19"/>
    <w:rsid w:val="00F36B2A"/>
    <w:rsid w:val="00F36D1D"/>
    <w:rsid w:val="00F36F3D"/>
    <w:rsid w:val="00F37748"/>
    <w:rsid w:val="00F379F5"/>
    <w:rsid w:val="00F37FB4"/>
    <w:rsid w:val="00F40807"/>
    <w:rsid w:val="00F40C71"/>
    <w:rsid w:val="00F40D0E"/>
    <w:rsid w:val="00F40D37"/>
    <w:rsid w:val="00F41257"/>
    <w:rsid w:val="00F41321"/>
    <w:rsid w:val="00F41756"/>
    <w:rsid w:val="00F41811"/>
    <w:rsid w:val="00F41851"/>
    <w:rsid w:val="00F41EB3"/>
    <w:rsid w:val="00F41FA7"/>
    <w:rsid w:val="00F42B14"/>
    <w:rsid w:val="00F43085"/>
    <w:rsid w:val="00F430F8"/>
    <w:rsid w:val="00F43227"/>
    <w:rsid w:val="00F4386A"/>
    <w:rsid w:val="00F4393A"/>
    <w:rsid w:val="00F43FEC"/>
    <w:rsid w:val="00F44366"/>
    <w:rsid w:val="00F44546"/>
    <w:rsid w:val="00F451DA"/>
    <w:rsid w:val="00F453B1"/>
    <w:rsid w:val="00F456CC"/>
    <w:rsid w:val="00F459E1"/>
    <w:rsid w:val="00F46094"/>
    <w:rsid w:val="00F460A1"/>
    <w:rsid w:val="00F46532"/>
    <w:rsid w:val="00F466B3"/>
    <w:rsid w:val="00F46804"/>
    <w:rsid w:val="00F46ED0"/>
    <w:rsid w:val="00F4740E"/>
    <w:rsid w:val="00F474E0"/>
    <w:rsid w:val="00F47C54"/>
    <w:rsid w:val="00F5002F"/>
    <w:rsid w:val="00F5008B"/>
    <w:rsid w:val="00F5049D"/>
    <w:rsid w:val="00F50861"/>
    <w:rsid w:val="00F50E9E"/>
    <w:rsid w:val="00F513FC"/>
    <w:rsid w:val="00F515D5"/>
    <w:rsid w:val="00F516F4"/>
    <w:rsid w:val="00F51778"/>
    <w:rsid w:val="00F51B8D"/>
    <w:rsid w:val="00F51DC2"/>
    <w:rsid w:val="00F51F7C"/>
    <w:rsid w:val="00F5206D"/>
    <w:rsid w:val="00F5282B"/>
    <w:rsid w:val="00F532A5"/>
    <w:rsid w:val="00F537B9"/>
    <w:rsid w:val="00F54102"/>
    <w:rsid w:val="00F54388"/>
    <w:rsid w:val="00F549C3"/>
    <w:rsid w:val="00F54E1C"/>
    <w:rsid w:val="00F55440"/>
    <w:rsid w:val="00F5555B"/>
    <w:rsid w:val="00F559E7"/>
    <w:rsid w:val="00F55FCC"/>
    <w:rsid w:val="00F56293"/>
    <w:rsid w:val="00F5699F"/>
    <w:rsid w:val="00F56B56"/>
    <w:rsid w:val="00F56CE9"/>
    <w:rsid w:val="00F56FBF"/>
    <w:rsid w:val="00F578CD"/>
    <w:rsid w:val="00F57BB8"/>
    <w:rsid w:val="00F57E3A"/>
    <w:rsid w:val="00F57F5E"/>
    <w:rsid w:val="00F60057"/>
    <w:rsid w:val="00F60351"/>
    <w:rsid w:val="00F603F4"/>
    <w:rsid w:val="00F6057E"/>
    <w:rsid w:val="00F60790"/>
    <w:rsid w:val="00F60925"/>
    <w:rsid w:val="00F60D59"/>
    <w:rsid w:val="00F60D94"/>
    <w:rsid w:val="00F60E12"/>
    <w:rsid w:val="00F60FC7"/>
    <w:rsid w:val="00F619EA"/>
    <w:rsid w:val="00F62000"/>
    <w:rsid w:val="00F62171"/>
    <w:rsid w:val="00F6221D"/>
    <w:rsid w:val="00F62E3E"/>
    <w:rsid w:val="00F6323E"/>
    <w:rsid w:val="00F63E34"/>
    <w:rsid w:val="00F640FE"/>
    <w:rsid w:val="00F647D3"/>
    <w:rsid w:val="00F64B64"/>
    <w:rsid w:val="00F64C52"/>
    <w:rsid w:val="00F64F92"/>
    <w:rsid w:val="00F650B6"/>
    <w:rsid w:val="00F65B36"/>
    <w:rsid w:val="00F65CA7"/>
    <w:rsid w:val="00F65D14"/>
    <w:rsid w:val="00F66A72"/>
    <w:rsid w:val="00F66DAD"/>
    <w:rsid w:val="00F66F3A"/>
    <w:rsid w:val="00F671AA"/>
    <w:rsid w:val="00F679E8"/>
    <w:rsid w:val="00F67EA8"/>
    <w:rsid w:val="00F70777"/>
    <w:rsid w:val="00F7091F"/>
    <w:rsid w:val="00F70F6A"/>
    <w:rsid w:val="00F71541"/>
    <w:rsid w:val="00F71658"/>
    <w:rsid w:val="00F71F0C"/>
    <w:rsid w:val="00F723E3"/>
    <w:rsid w:val="00F729E5"/>
    <w:rsid w:val="00F72AEF"/>
    <w:rsid w:val="00F72C02"/>
    <w:rsid w:val="00F72C1A"/>
    <w:rsid w:val="00F72D5D"/>
    <w:rsid w:val="00F72FA7"/>
    <w:rsid w:val="00F73515"/>
    <w:rsid w:val="00F73793"/>
    <w:rsid w:val="00F73AA4"/>
    <w:rsid w:val="00F73C5E"/>
    <w:rsid w:val="00F742CA"/>
    <w:rsid w:val="00F7492C"/>
    <w:rsid w:val="00F74D00"/>
    <w:rsid w:val="00F751C7"/>
    <w:rsid w:val="00F752E9"/>
    <w:rsid w:val="00F75368"/>
    <w:rsid w:val="00F7562F"/>
    <w:rsid w:val="00F75695"/>
    <w:rsid w:val="00F75AF8"/>
    <w:rsid w:val="00F76371"/>
    <w:rsid w:val="00F76386"/>
    <w:rsid w:val="00F7645A"/>
    <w:rsid w:val="00F76864"/>
    <w:rsid w:val="00F770AE"/>
    <w:rsid w:val="00F7753D"/>
    <w:rsid w:val="00F77AA2"/>
    <w:rsid w:val="00F80507"/>
    <w:rsid w:val="00F80BF8"/>
    <w:rsid w:val="00F80D60"/>
    <w:rsid w:val="00F80D94"/>
    <w:rsid w:val="00F81146"/>
    <w:rsid w:val="00F814CD"/>
    <w:rsid w:val="00F81F64"/>
    <w:rsid w:val="00F823C2"/>
    <w:rsid w:val="00F82552"/>
    <w:rsid w:val="00F825D9"/>
    <w:rsid w:val="00F829EC"/>
    <w:rsid w:val="00F82ED3"/>
    <w:rsid w:val="00F82EE7"/>
    <w:rsid w:val="00F83328"/>
    <w:rsid w:val="00F833BA"/>
    <w:rsid w:val="00F83C82"/>
    <w:rsid w:val="00F8408C"/>
    <w:rsid w:val="00F8429D"/>
    <w:rsid w:val="00F84A4F"/>
    <w:rsid w:val="00F84D39"/>
    <w:rsid w:val="00F84E0F"/>
    <w:rsid w:val="00F85310"/>
    <w:rsid w:val="00F858DF"/>
    <w:rsid w:val="00F864CA"/>
    <w:rsid w:val="00F8668D"/>
    <w:rsid w:val="00F86A3C"/>
    <w:rsid w:val="00F86BAD"/>
    <w:rsid w:val="00F8718C"/>
    <w:rsid w:val="00F8770C"/>
    <w:rsid w:val="00F87D4E"/>
    <w:rsid w:val="00F903CE"/>
    <w:rsid w:val="00F90868"/>
    <w:rsid w:val="00F909EB"/>
    <w:rsid w:val="00F90FC5"/>
    <w:rsid w:val="00F913C2"/>
    <w:rsid w:val="00F91958"/>
    <w:rsid w:val="00F91B22"/>
    <w:rsid w:val="00F921C1"/>
    <w:rsid w:val="00F9404F"/>
    <w:rsid w:val="00F940F7"/>
    <w:rsid w:val="00F94180"/>
    <w:rsid w:val="00F94FF6"/>
    <w:rsid w:val="00F95268"/>
    <w:rsid w:val="00F95690"/>
    <w:rsid w:val="00F95A8C"/>
    <w:rsid w:val="00F95DCF"/>
    <w:rsid w:val="00F96A08"/>
    <w:rsid w:val="00F97990"/>
    <w:rsid w:val="00F97A21"/>
    <w:rsid w:val="00FA0359"/>
    <w:rsid w:val="00FA08D3"/>
    <w:rsid w:val="00FA0941"/>
    <w:rsid w:val="00FA0B69"/>
    <w:rsid w:val="00FA0CCD"/>
    <w:rsid w:val="00FA0D89"/>
    <w:rsid w:val="00FA0E36"/>
    <w:rsid w:val="00FA0F24"/>
    <w:rsid w:val="00FA16E8"/>
    <w:rsid w:val="00FA1898"/>
    <w:rsid w:val="00FA21F9"/>
    <w:rsid w:val="00FA2208"/>
    <w:rsid w:val="00FA2A0D"/>
    <w:rsid w:val="00FA2C76"/>
    <w:rsid w:val="00FA2DDB"/>
    <w:rsid w:val="00FA2E2A"/>
    <w:rsid w:val="00FA3A4D"/>
    <w:rsid w:val="00FA3CB4"/>
    <w:rsid w:val="00FA3CCA"/>
    <w:rsid w:val="00FA42CC"/>
    <w:rsid w:val="00FA4F2B"/>
    <w:rsid w:val="00FA567E"/>
    <w:rsid w:val="00FA642D"/>
    <w:rsid w:val="00FA6446"/>
    <w:rsid w:val="00FA6692"/>
    <w:rsid w:val="00FA6869"/>
    <w:rsid w:val="00FA68AC"/>
    <w:rsid w:val="00FA7750"/>
    <w:rsid w:val="00FA7E10"/>
    <w:rsid w:val="00FB0103"/>
    <w:rsid w:val="00FB0470"/>
    <w:rsid w:val="00FB1259"/>
    <w:rsid w:val="00FB125A"/>
    <w:rsid w:val="00FB193C"/>
    <w:rsid w:val="00FB1E71"/>
    <w:rsid w:val="00FB216A"/>
    <w:rsid w:val="00FB2719"/>
    <w:rsid w:val="00FB2D18"/>
    <w:rsid w:val="00FB2EBB"/>
    <w:rsid w:val="00FB3A4D"/>
    <w:rsid w:val="00FB3C47"/>
    <w:rsid w:val="00FB3CD0"/>
    <w:rsid w:val="00FB3D99"/>
    <w:rsid w:val="00FB3E0E"/>
    <w:rsid w:val="00FB3E54"/>
    <w:rsid w:val="00FB3EF4"/>
    <w:rsid w:val="00FB4150"/>
    <w:rsid w:val="00FB44CA"/>
    <w:rsid w:val="00FB4989"/>
    <w:rsid w:val="00FB4A4C"/>
    <w:rsid w:val="00FB4CC7"/>
    <w:rsid w:val="00FB4D1F"/>
    <w:rsid w:val="00FB54DB"/>
    <w:rsid w:val="00FB5A10"/>
    <w:rsid w:val="00FB5B5E"/>
    <w:rsid w:val="00FB5D92"/>
    <w:rsid w:val="00FB6082"/>
    <w:rsid w:val="00FB697D"/>
    <w:rsid w:val="00FB6BA5"/>
    <w:rsid w:val="00FB6BCF"/>
    <w:rsid w:val="00FB6D25"/>
    <w:rsid w:val="00FB6D66"/>
    <w:rsid w:val="00FB6DB4"/>
    <w:rsid w:val="00FB706A"/>
    <w:rsid w:val="00FB7130"/>
    <w:rsid w:val="00FB7D5E"/>
    <w:rsid w:val="00FC0461"/>
    <w:rsid w:val="00FC063E"/>
    <w:rsid w:val="00FC070A"/>
    <w:rsid w:val="00FC083C"/>
    <w:rsid w:val="00FC0CE7"/>
    <w:rsid w:val="00FC0DC2"/>
    <w:rsid w:val="00FC139D"/>
    <w:rsid w:val="00FC160F"/>
    <w:rsid w:val="00FC2051"/>
    <w:rsid w:val="00FC26E4"/>
    <w:rsid w:val="00FC277F"/>
    <w:rsid w:val="00FC284D"/>
    <w:rsid w:val="00FC2A2A"/>
    <w:rsid w:val="00FC2A9B"/>
    <w:rsid w:val="00FC2D3D"/>
    <w:rsid w:val="00FC2D49"/>
    <w:rsid w:val="00FC3AF1"/>
    <w:rsid w:val="00FC3E03"/>
    <w:rsid w:val="00FC4756"/>
    <w:rsid w:val="00FC48E6"/>
    <w:rsid w:val="00FC5045"/>
    <w:rsid w:val="00FC59F0"/>
    <w:rsid w:val="00FC5F9D"/>
    <w:rsid w:val="00FC6387"/>
    <w:rsid w:val="00FC6725"/>
    <w:rsid w:val="00FC687B"/>
    <w:rsid w:val="00FC6927"/>
    <w:rsid w:val="00FC6A32"/>
    <w:rsid w:val="00FC6CF8"/>
    <w:rsid w:val="00FC6EA7"/>
    <w:rsid w:val="00FC7358"/>
    <w:rsid w:val="00FC73D4"/>
    <w:rsid w:val="00FD00DE"/>
    <w:rsid w:val="00FD1472"/>
    <w:rsid w:val="00FD1833"/>
    <w:rsid w:val="00FD1E17"/>
    <w:rsid w:val="00FD29A4"/>
    <w:rsid w:val="00FD33D8"/>
    <w:rsid w:val="00FD3661"/>
    <w:rsid w:val="00FD3AFD"/>
    <w:rsid w:val="00FD3E4A"/>
    <w:rsid w:val="00FD3E98"/>
    <w:rsid w:val="00FD445E"/>
    <w:rsid w:val="00FD463C"/>
    <w:rsid w:val="00FD4897"/>
    <w:rsid w:val="00FD496A"/>
    <w:rsid w:val="00FD4C6A"/>
    <w:rsid w:val="00FD4D00"/>
    <w:rsid w:val="00FD4F9B"/>
    <w:rsid w:val="00FD5391"/>
    <w:rsid w:val="00FD59BE"/>
    <w:rsid w:val="00FD5AA4"/>
    <w:rsid w:val="00FD5D34"/>
    <w:rsid w:val="00FD6384"/>
    <w:rsid w:val="00FD6848"/>
    <w:rsid w:val="00FD71A9"/>
    <w:rsid w:val="00FD7338"/>
    <w:rsid w:val="00FD7952"/>
    <w:rsid w:val="00FD7C32"/>
    <w:rsid w:val="00FD7EAC"/>
    <w:rsid w:val="00FE016D"/>
    <w:rsid w:val="00FE03B5"/>
    <w:rsid w:val="00FE06B8"/>
    <w:rsid w:val="00FE0786"/>
    <w:rsid w:val="00FE1064"/>
    <w:rsid w:val="00FE1152"/>
    <w:rsid w:val="00FE14C7"/>
    <w:rsid w:val="00FE17A3"/>
    <w:rsid w:val="00FE1F51"/>
    <w:rsid w:val="00FE2836"/>
    <w:rsid w:val="00FE3013"/>
    <w:rsid w:val="00FE3507"/>
    <w:rsid w:val="00FE372E"/>
    <w:rsid w:val="00FE411D"/>
    <w:rsid w:val="00FE41F7"/>
    <w:rsid w:val="00FE4350"/>
    <w:rsid w:val="00FE4451"/>
    <w:rsid w:val="00FE46F8"/>
    <w:rsid w:val="00FE4C02"/>
    <w:rsid w:val="00FE4F35"/>
    <w:rsid w:val="00FE535B"/>
    <w:rsid w:val="00FE55F8"/>
    <w:rsid w:val="00FE57CD"/>
    <w:rsid w:val="00FE57FD"/>
    <w:rsid w:val="00FE5C05"/>
    <w:rsid w:val="00FE6259"/>
    <w:rsid w:val="00FE6968"/>
    <w:rsid w:val="00FE6D6B"/>
    <w:rsid w:val="00FE7677"/>
    <w:rsid w:val="00FE7E77"/>
    <w:rsid w:val="00FF0580"/>
    <w:rsid w:val="00FF0907"/>
    <w:rsid w:val="00FF0A0E"/>
    <w:rsid w:val="00FF0C15"/>
    <w:rsid w:val="00FF0ED6"/>
    <w:rsid w:val="00FF101E"/>
    <w:rsid w:val="00FF11CD"/>
    <w:rsid w:val="00FF164A"/>
    <w:rsid w:val="00FF1813"/>
    <w:rsid w:val="00FF188B"/>
    <w:rsid w:val="00FF1B07"/>
    <w:rsid w:val="00FF1BBE"/>
    <w:rsid w:val="00FF1F87"/>
    <w:rsid w:val="00FF2837"/>
    <w:rsid w:val="00FF2B6D"/>
    <w:rsid w:val="00FF2D75"/>
    <w:rsid w:val="00FF2EFE"/>
    <w:rsid w:val="00FF3228"/>
    <w:rsid w:val="00FF36EE"/>
    <w:rsid w:val="00FF466F"/>
    <w:rsid w:val="00FF4771"/>
    <w:rsid w:val="00FF47BC"/>
    <w:rsid w:val="00FF4935"/>
    <w:rsid w:val="00FF4969"/>
    <w:rsid w:val="00FF4CC0"/>
    <w:rsid w:val="00FF4FBB"/>
    <w:rsid w:val="00FF513B"/>
    <w:rsid w:val="00FF5271"/>
    <w:rsid w:val="00FF5288"/>
    <w:rsid w:val="00FF539C"/>
    <w:rsid w:val="00FF549B"/>
    <w:rsid w:val="00FF55B6"/>
    <w:rsid w:val="00FF5601"/>
    <w:rsid w:val="00FF57B8"/>
    <w:rsid w:val="00FF689F"/>
    <w:rsid w:val="00FF6A7A"/>
    <w:rsid w:val="00FF7260"/>
    <w:rsid w:val="00FF7475"/>
    <w:rsid w:val="00FF7930"/>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FF99A"/>
  <w15:docId w15:val="{55FF076B-550C-4813-B333-13C780337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u-H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4E4982"/>
    <w:pPr>
      <w:spacing w:after="200" w:line="276" w:lineRule="auto"/>
    </w:pPr>
    <w:rPr>
      <w:kern w:val="0"/>
      <w14:ligatures w14:val="none"/>
    </w:rPr>
  </w:style>
  <w:style w:type="paragraph" w:styleId="Cmsor1">
    <w:name w:val="heading 1"/>
    <w:basedOn w:val="Norml"/>
    <w:next w:val="Norml"/>
    <w:link w:val="Cmsor1Char"/>
    <w:uiPriority w:val="9"/>
    <w:qFormat/>
    <w:rsid w:val="004E498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Cmsor2">
    <w:name w:val="heading 2"/>
    <w:basedOn w:val="Norml"/>
    <w:next w:val="Norml"/>
    <w:link w:val="Cmsor2Char"/>
    <w:uiPriority w:val="9"/>
    <w:unhideWhenUsed/>
    <w:qFormat/>
    <w:rsid w:val="004E4982"/>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Cmsor3">
    <w:name w:val="heading 3"/>
    <w:basedOn w:val="Norml"/>
    <w:next w:val="Norml"/>
    <w:link w:val="Cmsor3Char"/>
    <w:uiPriority w:val="9"/>
    <w:unhideWhenUsed/>
    <w:qFormat/>
    <w:rsid w:val="003B705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Cmsor4">
    <w:name w:val="heading 4"/>
    <w:basedOn w:val="Norml"/>
    <w:next w:val="Norml"/>
    <w:link w:val="Cmsor4Char"/>
    <w:uiPriority w:val="9"/>
    <w:unhideWhenUsed/>
    <w:qFormat/>
    <w:rsid w:val="000C758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Cmsor5">
    <w:name w:val="heading 5"/>
    <w:basedOn w:val="Norml"/>
    <w:next w:val="Norml"/>
    <w:link w:val="Cmsor5Char"/>
    <w:uiPriority w:val="9"/>
    <w:unhideWhenUsed/>
    <w:qFormat/>
    <w:rsid w:val="00274DF6"/>
    <w:pPr>
      <w:keepNext/>
      <w:keepLines/>
      <w:spacing w:before="40" w:after="0"/>
      <w:outlineLvl w:val="4"/>
    </w:pPr>
    <w:rPr>
      <w:rFonts w:asciiTheme="majorHAnsi" w:eastAsiaTheme="majorEastAsia" w:hAnsiTheme="majorHAnsi" w:cstheme="majorBidi"/>
      <w:color w:val="2F5496" w:themeColor="accent1" w:themeShade="BF"/>
    </w:rPr>
  </w:style>
  <w:style w:type="paragraph" w:styleId="Cmsor6">
    <w:name w:val="heading 6"/>
    <w:basedOn w:val="Norml"/>
    <w:next w:val="Norml"/>
    <w:link w:val="Cmsor6Char"/>
    <w:uiPriority w:val="9"/>
    <w:unhideWhenUsed/>
    <w:qFormat/>
    <w:rsid w:val="00E723CD"/>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Cmsor7">
    <w:name w:val="heading 7"/>
    <w:basedOn w:val="Norml"/>
    <w:next w:val="Norml"/>
    <w:link w:val="Cmsor7Char"/>
    <w:uiPriority w:val="9"/>
    <w:semiHidden/>
    <w:unhideWhenUsed/>
    <w:qFormat/>
    <w:rsid w:val="00C04BF5"/>
    <w:pPr>
      <w:keepNext/>
      <w:keepLines/>
      <w:spacing w:before="40" w:after="0" w:line="259" w:lineRule="auto"/>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C04BF5"/>
    <w:pPr>
      <w:keepNext/>
      <w:keepLines/>
      <w:spacing w:after="0" w:line="259" w:lineRule="auto"/>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C04BF5"/>
    <w:pPr>
      <w:keepNext/>
      <w:keepLines/>
      <w:spacing w:after="0" w:line="259" w:lineRule="auto"/>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4E4982"/>
    <w:rPr>
      <w:rFonts w:asciiTheme="majorHAnsi" w:eastAsiaTheme="majorEastAsia" w:hAnsiTheme="majorHAnsi" w:cstheme="majorBidi"/>
      <w:b/>
      <w:bCs/>
      <w:color w:val="2F5496" w:themeColor="accent1" w:themeShade="BF"/>
      <w:kern w:val="0"/>
      <w:sz w:val="28"/>
      <w:szCs w:val="28"/>
      <w14:ligatures w14:val="none"/>
    </w:rPr>
  </w:style>
  <w:style w:type="character" w:customStyle="1" w:styleId="Cmsor2Char">
    <w:name w:val="Címsor 2 Char"/>
    <w:basedOn w:val="Bekezdsalapbettpusa"/>
    <w:link w:val="Cmsor2"/>
    <w:uiPriority w:val="9"/>
    <w:rsid w:val="004E4982"/>
    <w:rPr>
      <w:rFonts w:asciiTheme="majorHAnsi" w:eastAsiaTheme="majorEastAsia" w:hAnsiTheme="majorHAnsi" w:cstheme="majorBidi"/>
      <w:b/>
      <w:bCs/>
      <w:color w:val="4472C4" w:themeColor="accent1"/>
      <w:kern w:val="0"/>
      <w:sz w:val="26"/>
      <w:szCs w:val="26"/>
      <w14:ligatures w14:val="none"/>
    </w:rPr>
  </w:style>
  <w:style w:type="character" w:customStyle="1" w:styleId="Cmsor3Char">
    <w:name w:val="Címsor 3 Char"/>
    <w:basedOn w:val="Bekezdsalapbettpusa"/>
    <w:link w:val="Cmsor3"/>
    <w:uiPriority w:val="9"/>
    <w:rsid w:val="003B7055"/>
    <w:rPr>
      <w:rFonts w:asciiTheme="majorHAnsi" w:eastAsiaTheme="majorEastAsia" w:hAnsiTheme="majorHAnsi" w:cstheme="majorBidi"/>
      <w:color w:val="1F3763" w:themeColor="accent1" w:themeShade="7F"/>
      <w:kern w:val="0"/>
      <w:sz w:val="24"/>
      <w:szCs w:val="24"/>
      <w14:ligatures w14:val="none"/>
    </w:rPr>
  </w:style>
  <w:style w:type="paragraph" w:styleId="Tartalomjegyzkcmsora">
    <w:name w:val="TOC Heading"/>
    <w:basedOn w:val="Cmsor1"/>
    <w:next w:val="Norml"/>
    <w:uiPriority w:val="39"/>
    <w:unhideWhenUsed/>
    <w:qFormat/>
    <w:rsid w:val="00540247"/>
    <w:pPr>
      <w:spacing w:before="240" w:line="259" w:lineRule="auto"/>
      <w:outlineLvl w:val="9"/>
    </w:pPr>
    <w:rPr>
      <w:b w:val="0"/>
      <w:bCs w:val="0"/>
      <w:sz w:val="32"/>
      <w:szCs w:val="32"/>
      <w:lang w:eastAsia="hu-HU"/>
    </w:rPr>
  </w:style>
  <w:style w:type="paragraph" w:styleId="TJ1">
    <w:name w:val="toc 1"/>
    <w:basedOn w:val="Norml"/>
    <w:next w:val="Norml"/>
    <w:autoRedefine/>
    <w:uiPriority w:val="39"/>
    <w:unhideWhenUsed/>
    <w:rsid w:val="00C423B1"/>
    <w:pPr>
      <w:tabs>
        <w:tab w:val="left" w:pos="440"/>
        <w:tab w:val="right" w:leader="dot" w:pos="9062"/>
      </w:tabs>
      <w:spacing w:after="0" w:line="240" w:lineRule="auto"/>
    </w:pPr>
    <w:rPr>
      <w:rFonts w:ascii="Georgia" w:hAnsi="Georgia" w:cstheme="minorHAnsi"/>
      <w:b/>
      <w:bCs/>
      <w:noProof/>
      <w:sz w:val="18"/>
      <w:szCs w:val="18"/>
      <w:lang w:val="en-GB"/>
    </w:rPr>
  </w:style>
  <w:style w:type="paragraph" w:styleId="TJ2">
    <w:name w:val="toc 2"/>
    <w:basedOn w:val="Norml"/>
    <w:next w:val="Norml"/>
    <w:autoRedefine/>
    <w:uiPriority w:val="39"/>
    <w:unhideWhenUsed/>
    <w:rsid w:val="00616D89"/>
    <w:pPr>
      <w:tabs>
        <w:tab w:val="left" w:pos="960"/>
        <w:tab w:val="right" w:leader="dot" w:pos="9062"/>
      </w:tabs>
      <w:spacing w:after="100"/>
      <w:ind w:left="221"/>
    </w:pPr>
  </w:style>
  <w:style w:type="paragraph" w:styleId="TJ3">
    <w:name w:val="toc 3"/>
    <w:basedOn w:val="Norml"/>
    <w:next w:val="Norml"/>
    <w:autoRedefine/>
    <w:uiPriority w:val="39"/>
    <w:unhideWhenUsed/>
    <w:rsid w:val="00540247"/>
    <w:pPr>
      <w:spacing w:after="100"/>
      <w:ind w:left="440"/>
    </w:pPr>
  </w:style>
  <w:style w:type="character" w:styleId="Hiperhivatkozs">
    <w:name w:val="Hyperlink"/>
    <w:basedOn w:val="Bekezdsalapbettpusa"/>
    <w:uiPriority w:val="99"/>
    <w:unhideWhenUsed/>
    <w:rsid w:val="00540247"/>
    <w:rPr>
      <w:color w:val="0563C1" w:themeColor="hyperlink"/>
      <w:u w:val="single"/>
    </w:rPr>
  </w:style>
  <w:style w:type="paragraph" w:styleId="Lbjegyzetszveg">
    <w:name w:val="footnote text"/>
    <w:aliases w:val=" Char, Char1, Char1 Char,Char,Char1,Char1 Char,Footnote,Footnote Text Imre,FußnotentextE,Lábjegyzetszöveg Char Char Char,Lábjegyzetszöveg Char Char Char Char Char,Lábjegyzetszöveg Char1 Char,Lábjegyzetszöveg Char1 Char Char Char,ft,fn,f"/>
    <w:basedOn w:val="Norml"/>
    <w:link w:val="LbjegyzetszvegChar"/>
    <w:uiPriority w:val="99"/>
    <w:unhideWhenUsed/>
    <w:qFormat/>
    <w:rsid w:val="00B63D5E"/>
    <w:pPr>
      <w:spacing w:after="0" w:line="240" w:lineRule="auto"/>
    </w:pPr>
    <w:rPr>
      <w:sz w:val="20"/>
      <w:szCs w:val="20"/>
    </w:rPr>
  </w:style>
  <w:style w:type="character" w:customStyle="1" w:styleId="LbjegyzetszvegChar">
    <w:name w:val="Lábjegyzetszöveg Char"/>
    <w:aliases w:val=" Char Char, Char1 Char1, Char1 Char Char,Char Char,Char1 Char1,Char1 Char Char,Footnote Char,Footnote Text Imre Char,FußnotentextE Char,Lábjegyzetszöveg Char Char Char Char,Lábjegyzetszöveg Char Char Char Char Char Char,ft Char"/>
    <w:basedOn w:val="Bekezdsalapbettpusa"/>
    <w:link w:val="Lbjegyzetszveg"/>
    <w:uiPriority w:val="99"/>
    <w:rsid w:val="00B63D5E"/>
    <w:rPr>
      <w:kern w:val="0"/>
      <w:sz w:val="20"/>
      <w:szCs w:val="20"/>
      <w14:ligatures w14:val="none"/>
    </w:rPr>
  </w:style>
  <w:style w:type="character" w:styleId="Lbjegyzet-hivatkozs">
    <w:name w:val="footnote reference"/>
    <w:aliases w:val="(Diplomarbeit FZ),(Diplomarbeit FZ)1,(Diplomarbeit FZ)2,(Diplomarbeit FZ)3,(Diplomarbeit FZ)4,(Diplomarbeit FZ)5,BVI fnr,Footnote symbol,SUPERS,Footnote number,Footnote Reference Number,Footnote reference number,Times 10 Point,fr,o"/>
    <w:basedOn w:val="Bekezdsalapbettpusa"/>
    <w:uiPriority w:val="99"/>
    <w:unhideWhenUsed/>
    <w:qFormat/>
    <w:rsid w:val="00B63D5E"/>
    <w:rPr>
      <w:vertAlign w:val="superscript"/>
    </w:rPr>
  </w:style>
  <w:style w:type="paragraph" w:styleId="NormlWeb">
    <w:name w:val="Normal (Web)"/>
    <w:basedOn w:val="Norml"/>
    <w:uiPriority w:val="99"/>
    <w:unhideWhenUsed/>
    <w:rsid w:val="004E25D5"/>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ecl-u-type-paragraph-m">
    <w:name w:val="ecl-u-type-paragraph-m"/>
    <w:basedOn w:val="Norml"/>
    <w:rsid w:val="004E25D5"/>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istaszerbekezds">
    <w:name w:val="List Paragraph"/>
    <w:aliases w:val="labjegyzet,Welt L,List Paragraph à moi,Számozott lista 1,Lista1,Eszeri felsorolás,lista_2,Listaszerű bekezdés1,Lista 1,Lista (Tigra),Bullet_1,Színes lista – 1. jelölőszín1,Listaszerű bekezdés3,Bullet List,FooterText,numbered,列出段落"/>
    <w:basedOn w:val="Norml"/>
    <w:link w:val="ListaszerbekezdsChar"/>
    <w:uiPriority w:val="34"/>
    <w:qFormat/>
    <w:rsid w:val="00EA32DF"/>
    <w:pPr>
      <w:ind w:left="720"/>
      <w:contextualSpacing/>
    </w:pPr>
  </w:style>
  <w:style w:type="character" w:customStyle="1" w:styleId="ListaszerbekezdsChar">
    <w:name w:val="Listaszerű bekezdés Char"/>
    <w:aliases w:val="labjegyzet Char,Welt L Char,List Paragraph à moi Char,Számozott lista 1 Char,Lista1 Char,Eszeri felsorolás Char,lista_2 Char,Listaszerű bekezdés1 Char,Lista 1 Char,Lista (Tigra) Char,Bullet_1 Char,Listaszerű bekezdés3 Char"/>
    <w:link w:val="Listaszerbekezds"/>
    <w:uiPriority w:val="34"/>
    <w:qFormat/>
    <w:locked/>
    <w:rsid w:val="00EA32DF"/>
    <w:rPr>
      <w:kern w:val="0"/>
      <w14:ligatures w14:val="none"/>
    </w:rPr>
  </w:style>
  <w:style w:type="paragraph" w:styleId="Kpalrs">
    <w:name w:val="caption"/>
    <w:basedOn w:val="Norml"/>
    <w:next w:val="Norml"/>
    <w:uiPriority w:val="35"/>
    <w:unhideWhenUsed/>
    <w:qFormat/>
    <w:rsid w:val="00EA32DF"/>
    <w:pPr>
      <w:spacing w:line="240" w:lineRule="auto"/>
    </w:pPr>
    <w:rPr>
      <w:b/>
      <w:bCs/>
      <w:color w:val="4472C4" w:themeColor="accent1"/>
      <w:sz w:val="18"/>
      <w:szCs w:val="18"/>
    </w:rPr>
  </w:style>
  <w:style w:type="character" w:customStyle="1" w:styleId="Cmsor4Char">
    <w:name w:val="Címsor 4 Char"/>
    <w:basedOn w:val="Bekezdsalapbettpusa"/>
    <w:link w:val="Cmsor4"/>
    <w:uiPriority w:val="9"/>
    <w:rsid w:val="000C758F"/>
    <w:rPr>
      <w:rFonts w:asciiTheme="majorHAnsi" w:eastAsiaTheme="majorEastAsia" w:hAnsiTheme="majorHAnsi" w:cstheme="majorBidi"/>
      <w:i/>
      <w:iCs/>
      <w:color w:val="2F5496" w:themeColor="accent1" w:themeShade="BF"/>
      <w:kern w:val="0"/>
      <w14:ligatures w14:val="none"/>
    </w:rPr>
  </w:style>
  <w:style w:type="paragraph" w:customStyle="1" w:styleId="Default">
    <w:name w:val="Default"/>
    <w:rsid w:val="000C758F"/>
    <w:pPr>
      <w:autoSpaceDE w:val="0"/>
      <w:autoSpaceDN w:val="0"/>
      <w:adjustRightInd w:val="0"/>
      <w:spacing w:after="0" w:line="240" w:lineRule="auto"/>
    </w:pPr>
    <w:rPr>
      <w:rFonts w:ascii="Tahoma" w:hAnsi="Tahoma" w:cs="Tahoma"/>
      <w:color w:val="000000"/>
      <w:kern w:val="0"/>
      <w:sz w:val="24"/>
      <w:szCs w:val="24"/>
      <w14:ligatures w14:val="none"/>
    </w:rPr>
  </w:style>
  <w:style w:type="paragraph" w:styleId="llb">
    <w:name w:val="footer"/>
    <w:basedOn w:val="Norml"/>
    <w:link w:val="llbChar"/>
    <w:uiPriority w:val="99"/>
    <w:unhideWhenUsed/>
    <w:rsid w:val="004C6037"/>
    <w:pPr>
      <w:tabs>
        <w:tab w:val="center" w:pos="4536"/>
        <w:tab w:val="right" w:pos="9072"/>
      </w:tabs>
      <w:spacing w:after="0" w:line="240" w:lineRule="auto"/>
    </w:pPr>
  </w:style>
  <w:style w:type="character" w:customStyle="1" w:styleId="llbChar">
    <w:name w:val="Élőláb Char"/>
    <w:basedOn w:val="Bekezdsalapbettpusa"/>
    <w:link w:val="llb"/>
    <w:uiPriority w:val="99"/>
    <w:rsid w:val="004C6037"/>
    <w:rPr>
      <w:kern w:val="0"/>
      <w14:ligatures w14:val="none"/>
    </w:rPr>
  </w:style>
  <w:style w:type="character" w:customStyle="1" w:styleId="Cmsor5Char">
    <w:name w:val="Címsor 5 Char"/>
    <w:basedOn w:val="Bekezdsalapbettpusa"/>
    <w:link w:val="Cmsor5"/>
    <w:uiPriority w:val="9"/>
    <w:rsid w:val="00274DF6"/>
    <w:rPr>
      <w:rFonts w:asciiTheme="majorHAnsi" w:eastAsiaTheme="majorEastAsia" w:hAnsiTheme="majorHAnsi" w:cstheme="majorBidi"/>
      <w:color w:val="2F5496" w:themeColor="accent1" w:themeShade="BF"/>
      <w:kern w:val="0"/>
      <w14:ligatures w14:val="none"/>
    </w:rPr>
  </w:style>
  <w:style w:type="character" w:customStyle="1" w:styleId="Cmsor6Char">
    <w:name w:val="Címsor 6 Char"/>
    <w:basedOn w:val="Bekezdsalapbettpusa"/>
    <w:link w:val="Cmsor6"/>
    <w:uiPriority w:val="9"/>
    <w:rsid w:val="00E723CD"/>
    <w:rPr>
      <w:rFonts w:asciiTheme="majorHAnsi" w:eastAsiaTheme="majorEastAsia" w:hAnsiTheme="majorHAnsi" w:cstheme="majorBidi"/>
      <w:i/>
      <w:iCs/>
      <w:color w:val="1F3763" w:themeColor="accent1" w:themeShade="7F"/>
      <w:kern w:val="0"/>
      <w14:ligatures w14:val="none"/>
    </w:rPr>
  </w:style>
  <w:style w:type="paragraph" w:styleId="HTML-kntformzott">
    <w:name w:val="HTML Preformatted"/>
    <w:basedOn w:val="Norml"/>
    <w:link w:val="HTML-kntformzottChar"/>
    <w:uiPriority w:val="99"/>
    <w:unhideWhenUsed/>
    <w:rsid w:val="00E723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u-HU"/>
    </w:rPr>
  </w:style>
  <w:style w:type="character" w:customStyle="1" w:styleId="HTML-kntformzottChar">
    <w:name w:val="HTML-ként formázott Char"/>
    <w:basedOn w:val="Bekezdsalapbettpusa"/>
    <w:link w:val="HTML-kntformzott"/>
    <w:uiPriority w:val="99"/>
    <w:rsid w:val="00E723CD"/>
    <w:rPr>
      <w:rFonts w:ascii="Courier New" w:eastAsia="Times New Roman" w:hAnsi="Courier New" w:cs="Courier New"/>
      <w:kern w:val="0"/>
      <w:sz w:val="20"/>
      <w:szCs w:val="20"/>
      <w:lang w:eastAsia="hu-HU"/>
      <w14:ligatures w14:val="none"/>
    </w:rPr>
  </w:style>
  <w:style w:type="paragraph" w:styleId="Buborkszveg">
    <w:name w:val="Balloon Text"/>
    <w:basedOn w:val="Norml"/>
    <w:link w:val="BuborkszvegChar"/>
    <w:uiPriority w:val="99"/>
    <w:semiHidden/>
    <w:unhideWhenUsed/>
    <w:rsid w:val="00E723CD"/>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E723CD"/>
    <w:rPr>
      <w:rFonts w:ascii="Tahoma" w:hAnsi="Tahoma" w:cs="Tahoma"/>
      <w:kern w:val="0"/>
      <w:sz w:val="16"/>
      <w:szCs w:val="16"/>
      <w14:ligatures w14:val="none"/>
    </w:rPr>
  </w:style>
  <w:style w:type="table" w:styleId="Rcsostblzat">
    <w:name w:val="Table Grid"/>
    <w:basedOn w:val="Normltblzat"/>
    <w:uiPriority w:val="39"/>
    <w:rsid w:val="00E723C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Bekezdsalapbettpusa"/>
    <w:rsid w:val="00E723CD"/>
  </w:style>
  <w:style w:type="character" w:styleId="Kiemels">
    <w:name w:val="Emphasis"/>
    <w:basedOn w:val="Bekezdsalapbettpusa"/>
    <w:uiPriority w:val="20"/>
    <w:qFormat/>
    <w:rsid w:val="00E723CD"/>
    <w:rPr>
      <w:i/>
      <w:iCs/>
    </w:rPr>
  </w:style>
  <w:style w:type="character" w:customStyle="1" w:styleId="hps">
    <w:name w:val="hps"/>
    <w:rsid w:val="00E723CD"/>
  </w:style>
  <w:style w:type="character" w:customStyle="1" w:styleId="anchor-text">
    <w:name w:val="anchor-text"/>
    <w:basedOn w:val="Bekezdsalapbettpusa"/>
    <w:rsid w:val="00E723CD"/>
  </w:style>
  <w:style w:type="paragraph" w:customStyle="1" w:styleId="selectionshareable">
    <w:name w:val="selectionshareable"/>
    <w:basedOn w:val="Norml"/>
    <w:rsid w:val="00E723CD"/>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E723CD"/>
    <w:pPr>
      <w:tabs>
        <w:tab w:val="center" w:pos="4536"/>
        <w:tab w:val="right" w:pos="9072"/>
      </w:tabs>
      <w:spacing w:after="0" w:line="240" w:lineRule="auto"/>
    </w:pPr>
  </w:style>
  <w:style w:type="character" w:customStyle="1" w:styleId="lfejChar">
    <w:name w:val="Élőfej Char"/>
    <w:basedOn w:val="Bekezdsalapbettpusa"/>
    <w:link w:val="lfej"/>
    <w:uiPriority w:val="99"/>
    <w:rsid w:val="00E723CD"/>
    <w:rPr>
      <w:kern w:val="0"/>
      <w14:ligatures w14:val="none"/>
    </w:rPr>
  </w:style>
  <w:style w:type="character" w:styleId="Kiemels2">
    <w:name w:val="Strong"/>
    <w:basedOn w:val="Bekezdsalapbettpusa"/>
    <w:uiPriority w:val="22"/>
    <w:qFormat/>
    <w:rsid w:val="00E723CD"/>
    <w:rPr>
      <w:b/>
      <w:bCs/>
    </w:rPr>
  </w:style>
  <w:style w:type="paragraph" w:styleId="Vltozat">
    <w:name w:val="Revision"/>
    <w:hidden/>
    <w:uiPriority w:val="99"/>
    <w:semiHidden/>
    <w:rsid w:val="00E723CD"/>
    <w:pPr>
      <w:spacing w:after="0" w:line="240" w:lineRule="auto"/>
    </w:pPr>
    <w:rPr>
      <w:kern w:val="0"/>
      <w14:ligatures w14:val="none"/>
    </w:rPr>
  </w:style>
  <w:style w:type="paragraph" w:customStyle="1" w:styleId="author">
    <w:name w:val="author"/>
    <w:basedOn w:val="Norml"/>
    <w:rsid w:val="00E723CD"/>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Alcm1">
    <w:name w:val="Alcím1"/>
    <w:basedOn w:val="Bekezdsalapbettpusa"/>
    <w:rsid w:val="00E723CD"/>
  </w:style>
  <w:style w:type="character" w:customStyle="1" w:styleId="journal-title">
    <w:name w:val="journal-title"/>
    <w:basedOn w:val="Bekezdsalapbettpusa"/>
    <w:rsid w:val="00E723CD"/>
  </w:style>
  <w:style w:type="character" w:customStyle="1" w:styleId="journal-volume">
    <w:name w:val="journal-volume"/>
    <w:basedOn w:val="Bekezdsalapbettpusa"/>
    <w:rsid w:val="00E723CD"/>
  </w:style>
  <w:style w:type="character" w:customStyle="1" w:styleId="journal-issue">
    <w:name w:val="journal-issue"/>
    <w:basedOn w:val="Bekezdsalapbettpusa"/>
    <w:rsid w:val="00E723CD"/>
  </w:style>
  <w:style w:type="character" w:customStyle="1" w:styleId="page">
    <w:name w:val="page"/>
    <w:basedOn w:val="Bekezdsalapbettpusa"/>
    <w:rsid w:val="00E723CD"/>
  </w:style>
  <w:style w:type="character" w:customStyle="1" w:styleId="year">
    <w:name w:val="year"/>
    <w:basedOn w:val="Bekezdsalapbettpusa"/>
    <w:rsid w:val="00E723CD"/>
  </w:style>
  <w:style w:type="character" w:customStyle="1" w:styleId="ff1">
    <w:name w:val="ff1"/>
    <w:basedOn w:val="Bekezdsalapbettpusa"/>
    <w:rsid w:val="00E723CD"/>
  </w:style>
  <w:style w:type="character" w:styleId="Jegyzethivatkozs">
    <w:name w:val="annotation reference"/>
    <w:basedOn w:val="Bekezdsalapbettpusa"/>
    <w:uiPriority w:val="99"/>
    <w:semiHidden/>
    <w:unhideWhenUsed/>
    <w:rsid w:val="00E723CD"/>
    <w:rPr>
      <w:sz w:val="16"/>
      <w:szCs w:val="16"/>
    </w:rPr>
  </w:style>
  <w:style w:type="paragraph" w:styleId="Jegyzetszveg">
    <w:name w:val="annotation text"/>
    <w:basedOn w:val="Norml"/>
    <w:link w:val="JegyzetszvegChar"/>
    <w:uiPriority w:val="99"/>
    <w:unhideWhenUsed/>
    <w:rsid w:val="00E723CD"/>
    <w:pPr>
      <w:spacing w:line="240" w:lineRule="auto"/>
    </w:pPr>
    <w:rPr>
      <w:sz w:val="20"/>
      <w:szCs w:val="20"/>
    </w:rPr>
  </w:style>
  <w:style w:type="character" w:customStyle="1" w:styleId="JegyzetszvegChar">
    <w:name w:val="Jegyzetszöveg Char"/>
    <w:basedOn w:val="Bekezdsalapbettpusa"/>
    <w:link w:val="Jegyzetszveg"/>
    <w:uiPriority w:val="99"/>
    <w:rsid w:val="00E723CD"/>
    <w:rPr>
      <w:kern w:val="0"/>
      <w:sz w:val="20"/>
      <w:szCs w:val="20"/>
      <w14:ligatures w14:val="none"/>
    </w:rPr>
  </w:style>
  <w:style w:type="paragraph" w:styleId="Megjegyzstrgya">
    <w:name w:val="annotation subject"/>
    <w:basedOn w:val="Jegyzetszveg"/>
    <w:next w:val="Jegyzetszveg"/>
    <w:link w:val="MegjegyzstrgyaChar"/>
    <w:uiPriority w:val="99"/>
    <w:semiHidden/>
    <w:unhideWhenUsed/>
    <w:rsid w:val="00E723CD"/>
    <w:rPr>
      <w:b/>
      <w:bCs/>
    </w:rPr>
  </w:style>
  <w:style w:type="character" w:customStyle="1" w:styleId="MegjegyzstrgyaChar">
    <w:name w:val="Megjegyzés tárgya Char"/>
    <w:basedOn w:val="JegyzetszvegChar"/>
    <w:link w:val="Megjegyzstrgya"/>
    <w:uiPriority w:val="99"/>
    <w:semiHidden/>
    <w:rsid w:val="00E723CD"/>
    <w:rPr>
      <w:b/>
      <w:bCs/>
      <w:kern w:val="0"/>
      <w:sz w:val="20"/>
      <w:szCs w:val="20"/>
      <w14:ligatures w14:val="none"/>
    </w:rPr>
  </w:style>
  <w:style w:type="character" w:customStyle="1" w:styleId="a">
    <w:name w:val="_"/>
    <w:basedOn w:val="Bekezdsalapbettpusa"/>
    <w:rsid w:val="00E723CD"/>
  </w:style>
  <w:style w:type="character" w:customStyle="1" w:styleId="lsc">
    <w:name w:val="lsc"/>
    <w:basedOn w:val="Bekezdsalapbettpusa"/>
    <w:rsid w:val="00E723CD"/>
  </w:style>
  <w:style w:type="character" w:customStyle="1" w:styleId="Feloldatlanmegemlts1">
    <w:name w:val="Feloldatlan megemlítés1"/>
    <w:basedOn w:val="Bekezdsalapbettpusa"/>
    <w:uiPriority w:val="99"/>
    <w:semiHidden/>
    <w:unhideWhenUsed/>
    <w:rsid w:val="002778C5"/>
    <w:rPr>
      <w:color w:val="605E5C"/>
      <w:shd w:val="clear" w:color="auto" w:fill="E1DFDD"/>
    </w:rPr>
  </w:style>
  <w:style w:type="paragraph" w:customStyle="1" w:styleId="nova-legacy-e-listitem">
    <w:name w:val="nova-legacy-e-list__item"/>
    <w:basedOn w:val="Norml"/>
    <w:rsid w:val="002F480E"/>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volume-issue">
    <w:name w:val="volume-issue"/>
    <w:basedOn w:val="Norml"/>
    <w:rsid w:val="00016BC1"/>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val">
    <w:name w:val="val"/>
    <w:basedOn w:val="Bekezdsalapbettpusa"/>
    <w:rsid w:val="00016BC1"/>
  </w:style>
  <w:style w:type="paragraph" w:customStyle="1" w:styleId="page-range">
    <w:name w:val="page-range"/>
    <w:basedOn w:val="Norml"/>
    <w:rsid w:val="00016BC1"/>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serialtitle">
    <w:name w:val="serial_title"/>
    <w:basedOn w:val="Bekezdsalapbettpusa"/>
    <w:rsid w:val="0056450E"/>
  </w:style>
  <w:style w:type="character" w:customStyle="1" w:styleId="volumeissue">
    <w:name w:val="volume_issue"/>
    <w:basedOn w:val="Bekezdsalapbettpusa"/>
    <w:rsid w:val="0056450E"/>
  </w:style>
  <w:style w:type="character" w:customStyle="1" w:styleId="pagerange">
    <w:name w:val="page_range"/>
    <w:basedOn w:val="Bekezdsalapbettpusa"/>
    <w:rsid w:val="0056450E"/>
  </w:style>
  <w:style w:type="character" w:customStyle="1" w:styleId="doilink">
    <w:name w:val="doi_link"/>
    <w:basedOn w:val="Bekezdsalapbettpusa"/>
    <w:rsid w:val="0056450E"/>
  </w:style>
  <w:style w:type="paragraph" w:customStyle="1" w:styleId="Pa5">
    <w:name w:val="Pa5"/>
    <w:basedOn w:val="Default"/>
    <w:next w:val="Default"/>
    <w:uiPriority w:val="99"/>
    <w:rsid w:val="00E14E1A"/>
    <w:pPr>
      <w:spacing w:line="221" w:lineRule="atLeast"/>
    </w:pPr>
    <w:rPr>
      <w:rFonts w:ascii="Baskerville" w:hAnsi="Baskerville" w:cstheme="minorBidi"/>
      <w:color w:val="auto"/>
      <w14:ligatures w14:val="standardContextual"/>
    </w:rPr>
  </w:style>
  <w:style w:type="paragraph" w:customStyle="1" w:styleId="gmail-msolistparagraph">
    <w:name w:val="gmail-msolistparagraph"/>
    <w:basedOn w:val="Norml"/>
    <w:rsid w:val="00BB48D6"/>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line-label-text">
    <w:name w:val="line-label-text"/>
    <w:basedOn w:val="Bekezdsalapbettpusa"/>
    <w:rsid w:val="00254C62"/>
  </w:style>
  <w:style w:type="character" w:styleId="Feloldatlanmegemlts">
    <w:name w:val="Unresolved Mention"/>
    <w:basedOn w:val="Bekezdsalapbettpusa"/>
    <w:uiPriority w:val="99"/>
    <w:semiHidden/>
    <w:unhideWhenUsed/>
    <w:rsid w:val="00815F5F"/>
    <w:rPr>
      <w:color w:val="605E5C"/>
      <w:shd w:val="clear" w:color="auto" w:fill="E1DFDD"/>
    </w:rPr>
  </w:style>
  <w:style w:type="paragraph" w:customStyle="1" w:styleId="oj-doc-ti">
    <w:name w:val="oj-doc-ti"/>
    <w:basedOn w:val="Norml"/>
    <w:rsid w:val="00F10F35"/>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Cmsor7Char">
    <w:name w:val="Címsor 7 Char"/>
    <w:basedOn w:val="Bekezdsalapbettpusa"/>
    <w:link w:val="Cmsor7"/>
    <w:uiPriority w:val="9"/>
    <w:semiHidden/>
    <w:rsid w:val="00C04BF5"/>
    <w:rPr>
      <w:rFonts w:eastAsiaTheme="majorEastAsia" w:cstheme="majorBidi"/>
      <w:color w:val="595959" w:themeColor="text1" w:themeTint="A6"/>
      <w:kern w:val="0"/>
      <w14:ligatures w14:val="none"/>
    </w:rPr>
  </w:style>
  <w:style w:type="character" w:customStyle="1" w:styleId="Cmsor8Char">
    <w:name w:val="Címsor 8 Char"/>
    <w:basedOn w:val="Bekezdsalapbettpusa"/>
    <w:link w:val="Cmsor8"/>
    <w:uiPriority w:val="9"/>
    <w:semiHidden/>
    <w:rsid w:val="00C04BF5"/>
    <w:rPr>
      <w:rFonts w:eastAsiaTheme="majorEastAsia" w:cstheme="majorBidi"/>
      <w:i/>
      <w:iCs/>
      <w:color w:val="272727" w:themeColor="text1" w:themeTint="D8"/>
      <w:kern w:val="0"/>
      <w14:ligatures w14:val="none"/>
    </w:rPr>
  </w:style>
  <w:style w:type="character" w:customStyle="1" w:styleId="Cmsor9Char">
    <w:name w:val="Címsor 9 Char"/>
    <w:basedOn w:val="Bekezdsalapbettpusa"/>
    <w:link w:val="Cmsor9"/>
    <w:uiPriority w:val="9"/>
    <w:semiHidden/>
    <w:rsid w:val="00C04BF5"/>
    <w:rPr>
      <w:rFonts w:eastAsiaTheme="majorEastAsia" w:cstheme="majorBidi"/>
      <w:color w:val="272727" w:themeColor="text1" w:themeTint="D8"/>
      <w:kern w:val="0"/>
      <w14:ligatures w14:val="none"/>
    </w:rPr>
  </w:style>
  <w:style w:type="paragraph" w:styleId="Cm">
    <w:name w:val="Title"/>
    <w:basedOn w:val="Norml"/>
    <w:next w:val="Norml"/>
    <w:link w:val="CmChar"/>
    <w:uiPriority w:val="10"/>
    <w:qFormat/>
    <w:rsid w:val="00C04BF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C04BF5"/>
    <w:rPr>
      <w:rFonts w:asciiTheme="majorHAnsi" w:eastAsiaTheme="majorEastAsia" w:hAnsiTheme="majorHAnsi" w:cstheme="majorBidi"/>
      <w:spacing w:val="-10"/>
      <w:kern w:val="28"/>
      <w:sz w:val="56"/>
      <w:szCs w:val="56"/>
      <w14:ligatures w14:val="none"/>
    </w:rPr>
  </w:style>
  <w:style w:type="paragraph" w:styleId="Alcm">
    <w:name w:val="Subtitle"/>
    <w:basedOn w:val="Norml"/>
    <w:next w:val="Norml"/>
    <w:link w:val="AlcmChar"/>
    <w:uiPriority w:val="11"/>
    <w:qFormat/>
    <w:rsid w:val="00C04BF5"/>
    <w:pPr>
      <w:numPr>
        <w:ilvl w:val="1"/>
      </w:numPr>
      <w:spacing w:after="160" w:line="259" w:lineRule="auto"/>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C04BF5"/>
    <w:rPr>
      <w:rFonts w:eastAsiaTheme="majorEastAsia" w:cstheme="majorBidi"/>
      <w:color w:val="595959" w:themeColor="text1" w:themeTint="A6"/>
      <w:spacing w:val="15"/>
      <w:kern w:val="0"/>
      <w:sz w:val="28"/>
      <w:szCs w:val="28"/>
      <w14:ligatures w14:val="none"/>
    </w:rPr>
  </w:style>
  <w:style w:type="paragraph" w:styleId="Idzet">
    <w:name w:val="Quote"/>
    <w:basedOn w:val="Norml"/>
    <w:next w:val="Norml"/>
    <w:link w:val="IdzetChar"/>
    <w:uiPriority w:val="29"/>
    <w:qFormat/>
    <w:rsid w:val="00C04BF5"/>
    <w:pPr>
      <w:spacing w:before="160" w:after="160" w:line="259" w:lineRule="auto"/>
      <w:jc w:val="center"/>
    </w:pPr>
    <w:rPr>
      <w:i/>
      <w:iCs/>
      <w:color w:val="404040" w:themeColor="text1" w:themeTint="BF"/>
    </w:rPr>
  </w:style>
  <w:style w:type="character" w:customStyle="1" w:styleId="IdzetChar">
    <w:name w:val="Idézet Char"/>
    <w:basedOn w:val="Bekezdsalapbettpusa"/>
    <w:link w:val="Idzet"/>
    <w:uiPriority w:val="29"/>
    <w:rsid w:val="00C04BF5"/>
    <w:rPr>
      <w:i/>
      <w:iCs/>
      <w:color w:val="404040" w:themeColor="text1" w:themeTint="BF"/>
      <w:kern w:val="0"/>
      <w14:ligatures w14:val="none"/>
    </w:rPr>
  </w:style>
  <w:style w:type="character" w:styleId="Erskiemels">
    <w:name w:val="Intense Emphasis"/>
    <w:basedOn w:val="Bekezdsalapbettpusa"/>
    <w:uiPriority w:val="21"/>
    <w:qFormat/>
    <w:rsid w:val="00C04BF5"/>
    <w:rPr>
      <w:i/>
      <w:iCs/>
      <w:color w:val="2F5496" w:themeColor="accent1" w:themeShade="BF"/>
    </w:rPr>
  </w:style>
  <w:style w:type="paragraph" w:styleId="Kiemeltidzet">
    <w:name w:val="Intense Quote"/>
    <w:basedOn w:val="Norml"/>
    <w:next w:val="Norml"/>
    <w:link w:val="KiemeltidzetChar"/>
    <w:uiPriority w:val="30"/>
    <w:qFormat/>
    <w:rsid w:val="00C04BF5"/>
    <w:pPr>
      <w:pBdr>
        <w:top w:val="single" w:sz="4" w:space="10" w:color="2F5496" w:themeColor="accent1" w:themeShade="BF"/>
        <w:bottom w:val="single" w:sz="4" w:space="10" w:color="2F5496" w:themeColor="accent1" w:themeShade="BF"/>
      </w:pBdr>
      <w:spacing w:before="360" w:after="360" w:line="259" w:lineRule="auto"/>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C04BF5"/>
    <w:rPr>
      <w:i/>
      <w:iCs/>
      <w:color w:val="2F5496" w:themeColor="accent1" w:themeShade="BF"/>
      <w:kern w:val="0"/>
      <w14:ligatures w14:val="none"/>
    </w:rPr>
  </w:style>
  <w:style w:type="character" w:styleId="Ershivatkozs">
    <w:name w:val="Intense Reference"/>
    <w:basedOn w:val="Bekezdsalapbettpusa"/>
    <w:uiPriority w:val="32"/>
    <w:qFormat/>
    <w:rsid w:val="00C04BF5"/>
    <w:rPr>
      <w:b/>
      <w:bCs/>
      <w:smallCaps/>
      <w:color w:val="2F5496" w:themeColor="accent1" w:themeShade="BF"/>
      <w:spacing w:val="5"/>
    </w:rPr>
  </w:style>
  <w:style w:type="character" w:styleId="Mrltotthiperhivatkozs">
    <w:name w:val="FollowedHyperlink"/>
    <w:basedOn w:val="Bekezdsalapbettpusa"/>
    <w:uiPriority w:val="99"/>
    <w:semiHidden/>
    <w:unhideWhenUsed/>
    <w:rsid w:val="00DC2C1E"/>
    <w:rPr>
      <w:color w:val="954F72"/>
      <w:u w:val="single"/>
    </w:rPr>
  </w:style>
  <w:style w:type="paragraph" w:customStyle="1" w:styleId="msonormal0">
    <w:name w:val="msonormal"/>
    <w:basedOn w:val="Norml"/>
    <w:rsid w:val="00DC2C1E"/>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xl65">
    <w:name w:val="xl65"/>
    <w:basedOn w:val="Norml"/>
    <w:rsid w:val="00DC2C1E"/>
    <w:pPr>
      <w:spacing w:before="100" w:beforeAutospacing="1" w:after="100" w:afterAutospacing="1" w:line="240" w:lineRule="auto"/>
      <w:textAlignment w:val="center"/>
    </w:pPr>
    <w:rPr>
      <w:rFonts w:ascii="Georgia" w:eastAsia="Times New Roman" w:hAnsi="Georgia" w:cs="Times New Roman"/>
      <w:b/>
      <w:bCs/>
      <w:sz w:val="16"/>
      <w:szCs w:val="16"/>
      <w:lang w:eastAsia="hu-HU"/>
    </w:rPr>
  </w:style>
  <w:style w:type="paragraph" w:customStyle="1" w:styleId="xl66">
    <w:name w:val="xl66"/>
    <w:basedOn w:val="Norml"/>
    <w:rsid w:val="00DC2C1E"/>
    <w:pPr>
      <w:spacing w:before="100" w:beforeAutospacing="1" w:after="100" w:afterAutospacing="1" w:line="240" w:lineRule="auto"/>
      <w:textAlignment w:val="center"/>
    </w:pPr>
    <w:rPr>
      <w:rFonts w:ascii="Times New Roman" w:eastAsia="Times New Roman" w:hAnsi="Times New Roman" w:cs="Times New Roman"/>
      <w:sz w:val="24"/>
      <w:szCs w:val="24"/>
      <w:lang w:eastAsia="hu-HU"/>
    </w:rPr>
  </w:style>
  <w:style w:type="paragraph" w:customStyle="1" w:styleId="xl67">
    <w:name w:val="xl67"/>
    <w:basedOn w:val="Norml"/>
    <w:rsid w:val="00DC2C1E"/>
    <w:pPr>
      <w:spacing w:before="100" w:beforeAutospacing="1" w:after="100" w:afterAutospacing="1" w:line="240" w:lineRule="auto"/>
      <w:textAlignment w:val="center"/>
    </w:pPr>
    <w:rPr>
      <w:rFonts w:ascii="Calibri" w:eastAsia="Times New Roman" w:hAnsi="Calibri" w:cs="Calibri"/>
      <w:b/>
      <w:bCs/>
      <w:sz w:val="24"/>
      <w:szCs w:val="24"/>
      <w:lang w:eastAsia="hu-HU"/>
    </w:rPr>
  </w:style>
  <w:style w:type="paragraph" w:customStyle="1" w:styleId="xl68">
    <w:name w:val="xl68"/>
    <w:basedOn w:val="Norml"/>
    <w:rsid w:val="00DC2C1E"/>
    <w:pPr>
      <w:spacing w:before="100" w:beforeAutospacing="1" w:after="100" w:afterAutospacing="1" w:line="240" w:lineRule="auto"/>
      <w:textAlignment w:val="center"/>
    </w:pPr>
    <w:rPr>
      <w:rFonts w:ascii="Georgia" w:eastAsia="Times New Roman" w:hAnsi="Georgia" w:cs="Times New Roman"/>
      <w:sz w:val="18"/>
      <w:szCs w:val="18"/>
      <w:lang w:eastAsia="hu-HU"/>
    </w:rPr>
  </w:style>
  <w:style w:type="paragraph" w:customStyle="1" w:styleId="xl69">
    <w:name w:val="xl69"/>
    <w:basedOn w:val="Norml"/>
    <w:rsid w:val="00DC2C1E"/>
    <w:pPr>
      <w:spacing w:before="100" w:beforeAutospacing="1" w:after="100" w:afterAutospacing="1" w:line="240" w:lineRule="auto"/>
      <w:textAlignment w:val="center"/>
    </w:pPr>
    <w:rPr>
      <w:rFonts w:ascii="Georgia" w:eastAsia="Times New Roman" w:hAnsi="Georgia" w:cs="Times New Roman"/>
      <w:b/>
      <w:bCs/>
      <w:sz w:val="18"/>
      <w:szCs w:val="18"/>
      <w:lang w:eastAsia="hu-HU"/>
    </w:rPr>
  </w:style>
  <w:style w:type="paragraph" w:customStyle="1" w:styleId="xl70">
    <w:name w:val="xl70"/>
    <w:basedOn w:val="Norml"/>
    <w:rsid w:val="00DC2C1E"/>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Georgia" w:eastAsia="Times New Roman" w:hAnsi="Georgia" w:cs="Times New Roman"/>
      <w:b/>
      <w:bCs/>
      <w:sz w:val="14"/>
      <w:szCs w:val="14"/>
      <w:lang w:eastAsia="hu-HU"/>
    </w:rPr>
  </w:style>
  <w:style w:type="paragraph" w:customStyle="1" w:styleId="xl71">
    <w:name w:val="xl71"/>
    <w:basedOn w:val="Norml"/>
    <w:rsid w:val="00DC2C1E"/>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jc w:val="center"/>
      <w:textAlignment w:val="center"/>
    </w:pPr>
    <w:rPr>
      <w:rFonts w:ascii="Georgia" w:eastAsia="Times New Roman" w:hAnsi="Georgia" w:cs="Times New Roman"/>
      <w:b/>
      <w:bCs/>
      <w:sz w:val="14"/>
      <w:szCs w:val="14"/>
      <w:lang w:eastAsia="hu-HU"/>
    </w:rPr>
  </w:style>
  <w:style w:type="paragraph" w:customStyle="1" w:styleId="xl72">
    <w:name w:val="xl72"/>
    <w:basedOn w:val="Norml"/>
    <w:rsid w:val="00DC2C1E"/>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Georgia" w:eastAsia="Times New Roman" w:hAnsi="Georgia" w:cs="Times New Roman"/>
      <w:b/>
      <w:bCs/>
      <w:sz w:val="16"/>
      <w:szCs w:val="16"/>
      <w:lang w:eastAsia="hu-HU"/>
    </w:rPr>
  </w:style>
  <w:style w:type="paragraph" w:customStyle="1" w:styleId="xl73">
    <w:name w:val="xl73"/>
    <w:basedOn w:val="Norml"/>
    <w:rsid w:val="00DC2C1E"/>
    <w:pPr>
      <w:pBdr>
        <w:top w:val="single" w:sz="4" w:space="0" w:color="auto"/>
        <w:left w:val="single" w:sz="8" w:space="0" w:color="auto"/>
        <w:bottom w:val="single" w:sz="8" w:space="0" w:color="auto"/>
        <w:right w:val="single" w:sz="4" w:space="0" w:color="auto"/>
      </w:pBdr>
      <w:shd w:val="clear" w:color="000000" w:fill="C6E0B4"/>
      <w:spacing w:before="100" w:beforeAutospacing="1" w:after="100" w:afterAutospacing="1" w:line="240" w:lineRule="auto"/>
      <w:textAlignment w:val="center"/>
    </w:pPr>
    <w:rPr>
      <w:rFonts w:ascii="Georgia" w:eastAsia="Times New Roman" w:hAnsi="Georgia" w:cs="Times New Roman"/>
      <w:b/>
      <w:bCs/>
      <w:sz w:val="16"/>
      <w:szCs w:val="16"/>
      <w:lang w:eastAsia="hu-HU"/>
    </w:rPr>
  </w:style>
  <w:style w:type="paragraph" w:customStyle="1" w:styleId="xl74">
    <w:name w:val="xl74"/>
    <w:basedOn w:val="Norml"/>
    <w:rsid w:val="00DC2C1E"/>
    <w:pPr>
      <w:pBdr>
        <w:top w:val="single" w:sz="8"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center"/>
      <w:textAlignment w:val="center"/>
    </w:pPr>
    <w:rPr>
      <w:rFonts w:ascii="Georgia" w:eastAsia="Times New Roman" w:hAnsi="Georgia" w:cs="Times New Roman"/>
      <w:b/>
      <w:bCs/>
      <w:sz w:val="18"/>
      <w:szCs w:val="18"/>
      <w:lang w:eastAsia="hu-HU"/>
    </w:rPr>
  </w:style>
  <w:style w:type="paragraph" w:customStyle="1" w:styleId="xl75">
    <w:name w:val="xl75"/>
    <w:basedOn w:val="Norml"/>
    <w:rsid w:val="00DC2C1E"/>
    <w:pPr>
      <w:pBdr>
        <w:top w:val="single" w:sz="8" w:space="0" w:color="auto"/>
        <w:left w:val="single" w:sz="4" w:space="0" w:color="auto"/>
        <w:bottom w:val="single" w:sz="4" w:space="0" w:color="auto"/>
        <w:right w:val="single" w:sz="8" w:space="0" w:color="auto"/>
      </w:pBdr>
      <w:shd w:val="clear" w:color="000000" w:fill="548235"/>
      <w:spacing w:before="100" w:beforeAutospacing="1" w:after="100" w:afterAutospacing="1" w:line="240" w:lineRule="auto"/>
      <w:jc w:val="center"/>
      <w:textAlignment w:val="center"/>
    </w:pPr>
    <w:rPr>
      <w:rFonts w:ascii="Georgia" w:eastAsia="Times New Roman" w:hAnsi="Georgia" w:cs="Times New Roman"/>
      <w:b/>
      <w:bCs/>
      <w:sz w:val="18"/>
      <w:szCs w:val="18"/>
      <w:lang w:eastAsia="hu-HU"/>
    </w:rPr>
  </w:style>
  <w:style w:type="paragraph" w:customStyle="1" w:styleId="xl76">
    <w:name w:val="xl76"/>
    <w:basedOn w:val="Norml"/>
    <w:rsid w:val="00DC2C1E"/>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24"/>
      <w:szCs w:val="24"/>
      <w:lang w:eastAsia="hu-HU"/>
    </w:rPr>
  </w:style>
  <w:style w:type="paragraph" w:customStyle="1" w:styleId="xl77">
    <w:name w:val="xl77"/>
    <w:basedOn w:val="Norml"/>
    <w:rsid w:val="00DC2C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eorgia" w:eastAsia="Times New Roman" w:hAnsi="Georgia" w:cs="Times New Roman"/>
      <w:b/>
      <w:bCs/>
      <w:sz w:val="10"/>
      <w:szCs w:val="10"/>
      <w:lang w:eastAsia="hu-HU"/>
    </w:rPr>
  </w:style>
  <w:style w:type="paragraph" w:customStyle="1" w:styleId="xl78">
    <w:name w:val="xl78"/>
    <w:basedOn w:val="Norml"/>
    <w:rsid w:val="00DC2C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79">
    <w:name w:val="xl79"/>
    <w:basedOn w:val="Norml"/>
    <w:rsid w:val="00DC2C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eorgia" w:eastAsia="Times New Roman" w:hAnsi="Georgia" w:cs="Times New Roman"/>
      <w:sz w:val="8"/>
      <w:szCs w:val="8"/>
      <w:lang w:eastAsia="hu-HU"/>
    </w:rPr>
  </w:style>
  <w:style w:type="paragraph" w:customStyle="1" w:styleId="xl80">
    <w:name w:val="xl80"/>
    <w:basedOn w:val="Norml"/>
    <w:rsid w:val="00DC2C1E"/>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81">
    <w:name w:val="xl81"/>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Georgia" w:eastAsia="Times New Roman" w:hAnsi="Georgia" w:cs="Times New Roman"/>
      <w:b/>
      <w:bCs/>
      <w:sz w:val="10"/>
      <w:szCs w:val="10"/>
      <w:lang w:eastAsia="hu-HU"/>
    </w:rPr>
  </w:style>
  <w:style w:type="paragraph" w:customStyle="1" w:styleId="xl82">
    <w:name w:val="xl82"/>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83">
    <w:name w:val="xl83"/>
    <w:basedOn w:val="Norml"/>
    <w:rsid w:val="00DC2C1E"/>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84">
    <w:name w:val="xl84"/>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10"/>
      <w:szCs w:val="10"/>
      <w:lang w:eastAsia="hu-HU"/>
    </w:rPr>
  </w:style>
  <w:style w:type="paragraph" w:customStyle="1" w:styleId="xl85">
    <w:name w:val="xl85"/>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Calibri" w:eastAsia="Times New Roman" w:hAnsi="Calibri" w:cs="Calibri"/>
      <w:b/>
      <w:bCs/>
      <w:sz w:val="10"/>
      <w:szCs w:val="10"/>
      <w:lang w:eastAsia="hu-HU"/>
    </w:rPr>
  </w:style>
  <w:style w:type="paragraph" w:customStyle="1" w:styleId="xl86">
    <w:name w:val="xl86"/>
    <w:basedOn w:val="Norml"/>
    <w:rsid w:val="00DC2C1E"/>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10"/>
      <w:szCs w:val="10"/>
      <w:lang w:eastAsia="hu-HU"/>
    </w:rPr>
  </w:style>
  <w:style w:type="paragraph" w:customStyle="1" w:styleId="xl87">
    <w:name w:val="xl87"/>
    <w:basedOn w:val="Norml"/>
    <w:rsid w:val="00DC2C1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eastAsia="hu-HU"/>
    </w:rPr>
  </w:style>
  <w:style w:type="paragraph" w:customStyle="1" w:styleId="xl88">
    <w:name w:val="xl88"/>
    <w:basedOn w:val="Norml"/>
    <w:rsid w:val="00DC2C1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Georgia" w:eastAsia="Times New Roman" w:hAnsi="Georgia" w:cs="Times New Roman"/>
      <w:b/>
      <w:bCs/>
      <w:sz w:val="10"/>
      <w:szCs w:val="10"/>
      <w:lang w:eastAsia="hu-HU"/>
    </w:rPr>
  </w:style>
  <w:style w:type="paragraph" w:customStyle="1" w:styleId="xl89">
    <w:name w:val="xl89"/>
    <w:basedOn w:val="Norml"/>
    <w:rsid w:val="00DC2C1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90">
    <w:name w:val="xl90"/>
    <w:basedOn w:val="Norml"/>
    <w:rsid w:val="00DC2C1E"/>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line="240" w:lineRule="auto"/>
      <w:textAlignment w:val="center"/>
    </w:pPr>
    <w:rPr>
      <w:rFonts w:ascii="Georgia" w:eastAsia="Times New Roman" w:hAnsi="Georgia" w:cs="Times New Roman"/>
      <w:b/>
      <w:bCs/>
      <w:sz w:val="10"/>
      <w:szCs w:val="10"/>
      <w:lang w:eastAsia="hu-HU"/>
    </w:rPr>
  </w:style>
  <w:style w:type="paragraph" w:customStyle="1" w:styleId="xl91">
    <w:name w:val="xl91"/>
    <w:basedOn w:val="Norml"/>
    <w:rsid w:val="00DC2C1E"/>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92">
    <w:name w:val="xl92"/>
    <w:basedOn w:val="Norml"/>
    <w:rsid w:val="00DC2C1E"/>
    <w:pPr>
      <w:pBdr>
        <w:top w:val="single" w:sz="4" w:space="0" w:color="auto"/>
        <w:left w:val="single" w:sz="4" w:space="0" w:color="auto"/>
        <w:bottom w:val="single" w:sz="8" w:space="0" w:color="auto"/>
        <w:right w:val="single" w:sz="8" w:space="0" w:color="auto"/>
      </w:pBdr>
      <w:shd w:val="clear" w:color="000000" w:fill="BFBFBF"/>
      <w:spacing w:before="100" w:beforeAutospacing="1" w:after="100" w:afterAutospacing="1" w:line="240" w:lineRule="auto"/>
      <w:textAlignment w:val="center"/>
    </w:pPr>
    <w:rPr>
      <w:rFonts w:ascii="Georgia" w:eastAsia="Times New Roman" w:hAnsi="Georgia" w:cs="Times New Roman"/>
      <w:sz w:val="10"/>
      <w:szCs w:val="10"/>
      <w:lang w:eastAsia="hu-HU"/>
    </w:rPr>
  </w:style>
  <w:style w:type="paragraph" w:customStyle="1" w:styleId="xl93">
    <w:name w:val="xl93"/>
    <w:basedOn w:val="Norml"/>
    <w:rsid w:val="00DC2C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eorgia" w:eastAsia="Times New Roman" w:hAnsi="Georgia" w:cs="Times New Roman"/>
      <w:sz w:val="10"/>
      <w:szCs w:val="10"/>
      <w:lang w:eastAsia="hu-HU"/>
    </w:rPr>
  </w:style>
  <w:style w:type="paragraph" w:customStyle="1" w:styleId="xl94">
    <w:name w:val="xl94"/>
    <w:basedOn w:val="Norml"/>
    <w:rsid w:val="00DC2C1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Georgia" w:eastAsia="Times New Roman" w:hAnsi="Georgia" w:cs="Times New Roman"/>
      <w:sz w:val="10"/>
      <w:szCs w:val="10"/>
      <w:lang w:eastAsia="hu-HU"/>
    </w:rPr>
  </w:style>
  <w:style w:type="paragraph" w:customStyle="1" w:styleId="xl95">
    <w:name w:val="xl95"/>
    <w:basedOn w:val="Norml"/>
    <w:rsid w:val="00DC2C1E"/>
    <w:pPr>
      <w:pBdr>
        <w:top w:val="single" w:sz="8" w:space="0" w:color="auto"/>
        <w:left w:val="single" w:sz="8" w:space="0" w:color="auto"/>
        <w:bottom w:val="single" w:sz="4" w:space="0" w:color="auto"/>
        <w:right w:val="single" w:sz="4" w:space="0" w:color="auto"/>
      </w:pBdr>
      <w:shd w:val="clear" w:color="000000" w:fill="548235"/>
      <w:spacing w:before="100" w:beforeAutospacing="1" w:after="100" w:afterAutospacing="1" w:line="240" w:lineRule="auto"/>
      <w:jc w:val="center"/>
      <w:textAlignment w:val="center"/>
    </w:pPr>
    <w:rPr>
      <w:rFonts w:ascii="Georgia" w:eastAsia="Times New Roman" w:hAnsi="Georgia" w:cs="Times New Roman"/>
      <w:b/>
      <w:bCs/>
      <w:sz w:val="16"/>
      <w:szCs w:val="16"/>
      <w:lang w:eastAsia="hu-HU"/>
    </w:rPr>
  </w:style>
  <w:style w:type="paragraph" w:customStyle="1" w:styleId="xl96">
    <w:name w:val="xl96"/>
    <w:basedOn w:val="Norml"/>
    <w:rsid w:val="00DC2C1E"/>
    <w:pPr>
      <w:pBdr>
        <w:top w:val="single" w:sz="4" w:space="0" w:color="auto"/>
        <w:left w:val="single" w:sz="8" w:space="0" w:color="auto"/>
        <w:bottom w:val="single" w:sz="4" w:space="0" w:color="auto"/>
        <w:right w:val="single" w:sz="4" w:space="0" w:color="auto"/>
      </w:pBdr>
      <w:shd w:val="clear" w:color="000000" w:fill="548235"/>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u-HU"/>
    </w:rPr>
  </w:style>
  <w:style w:type="paragraph" w:customStyle="1" w:styleId="xl97">
    <w:name w:val="xl97"/>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Georgia" w:eastAsia="Times New Roman" w:hAnsi="Georgia" w:cs="Times New Roman"/>
      <w:sz w:val="10"/>
      <w:szCs w:val="10"/>
      <w:lang w:eastAsia="hu-HU"/>
    </w:rPr>
  </w:style>
  <w:style w:type="paragraph" w:customStyle="1" w:styleId="xl98">
    <w:name w:val="xl98"/>
    <w:basedOn w:val="Norml"/>
    <w:rsid w:val="00DC2C1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10"/>
      <w:szCs w:val="10"/>
      <w:lang w:eastAsia="hu-HU"/>
    </w:rPr>
  </w:style>
  <w:style w:type="paragraph" w:customStyle="1" w:styleId="xl99">
    <w:name w:val="xl99"/>
    <w:basedOn w:val="Norml"/>
    <w:rsid w:val="00DC2C1E"/>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line="240" w:lineRule="auto"/>
      <w:jc w:val="center"/>
      <w:textAlignment w:val="center"/>
    </w:pPr>
    <w:rPr>
      <w:rFonts w:ascii="Georgia" w:eastAsia="Times New Roman" w:hAnsi="Georgia" w:cs="Times New Roman"/>
      <w:sz w:val="10"/>
      <w:szCs w:val="10"/>
      <w:lang w:eastAsia="hu-HU"/>
    </w:rPr>
  </w:style>
  <w:style w:type="paragraph" w:customStyle="1" w:styleId="xl100">
    <w:name w:val="xl100"/>
    <w:basedOn w:val="Norml"/>
    <w:rsid w:val="00DC2C1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hu-HU"/>
    </w:rPr>
  </w:style>
  <w:style w:type="paragraph" w:customStyle="1" w:styleId="xl101">
    <w:name w:val="xl101"/>
    <w:basedOn w:val="Norml"/>
    <w:rsid w:val="00DC2C1E"/>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pPr>
    <w:rPr>
      <w:rFonts w:ascii="Georgia" w:eastAsia="Times New Roman" w:hAnsi="Georgia" w:cs="Times New Roman"/>
      <w:sz w:val="14"/>
      <w:szCs w:val="14"/>
      <w:lang w:eastAsia="hu-HU"/>
    </w:rPr>
  </w:style>
  <w:style w:type="paragraph" w:customStyle="1" w:styleId="xl102">
    <w:name w:val="xl102"/>
    <w:basedOn w:val="Norml"/>
    <w:rsid w:val="00DC2C1E"/>
    <w:pPr>
      <w:pBdr>
        <w:top w:val="single" w:sz="4" w:space="0" w:color="auto"/>
        <w:left w:val="single" w:sz="8" w:space="0" w:color="auto"/>
        <w:bottom w:val="single" w:sz="8"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sz w:val="14"/>
      <w:szCs w:val="14"/>
      <w:lang w:eastAsia="hu-HU"/>
    </w:rPr>
  </w:style>
  <w:style w:type="paragraph" w:customStyle="1" w:styleId="xl103">
    <w:name w:val="xl103"/>
    <w:basedOn w:val="Norml"/>
    <w:rsid w:val="00DC2C1E"/>
    <w:pPr>
      <w:pBdr>
        <w:top w:val="single" w:sz="4" w:space="0" w:color="auto"/>
        <w:left w:val="single" w:sz="4" w:space="0" w:color="auto"/>
        <w:bottom w:val="single" w:sz="8" w:space="0" w:color="auto"/>
        <w:right w:val="single" w:sz="4" w:space="0" w:color="auto"/>
      </w:pBdr>
      <w:shd w:val="clear" w:color="000000" w:fill="D0CECE"/>
      <w:spacing w:before="100" w:beforeAutospacing="1" w:after="100" w:afterAutospacing="1" w:line="240" w:lineRule="auto"/>
      <w:textAlignment w:val="center"/>
    </w:pPr>
    <w:rPr>
      <w:rFonts w:ascii="Georgia" w:eastAsia="Times New Roman" w:hAnsi="Georgia" w:cs="Times New Roman"/>
      <w:b/>
      <w:bCs/>
      <w:sz w:val="10"/>
      <w:szCs w:val="10"/>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110846">
      <w:bodyDiv w:val="1"/>
      <w:marLeft w:val="0"/>
      <w:marRight w:val="0"/>
      <w:marTop w:val="0"/>
      <w:marBottom w:val="0"/>
      <w:divBdr>
        <w:top w:val="none" w:sz="0" w:space="0" w:color="auto"/>
        <w:left w:val="none" w:sz="0" w:space="0" w:color="auto"/>
        <w:bottom w:val="none" w:sz="0" w:space="0" w:color="auto"/>
        <w:right w:val="none" w:sz="0" w:space="0" w:color="auto"/>
      </w:divBdr>
    </w:div>
    <w:div w:id="225578729">
      <w:bodyDiv w:val="1"/>
      <w:marLeft w:val="0"/>
      <w:marRight w:val="0"/>
      <w:marTop w:val="0"/>
      <w:marBottom w:val="0"/>
      <w:divBdr>
        <w:top w:val="none" w:sz="0" w:space="0" w:color="auto"/>
        <w:left w:val="none" w:sz="0" w:space="0" w:color="auto"/>
        <w:bottom w:val="none" w:sz="0" w:space="0" w:color="auto"/>
        <w:right w:val="none" w:sz="0" w:space="0" w:color="auto"/>
      </w:divBdr>
      <w:divsChild>
        <w:div w:id="978337743">
          <w:marLeft w:val="0"/>
          <w:marRight w:val="0"/>
          <w:marTop w:val="0"/>
          <w:marBottom w:val="0"/>
          <w:divBdr>
            <w:top w:val="none" w:sz="0" w:space="0" w:color="auto"/>
            <w:left w:val="none" w:sz="0" w:space="0" w:color="auto"/>
            <w:bottom w:val="none" w:sz="0" w:space="0" w:color="auto"/>
            <w:right w:val="none" w:sz="0" w:space="0" w:color="auto"/>
          </w:divBdr>
          <w:divsChild>
            <w:div w:id="1459179470">
              <w:marLeft w:val="0"/>
              <w:marRight w:val="0"/>
              <w:marTop w:val="0"/>
              <w:marBottom w:val="0"/>
              <w:divBdr>
                <w:top w:val="none" w:sz="0" w:space="0" w:color="auto"/>
                <w:left w:val="none" w:sz="0" w:space="0" w:color="auto"/>
                <w:bottom w:val="none" w:sz="0" w:space="0" w:color="auto"/>
                <w:right w:val="none" w:sz="0" w:space="0" w:color="auto"/>
              </w:divBdr>
              <w:divsChild>
                <w:div w:id="178874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132438">
          <w:marLeft w:val="0"/>
          <w:marRight w:val="0"/>
          <w:marTop w:val="0"/>
          <w:marBottom w:val="30"/>
          <w:divBdr>
            <w:top w:val="none" w:sz="0" w:space="0" w:color="auto"/>
            <w:left w:val="none" w:sz="0" w:space="0" w:color="auto"/>
            <w:bottom w:val="none" w:sz="0" w:space="0" w:color="auto"/>
            <w:right w:val="none" w:sz="0" w:space="0" w:color="auto"/>
          </w:divBdr>
          <w:divsChild>
            <w:div w:id="112552824">
              <w:marLeft w:val="0"/>
              <w:marRight w:val="0"/>
              <w:marTop w:val="48"/>
              <w:marBottom w:val="48"/>
              <w:divBdr>
                <w:top w:val="none" w:sz="0" w:space="0" w:color="auto"/>
                <w:left w:val="none" w:sz="0" w:space="0" w:color="auto"/>
                <w:bottom w:val="none" w:sz="0" w:space="0" w:color="auto"/>
                <w:right w:val="none" w:sz="0" w:space="0" w:color="auto"/>
              </w:divBdr>
            </w:div>
            <w:div w:id="661474009">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 w:id="243538455">
      <w:bodyDiv w:val="1"/>
      <w:marLeft w:val="0"/>
      <w:marRight w:val="0"/>
      <w:marTop w:val="0"/>
      <w:marBottom w:val="0"/>
      <w:divBdr>
        <w:top w:val="none" w:sz="0" w:space="0" w:color="auto"/>
        <w:left w:val="none" w:sz="0" w:space="0" w:color="auto"/>
        <w:bottom w:val="none" w:sz="0" w:space="0" w:color="auto"/>
        <w:right w:val="none" w:sz="0" w:space="0" w:color="auto"/>
      </w:divBdr>
    </w:div>
    <w:div w:id="362637006">
      <w:bodyDiv w:val="1"/>
      <w:marLeft w:val="0"/>
      <w:marRight w:val="0"/>
      <w:marTop w:val="0"/>
      <w:marBottom w:val="0"/>
      <w:divBdr>
        <w:top w:val="none" w:sz="0" w:space="0" w:color="auto"/>
        <w:left w:val="none" w:sz="0" w:space="0" w:color="auto"/>
        <w:bottom w:val="none" w:sz="0" w:space="0" w:color="auto"/>
        <w:right w:val="none" w:sz="0" w:space="0" w:color="auto"/>
      </w:divBdr>
      <w:divsChild>
        <w:div w:id="1516963070">
          <w:marLeft w:val="0"/>
          <w:marRight w:val="0"/>
          <w:marTop w:val="0"/>
          <w:marBottom w:val="0"/>
          <w:divBdr>
            <w:top w:val="none" w:sz="0" w:space="0" w:color="auto"/>
            <w:left w:val="none" w:sz="0" w:space="0" w:color="auto"/>
            <w:bottom w:val="none" w:sz="0" w:space="0" w:color="auto"/>
            <w:right w:val="none" w:sz="0" w:space="0" w:color="auto"/>
          </w:divBdr>
        </w:div>
      </w:divsChild>
    </w:div>
    <w:div w:id="523443439">
      <w:bodyDiv w:val="1"/>
      <w:marLeft w:val="0"/>
      <w:marRight w:val="0"/>
      <w:marTop w:val="0"/>
      <w:marBottom w:val="0"/>
      <w:divBdr>
        <w:top w:val="none" w:sz="0" w:space="0" w:color="auto"/>
        <w:left w:val="none" w:sz="0" w:space="0" w:color="auto"/>
        <w:bottom w:val="none" w:sz="0" w:space="0" w:color="auto"/>
        <w:right w:val="none" w:sz="0" w:space="0" w:color="auto"/>
      </w:divBdr>
    </w:div>
    <w:div w:id="539241363">
      <w:bodyDiv w:val="1"/>
      <w:marLeft w:val="0"/>
      <w:marRight w:val="0"/>
      <w:marTop w:val="0"/>
      <w:marBottom w:val="0"/>
      <w:divBdr>
        <w:top w:val="none" w:sz="0" w:space="0" w:color="auto"/>
        <w:left w:val="none" w:sz="0" w:space="0" w:color="auto"/>
        <w:bottom w:val="none" w:sz="0" w:space="0" w:color="auto"/>
        <w:right w:val="none" w:sz="0" w:space="0" w:color="auto"/>
      </w:divBdr>
    </w:div>
    <w:div w:id="563836071">
      <w:bodyDiv w:val="1"/>
      <w:marLeft w:val="0"/>
      <w:marRight w:val="0"/>
      <w:marTop w:val="0"/>
      <w:marBottom w:val="0"/>
      <w:divBdr>
        <w:top w:val="none" w:sz="0" w:space="0" w:color="auto"/>
        <w:left w:val="none" w:sz="0" w:space="0" w:color="auto"/>
        <w:bottom w:val="none" w:sz="0" w:space="0" w:color="auto"/>
        <w:right w:val="none" w:sz="0" w:space="0" w:color="auto"/>
      </w:divBdr>
    </w:div>
    <w:div w:id="673535272">
      <w:bodyDiv w:val="1"/>
      <w:marLeft w:val="0"/>
      <w:marRight w:val="0"/>
      <w:marTop w:val="0"/>
      <w:marBottom w:val="0"/>
      <w:divBdr>
        <w:top w:val="none" w:sz="0" w:space="0" w:color="auto"/>
        <w:left w:val="none" w:sz="0" w:space="0" w:color="auto"/>
        <w:bottom w:val="none" w:sz="0" w:space="0" w:color="auto"/>
        <w:right w:val="none" w:sz="0" w:space="0" w:color="auto"/>
      </w:divBdr>
    </w:div>
    <w:div w:id="837421952">
      <w:bodyDiv w:val="1"/>
      <w:marLeft w:val="0"/>
      <w:marRight w:val="0"/>
      <w:marTop w:val="0"/>
      <w:marBottom w:val="0"/>
      <w:divBdr>
        <w:top w:val="none" w:sz="0" w:space="0" w:color="auto"/>
        <w:left w:val="none" w:sz="0" w:space="0" w:color="auto"/>
        <w:bottom w:val="none" w:sz="0" w:space="0" w:color="auto"/>
        <w:right w:val="none" w:sz="0" w:space="0" w:color="auto"/>
      </w:divBdr>
    </w:div>
    <w:div w:id="912853499">
      <w:bodyDiv w:val="1"/>
      <w:marLeft w:val="0"/>
      <w:marRight w:val="0"/>
      <w:marTop w:val="0"/>
      <w:marBottom w:val="0"/>
      <w:divBdr>
        <w:top w:val="none" w:sz="0" w:space="0" w:color="auto"/>
        <w:left w:val="none" w:sz="0" w:space="0" w:color="auto"/>
        <w:bottom w:val="none" w:sz="0" w:space="0" w:color="auto"/>
        <w:right w:val="none" w:sz="0" w:space="0" w:color="auto"/>
      </w:divBdr>
    </w:div>
    <w:div w:id="1370229791">
      <w:bodyDiv w:val="1"/>
      <w:marLeft w:val="0"/>
      <w:marRight w:val="0"/>
      <w:marTop w:val="0"/>
      <w:marBottom w:val="0"/>
      <w:divBdr>
        <w:top w:val="none" w:sz="0" w:space="0" w:color="auto"/>
        <w:left w:val="none" w:sz="0" w:space="0" w:color="auto"/>
        <w:bottom w:val="none" w:sz="0" w:space="0" w:color="auto"/>
        <w:right w:val="none" w:sz="0" w:space="0" w:color="auto"/>
      </w:divBdr>
    </w:div>
    <w:div w:id="1375037690">
      <w:bodyDiv w:val="1"/>
      <w:marLeft w:val="0"/>
      <w:marRight w:val="0"/>
      <w:marTop w:val="0"/>
      <w:marBottom w:val="0"/>
      <w:divBdr>
        <w:top w:val="none" w:sz="0" w:space="0" w:color="auto"/>
        <w:left w:val="none" w:sz="0" w:space="0" w:color="auto"/>
        <w:bottom w:val="none" w:sz="0" w:space="0" w:color="auto"/>
        <w:right w:val="none" w:sz="0" w:space="0" w:color="auto"/>
      </w:divBdr>
    </w:div>
    <w:div w:id="1535730344">
      <w:bodyDiv w:val="1"/>
      <w:marLeft w:val="0"/>
      <w:marRight w:val="0"/>
      <w:marTop w:val="0"/>
      <w:marBottom w:val="0"/>
      <w:divBdr>
        <w:top w:val="none" w:sz="0" w:space="0" w:color="auto"/>
        <w:left w:val="none" w:sz="0" w:space="0" w:color="auto"/>
        <w:bottom w:val="none" w:sz="0" w:space="0" w:color="auto"/>
        <w:right w:val="none" w:sz="0" w:space="0" w:color="auto"/>
      </w:divBdr>
    </w:div>
    <w:div w:id="1596550844">
      <w:bodyDiv w:val="1"/>
      <w:marLeft w:val="0"/>
      <w:marRight w:val="0"/>
      <w:marTop w:val="0"/>
      <w:marBottom w:val="0"/>
      <w:divBdr>
        <w:top w:val="none" w:sz="0" w:space="0" w:color="auto"/>
        <w:left w:val="none" w:sz="0" w:space="0" w:color="auto"/>
        <w:bottom w:val="none" w:sz="0" w:space="0" w:color="auto"/>
        <w:right w:val="none" w:sz="0" w:space="0" w:color="auto"/>
      </w:divBdr>
      <w:divsChild>
        <w:div w:id="114299797">
          <w:marLeft w:val="-135"/>
          <w:marRight w:val="-135"/>
          <w:marTop w:val="0"/>
          <w:marBottom w:val="0"/>
          <w:divBdr>
            <w:top w:val="none" w:sz="0" w:space="0" w:color="auto"/>
            <w:left w:val="none" w:sz="0" w:space="0" w:color="auto"/>
            <w:bottom w:val="none" w:sz="0" w:space="0" w:color="auto"/>
            <w:right w:val="none" w:sz="0" w:space="0" w:color="auto"/>
          </w:divBdr>
          <w:divsChild>
            <w:div w:id="1118186268">
              <w:marLeft w:val="0"/>
              <w:marRight w:val="0"/>
              <w:marTop w:val="0"/>
              <w:marBottom w:val="0"/>
              <w:divBdr>
                <w:top w:val="none" w:sz="0" w:space="0" w:color="auto"/>
                <w:left w:val="none" w:sz="0" w:space="0" w:color="auto"/>
                <w:bottom w:val="none" w:sz="0" w:space="0" w:color="auto"/>
                <w:right w:val="none" w:sz="0" w:space="0" w:color="auto"/>
              </w:divBdr>
            </w:div>
            <w:div w:id="1609004374">
              <w:marLeft w:val="0"/>
              <w:marRight w:val="0"/>
              <w:marTop w:val="0"/>
              <w:marBottom w:val="0"/>
              <w:divBdr>
                <w:top w:val="none" w:sz="0" w:space="0" w:color="auto"/>
                <w:left w:val="none" w:sz="0" w:space="0" w:color="auto"/>
                <w:bottom w:val="none" w:sz="0" w:space="0" w:color="auto"/>
                <w:right w:val="none" w:sz="0" w:space="0" w:color="auto"/>
              </w:divBdr>
            </w:div>
          </w:divsChild>
        </w:div>
        <w:div w:id="629212729">
          <w:marLeft w:val="-135"/>
          <w:marRight w:val="-135"/>
          <w:marTop w:val="0"/>
          <w:marBottom w:val="0"/>
          <w:divBdr>
            <w:top w:val="none" w:sz="0" w:space="0" w:color="auto"/>
            <w:left w:val="none" w:sz="0" w:space="0" w:color="auto"/>
            <w:bottom w:val="none" w:sz="0" w:space="0" w:color="auto"/>
            <w:right w:val="none" w:sz="0" w:space="0" w:color="auto"/>
          </w:divBdr>
          <w:divsChild>
            <w:div w:id="490565854">
              <w:marLeft w:val="0"/>
              <w:marRight w:val="0"/>
              <w:marTop w:val="0"/>
              <w:marBottom w:val="0"/>
              <w:divBdr>
                <w:top w:val="none" w:sz="0" w:space="0" w:color="auto"/>
                <w:left w:val="none" w:sz="0" w:space="0" w:color="auto"/>
                <w:bottom w:val="none" w:sz="0" w:space="0" w:color="auto"/>
                <w:right w:val="none" w:sz="0" w:space="0" w:color="auto"/>
              </w:divBdr>
            </w:div>
          </w:divsChild>
        </w:div>
        <w:div w:id="1149707079">
          <w:marLeft w:val="-135"/>
          <w:marRight w:val="-135"/>
          <w:marTop w:val="0"/>
          <w:marBottom w:val="0"/>
          <w:divBdr>
            <w:top w:val="none" w:sz="0" w:space="0" w:color="auto"/>
            <w:left w:val="none" w:sz="0" w:space="0" w:color="auto"/>
            <w:bottom w:val="none" w:sz="0" w:space="0" w:color="auto"/>
            <w:right w:val="none" w:sz="0" w:space="0" w:color="auto"/>
          </w:divBdr>
          <w:divsChild>
            <w:div w:id="690913224">
              <w:marLeft w:val="0"/>
              <w:marRight w:val="0"/>
              <w:marTop w:val="0"/>
              <w:marBottom w:val="0"/>
              <w:divBdr>
                <w:top w:val="none" w:sz="0" w:space="0" w:color="auto"/>
                <w:left w:val="none" w:sz="0" w:space="0" w:color="auto"/>
                <w:bottom w:val="none" w:sz="0" w:space="0" w:color="auto"/>
                <w:right w:val="none" w:sz="0" w:space="0" w:color="auto"/>
              </w:divBdr>
            </w:div>
            <w:div w:id="1017780253">
              <w:marLeft w:val="0"/>
              <w:marRight w:val="0"/>
              <w:marTop w:val="0"/>
              <w:marBottom w:val="0"/>
              <w:divBdr>
                <w:top w:val="none" w:sz="0" w:space="0" w:color="auto"/>
                <w:left w:val="none" w:sz="0" w:space="0" w:color="auto"/>
                <w:bottom w:val="none" w:sz="0" w:space="0" w:color="auto"/>
                <w:right w:val="none" w:sz="0" w:space="0" w:color="auto"/>
              </w:divBdr>
            </w:div>
          </w:divsChild>
        </w:div>
        <w:div w:id="2061437087">
          <w:marLeft w:val="-135"/>
          <w:marRight w:val="-135"/>
          <w:marTop w:val="0"/>
          <w:marBottom w:val="0"/>
          <w:divBdr>
            <w:top w:val="none" w:sz="0" w:space="0" w:color="auto"/>
            <w:left w:val="none" w:sz="0" w:space="0" w:color="auto"/>
            <w:bottom w:val="none" w:sz="0" w:space="0" w:color="auto"/>
            <w:right w:val="none" w:sz="0" w:space="0" w:color="auto"/>
          </w:divBdr>
          <w:divsChild>
            <w:div w:id="1279028899">
              <w:marLeft w:val="0"/>
              <w:marRight w:val="0"/>
              <w:marTop w:val="0"/>
              <w:marBottom w:val="0"/>
              <w:divBdr>
                <w:top w:val="none" w:sz="0" w:space="0" w:color="auto"/>
                <w:left w:val="none" w:sz="0" w:space="0" w:color="auto"/>
                <w:bottom w:val="none" w:sz="0" w:space="0" w:color="auto"/>
                <w:right w:val="none" w:sz="0" w:space="0" w:color="auto"/>
              </w:divBdr>
            </w:div>
            <w:div w:id="1440030284">
              <w:marLeft w:val="0"/>
              <w:marRight w:val="0"/>
              <w:marTop w:val="0"/>
              <w:marBottom w:val="0"/>
              <w:divBdr>
                <w:top w:val="none" w:sz="0" w:space="0" w:color="auto"/>
                <w:left w:val="none" w:sz="0" w:space="0" w:color="auto"/>
                <w:bottom w:val="none" w:sz="0" w:space="0" w:color="auto"/>
                <w:right w:val="none" w:sz="0" w:space="0" w:color="auto"/>
              </w:divBdr>
            </w:div>
          </w:divsChild>
        </w:div>
        <w:div w:id="2131514489">
          <w:marLeft w:val="-135"/>
          <w:marRight w:val="-135"/>
          <w:marTop w:val="0"/>
          <w:marBottom w:val="0"/>
          <w:divBdr>
            <w:top w:val="none" w:sz="0" w:space="0" w:color="auto"/>
            <w:left w:val="none" w:sz="0" w:space="0" w:color="auto"/>
            <w:bottom w:val="none" w:sz="0" w:space="0" w:color="auto"/>
            <w:right w:val="none" w:sz="0" w:space="0" w:color="auto"/>
          </w:divBdr>
          <w:divsChild>
            <w:div w:id="1319770917">
              <w:marLeft w:val="0"/>
              <w:marRight w:val="0"/>
              <w:marTop w:val="0"/>
              <w:marBottom w:val="0"/>
              <w:divBdr>
                <w:top w:val="none" w:sz="0" w:space="0" w:color="auto"/>
                <w:left w:val="none" w:sz="0" w:space="0" w:color="auto"/>
                <w:bottom w:val="none" w:sz="0" w:space="0" w:color="auto"/>
                <w:right w:val="none" w:sz="0" w:space="0" w:color="auto"/>
              </w:divBdr>
            </w:div>
            <w:div w:id="18927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116771">
      <w:bodyDiv w:val="1"/>
      <w:marLeft w:val="0"/>
      <w:marRight w:val="0"/>
      <w:marTop w:val="0"/>
      <w:marBottom w:val="0"/>
      <w:divBdr>
        <w:top w:val="none" w:sz="0" w:space="0" w:color="auto"/>
        <w:left w:val="none" w:sz="0" w:space="0" w:color="auto"/>
        <w:bottom w:val="none" w:sz="0" w:space="0" w:color="auto"/>
        <w:right w:val="none" w:sz="0" w:space="0" w:color="auto"/>
      </w:divBdr>
      <w:divsChild>
        <w:div w:id="33432194">
          <w:marLeft w:val="0"/>
          <w:marRight w:val="0"/>
          <w:marTop w:val="0"/>
          <w:marBottom w:val="75"/>
          <w:divBdr>
            <w:top w:val="none" w:sz="0" w:space="0" w:color="auto"/>
            <w:left w:val="none" w:sz="0" w:space="0" w:color="auto"/>
            <w:bottom w:val="none" w:sz="0" w:space="0" w:color="auto"/>
            <w:right w:val="none" w:sz="0" w:space="0" w:color="auto"/>
          </w:divBdr>
        </w:div>
        <w:div w:id="1496726929">
          <w:marLeft w:val="0"/>
          <w:marRight w:val="0"/>
          <w:marTop w:val="0"/>
          <w:marBottom w:val="75"/>
          <w:divBdr>
            <w:top w:val="none" w:sz="0" w:space="0" w:color="auto"/>
            <w:left w:val="none" w:sz="0" w:space="0" w:color="auto"/>
            <w:bottom w:val="none" w:sz="0" w:space="0" w:color="auto"/>
            <w:right w:val="none" w:sz="0" w:space="0" w:color="auto"/>
          </w:divBdr>
        </w:div>
      </w:divsChild>
    </w:div>
    <w:div w:id="1748845558">
      <w:bodyDiv w:val="1"/>
      <w:marLeft w:val="0"/>
      <w:marRight w:val="0"/>
      <w:marTop w:val="0"/>
      <w:marBottom w:val="0"/>
      <w:divBdr>
        <w:top w:val="none" w:sz="0" w:space="0" w:color="auto"/>
        <w:left w:val="none" w:sz="0" w:space="0" w:color="auto"/>
        <w:bottom w:val="none" w:sz="0" w:space="0" w:color="auto"/>
        <w:right w:val="none" w:sz="0" w:space="0" w:color="auto"/>
      </w:divBdr>
    </w:div>
    <w:div w:id="1811708125">
      <w:bodyDiv w:val="1"/>
      <w:marLeft w:val="0"/>
      <w:marRight w:val="0"/>
      <w:marTop w:val="0"/>
      <w:marBottom w:val="0"/>
      <w:divBdr>
        <w:top w:val="none" w:sz="0" w:space="0" w:color="auto"/>
        <w:left w:val="none" w:sz="0" w:space="0" w:color="auto"/>
        <w:bottom w:val="none" w:sz="0" w:space="0" w:color="auto"/>
        <w:right w:val="none" w:sz="0" w:space="0" w:color="auto"/>
      </w:divBdr>
    </w:div>
    <w:div w:id="1838768785">
      <w:bodyDiv w:val="1"/>
      <w:marLeft w:val="0"/>
      <w:marRight w:val="0"/>
      <w:marTop w:val="0"/>
      <w:marBottom w:val="0"/>
      <w:divBdr>
        <w:top w:val="none" w:sz="0" w:space="0" w:color="auto"/>
        <w:left w:val="none" w:sz="0" w:space="0" w:color="auto"/>
        <w:bottom w:val="none" w:sz="0" w:space="0" w:color="auto"/>
        <w:right w:val="none" w:sz="0" w:space="0" w:color="auto"/>
      </w:divBdr>
    </w:div>
    <w:div w:id="1899585917">
      <w:bodyDiv w:val="1"/>
      <w:marLeft w:val="0"/>
      <w:marRight w:val="0"/>
      <w:marTop w:val="0"/>
      <w:marBottom w:val="0"/>
      <w:divBdr>
        <w:top w:val="none" w:sz="0" w:space="0" w:color="auto"/>
        <w:left w:val="none" w:sz="0" w:space="0" w:color="auto"/>
        <w:bottom w:val="none" w:sz="0" w:space="0" w:color="auto"/>
        <w:right w:val="none" w:sz="0" w:space="0" w:color="auto"/>
      </w:divBdr>
      <w:divsChild>
        <w:div w:id="1010907249">
          <w:marLeft w:val="0"/>
          <w:marRight w:val="0"/>
          <w:marTop w:val="0"/>
          <w:marBottom w:val="0"/>
          <w:divBdr>
            <w:top w:val="none" w:sz="0" w:space="0" w:color="auto"/>
            <w:left w:val="none" w:sz="0" w:space="0" w:color="auto"/>
            <w:bottom w:val="none" w:sz="0" w:space="0" w:color="auto"/>
            <w:right w:val="none" w:sz="0" w:space="0" w:color="auto"/>
          </w:divBdr>
        </w:div>
      </w:divsChild>
    </w:div>
    <w:div w:id="1928152697">
      <w:bodyDiv w:val="1"/>
      <w:marLeft w:val="0"/>
      <w:marRight w:val="0"/>
      <w:marTop w:val="0"/>
      <w:marBottom w:val="0"/>
      <w:divBdr>
        <w:top w:val="none" w:sz="0" w:space="0" w:color="auto"/>
        <w:left w:val="none" w:sz="0" w:space="0" w:color="auto"/>
        <w:bottom w:val="none" w:sz="0" w:space="0" w:color="auto"/>
        <w:right w:val="none" w:sz="0" w:space="0" w:color="auto"/>
      </w:divBdr>
      <w:divsChild>
        <w:div w:id="289092091">
          <w:marLeft w:val="0"/>
          <w:marRight w:val="0"/>
          <w:marTop w:val="0"/>
          <w:marBottom w:val="75"/>
          <w:divBdr>
            <w:top w:val="none" w:sz="0" w:space="0" w:color="auto"/>
            <w:left w:val="none" w:sz="0" w:space="0" w:color="auto"/>
            <w:bottom w:val="none" w:sz="0" w:space="0" w:color="auto"/>
            <w:right w:val="none" w:sz="0" w:space="0" w:color="auto"/>
          </w:divBdr>
        </w:div>
        <w:div w:id="1562213632">
          <w:marLeft w:val="0"/>
          <w:marRight w:val="0"/>
          <w:marTop w:val="0"/>
          <w:marBottom w:val="75"/>
          <w:divBdr>
            <w:top w:val="none" w:sz="0" w:space="0" w:color="auto"/>
            <w:left w:val="none" w:sz="0" w:space="0" w:color="auto"/>
            <w:bottom w:val="none" w:sz="0" w:space="0" w:color="auto"/>
            <w:right w:val="none" w:sz="0" w:space="0" w:color="auto"/>
          </w:divBdr>
        </w:div>
      </w:divsChild>
    </w:div>
    <w:div w:id="1993483065">
      <w:bodyDiv w:val="1"/>
      <w:marLeft w:val="0"/>
      <w:marRight w:val="0"/>
      <w:marTop w:val="0"/>
      <w:marBottom w:val="0"/>
      <w:divBdr>
        <w:top w:val="none" w:sz="0" w:space="0" w:color="auto"/>
        <w:left w:val="none" w:sz="0" w:space="0" w:color="auto"/>
        <w:bottom w:val="none" w:sz="0" w:space="0" w:color="auto"/>
        <w:right w:val="none" w:sz="0" w:space="0" w:color="auto"/>
      </w:divBdr>
    </w:div>
    <w:div w:id="20923868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1088937X.2015.1052031" TargetMode="External"/><Relationship Id="rId21" Type="http://schemas.openxmlformats.org/officeDocument/2006/relationships/image" Target="media/image4.jpeg"/><Relationship Id="rId42" Type="http://schemas.openxmlformats.org/officeDocument/2006/relationships/chart" Target="charts/chart8.xml"/><Relationship Id="rId63" Type="http://schemas.openxmlformats.org/officeDocument/2006/relationships/hyperlink" Target="https://compass.onlinelibrary.wiley.com/toc/17498198/2019/13/2" TargetMode="External"/><Relationship Id="rId84" Type="http://schemas.openxmlformats.org/officeDocument/2006/relationships/hyperlink" Target="https://s100.copyright.com/AppDispatchServlet?publisherName=ELS&amp;contentID=S0301479715303972&amp;orderBeanReset=true" TargetMode="External"/><Relationship Id="rId138" Type="http://schemas.openxmlformats.org/officeDocument/2006/relationships/hyperlink" Target="https://www.sciencedirect.com/topics/earth-and-planetary-sciences/climate-change-impact" TargetMode="External"/><Relationship Id="rId159" Type="http://schemas.openxmlformats.org/officeDocument/2006/relationships/hyperlink" Target="https://onlinelibrary.wiley.com/toc/14682427/2004/28/1" TargetMode="External"/><Relationship Id="rId170" Type="http://schemas.openxmlformats.org/officeDocument/2006/relationships/hyperlink" Target="https://doi.org/10.1007/978-3-031-52096-9" TargetMode="External"/><Relationship Id="rId191" Type="http://schemas.openxmlformats.org/officeDocument/2006/relationships/hyperlink" Target="https://www.tandfonline.com/journals/tpog20" TargetMode="External"/><Relationship Id="rId205" Type="http://schemas.openxmlformats.org/officeDocument/2006/relationships/image" Target="media/image25.jpeg"/><Relationship Id="rId226" Type="http://schemas.openxmlformats.org/officeDocument/2006/relationships/hyperlink" Target="https://kliimaministeerium.ee/sites/default/files/documents/2023-07/Energiamajanduse%20arengukava%20aastani%202030.pdf" TargetMode="External"/><Relationship Id="rId247" Type="http://schemas.openxmlformats.org/officeDocument/2006/relationships/theme" Target="theme/theme1.xml"/><Relationship Id="rId107" Type="http://schemas.openxmlformats.org/officeDocument/2006/relationships/hyperlink" Target="http://www.ukcip.org.uk" TargetMode="External"/><Relationship Id="rId11" Type="http://schemas.openxmlformats.org/officeDocument/2006/relationships/image" Target="media/image2.jpeg"/><Relationship Id="rId32" Type="http://schemas.openxmlformats.org/officeDocument/2006/relationships/image" Target="media/image13.jpg"/><Relationship Id="rId53" Type="http://schemas.openxmlformats.org/officeDocument/2006/relationships/hyperlink" Target="https://www.sciencedirect.com/journal/cities" TargetMode="External"/><Relationship Id="rId74" Type="http://schemas.openxmlformats.org/officeDocument/2006/relationships/hyperlink" Target="https://doi.org/10.1007/s10584-006-0329-3" TargetMode="External"/><Relationship Id="rId128" Type="http://schemas.openxmlformats.org/officeDocument/2006/relationships/hyperlink" Target="https://doi.org/10.1016/j.polgeo.2021.102355" TargetMode="External"/><Relationship Id="rId149" Type="http://schemas.openxmlformats.org/officeDocument/2006/relationships/hyperlink" Target="https://paris21.org/sites/default/files/3638.pdf" TargetMode="External"/><Relationship Id="rId5" Type="http://schemas.openxmlformats.org/officeDocument/2006/relationships/webSettings" Target="webSettings.xml"/><Relationship Id="rId95" Type="http://schemas.openxmlformats.org/officeDocument/2006/relationships/hyperlink" Target="http://dx.doi.org/10.3390/su13031334" TargetMode="External"/><Relationship Id="rId160" Type="http://schemas.openxmlformats.org/officeDocument/2006/relationships/hyperlink" Target="https://doi.org/10.1111/j.0309-1317.2004.00502.x" TargetMode="External"/><Relationship Id="rId181" Type="http://schemas.openxmlformats.org/officeDocument/2006/relationships/hyperlink" Target="https://onlinelibrary.wiley.com/toc/14678330/2010/42/5" TargetMode="External"/><Relationship Id="rId216" Type="http://schemas.openxmlformats.org/officeDocument/2006/relationships/image" Target="media/image35.jpeg"/><Relationship Id="rId237" Type="http://schemas.openxmlformats.org/officeDocument/2006/relationships/hyperlink" Target="https://gov.wales/sites/default/files/publications/2019-06/low-carbon-delivery-plan_1.pdf" TargetMode="External"/><Relationship Id="rId22" Type="http://schemas.openxmlformats.org/officeDocument/2006/relationships/image" Target="media/image5.jpeg"/><Relationship Id="rId43" Type="http://schemas.openxmlformats.org/officeDocument/2006/relationships/chart" Target="charts/chart9.xml"/><Relationship Id="rId64" Type="http://schemas.openxmlformats.org/officeDocument/2006/relationships/hyperlink" Target="https://doi.org/10.1093/cjres/rsaa016" TargetMode="External"/><Relationship Id="rId118" Type="http://schemas.openxmlformats.org/officeDocument/2006/relationships/hyperlink" Target="https://doi.org/10.17836/EC.2023.1.123" TargetMode="External"/><Relationship Id="rId139" Type="http://schemas.openxmlformats.org/officeDocument/2006/relationships/hyperlink" Target="https://www.sciencedirect.com/journal/cities" TargetMode="External"/><Relationship Id="rId85" Type="http://schemas.openxmlformats.org/officeDocument/2006/relationships/hyperlink" Target="https://doi.10.5070/T21141511" TargetMode="External"/><Relationship Id="rId150" Type="http://schemas.openxmlformats.org/officeDocument/2006/relationships/hyperlink" Target="https://paris21.org/sites/default/files/3638.pdf" TargetMode="External"/><Relationship Id="rId171" Type="http://schemas.openxmlformats.org/officeDocument/2006/relationships/hyperlink" Target="https://www.researchgate.net/journal/Sustainability-2071-1050?_tp=eyJjb250ZXh0Ijp7ImZpcnN0UGFnZSI6InB1YmxpY2F0aW9uIiwicGFnZSI6InB1YmxpY2F0aW9uIn19" TargetMode="External"/><Relationship Id="rId192" Type="http://schemas.openxmlformats.org/officeDocument/2006/relationships/hyperlink" Target="https://www.tandfonline.com/toc/tpog20/38/2" TargetMode="External"/><Relationship Id="rId206" Type="http://schemas.openxmlformats.org/officeDocument/2006/relationships/image" Target="media/image26.png"/><Relationship Id="rId227" Type="http://schemas.openxmlformats.org/officeDocument/2006/relationships/hyperlink" Target="https://www.valitsus.ee/sites/default/files/documents/2021-11/Transpordi%20ja%20liikuvuse%20arengukava%202021%E2%80%932035.pdf" TargetMode="External"/><Relationship Id="rId12" Type="http://schemas.openxmlformats.org/officeDocument/2006/relationships/image" Target="media/image3.jpeg"/><Relationship Id="rId33" Type="http://schemas.openxmlformats.org/officeDocument/2006/relationships/image" Target="media/image14.jpeg"/><Relationship Id="rId108" Type="http://schemas.openxmlformats.org/officeDocument/2006/relationships/hyperlink" Target="https://wires.onlinelibrary.wiley.com/toc/17577799/2017/8/4" TargetMode="External"/><Relationship Id="rId129" Type="http://schemas.openxmlformats.org/officeDocument/2006/relationships/hyperlink" Target="https://doi.org/10.4324/9780203134559" TargetMode="External"/><Relationship Id="rId54" Type="http://schemas.openxmlformats.org/officeDocument/2006/relationships/hyperlink" Target="https://www.sciencedirect.com/journal/cities/vol/119/suppl/C" TargetMode="External"/><Relationship Id="rId75" Type="http://schemas.openxmlformats.org/officeDocument/2006/relationships/hyperlink" Target="https://doi.org/10.1080/09654313.2011.638493" TargetMode="External"/><Relationship Id="rId96" Type="http://schemas.openxmlformats.org/officeDocument/2006/relationships/hyperlink" Target="https://www.jstor.org/stable/10.5749/j.cttttw2z" TargetMode="External"/><Relationship Id="rId140" Type="http://schemas.openxmlformats.org/officeDocument/2006/relationships/hyperlink" Target="https://www.sciencedirect.com/journal/cities/vol/119/suppl/C" TargetMode="External"/><Relationship Id="rId161" Type="http://schemas.openxmlformats.org/officeDocument/2006/relationships/hyperlink" Target="https://doi.org/10.1016/j.jenvman.2015.11.043" TargetMode="External"/><Relationship Id="rId182" Type="http://schemas.openxmlformats.org/officeDocument/2006/relationships/hyperlink" Target="https://philpapers.org/rec/GIAHOP" TargetMode="External"/><Relationship Id="rId217" Type="http://schemas.openxmlformats.org/officeDocument/2006/relationships/image" Target="media/image36.jpeg"/><Relationship Id="rId6" Type="http://schemas.openxmlformats.org/officeDocument/2006/relationships/footnotes" Target="footnotes.xml"/><Relationship Id="rId238" Type="http://schemas.openxmlformats.org/officeDocument/2006/relationships/hyperlink" Target="https://www.umweltbundesamt.de/publikationen/methodology-for-the-evaluation-of-the-german" TargetMode="External"/><Relationship Id="rId23" Type="http://schemas.openxmlformats.org/officeDocument/2006/relationships/image" Target="media/image6.png"/><Relationship Id="rId119" Type="http://schemas.openxmlformats.org/officeDocument/2006/relationships/hyperlink" Target="https://doi.org/10.15196/TS650101" TargetMode="External"/><Relationship Id="rId44" Type="http://schemas.openxmlformats.org/officeDocument/2006/relationships/image" Target="media/image20.jpeg"/><Relationship Id="rId65" Type="http://schemas.openxmlformats.org/officeDocument/2006/relationships/hyperlink" Target="https://doi.org/10.1016/j.gloenvcha.2012.08.003" TargetMode="External"/><Relationship Id="rId86" Type="http://schemas.openxmlformats.org/officeDocument/2006/relationships/hyperlink" Target="http://www.sup.org/books/title/?id=25589" TargetMode="External"/><Relationship Id="rId130" Type="http://schemas.openxmlformats.org/officeDocument/2006/relationships/hyperlink" Target="https://doi.org/10.4324/9780203134559" TargetMode="External"/><Relationship Id="rId151" Type="http://schemas.openxmlformats.org/officeDocument/2006/relationships/hyperlink" Target="http://www.eea.europa.eu/publications/climate-impacts-and-vulnerability-2012" TargetMode="External"/><Relationship Id="rId172" Type="http://schemas.openxmlformats.org/officeDocument/2006/relationships/hyperlink" Target="http://dx.doi.org/10.3390/su13031334" TargetMode="External"/><Relationship Id="rId193" Type="http://schemas.openxmlformats.org/officeDocument/2006/relationships/hyperlink" Target="https://doi.org/10.1080/1088937X.2015.1052031" TargetMode="External"/><Relationship Id="rId207" Type="http://schemas.openxmlformats.org/officeDocument/2006/relationships/image" Target="media/image27.png"/><Relationship Id="rId228" Type="http://schemas.openxmlformats.org/officeDocument/2006/relationships/hyperlink" Target="https://www.sm.ee/sites/default/files/documents/2023-03/National%20Health%20Plan%202020-2030.pdf" TargetMode="External"/><Relationship Id="rId13" Type="http://schemas.openxmlformats.org/officeDocument/2006/relationships/chart" Target="charts/chart1.xml"/><Relationship Id="rId109" Type="http://schemas.openxmlformats.org/officeDocument/2006/relationships/hyperlink" Target="https://doi.org/10.1002/wcc.466" TargetMode="External"/><Relationship Id="rId34" Type="http://schemas.openxmlformats.org/officeDocument/2006/relationships/image" Target="media/image15.jpeg"/><Relationship Id="rId55" Type="http://schemas.openxmlformats.org/officeDocument/2006/relationships/hyperlink" Target="https://doi.org/10.1016/j.cities.2021.103408" TargetMode="External"/><Relationship Id="rId76" Type="http://schemas.openxmlformats.org/officeDocument/2006/relationships/hyperlink" Target="https://doi.org/10.1068/c07109j" TargetMode="External"/><Relationship Id="rId97" Type="http://schemas.openxmlformats.org/officeDocument/2006/relationships/hyperlink" Target="https://doi.org/10.1177%2F0956247807076960" TargetMode="External"/><Relationship Id="rId120" Type="http://schemas.openxmlformats.org/officeDocument/2006/relationships/hyperlink" Target="https://rgs-ibg.onlinelibrary.wiley.com/toc/14754959/2021/187/4" TargetMode="External"/><Relationship Id="rId141" Type="http://schemas.openxmlformats.org/officeDocument/2006/relationships/hyperlink" Target="https://doi.org/10.1016/j.cities.2021.103408" TargetMode="External"/><Relationship Id="rId7" Type="http://schemas.openxmlformats.org/officeDocument/2006/relationships/endnotes" Target="endnotes.xml"/><Relationship Id="rId162" Type="http://schemas.openxmlformats.org/officeDocument/2006/relationships/hyperlink" Target="https://s100.copyright.com/AppDispatchServlet?publisherName=ELS&amp;contentID=S0301479715303972&amp;orderBeanReset=true" TargetMode="External"/><Relationship Id="rId183" Type="http://schemas.openxmlformats.org/officeDocument/2006/relationships/hyperlink" Target="http://www.ukcip.org.uk" TargetMode="External"/><Relationship Id="rId218" Type="http://schemas.openxmlformats.org/officeDocument/2006/relationships/image" Target="media/image37.jpeg"/><Relationship Id="rId239" Type="http://schemas.openxmlformats.org/officeDocument/2006/relationships/hyperlink" Target="https://english.deltacommissaris.nl/delta-programme/what-is-the-delta-programme" TargetMode="External"/><Relationship Id="rId24" Type="http://schemas.openxmlformats.org/officeDocument/2006/relationships/image" Target="media/image7.jpeg"/><Relationship Id="rId45" Type="http://schemas.openxmlformats.org/officeDocument/2006/relationships/image" Target="media/image21.jpeg"/><Relationship Id="rId66" Type="http://schemas.openxmlformats.org/officeDocument/2006/relationships/hyperlink" Target="http://ec.europa.eu/regional_policy/sources/docoffic/working/regions2020/pdf/regions2020_climat.pdf" TargetMode="External"/><Relationship Id="rId87" Type="http://schemas.openxmlformats.org/officeDocument/2006/relationships/hyperlink" Target="http://www.ksh.hu/statszemle_archive/terstat/2021/2021_05/ts610503.pdf" TargetMode="External"/><Relationship Id="rId110" Type="http://schemas.openxmlformats.org/officeDocument/2006/relationships/hyperlink" Target="http://www.mdpi.com/journal/sustainability" TargetMode="External"/><Relationship Id="rId131" Type="http://schemas.openxmlformats.org/officeDocument/2006/relationships/hyperlink" Target="https://doi.org/10.1080/13563470802519097" TargetMode="External"/><Relationship Id="rId152" Type="http://schemas.openxmlformats.org/officeDocument/2006/relationships/hyperlink" Target="https://www.tandfonline.com/journals/cage20" TargetMode="External"/><Relationship Id="rId173" Type="http://schemas.openxmlformats.org/officeDocument/2006/relationships/hyperlink" Target="https://www.jstor.org/stable/10.5749/j.cttttw2z" TargetMode="External"/><Relationship Id="rId194" Type="http://schemas.openxmlformats.org/officeDocument/2006/relationships/hyperlink" Target="https://doi.org/10.15196/TS650101" TargetMode="External"/><Relationship Id="rId208" Type="http://schemas.openxmlformats.org/officeDocument/2006/relationships/hyperlink" Target="https://www.umweltbundesamt.de/themen/klima-energie/klimafolgen-anpassung" TargetMode="External"/><Relationship Id="rId229" Type="http://schemas.openxmlformats.org/officeDocument/2006/relationships/hyperlink" Target="https://geoportaal.maaamet.ee/eng/web-maps-p35.html" TargetMode="External"/><Relationship Id="rId240" Type="http://schemas.openxmlformats.org/officeDocument/2006/relationships/hyperlink" Target="https://ruimtelijkeadaptatie.nl/english/policy-programmes/nas/" TargetMode="External"/><Relationship Id="rId14" Type="http://schemas.openxmlformats.org/officeDocument/2006/relationships/chart" Target="charts/chart2.xml"/><Relationship Id="rId35" Type="http://schemas.openxmlformats.org/officeDocument/2006/relationships/image" Target="media/image16.jpeg"/><Relationship Id="rId56" Type="http://schemas.openxmlformats.org/officeDocument/2006/relationships/hyperlink" Target="https://doi.org./10.1016/j.cities.2020.10300" TargetMode="External"/><Relationship Id="rId77" Type="http://schemas.openxmlformats.org/officeDocument/2006/relationships/hyperlink" Target="http://air-climate.eionet.europa.eu/reports/ETCACC_TP_2009_6_ETCACC_TP_2009_6_Adapt_Ind" TargetMode="External"/><Relationship Id="rId100" Type="http://schemas.openxmlformats.org/officeDocument/2006/relationships/hyperlink" Target="https://m2.mtmt.hu/api/publication/31643911" TargetMode="External"/><Relationship Id="rId8" Type="http://schemas.openxmlformats.org/officeDocument/2006/relationships/image" Target="media/image1.png"/><Relationship Id="rId98" Type="http://schemas.openxmlformats.org/officeDocument/2006/relationships/hyperlink" Target="https://doi.org/10.1177/0956247807076960" TargetMode="External"/><Relationship Id="rId121" Type="http://schemas.openxmlformats.org/officeDocument/2006/relationships/hyperlink" Target="https://doi.org/10.1111/geoj.12404" TargetMode="External"/><Relationship Id="rId142" Type="http://schemas.openxmlformats.org/officeDocument/2006/relationships/hyperlink" Target="https://doi.org./10.1016/j.cities.2020.103001" TargetMode="External"/><Relationship Id="rId163" Type="http://schemas.openxmlformats.org/officeDocument/2006/relationships/hyperlink" Target="https://doi.10.5070/T21141511" TargetMode="External"/><Relationship Id="rId184" Type="http://schemas.openxmlformats.org/officeDocument/2006/relationships/hyperlink" Target="https://wires.onlinelibrary.wiley.com/toc/17577799/2017/8/4" TargetMode="External"/><Relationship Id="rId219" Type="http://schemas.openxmlformats.org/officeDocument/2006/relationships/hyperlink" Target="https://urn.fi/URN:ISBN:978-952-383-814-7" TargetMode="External"/><Relationship Id="rId230" Type="http://schemas.openxmlformats.org/officeDocument/2006/relationships/hyperlink" Target="https://www.roadapt.ro/" TargetMode="External"/><Relationship Id="rId25" Type="http://schemas.openxmlformats.org/officeDocument/2006/relationships/hyperlink" Target="https://www.jstor.org/" TargetMode="External"/><Relationship Id="rId46" Type="http://schemas.openxmlformats.org/officeDocument/2006/relationships/hyperlink" Target="https://iklimportal.gov.tr/" TargetMode="External"/><Relationship Id="rId67" Type="http://schemas.openxmlformats.org/officeDocument/2006/relationships/hyperlink" Target="https://paris21.org/sites/default/files/3638.pdf" TargetMode="External"/><Relationship Id="rId88" Type="http://schemas.openxmlformats.org/officeDocument/2006/relationships/hyperlink" Target="http://www.ksh.hu/statszemle_archive/terstat/2022/2022_05/ts620505.pdf" TargetMode="External"/><Relationship Id="rId111" Type="http://schemas.openxmlformats.org/officeDocument/2006/relationships/hyperlink" Target="https://www.jstor.org/stable/i25549619" TargetMode="External"/><Relationship Id="rId132" Type="http://schemas.openxmlformats.org/officeDocument/2006/relationships/hyperlink" Target="https://doi.org/10.1080/13563470802519097" TargetMode="External"/><Relationship Id="rId153" Type="http://schemas.openxmlformats.org/officeDocument/2006/relationships/hyperlink" Target="https://www.tandfonline.com/toc/cage20/49/2" TargetMode="External"/><Relationship Id="rId174" Type="http://schemas.openxmlformats.org/officeDocument/2006/relationships/hyperlink" Target="https://doi.org/10.1177%2F0956247807076960" TargetMode="External"/><Relationship Id="rId195" Type="http://schemas.openxmlformats.org/officeDocument/2006/relationships/hyperlink" Target="https://rgs-ibg.onlinelibrary.wiley.com/toc/14754959/2021/187/4" TargetMode="External"/><Relationship Id="rId209" Type="http://schemas.openxmlformats.org/officeDocument/2006/relationships/image" Target="media/image28.png"/><Relationship Id="rId220" Type="http://schemas.openxmlformats.org/officeDocument/2006/relationships/hyperlink" Target="http://urn.fi/URN:ISBN:978-952-383-118-6" TargetMode="External"/><Relationship Id="rId241" Type="http://schemas.openxmlformats.org/officeDocument/2006/relationships/hyperlink" Target="https://english.deltacommissaris.nl/deltaprogramme/documents/publications/2013/09/17/delta-programme-2014" TargetMode="External"/><Relationship Id="rId15" Type="http://schemas.openxmlformats.org/officeDocument/2006/relationships/chart" Target="charts/chart3.xml"/><Relationship Id="rId36" Type="http://schemas.openxmlformats.org/officeDocument/2006/relationships/chart" Target="charts/chart5.xml"/><Relationship Id="rId57" Type="http://schemas.openxmlformats.org/officeDocument/2006/relationships/hyperlink" Target="http://www.ksh.hu/statszemle_archive/terstat/2021/2021_02/ts610205.pdf" TargetMode="External"/><Relationship Id="rId10" Type="http://schemas.openxmlformats.org/officeDocument/2006/relationships/footer" Target="footer2.xml"/><Relationship Id="rId31" Type="http://schemas.openxmlformats.org/officeDocument/2006/relationships/image" Target="media/image12.png"/><Relationship Id="rId52" Type="http://schemas.openxmlformats.org/officeDocument/2006/relationships/hyperlink" Target="https://doi.org/10.1068/a3439" TargetMode="External"/><Relationship Id="rId73" Type="http://schemas.openxmlformats.org/officeDocument/2006/relationships/hyperlink" Target="https://doi.org/10.1016/j.polgeo.2017.05.007" TargetMode="External"/><Relationship Id="rId78" Type="http://schemas.openxmlformats.org/officeDocument/2006/relationships/hyperlink" Target="https://doi.org/10.3763/cdev.2010.0062" TargetMode="External"/><Relationship Id="rId94" Type="http://schemas.openxmlformats.org/officeDocument/2006/relationships/hyperlink" Target="https://www.researchgate.net/journal/Sustainability-2071-1050?_tp=eyJjb250ZXh0Ijp7ImZpcnN0UGFnZSI6InB1YmxpY2F0aW9uIiwicGFnZSI6InB1YmxpY2F0aW9uIn19" TargetMode="External"/><Relationship Id="rId99" Type="http://schemas.openxmlformats.org/officeDocument/2006/relationships/hyperlink" Target="http://www.rijksoverheid.nl/ienw%20March%202018" TargetMode="External"/><Relationship Id="rId101" Type="http://schemas.openxmlformats.org/officeDocument/2006/relationships/hyperlink" Target="https://doi.org/10.1080/03932720802280594" TargetMode="External"/><Relationship Id="rId122" Type="http://schemas.openxmlformats.org/officeDocument/2006/relationships/hyperlink" Target="https://doi.org/10.1111/tesg.12540" TargetMode="External"/><Relationship Id="rId143" Type="http://schemas.openxmlformats.org/officeDocument/2006/relationships/hyperlink" Target="http://dx.doi.org/10.13140/RG.2.2.20817.07524" TargetMode="External"/><Relationship Id="rId148" Type="http://schemas.openxmlformats.org/officeDocument/2006/relationships/hyperlink" Target="https://doi.org/10.1093/cjres/rsaa016" TargetMode="External"/><Relationship Id="rId164" Type="http://schemas.openxmlformats.org/officeDocument/2006/relationships/hyperlink" Target="http://www.sup.org/books/title/?id=25589" TargetMode="External"/><Relationship Id="rId169" Type="http://schemas.openxmlformats.org/officeDocument/2006/relationships/hyperlink" Target="http://dx.doi.org/10.1068/b36161" TargetMode="External"/><Relationship Id="rId185" Type="http://schemas.openxmlformats.org/officeDocument/2006/relationships/hyperlink" Target="https://doi.org/10.1002/wcc.466"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doi.org/10.1016/j.landusepol.2019.104145" TargetMode="External"/><Relationship Id="rId210" Type="http://schemas.openxmlformats.org/officeDocument/2006/relationships/image" Target="media/image29.png"/><Relationship Id="rId215" Type="http://schemas.openxmlformats.org/officeDocument/2006/relationships/image" Target="media/image34.png"/><Relationship Id="rId236" Type="http://schemas.openxmlformats.org/officeDocument/2006/relationships/hyperlink" Target="https://www.klima-adapt.sk/" TargetMode="External"/><Relationship Id="rId26" Type="http://schemas.openxmlformats.org/officeDocument/2006/relationships/hyperlink" Target="https://hunteka.uni-corvinus.hu/" TargetMode="External"/><Relationship Id="rId231" Type="http://schemas.openxmlformats.org/officeDocument/2006/relationships/hyperlink" Target="https://enmin.lrv.lt/public/canonical/1727959989/5217/Priedas%20Nr.%205%20Prisitaikymo%20prie%20klimato%20kaitos%20planas.pdf" TargetMode="External"/><Relationship Id="rId47" Type="http://schemas.openxmlformats.org/officeDocument/2006/relationships/hyperlink" Target="http://www.onlinetool-klimaanpassung.ch" TargetMode="External"/><Relationship Id="rId68" Type="http://schemas.openxmlformats.org/officeDocument/2006/relationships/hyperlink" Target="https://paris21.org/sites/default/files/3638.pdf" TargetMode="External"/><Relationship Id="rId89" Type="http://schemas.openxmlformats.org/officeDocument/2006/relationships/hyperlink" Target="https://www.e-ir.info/2008/10/03/conceptualising-global-governance-in-international-relations/" TargetMode="External"/><Relationship Id="rId112" Type="http://schemas.openxmlformats.org/officeDocument/2006/relationships/hyperlink" Target="https://www.tandfonline.com/author/Skryzhevska%2C+Yelizaveta" TargetMode="External"/><Relationship Id="rId133" Type="http://schemas.openxmlformats.org/officeDocument/2006/relationships/hyperlink" Target="https://doi.org/10.1016/j.scs.2021.102755" TargetMode="External"/><Relationship Id="rId154" Type="http://schemas.openxmlformats.org/officeDocument/2006/relationships/hyperlink" Target="https://doi.org/10.1007/s11027-014-9627-7" TargetMode="External"/><Relationship Id="rId175" Type="http://schemas.openxmlformats.org/officeDocument/2006/relationships/hyperlink" Target="https://doi.org/10.1177/0956247807076960" TargetMode="External"/><Relationship Id="rId196" Type="http://schemas.openxmlformats.org/officeDocument/2006/relationships/hyperlink" Target="https://doi.org/10.1111/tesg.12540" TargetMode="External"/><Relationship Id="rId200" Type="http://schemas.openxmlformats.org/officeDocument/2006/relationships/hyperlink" Target="https://doi.org/10.4324/9780203134559" TargetMode="External"/><Relationship Id="rId16" Type="http://schemas.openxmlformats.org/officeDocument/2006/relationships/chart" Target="charts/chart4.xml"/><Relationship Id="rId221" Type="http://schemas.openxmlformats.org/officeDocument/2006/relationships/hyperlink" Target="https://www.dwd.de/DE/klimaumwelt/klimaatlas/klimaatlas_node.html" TargetMode="External"/><Relationship Id="rId242" Type="http://schemas.openxmlformats.org/officeDocument/2006/relationships/hyperlink" Target="https://english.deltacommissaris.nl/delta-programme/delta-programme-2020" TargetMode="External"/><Relationship Id="rId37" Type="http://schemas.openxmlformats.org/officeDocument/2006/relationships/image" Target="media/image17.jpeg"/><Relationship Id="rId58" Type="http://schemas.openxmlformats.org/officeDocument/2006/relationships/hyperlink" Target="http://dx.doi.org/10.13140/RG.2.2.20817.07524" TargetMode="External"/><Relationship Id="rId79" Type="http://schemas.openxmlformats.org/officeDocument/2006/relationships/hyperlink" Target="https://www.researchgate.net/journal/Local-Economy-1470-9325?_tp=eyJjb250ZXh0Ijp7ImZpcnN0UGFnZSI6InB1YmxpY2F0aW9uIiwicGFnZSI6InB1YmxpY2F0aW9uIn19" TargetMode="External"/><Relationship Id="rId102" Type="http://schemas.openxmlformats.org/officeDocument/2006/relationships/hyperlink" Target="https://doi.org/10.1016/j.landusepol.2019.104145" TargetMode="External"/><Relationship Id="rId123" Type="http://schemas.openxmlformats.org/officeDocument/2006/relationships/hyperlink" Target="https://doi.org/10.1007/978-94-009-9394-5_19" TargetMode="External"/><Relationship Id="rId144" Type="http://schemas.openxmlformats.org/officeDocument/2006/relationships/hyperlink" Target="https://researchoutput.csu.edu.au/en/publications/the-geography-of-climate-change-adaptation-in-urban-africa" TargetMode="External"/><Relationship Id="rId90" Type="http://schemas.openxmlformats.org/officeDocument/2006/relationships/hyperlink" Target="https://www.e-ir.info/2008/10/03/conceptualising-global-governance-in-international-relations/.%20University%20of%20Ottawa,%202008." TargetMode="External"/><Relationship Id="rId165" Type="http://schemas.openxmlformats.org/officeDocument/2006/relationships/hyperlink" Target="javascript:__doLinkPostBack('','mdb~~8gh%7C%7Cjdb~~8ghjnh%7C%7Css~~JN%20%22Mitigation%20%26%20Adaptation%20Strategies%20for%20Global%20Change%22%7C%7Csl~~jh','');" TargetMode="External"/><Relationship Id="rId186" Type="http://schemas.openxmlformats.org/officeDocument/2006/relationships/hyperlink" Target="http://www.mdpi.com/journal/sustainability" TargetMode="External"/><Relationship Id="rId211" Type="http://schemas.openxmlformats.org/officeDocument/2006/relationships/image" Target="media/image30.jpeg"/><Relationship Id="rId232" Type="http://schemas.openxmlformats.org/officeDocument/2006/relationships/hyperlink" Target="https://commission.europa.eu/document/download/e4569d35-7ab0-4445-8fa6-017357d04546_lt?filename=LT_FINAL%20UPDATED%20NECP%202021-2030%20%28Lithuanian%29.pdf" TargetMode="External"/><Relationship Id="rId27" Type="http://schemas.openxmlformats.org/officeDocument/2006/relationships/image" Target="media/image8.jpeg"/><Relationship Id="rId48" Type="http://schemas.openxmlformats.org/officeDocument/2006/relationships/image" Target="media/image22.jpeg"/><Relationship Id="rId69" Type="http://schemas.openxmlformats.org/officeDocument/2006/relationships/hyperlink" Target="http://www.eea.europa.eu/publications/climate-impacts-and-vulnerability-2012" TargetMode="External"/><Relationship Id="rId113" Type="http://schemas.openxmlformats.org/officeDocument/2006/relationships/hyperlink" Target="https://www.tandfonline.com/author/Tynkkynen%2C+Veli-Pekka" TargetMode="External"/><Relationship Id="rId134" Type="http://schemas.openxmlformats.org/officeDocument/2006/relationships/hyperlink" Target="https://www.researchgate.net/journal/Applied-Geography-0143-6228?_tp=eyJjb250ZXh0Ijp7ImZpcnN0UGFnZSI6InB1YmxpY2F0aW9uIiwicGFnZSI6InB1YmxpY2F0aW9uIn19" TargetMode="External"/><Relationship Id="rId80" Type="http://schemas.openxmlformats.org/officeDocument/2006/relationships/hyperlink" Target="https://doi.org/10.1080/02690940801976216?urlappend=%3Futm_source%3Dresearchgate.net%26utm_medium%3Darticle" TargetMode="External"/><Relationship Id="rId155" Type="http://schemas.openxmlformats.org/officeDocument/2006/relationships/hyperlink" Target="https://doi.org/10.1007/s10584-006-0329-3" TargetMode="External"/><Relationship Id="rId176" Type="http://schemas.openxmlformats.org/officeDocument/2006/relationships/hyperlink" Target="http://www.rijksoverheid.nl/ienw%20March%202018" TargetMode="External"/><Relationship Id="rId197" Type="http://schemas.openxmlformats.org/officeDocument/2006/relationships/hyperlink" Target="http://www.unisdr.org" TargetMode="External"/><Relationship Id="rId201" Type="http://schemas.openxmlformats.org/officeDocument/2006/relationships/hyperlink" Target="https://doi.org/10.1080/13563470802519097" TargetMode="External"/><Relationship Id="rId222" Type="http://schemas.openxmlformats.org/officeDocument/2006/relationships/hyperlink" Target="https://hora.gv.at" TargetMode="External"/><Relationship Id="rId243" Type="http://schemas.openxmlformats.org/officeDocument/2006/relationships/hyperlink" Target="https://english.deltacommissaris.nl/delta-programme/question-and-answer" TargetMode="External"/><Relationship Id="rId17" Type="http://schemas.openxmlformats.org/officeDocument/2006/relationships/hyperlink" Target="https://www.jstor.org/" TargetMode="External"/><Relationship Id="rId38" Type="http://schemas.openxmlformats.org/officeDocument/2006/relationships/image" Target="media/image18.jpeg"/><Relationship Id="rId59" Type="http://schemas.openxmlformats.org/officeDocument/2006/relationships/hyperlink" Target="http://www.ksh.hu/statszemle_archive/terstat/2021/2021_02/ts610204.pdf" TargetMode="External"/><Relationship Id="rId103" Type="http://schemas.openxmlformats.org/officeDocument/2006/relationships/hyperlink" Target="https://onlinelibrary.wiley.com/toc/14679663/2023/114/2" TargetMode="External"/><Relationship Id="rId124" Type="http://schemas.openxmlformats.org/officeDocument/2006/relationships/hyperlink" Target="https://unfccc.int/news/cop28-agreement-signals-beginning-of-the-end-of-the-fossil-fuel-era%20on%2010.01.2024" TargetMode="External"/><Relationship Id="rId70" Type="http://schemas.openxmlformats.org/officeDocument/2006/relationships/hyperlink" Target="https://www.tandfonline.com/journals/cage20" TargetMode="External"/><Relationship Id="rId91" Type="http://schemas.openxmlformats.org/officeDocument/2006/relationships/hyperlink" Target="http://dx.doi.org/10.1068/b36161" TargetMode="External"/><Relationship Id="rId145" Type="http://schemas.openxmlformats.org/officeDocument/2006/relationships/hyperlink" Target="https://doi.org/10.3763/cdev.2010.0062" TargetMode="External"/><Relationship Id="rId166" Type="http://schemas.openxmlformats.org/officeDocument/2006/relationships/hyperlink" Target="javascript:__doLinkPostBack('','mdb~~8gh%7C%7Cjdb~~8ghjnh%7C%7Css~~JN%20%22Mitigation%20%26%20Adaptation%20Strategies%20for%20Global%20Change%22%7C%7Csl~~jh','');" TargetMode="External"/><Relationship Id="rId187" Type="http://schemas.openxmlformats.org/officeDocument/2006/relationships/hyperlink" Target="https://www.jstor.org/stable/i25549619" TargetMode="External"/><Relationship Id="rId1" Type="http://schemas.openxmlformats.org/officeDocument/2006/relationships/customXml" Target="../customXml/item1.xml"/><Relationship Id="rId212" Type="http://schemas.openxmlformats.org/officeDocument/2006/relationships/image" Target="media/image31.jpeg"/><Relationship Id="rId233" Type="http://schemas.openxmlformats.org/officeDocument/2006/relationships/hyperlink" Target="https://www.samo1planet.si/" TargetMode="External"/><Relationship Id="rId28" Type="http://schemas.openxmlformats.org/officeDocument/2006/relationships/image" Target="media/image9.jpeg"/><Relationship Id="rId49" Type="http://schemas.openxmlformats.org/officeDocument/2006/relationships/image" Target="media/image23.jpeg"/><Relationship Id="rId114" Type="http://schemas.openxmlformats.org/officeDocument/2006/relationships/hyperlink" Target="https://www.tandfonline.com/author/Lepp%C3%A4nen%2C+Simo" TargetMode="External"/><Relationship Id="rId60" Type="http://schemas.openxmlformats.org/officeDocument/2006/relationships/hyperlink" Target="https://researchoutput.csu.edu.au/en/publications/the-geography-of-climate-change-adaptation-in-urban-africa" TargetMode="External"/><Relationship Id="rId81" Type="http://schemas.openxmlformats.org/officeDocument/2006/relationships/hyperlink" Target="https://onlinelibrary.wiley.com/toc/14682427/2004/28/1" TargetMode="External"/><Relationship Id="rId135" Type="http://schemas.openxmlformats.org/officeDocument/2006/relationships/hyperlink" Target="http://dx.doi.org/10.1016/j.apgeog.2010.05.008" TargetMode="External"/><Relationship Id="rId156" Type="http://schemas.openxmlformats.org/officeDocument/2006/relationships/hyperlink" Target="https://doi.org/10.1080/09654313.2011.638493" TargetMode="External"/><Relationship Id="rId177" Type="http://schemas.openxmlformats.org/officeDocument/2006/relationships/hyperlink" Target="http://www.bmi.bund.de" TargetMode="External"/><Relationship Id="rId198" Type="http://schemas.openxmlformats.org/officeDocument/2006/relationships/hyperlink" Target="http://www.klivoportal.de/monitoringbericht2019" TargetMode="External"/><Relationship Id="rId202" Type="http://schemas.openxmlformats.org/officeDocument/2006/relationships/hyperlink" Target="https://www.researchgate.net/journal/Applied-Geography-0143-6228?_tp=eyJjb250ZXh0Ijp7ImZpcnN0UGFnZSI6InB1YmxpY2F0aW9uIiwicGFnZSI6InB1YmxpY2F0aW9uIn19" TargetMode="External"/><Relationship Id="rId223" Type="http://schemas.openxmlformats.org/officeDocument/2006/relationships/hyperlink" Target="https://kliimaministeerium.ee/sites/default/files/documents/2021-06/Climate%20Change%20Adaption%20Development%20Plan%20until%202030%20%28in%20English%29.pdf" TargetMode="External"/><Relationship Id="rId244" Type="http://schemas.openxmlformats.org/officeDocument/2006/relationships/hyperlink" Target="https://english.deltacommissaris.nl/delta-programme/delta-programme-2020" TargetMode="External"/><Relationship Id="rId18" Type="http://schemas.openxmlformats.org/officeDocument/2006/relationships/hyperlink" Target="https://hunteka.uni-corvinus.hu/" TargetMode="External"/><Relationship Id="rId39" Type="http://schemas.openxmlformats.org/officeDocument/2006/relationships/chart" Target="charts/chart6.xml"/><Relationship Id="rId50" Type="http://schemas.openxmlformats.org/officeDocument/2006/relationships/hyperlink" Target="https://doi.org/10.1007/s40641-017-0080-z" TargetMode="External"/><Relationship Id="rId104" Type="http://schemas.openxmlformats.org/officeDocument/2006/relationships/hyperlink" Target="https://doi.org/10.1111/tesg.12553" TargetMode="External"/><Relationship Id="rId125" Type="http://schemas.openxmlformats.org/officeDocument/2006/relationships/hyperlink" Target="http://www.unisdr.org" TargetMode="External"/><Relationship Id="rId146" Type="http://schemas.openxmlformats.org/officeDocument/2006/relationships/hyperlink" Target="https://doi.org/10.3763/cdev.2010.0062" TargetMode="External"/><Relationship Id="rId167" Type="http://schemas.openxmlformats.org/officeDocument/2006/relationships/hyperlink" Target="https://www.e-ir.info/2008/10/03/conceptualising-global-governance-in-international-relations/" TargetMode="External"/><Relationship Id="rId188" Type="http://schemas.openxmlformats.org/officeDocument/2006/relationships/hyperlink" Target="https://www.tandfonline.com/author/Skryzhevska%2C+Yelizaveta" TargetMode="External"/><Relationship Id="rId71" Type="http://schemas.openxmlformats.org/officeDocument/2006/relationships/hyperlink" Target="https://www.tandfonline.com/toc/cage20/49/2" TargetMode="External"/><Relationship Id="rId92" Type="http://schemas.openxmlformats.org/officeDocument/2006/relationships/hyperlink" Target="http://dx.doi.org/10.1068/b36161" TargetMode="External"/><Relationship Id="rId213" Type="http://schemas.openxmlformats.org/officeDocument/2006/relationships/image" Target="media/image32.png"/><Relationship Id="rId234" Type="http://schemas.openxmlformats.org/officeDocument/2006/relationships/hyperlink" Target="https://kazalci.arso.gov.si/sl/themes/climate-change-adaptation" TargetMode="External"/><Relationship Id="rId2" Type="http://schemas.openxmlformats.org/officeDocument/2006/relationships/numbering" Target="numbering.xml"/><Relationship Id="rId29" Type="http://schemas.openxmlformats.org/officeDocument/2006/relationships/image" Target="media/image10.png"/><Relationship Id="rId40" Type="http://schemas.openxmlformats.org/officeDocument/2006/relationships/image" Target="media/image19.jpeg"/><Relationship Id="rId115" Type="http://schemas.openxmlformats.org/officeDocument/2006/relationships/hyperlink" Target="https://www.tandfonline.com/journals/tpog20" TargetMode="External"/><Relationship Id="rId136" Type="http://schemas.openxmlformats.org/officeDocument/2006/relationships/hyperlink" Target="https://journals.sagepub.com/toc/epna/34/3" TargetMode="External"/><Relationship Id="rId157" Type="http://schemas.openxmlformats.org/officeDocument/2006/relationships/hyperlink" Target="http://air-climate.eionet.europa.eu/reports/ETCACC_TP_2009_6_ETCACC_TP_2009_6_Adapt_Ind" TargetMode="External"/><Relationship Id="rId178" Type="http://schemas.openxmlformats.org/officeDocument/2006/relationships/hyperlink" Target="https://m2.mtmt.hu/api/publication/31643911" TargetMode="External"/><Relationship Id="rId61" Type="http://schemas.openxmlformats.org/officeDocument/2006/relationships/hyperlink" Target="https://doi.org/10.3763/cdev.2010.0062" TargetMode="External"/><Relationship Id="rId82" Type="http://schemas.openxmlformats.org/officeDocument/2006/relationships/hyperlink" Target="https://doi.org/10.1111/j.0309-1317.2004.00502.x" TargetMode="External"/><Relationship Id="rId199" Type="http://schemas.openxmlformats.org/officeDocument/2006/relationships/hyperlink" Target="http://www.csdrm.org" TargetMode="External"/><Relationship Id="rId203" Type="http://schemas.openxmlformats.org/officeDocument/2006/relationships/hyperlink" Target="http://dx.doi.org/10.1016/j.apgeog.2010.05.008" TargetMode="External"/><Relationship Id="rId19" Type="http://schemas.openxmlformats.org/officeDocument/2006/relationships/hyperlink" Target="https://link.springer.com/article/10.1007/s11027-015-9678-4" TargetMode="External"/><Relationship Id="rId224" Type="http://schemas.openxmlformats.org/officeDocument/2006/relationships/hyperlink" Target="https://www.siseministeerium.ee/sites/default/files/documents/2021-10/siseturvalisuse_arengukava_2020_2030_03.06.2021.pdf" TargetMode="External"/><Relationship Id="rId245" Type="http://schemas.openxmlformats.org/officeDocument/2006/relationships/hyperlink" Target="https://www.pbl.nl/en/publications/keeping-track-of-adaptation-in-the-dutch-delta" TargetMode="External"/><Relationship Id="rId30" Type="http://schemas.openxmlformats.org/officeDocument/2006/relationships/image" Target="media/image11.png"/><Relationship Id="rId105" Type="http://schemas.openxmlformats.org/officeDocument/2006/relationships/hyperlink" Target="https://onlinelibrary.wiley.com/toc/14678330/2010/42/5" TargetMode="External"/><Relationship Id="rId126" Type="http://schemas.openxmlformats.org/officeDocument/2006/relationships/hyperlink" Target="http://www.klivoportal.de/monitoringbericht2019" TargetMode="External"/><Relationship Id="rId147" Type="http://schemas.openxmlformats.org/officeDocument/2006/relationships/hyperlink" Target="https://compass.onlinelibrary.wiley.com/toc/17498198/2019/13/2" TargetMode="External"/><Relationship Id="rId168" Type="http://schemas.openxmlformats.org/officeDocument/2006/relationships/hyperlink" Target="http://dx.doi.org/10.1068/b36161" TargetMode="External"/><Relationship Id="rId51" Type="http://schemas.openxmlformats.org/officeDocument/2006/relationships/hyperlink" Target="https://journals.sagepub.com/toc/epna/34/3" TargetMode="External"/><Relationship Id="rId72" Type="http://schemas.openxmlformats.org/officeDocument/2006/relationships/hyperlink" Target="https://doi.org/10.1007/s11027-014-9627-7" TargetMode="External"/><Relationship Id="rId93" Type="http://schemas.openxmlformats.org/officeDocument/2006/relationships/hyperlink" Target="https://doi.org/10.1007/978-3-031-52096-9" TargetMode="External"/><Relationship Id="rId189" Type="http://schemas.openxmlformats.org/officeDocument/2006/relationships/hyperlink" Target="https://www.tandfonline.com/author/Tynkkynen%2C+Veli-Pekka" TargetMode="External"/><Relationship Id="rId3" Type="http://schemas.openxmlformats.org/officeDocument/2006/relationships/styles" Target="styles.xml"/><Relationship Id="rId214" Type="http://schemas.openxmlformats.org/officeDocument/2006/relationships/image" Target="media/image33.png"/><Relationship Id="rId235" Type="http://schemas.openxmlformats.org/officeDocument/2006/relationships/hyperlink" Target="https://www.sazp.sk/zivotne-prostredie/starostlivost-o-krajinu/zelena-infrastruktura/adaptacne-strategie-a-akcne-plany-na-zmenu-klimy" TargetMode="External"/><Relationship Id="rId116" Type="http://schemas.openxmlformats.org/officeDocument/2006/relationships/hyperlink" Target="https://www.tandfonline.com/toc/tpog20/38/2" TargetMode="External"/><Relationship Id="rId137" Type="http://schemas.openxmlformats.org/officeDocument/2006/relationships/hyperlink" Target="https://doi.org/10.1068/a3439" TargetMode="External"/><Relationship Id="rId158" Type="http://schemas.openxmlformats.org/officeDocument/2006/relationships/hyperlink" Target="https://doi.org/10.3763/cdev.2010.0062" TargetMode="External"/><Relationship Id="rId20" Type="http://schemas.openxmlformats.org/officeDocument/2006/relationships/footer" Target="footer3.xml"/><Relationship Id="rId41" Type="http://schemas.openxmlformats.org/officeDocument/2006/relationships/chart" Target="charts/chart7.xml"/><Relationship Id="rId62" Type="http://schemas.openxmlformats.org/officeDocument/2006/relationships/hyperlink" Target="https://doi.org/10.3763/cdev.2010.0062" TargetMode="External"/><Relationship Id="rId83" Type="http://schemas.openxmlformats.org/officeDocument/2006/relationships/hyperlink" Target="https://doi.org/10.1016/j.jenvman.2015.11.043" TargetMode="External"/><Relationship Id="rId179" Type="http://schemas.openxmlformats.org/officeDocument/2006/relationships/hyperlink" Target="https://m2.mtmt.hu/api/publication/31643911" TargetMode="External"/><Relationship Id="rId190" Type="http://schemas.openxmlformats.org/officeDocument/2006/relationships/hyperlink" Target="https://www.tandfonline.com/author/Lepp%C3%A4nen%2C+Simo" TargetMode="External"/><Relationship Id="rId204" Type="http://schemas.openxmlformats.org/officeDocument/2006/relationships/image" Target="media/image24.jpeg"/><Relationship Id="rId225" Type="http://schemas.openxmlformats.org/officeDocument/2006/relationships/hyperlink" Target="https://www.agri.ee/sites/default/files/documents/2021-09/poka-2030-taistekst.pdf" TargetMode="External"/><Relationship Id="rId246" Type="http://schemas.openxmlformats.org/officeDocument/2006/relationships/fontTable" Target="fontTable.xml"/><Relationship Id="rId106" Type="http://schemas.openxmlformats.org/officeDocument/2006/relationships/hyperlink" Target="https://doi.org/10.1111/j.1467-8330.2010.00795.x" TargetMode="External"/><Relationship Id="rId127" Type="http://schemas.openxmlformats.org/officeDocument/2006/relationships/hyperlink" Target="http://www.csdrm.or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regional_policy/policy/cooperation/european-territorial/trans-national_en" TargetMode="External"/><Relationship Id="rId2" Type="http://schemas.openxmlformats.org/officeDocument/2006/relationships/hyperlink" Target="https://climate-adapt.eea.europa.eu/en/mission/knowledge-and-data/regional-adaptation-support-tool/step-2-assessing-climate-change-risks-and-vulnerabilities" TargetMode="External"/><Relationship Id="rId1" Type="http://schemas.openxmlformats.org/officeDocument/2006/relationships/hyperlink" Target="https://www.unep.org/topics/climate-action/adaptation" TargetMode="External"/><Relationship Id="rId4" Type="http://schemas.openxmlformats.org/officeDocument/2006/relationships/hyperlink" Target="https://www.dwd.de/DE/klimaumwelt/klimaatlas/klimaatlas_node.htm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uto_a\Desktop\semester2024osz\analyticalaspects%20(version%205.15).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954825260358747E-2"/>
          <c:y val="6.5173116089613028E-2"/>
          <c:w val="0.93361827144615395"/>
          <c:h val="0.81837227576695482"/>
        </c:manualLayout>
      </c:layout>
      <c:barChart>
        <c:barDir val="col"/>
        <c:grouping val="clustered"/>
        <c:varyColors val="0"/>
        <c:ser>
          <c:idx val="0"/>
          <c:order val="0"/>
          <c:tx>
            <c:strRef>
              <c:f>Munka1!$B$1</c:f>
              <c:strCache>
                <c:ptCount val="1"/>
                <c:pt idx="0">
                  <c:v>Number of authors</c:v>
                </c:pt>
              </c:strCache>
            </c:strRef>
          </c:tx>
          <c:spPr>
            <a:pattFill prst="dkHorz">
              <a:fgClr>
                <a:schemeClr val="accent6">
                  <a:lumMod val="50000"/>
                </a:schemeClr>
              </a:fgClr>
              <a:bgClr>
                <a:schemeClr val="bg1"/>
              </a:bgClr>
            </a:pattFill>
            <a:ln>
              <a:noFill/>
            </a:ln>
            <a:effectLst/>
          </c:spPr>
          <c:invertIfNegative val="0"/>
          <c:cat>
            <c:strRef>
              <c:f>Munka1!$A$2:$A$33</c:f>
              <c:strCache>
                <c:ptCount val="32"/>
                <c:pt idx="0">
                  <c:v>USA</c:v>
                </c:pt>
                <c:pt idx="1">
                  <c:v>NRL</c:v>
                </c:pt>
                <c:pt idx="2">
                  <c:v>UKG</c:v>
                </c:pt>
                <c:pt idx="3">
                  <c:v>GER</c:v>
                </c:pt>
                <c:pt idx="4">
                  <c:v>HUN</c:v>
                </c:pt>
                <c:pt idx="5">
                  <c:v>ITA</c:v>
                </c:pt>
                <c:pt idx="6">
                  <c:v>FIN</c:v>
                </c:pt>
                <c:pt idx="7">
                  <c:v>CAN</c:v>
                </c:pt>
                <c:pt idx="8">
                  <c:v>AUS</c:v>
                </c:pt>
                <c:pt idx="9">
                  <c:v>SWE</c:v>
                </c:pt>
                <c:pt idx="10">
                  <c:v>EU</c:v>
                </c:pt>
                <c:pt idx="11">
                  <c:v>INDO</c:v>
                </c:pt>
                <c:pt idx="12">
                  <c:v>UN</c:v>
                </c:pt>
                <c:pt idx="13">
                  <c:v>DAF</c:v>
                </c:pt>
                <c:pt idx="14">
                  <c:v>FRA</c:v>
                </c:pt>
                <c:pt idx="15">
                  <c:v>BEL </c:v>
                </c:pt>
                <c:pt idx="16">
                  <c:v>SPA</c:v>
                </c:pt>
                <c:pt idx="17">
                  <c:v>GRE</c:v>
                </c:pt>
                <c:pt idx="18">
                  <c:v>CHI</c:v>
                </c:pt>
                <c:pt idx="19">
                  <c:v>NOR</c:v>
                </c:pt>
                <c:pt idx="20">
                  <c:v>DEN</c:v>
                </c:pt>
                <c:pt idx="21">
                  <c:v>OECD</c:v>
                </c:pt>
                <c:pt idx="22">
                  <c:v>AUT</c:v>
                </c:pt>
                <c:pt idx="23">
                  <c:v>IRL</c:v>
                </c:pt>
                <c:pt idx="24">
                  <c:v>IND</c:v>
                </c:pt>
                <c:pt idx="25">
                  <c:v>MEX</c:v>
                </c:pt>
                <c:pt idx="26">
                  <c:v>POR</c:v>
                </c:pt>
                <c:pt idx="27">
                  <c:v>SLN</c:v>
                </c:pt>
                <c:pt idx="28">
                  <c:v>RUS</c:v>
                </c:pt>
                <c:pt idx="29">
                  <c:v>KOR</c:v>
                </c:pt>
                <c:pt idx="30">
                  <c:v>JPN</c:v>
                </c:pt>
                <c:pt idx="31">
                  <c:v>NIG</c:v>
                </c:pt>
              </c:strCache>
            </c:strRef>
          </c:cat>
          <c:val>
            <c:numRef>
              <c:f>Munka1!$B$2:$B$33</c:f>
              <c:numCache>
                <c:formatCode>General</c:formatCode>
                <c:ptCount val="32"/>
                <c:pt idx="0">
                  <c:v>81</c:v>
                </c:pt>
                <c:pt idx="1">
                  <c:v>46</c:v>
                </c:pt>
                <c:pt idx="2">
                  <c:v>45</c:v>
                </c:pt>
                <c:pt idx="3">
                  <c:v>45</c:v>
                </c:pt>
                <c:pt idx="4">
                  <c:v>41</c:v>
                </c:pt>
                <c:pt idx="5">
                  <c:v>29</c:v>
                </c:pt>
                <c:pt idx="6">
                  <c:v>16</c:v>
                </c:pt>
                <c:pt idx="7">
                  <c:v>11</c:v>
                </c:pt>
                <c:pt idx="8">
                  <c:v>10</c:v>
                </c:pt>
                <c:pt idx="9">
                  <c:v>9</c:v>
                </c:pt>
                <c:pt idx="10">
                  <c:v>9</c:v>
                </c:pt>
                <c:pt idx="11">
                  <c:v>8</c:v>
                </c:pt>
                <c:pt idx="12">
                  <c:v>8</c:v>
                </c:pt>
                <c:pt idx="13">
                  <c:v>7</c:v>
                </c:pt>
                <c:pt idx="14">
                  <c:v>5</c:v>
                </c:pt>
                <c:pt idx="15">
                  <c:v>5</c:v>
                </c:pt>
                <c:pt idx="16">
                  <c:v>5</c:v>
                </c:pt>
                <c:pt idx="17">
                  <c:v>5</c:v>
                </c:pt>
                <c:pt idx="18">
                  <c:v>5</c:v>
                </c:pt>
                <c:pt idx="19">
                  <c:v>4</c:v>
                </c:pt>
                <c:pt idx="20">
                  <c:v>4</c:v>
                </c:pt>
                <c:pt idx="21">
                  <c:v>4</c:v>
                </c:pt>
                <c:pt idx="22">
                  <c:v>3</c:v>
                </c:pt>
                <c:pt idx="23">
                  <c:v>3</c:v>
                </c:pt>
                <c:pt idx="24">
                  <c:v>3</c:v>
                </c:pt>
                <c:pt idx="25">
                  <c:v>1</c:v>
                </c:pt>
                <c:pt idx="26">
                  <c:v>1</c:v>
                </c:pt>
                <c:pt idx="27">
                  <c:v>1</c:v>
                </c:pt>
                <c:pt idx="28">
                  <c:v>1</c:v>
                </c:pt>
                <c:pt idx="29">
                  <c:v>1</c:v>
                </c:pt>
                <c:pt idx="30">
                  <c:v>1</c:v>
                </c:pt>
                <c:pt idx="31">
                  <c:v>1</c:v>
                </c:pt>
              </c:numCache>
            </c:numRef>
          </c:val>
          <c:extLst>
            <c:ext xmlns:c16="http://schemas.microsoft.com/office/drawing/2014/chart" uri="{C3380CC4-5D6E-409C-BE32-E72D297353CC}">
              <c16:uniqueId val="{00000000-68C6-47C4-B20C-FEC6E99F93E1}"/>
            </c:ext>
          </c:extLst>
        </c:ser>
        <c:dLbls>
          <c:showLegendKey val="0"/>
          <c:showVal val="0"/>
          <c:showCatName val="0"/>
          <c:showSerName val="0"/>
          <c:showPercent val="0"/>
          <c:showBubbleSize val="0"/>
        </c:dLbls>
        <c:gapWidth val="219"/>
        <c:overlap val="-27"/>
        <c:axId val="547156383"/>
        <c:axId val="547147263"/>
      </c:barChart>
      <c:catAx>
        <c:axId val="547156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547147263"/>
        <c:crosses val="autoZero"/>
        <c:auto val="1"/>
        <c:lblAlgn val="ctr"/>
        <c:lblOffset val="100"/>
        <c:noMultiLvlLbl val="0"/>
      </c:catAx>
      <c:valAx>
        <c:axId val="547147263"/>
        <c:scaling>
          <c:orientation val="minMax"/>
          <c:max val="8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547156383"/>
        <c:crosses val="autoZero"/>
        <c:crossBetween val="between"/>
        <c:majorUnit val="5"/>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1"/>
          <c:order val="1"/>
          <c:tx>
            <c:strRef>
              <c:f>Munka1!$F$1</c:f>
              <c:strCache>
                <c:ptCount val="1"/>
                <c:pt idx="0">
                  <c:v>Number of items</c:v>
                </c:pt>
              </c:strCache>
            </c:strRef>
          </c:tx>
          <c:spPr>
            <a:ln w="38100" cap="rnd">
              <a:solidFill>
                <a:schemeClr val="accent6">
                  <a:lumMod val="75000"/>
                </a:schemeClr>
              </a:solidFill>
              <a:round/>
            </a:ln>
            <a:effectLst/>
          </c:spPr>
          <c:marker>
            <c:symbol val="circle"/>
            <c:size val="5"/>
            <c:spPr>
              <a:solidFill>
                <a:schemeClr val="accent6">
                  <a:lumMod val="60000"/>
                  <a:lumOff val="40000"/>
                </a:schemeClr>
              </a:solidFill>
              <a:ln w="38100">
                <a:solidFill>
                  <a:schemeClr val="accent6">
                    <a:lumMod val="75000"/>
                  </a:schemeClr>
                </a:solidFill>
              </a:ln>
              <a:effectLst/>
            </c:spPr>
          </c:marker>
          <c:cat>
            <c:strRef>
              <c:f>Munka1!$E$2:$E$59</c:f>
              <c:strCache>
                <c:ptCount val="58"/>
                <c:pt idx="0">
                  <c:v>1970 előtt</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pt idx="44">
                  <c:v>2013</c:v>
                </c:pt>
                <c:pt idx="45">
                  <c:v>2014</c:v>
                </c:pt>
                <c:pt idx="46">
                  <c:v>2015</c:v>
                </c:pt>
                <c:pt idx="47">
                  <c:v>2016</c:v>
                </c:pt>
                <c:pt idx="48">
                  <c:v>2017</c:v>
                </c:pt>
                <c:pt idx="49">
                  <c:v>2018</c:v>
                </c:pt>
                <c:pt idx="50">
                  <c:v>2019</c:v>
                </c:pt>
                <c:pt idx="51">
                  <c:v>2020</c:v>
                </c:pt>
                <c:pt idx="52">
                  <c:v>2021</c:v>
                </c:pt>
                <c:pt idx="53">
                  <c:v>2022</c:v>
                </c:pt>
                <c:pt idx="54">
                  <c:v>2023</c:v>
                </c:pt>
                <c:pt idx="55">
                  <c:v>2024</c:v>
                </c:pt>
                <c:pt idx="56">
                  <c:v>2025</c:v>
                </c:pt>
                <c:pt idx="57">
                  <c:v>2026</c:v>
                </c:pt>
              </c:strCache>
            </c:strRef>
          </c:cat>
          <c:val>
            <c:numRef>
              <c:f>Munka1!$F$2:$F$59</c:f>
              <c:numCache>
                <c:formatCode>General</c:formatCode>
                <c:ptCount val="58"/>
                <c:pt idx="0">
                  <c:v>1</c:v>
                </c:pt>
                <c:pt idx="1">
                  <c:v>0</c:v>
                </c:pt>
                <c:pt idx="2">
                  <c:v>1</c:v>
                </c:pt>
                <c:pt idx="3">
                  <c:v>0</c:v>
                </c:pt>
                <c:pt idx="4">
                  <c:v>2</c:v>
                </c:pt>
                <c:pt idx="5">
                  <c:v>1</c:v>
                </c:pt>
                <c:pt idx="6">
                  <c:v>0</c:v>
                </c:pt>
                <c:pt idx="7">
                  <c:v>0</c:v>
                </c:pt>
                <c:pt idx="8">
                  <c:v>0</c:v>
                </c:pt>
                <c:pt idx="9">
                  <c:v>0</c:v>
                </c:pt>
                <c:pt idx="10">
                  <c:v>1</c:v>
                </c:pt>
                <c:pt idx="11">
                  <c:v>0</c:v>
                </c:pt>
                <c:pt idx="12">
                  <c:v>0</c:v>
                </c:pt>
                <c:pt idx="13">
                  <c:v>0</c:v>
                </c:pt>
                <c:pt idx="14">
                  <c:v>1</c:v>
                </c:pt>
                <c:pt idx="15">
                  <c:v>0</c:v>
                </c:pt>
                <c:pt idx="16">
                  <c:v>0</c:v>
                </c:pt>
                <c:pt idx="17">
                  <c:v>1</c:v>
                </c:pt>
                <c:pt idx="18">
                  <c:v>1</c:v>
                </c:pt>
                <c:pt idx="19">
                  <c:v>0</c:v>
                </c:pt>
                <c:pt idx="20">
                  <c:v>1</c:v>
                </c:pt>
                <c:pt idx="21">
                  <c:v>0</c:v>
                </c:pt>
                <c:pt idx="22">
                  <c:v>0</c:v>
                </c:pt>
                <c:pt idx="23">
                  <c:v>1</c:v>
                </c:pt>
                <c:pt idx="24">
                  <c:v>1</c:v>
                </c:pt>
                <c:pt idx="25">
                  <c:v>1</c:v>
                </c:pt>
                <c:pt idx="26">
                  <c:v>2</c:v>
                </c:pt>
                <c:pt idx="27">
                  <c:v>0</c:v>
                </c:pt>
                <c:pt idx="28">
                  <c:v>1</c:v>
                </c:pt>
                <c:pt idx="29">
                  <c:v>3</c:v>
                </c:pt>
                <c:pt idx="30">
                  <c:v>1</c:v>
                </c:pt>
                <c:pt idx="31">
                  <c:v>3</c:v>
                </c:pt>
                <c:pt idx="32">
                  <c:v>1</c:v>
                </c:pt>
                <c:pt idx="33">
                  <c:v>3</c:v>
                </c:pt>
                <c:pt idx="34">
                  <c:v>0</c:v>
                </c:pt>
                <c:pt idx="35">
                  <c:v>4</c:v>
                </c:pt>
                <c:pt idx="36">
                  <c:v>6</c:v>
                </c:pt>
                <c:pt idx="37">
                  <c:v>2</c:v>
                </c:pt>
                <c:pt idx="38">
                  <c:v>10</c:v>
                </c:pt>
                <c:pt idx="39">
                  <c:v>11</c:v>
                </c:pt>
                <c:pt idx="40">
                  <c:v>11</c:v>
                </c:pt>
                <c:pt idx="41">
                  <c:v>12</c:v>
                </c:pt>
                <c:pt idx="42">
                  <c:v>13</c:v>
                </c:pt>
                <c:pt idx="43">
                  <c:v>18</c:v>
                </c:pt>
                <c:pt idx="44">
                  <c:v>9</c:v>
                </c:pt>
                <c:pt idx="45">
                  <c:v>8</c:v>
                </c:pt>
                <c:pt idx="46">
                  <c:v>17</c:v>
                </c:pt>
                <c:pt idx="47">
                  <c:v>10</c:v>
                </c:pt>
                <c:pt idx="48">
                  <c:v>14</c:v>
                </c:pt>
                <c:pt idx="49">
                  <c:v>14</c:v>
                </c:pt>
                <c:pt idx="50">
                  <c:v>16</c:v>
                </c:pt>
                <c:pt idx="51">
                  <c:v>7</c:v>
                </c:pt>
                <c:pt idx="52">
                  <c:v>22</c:v>
                </c:pt>
                <c:pt idx="53">
                  <c:v>8</c:v>
                </c:pt>
                <c:pt idx="54">
                  <c:v>9</c:v>
                </c:pt>
                <c:pt idx="55">
                  <c:v>4</c:v>
                </c:pt>
                <c:pt idx="56">
                  <c:v>3</c:v>
                </c:pt>
                <c:pt idx="57">
                  <c:v>2</c:v>
                </c:pt>
              </c:numCache>
            </c:numRef>
          </c:val>
          <c:smooth val="0"/>
          <c:extLst>
            <c:ext xmlns:c16="http://schemas.microsoft.com/office/drawing/2014/chart" uri="{C3380CC4-5D6E-409C-BE32-E72D297353CC}">
              <c16:uniqueId val="{00000000-B7C1-4783-B492-F63D2F10AD07}"/>
            </c:ext>
          </c:extLst>
        </c:ser>
        <c:dLbls>
          <c:showLegendKey val="0"/>
          <c:showVal val="0"/>
          <c:showCatName val="0"/>
          <c:showSerName val="0"/>
          <c:showPercent val="0"/>
          <c:showBubbleSize val="0"/>
        </c:dLbls>
        <c:marker val="1"/>
        <c:smooth val="0"/>
        <c:axId val="622480415"/>
        <c:axId val="622502015"/>
        <c:extLst>
          <c:ext xmlns:c15="http://schemas.microsoft.com/office/drawing/2012/chart" uri="{02D57815-91ED-43cb-92C2-25804820EDAC}">
            <c15:filteredLineSeries>
              <c15:ser>
                <c:idx val="0"/>
                <c:order val="0"/>
                <c:tx>
                  <c:strRef>
                    <c:extLst>
                      <c:ext uri="{02D57815-91ED-43cb-92C2-25804820EDAC}">
                        <c15:formulaRef>
                          <c15:sqref>Munka1!$E$1</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Munka1!$E$2:$E$59</c15:sqref>
                        </c15:formulaRef>
                      </c:ext>
                    </c:extLst>
                    <c:strCache>
                      <c:ptCount val="58"/>
                      <c:pt idx="0">
                        <c:v>1970 előtt</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pt idx="44">
                        <c:v>2013</c:v>
                      </c:pt>
                      <c:pt idx="45">
                        <c:v>2014</c:v>
                      </c:pt>
                      <c:pt idx="46">
                        <c:v>2015</c:v>
                      </c:pt>
                      <c:pt idx="47">
                        <c:v>2016</c:v>
                      </c:pt>
                      <c:pt idx="48">
                        <c:v>2017</c:v>
                      </c:pt>
                      <c:pt idx="49">
                        <c:v>2018</c:v>
                      </c:pt>
                      <c:pt idx="50">
                        <c:v>2019</c:v>
                      </c:pt>
                      <c:pt idx="51">
                        <c:v>2020</c:v>
                      </c:pt>
                      <c:pt idx="52">
                        <c:v>2021</c:v>
                      </c:pt>
                      <c:pt idx="53">
                        <c:v>2022</c:v>
                      </c:pt>
                      <c:pt idx="54">
                        <c:v>2023</c:v>
                      </c:pt>
                      <c:pt idx="55">
                        <c:v>2024</c:v>
                      </c:pt>
                      <c:pt idx="56">
                        <c:v>2025</c:v>
                      </c:pt>
                      <c:pt idx="57">
                        <c:v>2026</c:v>
                      </c:pt>
                    </c:strCache>
                  </c:strRef>
                </c:cat>
                <c:val>
                  <c:numRef>
                    <c:extLst>
                      <c:ext uri="{02D57815-91ED-43cb-92C2-25804820EDAC}">
                        <c15:formulaRef>
                          <c15:sqref>Munka1!$E$2:$E$59</c15:sqref>
                        </c15:formulaRef>
                      </c:ext>
                    </c:extLst>
                    <c:numCache>
                      <c:formatCode>@</c:formatCode>
                      <c:ptCount val="58"/>
                      <c:pt idx="0">
                        <c:v>0</c:v>
                      </c:pt>
                      <c:pt idx="1">
                        <c:v>1970</c:v>
                      </c:pt>
                      <c:pt idx="2">
                        <c:v>1971</c:v>
                      </c:pt>
                      <c:pt idx="3">
                        <c:v>1972</c:v>
                      </c:pt>
                      <c:pt idx="4">
                        <c:v>1973</c:v>
                      </c:pt>
                      <c:pt idx="5">
                        <c:v>1974</c:v>
                      </c:pt>
                      <c:pt idx="6">
                        <c:v>1975</c:v>
                      </c:pt>
                      <c:pt idx="7">
                        <c:v>1976</c:v>
                      </c:pt>
                      <c:pt idx="8">
                        <c:v>1977</c:v>
                      </c:pt>
                      <c:pt idx="9">
                        <c:v>1978</c:v>
                      </c:pt>
                      <c:pt idx="10">
                        <c:v>1979</c:v>
                      </c:pt>
                      <c:pt idx="11">
                        <c:v>1980</c:v>
                      </c:pt>
                      <c:pt idx="12">
                        <c:v>1981</c:v>
                      </c:pt>
                      <c:pt idx="13">
                        <c:v>1982</c:v>
                      </c:pt>
                      <c:pt idx="14">
                        <c:v>1983</c:v>
                      </c:pt>
                      <c:pt idx="15">
                        <c:v>1984</c:v>
                      </c:pt>
                      <c:pt idx="16">
                        <c:v>1985</c:v>
                      </c:pt>
                      <c:pt idx="17">
                        <c:v>1986</c:v>
                      </c:pt>
                      <c:pt idx="18">
                        <c:v>1987</c:v>
                      </c:pt>
                      <c:pt idx="19">
                        <c:v>1988</c:v>
                      </c:pt>
                      <c:pt idx="20">
                        <c:v>1989</c:v>
                      </c:pt>
                      <c:pt idx="21">
                        <c:v>1990</c:v>
                      </c:pt>
                      <c:pt idx="22">
                        <c:v>1991</c:v>
                      </c:pt>
                      <c:pt idx="23">
                        <c:v>1992</c:v>
                      </c:pt>
                      <c:pt idx="24">
                        <c:v>1993</c:v>
                      </c:pt>
                      <c:pt idx="25">
                        <c:v>1994</c:v>
                      </c:pt>
                      <c:pt idx="26">
                        <c:v>1995</c:v>
                      </c:pt>
                      <c:pt idx="27">
                        <c:v>1996</c:v>
                      </c:pt>
                      <c:pt idx="28">
                        <c:v>1997</c:v>
                      </c:pt>
                      <c:pt idx="29">
                        <c:v>1998</c:v>
                      </c:pt>
                      <c:pt idx="30">
                        <c:v>1999</c:v>
                      </c:pt>
                      <c:pt idx="31">
                        <c:v>2000</c:v>
                      </c:pt>
                      <c:pt idx="32">
                        <c:v>2001</c:v>
                      </c:pt>
                      <c:pt idx="33">
                        <c:v>2002</c:v>
                      </c:pt>
                      <c:pt idx="34">
                        <c:v>2003</c:v>
                      </c:pt>
                      <c:pt idx="35">
                        <c:v>2004</c:v>
                      </c:pt>
                      <c:pt idx="36">
                        <c:v>2005</c:v>
                      </c:pt>
                      <c:pt idx="37">
                        <c:v>2006</c:v>
                      </c:pt>
                      <c:pt idx="38">
                        <c:v>2007</c:v>
                      </c:pt>
                      <c:pt idx="39">
                        <c:v>2008</c:v>
                      </c:pt>
                      <c:pt idx="40">
                        <c:v>2009</c:v>
                      </c:pt>
                      <c:pt idx="41">
                        <c:v>2010</c:v>
                      </c:pt>
                      <c:pt idx="42">
                        <c:v>2011</c:v>
                      </c:pt>
                      <c:pt idx="43">
                        <c:v>2012</c:v>
                      </c:pt>
                      <c:pt idx="44">
                        <c:v>2013</c:v>
                      </c:pt>
                      <c:pt idx="45">
                        <c:v>2014</c:v>
                      </c:pt>
                      <c:pt idx="46">
                        <c:v>2015</c:v>
                      </c:pt>
                      <c:pt idx="47">
                        <c:v>2016</c:v>
                      </c:pt>
                      <c:pt idx="48">
                        <c:v>2017</c:v>
                      </c:pt>
                      <c:pt idx="49">
                        <c:v>2018</c:v>
                      </c:pt>
                      <c:pt idx="50">
                        <c:v>2019</c:v>
                      </c:pt>
                      <c:pt idx="51">
                        <c:v>2020</c:v>
                      </c:pt>
                      <c:pt idx="52">
                        <c:v>2021</c:v>
                      </c:pt>
                      <c:pt idx="53">
                        <c:v>2022</c:v>
                      </c:pt>
                      <c:pt idx="54">
                        <c:v>2023</c:v>
                      </c:pt>
                      <c:pt idx="55">
                        <c:v>2024</c:v>
                      </c:pt>
                      <c:pt idx="56">
                        <c:v>2025</c:v>
                      </c:pt>
                      <c:pt idx="57">
                        <c:v>2026</c:v>
                      </c:pt>
                    </c:numCache>
                  </c:numRef>
                </c:val>
                <c:smooth val="0"/>
                <c:extLst>
                  <c:ext xmlns:c16="http://schemas.microsoft.com/office/drawing/2014/chart" uri="{C3380CC4-5D6E-409C-BE32-E72D297353CC}">
                    <c16:uniqueId val="{00000001-B7C1-4783-B492-F63D2F10AD07}"/>
                  </c:ext>
                </c:extLst>
              </c15:ser>
            </c15:filteredLineSeries>
          </c:ext>
        </c:extLst>
      </c:lineChart>
      <c:catAx>
        <c:axId val="622480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622502015"/>
        <c:crosses val="autoZero"/>
        <c:auto val="1"/>
        <c:lblAlgn val="ctr"/>
        <c:lblOffset val="100"/>
        <c:noMultiLvlLbl val="0"/>
      </c:catAx>
      <c:valAx>
        <c:axId val="622502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622480415"/>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251176936216307E-2"/>
          <c:y val="4.5652625025938989E-2"/>
          <c:w val="0.92290755322251383"/>
          <c:h val="0.75211997130779906"/>
        </c:manualLayout>
      </c:layout>
      <c:barChart>
        <c:barDir val="col"/>
        <c:grouping val="clustered"/>
        <c:varyColors val="0"/>
        <c:ser>
          <c:idx val="0"/>
          <c:order val="0"/>
          <c:tx>
            <c:strRef>
              <c:f>Munka1!$M$1</c:f>
              <c:strCache>
                <c:ptCount val="1"/>
                <c:pt idx="0">
                  <c:v>Number of items</c:v>
                </c:pt>
              </c:strCache>
            </c:strRef>
          </c:tx>
          <c:spPr>
            <a:pattFill prst="wdUpDiag">
              <a:fgClr>
                <a:schemeClr val="accent6">
                  <a:lumMod val="50000"/>
                </a:schemeClr>
              </a:fgClr>
              <a:bgClr>
                <a:schemeClr val="accent6">
                  <a:lumMod val="60000"/>
                  <a:lumOff val="40000"/>
                </a:schemeClr>
              </a:bgClr>
            </a:pattFill>
            <a:ln>
              <a:noFill/>
            </a:ln>
            <a:effectLst/>
          </c:spPr>
          <c:invertIfNegative val="0"/>
          <c:cat>
            <c:strRef>
              <c:f>Munka1!$L$2:$L$14</c:f>
              <c:strCache>
                <c:ptCount val="13"/>
                <c:pt idx="0">
                  <c:v>CLIMATE ADAPTATION PLANNING (strategic planning and MRE)</c:v>
                </c:pt>
                <c:pt idx="1">
                  <c:v>GENERAL CLIMATE ADAPTATION (policy, vulnerability, adaptive capacity)</c:v>
                </c:pt>
                <c:pt idx="2">
                  <c:v>Spatial / land use planning</c:v>
                </c:pt>
                <c:pt idx="3">
                  <c:v>Urban planning</c:v>
                </c:pt>
                <c:pt idx="4">
                  <c:v>REGIONAL STUDIES (regional geography, regional economics, regional statistics)</c:v>
                </c:pt>
                <c:pt idx="5">
                  <c:v>HUMAN GEOGRAPHY (social/economic geography)</c:v>
                </c:pt>
                <c:pt idx="6">
                  <c:v>Regional development policy and planning</c:v>
                </c:pt>
                <c:pt idx="7">
                  <c:v>IR, governance studies</c:v>
                </c:pt>
                <c:pt idx="8">
                  <c:v>Planning and management studies</c:v>
                </c:pt>
                <c:pt idx="9">
                  <c:v>Geopolitics, political geography</c:v>
                </c:pt>
                <c:pt idx="10">
                  <c:v>GEOGRAPHY (geography in general, natural geography)</c:v>
                </c:pt>
                <c:pt idx="11">
                  <c:v>Philiosophy</c:v>
                </c:pt>
                <c:pt idx="12">
                  <c:v>Architecture</c:v>
                </c:pt>
              </c:strCache>
            </c:strRef>
          </c:cat>
          <c:val>
            <c:numRef>
              <c:f>Munka1!$M$2:$M$14</c:f>
              <c:numCache>
                <c:formatCode>General</c:formatCode>
                <c:ptCount val="13"/>
                <c:pt idx="0">
                  <c:v>80</c:v>
                </c:pt>
                <c:pt idx="1">
                  <c:v>63</c:v>
                </c:pt>
                <c:pt idx="2">
                  <c:v>40</c:v>
                </c:pt>
                <c:pt idx="3">
                  <c:v>28</c:v>
                </c:pt>
                <c:pt idx="4">
                  <c:v>28</c:v>
                </c:pt>
                <c:pt idx="5">
                  <c:v>27</c:v>
                </c:pt>
                <c:pt idx="6">
                  <c:v>23</c:v>
                </c:pt>
                <c:pt idx="7">
                  <c:v>19</c:v>
                </c:pt>
                <c:pt idx="8">
                  <c:v>12</c:v>
                </c:pt>
                <c:pt idx="9">
                  <c:v>12</c:v>
                </c:pt>
                <c:pt idx="10">
                  <c:v>7</c:v>
                </c:pt>
                <c:pt idx="11">
                  <c:v>1</c:v>
                </c:pt>
                <c:pt idx="12">
                  <c:v>1</c:v>
                </c:pt>
              </c:numCache>
            </c:numRef>
          </c:val>
          <c:extLst>
            <c:ext xmlns:c16="http://schemas.microsoft.com/office/drawing/2014/chart" uri="{C3380CC4-5D6E-409C-BE32-E72D297353CC}">
              <c16:uniqueId val="{00000000-DD27-4579-A17B-4550133DFA54}"/>
            </c:ext>
          </c:extLst>
        </c:ser>
        <c:dLbls>
          <c:showLegendKey val="0"/>
          <c:showVal val="0"/>
          <c:showCatName val="0"/>
          <c:showSerName val="0"/>
          <c:showPercent val="0"/>
          <c:showBubbleSize val="0"/>
        </c:dLbls>
        <c:gapWidth val="219"/>
        <c:overlap val="-27"/>
        <c:axId val="747590847"/>
        <c:axId val="747599967"/>
      </c:barChart>
      <c:catAx>
        <c:axId val="747590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1" i="0" u="none" strike="noStrike" kern="1200" baseline="0">
                <a:solidFill>
                  <a:schemeClr val="tx1">
                    <a:lumMod val="65000"/>
                    <a:lumOff val="35000"/>
                  </a:schemeClr>
                </a:solidFill>
                <a:latin typeface="+mn-lt"/>
                <a:ea typeface="+mn-ea"/>
                <a:cs typeface="+mn-cs"/>
              </a:defRPr>
            </a:pPr>
            <a:endParaRPr lang="hu-HU"/>
          </a:p>
        </c:txPr>
        <c:crossAx val="747599967"/>
        <c:crosses val="autoZero"/>
        <c:auto val="1"/>
        <c:lblAlgn val="ctr"/>
        <c:lblOffset val="100"/>
        <c:noMultiLvlLbl val="0"/>
      </c:catAx>
      <c:valAx>
        <c:axId val="747599967"/>
        <c:scaling>
          <c:orientation val="minMax"/>
          <c:max val="85"/>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475908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89550611729089"/>
          <c:y val="7.407407407407407E-2"/>
          <c:w val="0.71865999388965263"/>
          <c:h val="0.84204505686789155"/>
        </c:manualLayout>
      </c:layout>
      <c:barChart>
        <c:barDir val="bar"/>
        <c:grouping val="clustered"/>
        <c:varyColors val="0"/>
        <c:ser>
          <c:idx val="0"/>
          <c:order val="0"/>
          <c:tx>
            <c:strRef>
              <c:f>Munka1!$J$1</c:f>
              <c:strCache>
                <c:ptCount val="1"/>
                <c:pt idx="0">
                  <c:v>Number of items</c:v>
                </c:pt>
              </c:strCache>
            </c:strRef>
          </c:tx>
          <c:spPr>
            <a:solidFill>
              <a:schemeClr val="accent1"/>
            </a:solidFill>
            <a:ln>
              <a:noFill/>
            </a:ln>
            <a:effectLst/>
          </c:spPr>
          <c:invertIfNegative val="0"/>
          <c:dPt>
            <c:idx val="0"/>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1-2113-40FE-829C-D59113FE9D2B}"/>
              </c:ext>
            </c:extLst>
          </c:dPt>
          <c:dPt>
            <c:idx val="1"/>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3-2113-40FE-829C-D59113FE9D2B}"/>
              </c:ext>
            </c:extLst>
          </c:dPt>
          <c:dPt>
            <c:idx val="2"/>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5-2113-40FE-829C-D59113FE9D2B}"/>
              </c:ext>
            </c:extLst>
          </c:dPt>
          <c:dPt>
            <c:idx val="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7-2113-40FE-829C-D59113FE9D2B}"/>
              </c:ext>
            </c:extLst>
          </c:dPt>
          <c:dPt>
            <c:idx val="4"/>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9-2113-40FE-829C-D59113FE9D2B}"/>
              </c:ext>
            </c:extLst>
          </c:dPt>
          <c:dPt>
            <c:idx val="5"/>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B-2113-40FE-829C-D59113FE9D2B}"/>
              </c:ext>
            </c:extLst>
          </c:dPt>
          <c:dPt>
            <c:idx val="6"/>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D-2113-40FE-829C-D59113FE9D2B}"/>
              </c:ext>
            </c:extLst>
          </c:dPt>
          <c:dPt>
            <c:idx val="7"/>
            <c:invertIfNegative val="0"/>
            <c:bubble3D val="0"/>
            <c:spPr>
              <a:solidFill>
                <a:schemeClr val="accent6">
                  <a:lumMod val="75000"/>
                </a:schemeClr>
              </a:solidFill>
              <a:ln>
                <a:noFill/>
              </a:ln>
              <a:effectLst/>
            </c:spPr>
            <c:extLst>
              <c:ext xmlns:c16="http://schemas.microsoft.com/office/drawing/2014/chart" uri="{C3380CC4-5D6E-409C-BE32-E72D297353CC}">
                <c16:uniqueId val="{0000000F-2113-40FE-829C-D59113FE9D2B}"/>
              </c:ext>
            </c:extLst>
          </c:dPt>
          <c:dPt>
            <c:idx val="8"/>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11-2113-40FE-829C-D59113FE9D2B}"/>
              </c:ext>
            </c:extLst>
          </c:dPt>
          <c:dPt>
            <c:idx val="9"/>
            <c:invertIfNegative val="0"/>
            <c:bubble3D val="0"/>
            <c:spPr>
              <a:solidFill>
                <a:schemeClr val="accent6">
                  <a:lumMod val="75000"/>
                </a:schemeClr>
              </a:solidFill>
              <a:ln>
                <a:noFill/>
              </a:ln>
              <a:effectLst/>
            </c:spPr>
            <c:extLst>
              <c:ext xmlns:c16="http://schemas.microsoft.com/office/drawing/2014/chart" uri="{C3380CC4-5D6E-409C-BE32-E72D297353CC}">
                <c16:uniqueId val="{00000013-2113-40FE-829C-D59113FE9D2B}"/>
              </c:ext>
            </c:extLst>
          </c:dPt>
          <c:dPt>
            <c:idx val="10"/>
            <c:invertIfNegative val="0"/>
            <c:bubble3D val="0"/>
            <c:spPr>
              <a:solidFill>
                <a:schemeClr val="accent6">
                  <a:lumMod val="75000"/>
                </a:schemeClr>
              </a:solidFill>
              <a:ln>
                <a:noFill/>
              </a:ln>
              <a:effectLst/>
            </c:spPr>
            <c:extLst>
              <c:ext xmlns:c16="http://schemas.microsoft.com/office/drawing/2014/chart" uri="{C3380CC4-5D6E-409C-BE32-E72D297353CC}">
                <c16:uniqueId val="{00000015-2113-40FE-829C-D59113FE9D2B}"/>
              </c:ext>
            </c:extLst>
          </c:dPt>
          <c:cat>
            <c:strRef>
              <c:f>Munka1!$I$2:$I$12</c:f>
              <c:strCache>
                <c:ptCount val="11"/>
                <c:pt idx="0">
                  <c:v>news article</c:v>
                </c:pt>
                <c:pt idx="1">
                  <c:v>PhD dissertation / MSc thesis</c:v>
                </c:pt>
                <c:pt idx="2">
                  <c:v>handbook / guidance</c:v>
                </c:pt>
                <c:pt idx="3">
                  <c:v>policy study / background material</c:v>
                </c:pt>
                <c:pt idx="4">
                  <c:v>conference study / working paper</c:v>
                </c:pt>
                <c:pt idx="5">
                  <c:v>policy paper/communication</c:v>
                </c:pt>
                <c:pt idx="6">
                  <c:v>strategic document</c:v>
                </c:pt>
                <c:pt idx="7">
                  <c:v>book chapter</c:v>
                </c:pt>
                <c:pt idx="8">
                  <c:v>research/technical report</c:v>
                </c:pt>
                <c:pt idx="9">
                  <c:v>book</c:v>
                </c:pt>
                <c:pt idx="10">
                  <c:v>article</c:v>
                </c:pt>
              </c:strCache>
            </c:strRef>
          </c:cat>
          <c:val>
            <c:numRef>
              <c:f>Munka1!$J$2:$J$12</c:f>
              <c:numCache>
                <c:formatCode>General</c:formatCode>
                <c:ptCount val="11"/>
                <c:pt idx="0">
                  <c:v>1</c:v>
                </c:pt>
                <c:pt idx="1">
                  <c:v>2</c:v>
                </c:pt>
                <c:pt idx="2">
                  <c:v>4</c:v>
                </c:pt>
                <c:pt idx="3">
                  <c:v>10</c:v>
                </c:pt>
                <c:pt idx="4">
                  <c:v>11</c:v>
                </c:pt>
                <c:pt idx="5">
                  <c:v>13</c:v>
                </c:pt>
                <c:pt idx="6">
                  <c:v>13</c:v>
                </c:pt>
                <c:pt idx="7">
                  <c:v>17</c:v>
                </c:pt>
                <c:pt idx="8">
                  <c:v>27</c:v>
                </c:pt>
                <c:pt idx="9">
                  <c:v>33</c:v>
                </c:pt>
                <c:pt idx="10">
                  <c:v>124</c:v>
                </c:pt>
              </c:numCache>
            </c:numRef>
          </c:val>
          <c:extLst>
            <c:ext xmlns:c16="http://schemas.microsoft.com/office/drawing/2014/chart" uri="{C3380CC4-5D6E-409C-BE32-E72D297353CC}">
              <c16:uniqueId val="{00000016-2113-40FE-829C-D59113FE9D2B}"/>
            </c:ext>
          </c:extLst>
        </c:ser>
        <c:dLbls>
          <c:showLegendKey val="0"/>
          <c:showVal val="0"/>
          <c:showCatName val="0"/>
          <c:showSerName val="0"/>
          <c:showPercent val="0"/>
          <c:showBubbleSize val="0"/>
        </c:dLbls>
        <c:gapWidth val="182"/>
        <c:axId val="747611967"/>
        <c:axId val="747606687"/>
      </c:barChart>
      <c:catAx>
        <c:axId val="7476119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747606687"/>
        <c:crosses val="autoZero"/>
        <c:auto val="1"/>
        <c:lblAlgn val="ctr"/>
        <c:lblOffset val="100"/>
        <c:noMultiLvlLbl val="0"/>
      </c:catAx>
      <c:valAx>
        <c:axId val="747606687"/>
        <c:scaling>
          <c:orientation val="minMax"/>
          <c:max val="130"/>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476119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phaseology!$B$6</c:f>
              <c:strCache>
                <c:ptCount val="1"/>
                <c:pt idx="0">
                  <c:v>space</c:v>
                </c:pt>
              </c:strCache>
            </c:strRef>
          </c:tx>
          <c:spPr>
            <a:solidFill>
              <a:schemeClr val="accent1">
                <a:lumMod val="75000"/>
              </a:schemeClr>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phaseology!$B$7:$B$47</c:f>
              <c:numCache>
                <c:formatCode>General</c:formatCode>
                <c:ptCount val="41"/>
                <c:pt idx="0">
                  <c:v>251</c:v>
                </c:pt>
                <c:pt idx="1">
                  <c:v>28</c:v>
                </c:pt>
                <c:pt idx="2">
                  <c:v>50</c:v>
                </c:pt>
                <c:pt idx="3">
                  <c:v>46</c:v>
                </c:pt>
                <c:pt idx="4">
                  <c:v>0</c:v>
                </c:pt>
                <c:pt idx="5">
                  <c:v>39</c:v>
                </c:pt>
                <c:pt idx="6">
                  <c:v>3</c:v>
                </c:pt>
                <c:pt idx="7">
                  <c:v>17</c:v>
                </c:pt>
                <c:pt idx="8">
                  <c:v>4</c:v>
                </c:pt>
                <c:pt idx="9">
                  <c:v>83</c:v>
                </c:pt>
                <c:pt idx="10">
                  <c:v>22</c:v>
                </c:pt>
                <c:pt idx="11">
                  <c:v>148</c:v>
                </c:pt>
                <c:pt idx="12">
                  <c:v>3</c:v>
                </c:pt>
                <c:pt idx="13">
                  <c:v>57</c:v>
                </c:pt>
                <c:pt idx="14">
                  <c:v>9</c:v>
                </c:pt>
                <c:pt idx="15">
                  <c:v>25</c:v>
                </c:pt>
                <c:pt idx="16">
                  <c:v>151</c:v>
                </c:pt>
                <c:pt idx="17">
                  <c:v>65</c:v>
                </c:pt>
                <c:pt idx="18">
                  <c:v>5</c:v>
                </c:pt>
                <c:pt idx="19">
                  <c:v>8</c:v>
                </c:pt>
                <c:pt idx="20">
                  <c:v>2</c:v>
                </c:pt>
                <c:pt idx="21">
                  <c:v>7</c:v>
                </c:pt>
                <c:pt idx="22">
                  <c:v>3</c:v>
                </c:pt>
                <c:pt idx="23">
                  <c:v>0</c:v>
                </c:pt>
                <c:pt idx="24">
                  <c:v>6</c:v>
                </c:pt>
                <c:pt idx="25">
                  <c:v>9</c:v>
                </c:pt>
                <c:pt idx="26">
                  <c:v>5</c:v>
                </c:pt>
                <c:pt idx="27">
                  <c:v>3</c:v>
                </c:pt>
                <c:pt idx="28">
                  <c:v>4</c:v>
                </c:pt>
                <c:pt idx="29">
                  <c:v>2</c:v>
                </c:pt>
                <c:pt idx="30">
                  <c:v>0</c:v>
                </c:pt>
                <c:pt idx="31">
                  <c:v>5</c:v>
                </c:pt>
                <c:pt idx="32">
                  <c:v>3</c:v>
                </c:pt>
                <c:pt idx="33">
                  <c:v>3</c:v>
                </c:pt>
                <c:pt idx="34">
                  <c:v>1</c:v>
                </c:pt>
                <c:pt idx="35">
                  <c:v>1</c:v>
                </c:pt>
                <c:pt idx="36">
                  <c:v>0</c:v>
                </c:pt>
                <c:pt idx="37">
                  <c:v>0</c:v>
                </c:pt>
                <c:pt idx="38">
                  <c:v>0</c:v>
                </c:pt>
                <c:pt idx="39">
                  <c:v>0</c:v>
                </c:pt>
                <c:pt idx="40">
                  <c:v>2</c:v>
                </c:pt>
              </c:numCache>
            </c:numRef>
          </c:val>
          <c:extLst>
            <c:ext xmlns:c16="http://schemas.microsoft.com/office/drawing/2014/chart" uri="{C3380CC4-5D6E-409C-BE32-E72D297353CC}">
              <c16:uniqueId val="{00000000-4ADE-4661-BB35-E21095D508FC}"/>
            </c:ext>
          </c:extLst>
        </c:ser>
        <c:ser>
          <c:idx val="1"/>
          <c:order val="1"/>
          <c:tx>
            <c:strRef>
              <c:f>phaseology!$C$6</c:f>
              <c:strCache>
                <c:ptCount val="1"/>
                <c:pt idx="0">
                  <c:v>spatial</c:v>
                </c:pt>
              </c:strCache>
            </c:strRef>
          </c:tx>
          <c:spPr>
            <a:solidFill>
              <a:schemeClr val="accent1">
                <a:lumMod val="60000"/>
                <a:lumOff val="40000"/>
              </a:schemeClr>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phaseology!$C$7:$C$47</c:f>
              <c:numCache>
                <c:formatCode>General</c:formatCode>
                <c:ptCount val="41"/>
                <c:pt idx="0">
                  <c:v>114</c:v>
                </c:pt>
                <c:pt idx="1">
                  <c:v>22</c:v>
                </c:pt>
                <c:pt idx="2">
                  <c:v>3</c:v>
                </c:pt>
                <c:pt idx="3">
                  <c:v>54</c:v>
                </c:pt>
                <c:pt idx="4">
                  <c:v>0</c:v>
                </c:pt>
                <c:pt idx="5">
                  <c:v>7</c:v>
                </c:pt>
                <c:pt idx="6">
                  <c:v>55</c:v>
                </c:pt>
                <c:pt idx="7">
                  <c:v>45</c:v>
                </c:pt>
                <c:pt idx="8">
                  <c:v>8</c:v>
                </c:pt>
                <c:pt idx="9">
                  <c:v>63</c:v>
                </c:pt>
                <c:pt idx="10">
                  <c:v>14</c:v>
                </c:pt>
                <c:pt idx="11">
                  <c:v>11</c:v>
                </c:pt>
                <c:pt idx="12">
                  <c:v>2</c:v>
                </c:pt>
                <c:pt idx="13">
                  <c:v>71</c:v>
                </c:pt>
                <c:pt idx="14">
                  <c:v>23</c:v>
                </c:pt>
                <c:pt idx="15">
                  <c:v>47</c:v>
                </c:pt>
                <c:pt idx="16">
                  <c:v>28</c:v>
                </c:pt>
                <c:pt idx="17">
                  <c:v>1</c:v>
                </c:pt>
                <c:pt idx="18">
                  <c:v>3</c:v>
                </c:pt>
                <c:pt idx="19">
                  <c:v>9</c:v>
                </c:pt>
                <c:pt idx="20">
                  <c:v>3</c:v>
                </c:pt>
                <c:pt idx="21">
                  <c:v>1</c:v>
                </c:pt>
                <c:pt idx="22">
                  <c:v>5</c:v>
                </c:pt>
                <c:pt idx="23">
                  <c:v>115</c:v>
                </c:pt>
                <c:pt idx="24">
                  <c:v>2</c:v>
                </c:pt>
                <c:pt idx="25">
                  <c:v>36</c:v>
                </c:pt>
                <c:pt idx="26">
                  <c:v>53</c:v>
                </c:pt>
                <c:pt idx="27">
                  <c:v>6</c:v>
                </c:pt>
                <c:pt idx="28">
                  <c:v>2</c:v>
                </c:pt>
                <c:pt idx="29">
                  <c:v>5</c:v>
                </c:pt>
                <c:pt idx="30">
                  <c:v>9</c:v>
                </c:pt>
                <c:pt idx="31">
                  <c:v>5</c:v>
                </c:pt>
                <c:pt idx="32">
                  <c:v>6</c:v>
                </c:pt>
                <c:pt idx="33">
                  <c:v>0</c:v>
                </c:pt>
                <c:pt idx="34">
                  <c:v>5</c:v>
                </c:pt>
                <c:pt idx="35">
                  <c:v>1</c:v>
                </c:pt>
                <c:pt idx="36">
                  <c:v>0</c:v>
                </c:pt>
                <c:pt idx="37">
                  <c:v>0</c:v>
                </c:pt>
                <c:pt idx="38">
                  <c:v>14</c:v>
                </c:pt>
                <c:pt idx="39">
                  <c:v>0</c:v>
                </c:pt>
                <c:pt idx="40">
                  <c:v>2</c:v>
                </c:pt>
              </c:numCache>
            </c:numRef>
          </c:val>
          <c:extLst>
            <c:ext xmlns:c16="http://schemas.microsoft.com/office/drawing/2014/chart" uri="{C3380CC4-5D6E-409C-BE32-E72D297353CC}">
              <c16:uniqueId val="{00000001-4ADE-4661-BB35-E21095D508FC}"/>
            </c:ext>
          </c:extLst>
        </c:ser>
        <c:ser>
          <c:idx val="2"/>
          <c:order val="2"/>
          <c:tx>
            <c:strRef>
              <c:f>phaseology!$D$6</c:f>
              <c:strCache>
                <c:ptCount val="1"/>
                <c:pt idx="0">
                  <c:v>region</c:v>
                </c:pt>
              </c:strCache>
            </c:strRef>
          </c:tx>
          <c:spPr>
            <a:solidFill>
              <a:srgbClr val="00B050"/>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phaseology!$D$7:$D$47</c:f>
              <c:numCache>
                <c:formatCode>General</c:formatCode>
                <c:ptCount val="41"/>
                <c:pt idx="0">
                  <c:v>124</c:v>
                </c:pt>
                <c:pt idx="1">
                  <c:v>75</c:v>
                </c:pt>
                <c:pt idx="2">
                  <c:v>380</c:v>
                </c:pt>
                <c:pt idx="3">
                  <c:v>262</c:v>
                </c:pt>
                <c:pt idx="4">
                  <c:v>262</c:v>
                </c:pt>
                <c:pt idx="5">
                  <c:v>37</c:v>
                </c:pt>
                <c:pt idx="6">
                  <c:v>88</c:v>
                </c:pt>
                <c:pt idx="7">
                  <c:v>7</c:v>
                </c:pt>
                <c:pt idx="8">
                  <c:v>58</c:v>
                </c:pt>
                <c:pt idx="9">
                  <c:v>123</c:v>
                </c:pt>
                <c:pt idx="10">
                  <c:v>9</c:v>
                </c:pt>
                <c:pt idx="11">
                  <c:v>44</c:v>
                </c:pt>
                <c:pt idx="12">
                  <c:v>14</c:v>
                </c:pt>
                <c:pt idx="13">
                  <c:v>23</c:v>
                </c:pt>
                <c:pt idx="14">
                  <c:v>14</c:v>
                </c:pt>
                <c:pt idx="15">
                  <c:v>36</c:v>
                </c:pt>
                <c:pt idx="16">
                  <c:v>32</c:v>
                </c:pt>
                <c:pt idx="17">
                  <c:v>39</c:v>
                </c:pt>
                <c:pt idx="18">
                  <c:v>9</c:v>
                </c:pt>
                <c:pt idx="19">
                  <c:v>8</c:v>
                </c:pt>
                <c:pt idx="20">
                  <c:v>36</c:v>
                </c:pt>
                <c:pt idx="21">
                  <c:v>102</c:v>
                </c:pt>
                <c:pt idx="22">
                  <c:v>70</c:v>
                </c:pt>
                <c:pt idx="23">
                  <c:v>13</c:v>
                </c:pt>
                <c:pt idx="24">
                  <c:v>5</c:v>
                </c:pt>
                <c:pt idx="25">
                  <c:v>10</c:v>
                </c:pt>
                <c:pt idx="26">
                  <c:v>11</c:v>
                </c:pt>
                <c:pt idx="27">
                  <c:v>10</c:v>
                </c:pt>
                <c:pt idx="28">
                  <c:v>3</c:v>
                </c:pt>
                <c:pt idx="29">
                  <c:v>68</c:v>
                </c:pt>
                <c:pt idx="30">
                  <c:v>31</c:v>
                </c:pt>
                <c:pt idx="31">
                  <c:v>7</c:v>
                </c:pt>
                <c:pt idx="32">
                  <c:v>15</c:v>
                </c:pt>
                <c:pt idx="33">
                  <c:v>24</c:v>
                </c:pt>
                <c:pt idx="34">
                  <c:v>22</c:v>
                </c:pt>
                <c:pt idx="35">
                  <c:v>10</c:v>
                </c:pt>
                <c:pt idx="36">
                  <c:v>3</c:v>
                </c:pt>
                <c:pt idx="37">
                  <c:v>5</c:v>
                </c:pt>
                <c:pt idx="38">
                  <c:v>1</c:v>
                </c:pt>
                <c:pt idx="39">
                  <c:v>3</c:v>
                </c:pt>
                <c:pt idx="40">
                  <c:v>0</c:v>
                </c:pt>
              </c:numCache>
            </c:numRef>
          </c:val>
          <c:extLst>
            <c:ext xmlns:c16="http://schemas.microsoft.com/office/drawing/2014/chart" uri="{C3380CC4-5D6E-409C-BE32-E72D297353CC}">
              <c16:uniqueId val="{00000002-4ADE-4661-BB35-E21095D508FC}"/>
            </c:ext>
          </c:extLst>
        </c:ser>
        <c:ser>
          <c:idx val="3"/>
          <c:order val="3"/>
          <c:tx>
            <c:strRef>
              <c:f>phaseology!$E$6</c:f>
              <c:strCache>
                <c:ptCount val="1"/>
                <c:pt idx="0">
                  <c:v>regional</c:v>
                </c:pt>
              </c:strCache>
            </c:strRef>
          </c:tx>
          <c:spPr>
            <a:solidFill>
              <a:schemeClr val="accent6">
                <a:lumMod val="60000"/>
                <a:lumOff val="40000"/>
              </a:schemeClr>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phaseology!$E$7:$E$47</c:f>
              <c:numCache>
                <c:formatCode>General</c:formatCode>
                <c:ptCount val="41"/>
                <c:pt idx="0">
                  <c:v>251</c:v>
                </c:pt>
                <c:pt idx="1">
                  <c:v>135</c:v>
                </c:pt>
                <c:pt idx="2">
                  <c:v>2</c:v>
                </c:pt>
                <c:pt idx="3">
                  <c:v>73</c:v>
                </c:pt>
                <c:pt idx="4">
                  <c:v>2</c:v>
                </c:pt>
                <c:pt idx="5">
                  <c:v>84</c:v>
                </c:pt>
                <c:pt idx="6">
                  <c:v>10</c:v>
                </c:pt>
                <c:pt idx="7">
                  <c:v>134</c:v>
                </c:pt>
                <c:pt idx="8">
                  <c:v>35</c:v>
                </c:pt>
                <c:pt idx="9">
                  <c:v>13</c:v>
                </c:pt>
                <c:pt idx="10">
                  <c:v>37</c:v>
                </c:pt>
                <c:pt idx="11">
                  <c:v>51</c:v>
                </c:pt>
                <c:pt idx="12">
                  <c:v>20</c:v>
                </c:pt>
                <c:pt idx="13">
                  <c:v>47</c:v>
                </c:pt>
                <c:pt idx="14">
                  <c:v>29</c:v>
                </c:pt>
                <c:pt idx="15">
                  <c:v>36</c:v>
                </c:pt>
                <c:pt idx="16">
                  <c:v>6</c:v>
                </c:pt>
                <c:pt idx="17">
                  <c:v>12</c:v>
                </c:pt>
                <c:pt idx="18">
                  <c:v>37</c:v>
                </c:pt>
                <c:pt idx="19">
                  <c:v>13</c:v>
                </c:pt>
                <c:pt idx="20">
                  <c:v>32</c:v>
                </c:pt>
                <c:pt idx="21">
                  <c:v>61</c:v>
                </c:pt>
                <c:pt idx="22">
                  <c:v>41</c:v>
                </c:pt>
                <c:pt idx="23">
                  <c:v>12</c:v>
                </c:pt>
                <c:pt idx="24">
                  <c:v>38</c:v>
                </c:pt>
                <c:pt idx="25">
                  <c:v>41</c:v>
                </c:pt>
                <c:pt idx="26">
                  <c:v>19</c:v>
                </c:pt>
                <c:pt idx="27">
                  <c:v>18</c:v>
                </c:pt>
                <c:pt idx="28">
                  <c:v>4</c:v>
                </c:pt>
                <c:pt idx="29">
                  <c:v>24</c:v>
                </c:pt>
                <c:pt idx="30">
                  <c:v>18</c:v>
                </c:pt>
                <c:pt idx="31">
                  <c:v>2</c:v>
                </c:pt>
                <c:pt idx="32">
                  <c:v>34</c:v>
                </c:pt>
                <c:pt idx="33">
                  <c:v>10</c:v>
                </c:pt>
                <c:pt idx="34">
                  <c:v>9</c:v>
                </c:pt>
                <c:pt idx="35">
                  <c:v>2</c:v>
                </c:pt>
                <c:pt idx="36">
                  <c:v>19</c:v>
                </c:pt>
                <c:pt idx="37">
                  <c:v>2</c:v>
                </c:pt>
                <c:pt idx="38">
                  <c:v>8</c:v>
                </c:pt>
                <c:pt idx="39">
                  <c:v>0</c:v>
                </c:pt>
                <c:pt idx="40">
                  <c:v>0</c:v>
                </c:pt>
              </c:numCache>
            </c:numRef>
          </c:val>
          <c:extLst>
            <c:ext xmlns:c16="http://schemas.microsoft.com/office/drawing/2014/chart" uri="{C3380CC4-5D6E-409C-BE32-E72D297353CC}">
              <c16:uniqueId val="{00000003-4ADE-4661-BB35-E21095D508FC}"/>
            </c:ext>
          </c:extLst>
        </c:ser>
        <c:ser>
          <c:idx val="4"/>
          <c:order val="4"/>
          <c:tx>
            <c:strRef>
              <c:f>phaseology!$F$6</c:f>
              <c:strCache>
                <c:ptCount val="1"/>
                <c:pt idx="0">
                  <c:v>territory</c:v>
                </c:pt>
              </c:strCache>
            </c:strRef>
          </c:tx>
          <c:spPr>
            <a:solidFill>
              <a:schemeClr val="accent4">
                <a:lumMod val="50000"/>
              </a:schemeClr>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phaseology!$F$7:$F$47</c:f>
              <c:numCache>
                <c:formatCode>General</c:formatCode>
                <c:ptCount val="41"/>
                <c:pt idx="0">
                  <c:v>503</c:v>
                </c:pt>
                <c:pt idx="1">
                  <c:v>365</c:v>
                </c:pt>
                <c:pt idx="2">
                  <c:v>207</c:v>
                </c:pt>
                <c:pt idx="3">
                  <c:v>0</c:v>
                </c:pt>
                <c:pt idx="4">
                  <c:v>262</c:v>
                </c:pt>
                <c:pt idx="5">
                  <c:v>1</c:v>
                </c:pt>
                <c:pt idx="6">
                  <c:v>133</c:v>
                </c:pt>
                <c:pt idx="7">
                  <c:v>11</c:v>
                </c:pt>
                <c:pt idx="8">
                  <c:v>1</c:v>
                </c:pt>
                <c:pt idx="9">
                  <c:v>0</c:v>
                </c:pt>
                <c:pt idx="10">
                  <c:v>119</c:v>
                </c:pt>
                <c:pt idx="11">
                  <c:v>14</c:v>
                </c:pt>
                <c:pt idx="12">
                  <c:v>1</c:v>
                </c:pt>
                <c:pt idx="13">
                  <c:v>0</c:v>
                </c:pt>
                <c:pt idx="14">
                  <c:v>26</c:v>
                </c:pt>
                <c:pt idx="15">
                  <c:v>15</c:v>
                </c:pt>
                <c:pt idx="16">
                  <c:v>1</c:v>
                </c:pt>
                <c:pt idx="17">
                  <c:v>78</c:v>
                </c:pt>
                <c:pt idx="18">
                  <c:v>0</c:v>
                </c:pt>
                <c:pt idx="19">
                  <c:v>0</c:v>
                </c:pt>
                <c:pt idx="20">
                  <c:v>4</c:v>
                </c:pt>
                <c:pt idx="21">
                  <c:v>4</c:v>
                </c:pt>
                <c:pt idx="22">
                  <c:v>0</c:v>
                </c:pt>
                <c:pt idx="23">
                  <c:v>3</c:v>
                </c:pt>
                <c:pt idx="24">
                  <c:v>69</c:v>
                </c:pt>
                <c:pt idx="25">
                  <c:v>5</c:v>
                </c:pt>
                <c:pt idx="26">
                  <c:v>0</c:v>
                </c:pt>
                <c:pt idx="27">
                  <c:v>47</c:v>
                </c:pt>
                <c:pt idx="28">
                  <c:v>0</c:v>
                </c:pt>
                <c:pt idx="29">
                  <c:v>0</c:v>
                </c:pt>
                <c:pt idx="30">
                  <c:v>0</c:v>
                </c:pt>
                <c:pt idx="31">
                  <c:v>18</c:v>
                </c:pt>
                <c:pt idx="32">
                  <c:v>2</c:v>
                </c:pt>
                <c:pt idx="33">
                  <c:v>4</c:v>
                </c:pt>
                <c:pt idx="34">
                  <c:v>22</c:v>
                </c:pt>
                <c:pt idx="35">
                  <c:v>0</c:v>
                </c:pt>
                <c:pt idx="36">
                  <c:v>3</c:v>
                </c:pt>
                <c:pt idx="37">
                  <c:v>0</c:v>
                </c:pt>
                <c:pt idx="38">
                  <c:v>0</c:v>
                </c:pt>
                <c:pt idx="39">
                  <c:v>0</c:v>
                </c:pt>
                <c:pt idx="40">
                  <c:v>0</c:v>
                </c:pt>
              </c:numCache>
            </c:numRef>
          </c:val>
          <c:extLst>
            <c:ext xmlns:c16="http://schemas.microsoft.com/office/drawing/2014/chart" uri="{C3380CC4-5D6E-409C-BE32-E72D297353CC}">
              <c16:uniqueId val="{00000004-4ADE-4661-BB35-E21095D508FC}"/>
            </c:ext>
          </c:extLst>
        </c:ser>
        <c:ser>
          <c:idx val="5"/>
          <c:order val="5"/>
          <c:tx>
            <c:strRef>
              <c:f>phaseology!$G$6</c:f>
              <c:strCache>
                <c:ptCount val="1"/>
                <c:pt idx="0">
                  <c:v>territorial</c:v>
                </c:pt>
              </c:strCache>
            </c:strRef>
          </c:tx>
          <c:spPr>
            <a:solidFill>
              <a:schemeClr val="accent4">
                <a:lumMod val="75000"/>
              </a:schemeClr>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phaseology!$G$7:$G$47</c:f>
              <c:numCache>
                <c:formatCode>General</c:formatCode>
                <c:ptCount val="41"/>
                <c:pt idx="0">
                  <c:v>90</c:v>
                </c:pt>
                <c:pt idx="1">
                  <c:v>103</c:v>
                </c:pt>
                <c:pt idx="2">
                  <c:v>68</c:v>
                </c:pt>
                <c:pt idx="3">
                  <c:v>0</c:v>
                </c:pt>
                <c:pt idx="4">
                  <c:v>2</c:v>
                </c:pt>
                <c:pt idx="5">
                  <c:v>0</c:v>
                </c:pt>
                <c:pt idx="6">
                  <c:v>7</c:v>
                </c:pt>
                <c:pt idx="7">
                  <c:v>6</c:v>
                </c:pt>
                <c:pt idx="8">
                  <c:v>0</c:v>
                </c:pt>
                <c:pt idx="9">
                  <c:v>1</c:v>
                </c:pt>
                <c:pt idx="10">
                  <c:v>26</c:v>
                </c:pt>
                <c:pt idx="11">
                  <c:v>0</c:v>
                </c:pt>
                <c:pt idx="12">
                  <c:v>0</c:v>
                </c:pt>
                <c:pt idx="13">
                  <c:v>1</c:v>
                </c:pt>
                <c:pt idx="14">
                  <c:v>58</c:v>
                </c:pt>
                <c:pt idx="15">
                  <c:v>5</c:v>
                </c:pt>
                <c:pt idx="16">
                  <c:v>10</c:v>
                </c:pt>
                <c:pt idx="17">
                  <c:v>0</c:v>
                </c:pt>
                <c:pt idx="18">
                  <c:v>5</c:v>
                </c:pt>
                <c:pt idx="19">
                  <c:v>1</c:v>
                </c:pt>
                <c:pt idx="20">
                  <c:v>1</c:v>
                </c:pt>
                <c:pt idx="21">
                  <c:v>0</c:v>
                </c:pt>
                <c:pt idx="22">
                  <c:v>0</c:v>
                </c:pt>
                <c:pt idx="23">
                  <c:v>0</c:v>
                </c:pt>
                <c:pt idx="24">
                  <c:v>10</c:v>
                </c:pt>
                <c:pt idx="25">
                  <c:v>2</c:v>
                </c:pt>
                <c:pt idx="26">
                  <c:v>0</c:v>
                </c:pt>
                <c:pt idx="27">
                  <c:v>2</c:v>
                </c:pt>
                <c:pt idx="28">
                  <c:v>0</c:v>
                </c:pt>
                <c:pt idx="29">
                  <c:v>0</c:v>
                </c:pt>
                <c:pt idx="30">
                  <c:v>0</c:v>
                </c:pt>
                <c:pt idx="31">
                  <c:v>31</c:v>
                </c:pt>
                <c:pt idx="32">
                  <c:v>0</c:v>
                </c:pt>
                <c:pt idx="33">
                  <c:v>0</c:v>
                </c:pt>
                <c:pt idx="34">
                  <c:v>0</c:v>
                </c:pt>
                <c:pt idx="35">
                  <c:v>0</c:v>
                </c:pt>
                <c:pt idx="36">
                  <c:v>0</c:v>
                </c:pt>
                <c:pt idx="37">
                  <c:v>0</c:v>
                </c:pt>
                <c:pt idx="38">
                  <c:v>0</c:v>
                </c:pt>
                <c:pt idx="39">
                  <c:v>0</c:v>
                </c:pt>
                <c:pt idx="40">
                  <c:v>0</c:v>
                </c:pt>
              </c:numCache>
            </c:numRef>
          </c:val>
          <c:extLst>
            <c:ext xmlns:c16="http://schemas.microsoft.com/office/drawing/2014/chart" uri="{C3380CC4-5D6E-409C-BE32-E72D297353CC}">
              <c16:uniqueId val="{00000005-4ADE-4661-BB35-E21095D508FC}"/>
            </c:ext>
          </c:extLst>
        </c:ser>
        <c:ser>
          <c:idx val="6"/>
          <c:order val="6"/>
          <c:tx>
            <c:strRef>
              <c:f>phaseology!$H$6</c:f>
              <c:strCache>
                <c:ptCount val="1"/>
                <c:pt idx="0">
                  <c:v>place</c:v>
                </c:pt>
              </c:strCache>
            </c:strRef>
          </c:tx>
          <c:spPr>
            <a:solidFill>
              <a:srgbClr val="FF99CC"/>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phaseology!$H$7:$H$47</c:f>
              <c:numCache>
                <c:formatCode>General</c:formatCode>
                <c:ptCount val="41"/>
                <c:pt idx="0">
                  <c:v>6</c:v>
                </c:pt>
                <c:pt idx="1">
                  <c:v>79</c:v>
                </c:pt>
                <c:pt idx="2">
                  <c:v>12</c:v>
                </c:pt>
                <c:pt idx="3">
                  <c:v>28</c:v>
                </c:pt>
                <c:pt idx="4">
                  <c:v>8</c:v>
                </c:pt>
                <c:pt idx="5">
                  <c:v>76</c:v>
                </c:pt>
                <c:pt idx="6">
                  <c:v>4</c:v>
                </c:pt>
                <c:pt idx="7">
                  <c:v>29</c:v>
                </c:pt>
                <c:pt idx="8">
                  <c:v>19</c:v>
                </c:pt>
                <c:pt idx="9">
                  <c:v>8</c:v>
                </c:pt>
                <c:pt idx="10">
                  <c:v>3</c:v>
                </c:pt>
                <c:pt idx="11">
                  <c:v>4</c:v>
                </c:pt>
                <c:pt idx="12">
                  <c:v>16</c:v>
                </c:pt>
                <c:pt idx="13">
                  <c:v>19</c:v>
                </c:pt>
                <c:pt idx="14">
                  <c:v>13</c:v>
                </c:pt>
                <c:pt idx="15">
                  <c:v>21</c:v>
                </c:pt>
                <c:pt idx="16">
                  <c:v>2</c:v>
                </c:pt>
                <c:pt idx="17">
                  <c:v>11</c:v>
                </c:pt>
                <c:pt idx="18">
                  <c:v>80</c:v>
                </c:pt>
                <c:pt idx="19">
                  <c:v>24</c:v>
                </c:pt>
                <c:pt idx="20">
                  <c:v>17</c:v>
                </c:pt>
                <c:pt idx="21">
                  <c:v>3</c:v>
                </c:pt>
                <c:pt idx="22">
                  <c:v>16</c:v>
                </c:pt>
                <c:pt idx="23">
                  <c:v>7</c:v>
                </c:pt>
                <c:pt idx="24">
                  <c:v>27</c:v>
                </c:pt>
                <c:pt idx="25">
                  <c:v>17</c:v>
                </c:pt>
                <c:pt idx="26">
                  <c:v>15</c:v>
                </c:pt>
                <c:pt idx="27">
                  <c:v>22</c:v>
                </c:pt>
                <c:pt idx="28">
                  <c:v>31</c:v>
                </c:pt>
                <c:pt idx="29">
                  <c:v>4</c:v>
                </c:pt>
                <c:pt idx="30">
                  <c:v>2</c:v>
                </c:pt>
                <c:pt idx="31">
                  <c:v>0</c:v>
                </c:pt>
                <c:pt idx="32">
                  <c:v>9</c:v>
                </c:pt>
                <c:pt idx="33">
                  <c:v>1</c:v>
                </c:pt>
                <c:pt idx="34">
                  <c:v>4</c:v>
                </c:pt>
                <c:pt idx="35">
                  <c:v>19</c:v>
                </c:pt>
                <c:pt idx="36">
                  <c:v>6</c:v>
                </c:pt>
                <c:pt idx="37">
                  <c:v>10</c:v>
                </c:pt>
                <c:pt idx="38">
                  <c:v>4</c:v>
                </c:pt>
                <c:pt idx="39">
                  <c:v>2</c:v>
                </c:pt>
                <c:pt idx="40">
                  <c:v>0</c:v>
                </c:pt>
              </c:numCache>
            </c:numRef>
          </c:val>
          <c:extLst>
            <c:ext xmlns:c16="http://schemas.microsoft.com/office/drawing/2014/chart" uri="{C3380CC4-5D6E-409C-BE32-E72D297353CC}">
              <c16:uniqueId val="{00000006-4ADE-4661-BB35-E21095D508FC}"/>
            </c:ext>
          </c:extLst>
        </c:ser>
        <c:ser>
          <c:idx val="7"/>
          <c:order val="7"/>
          <c:tx>
            <c:strRef>
              <c:f>phaseology!$I$6</c:f>
              <c:strCache>
                <c:ptCount val="1"/>
                <c:pt idx="0">
                  <c:v>local</c:v>
                </c:pt>
              </c:strCache>
            </c:strRef>
          </c:tx>
          <c:spPr>
            <a:solidFill>
              <a:srgbClr val="7030A0"/>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phaseology!$I$7:$I$47</c:f>
              <c:numCache>
                <c:formatCode>General</c:formatCode>
                <c:ptCount val="41"/>
                <c:pt idx="0">
                  <c:v>235</c:v>
                </c:pt>
                <c:pt idx="1">
                  <c:v>382</c:v>
                </c:pt>
                <c:pt idx="2">
                  <c:v>44</c:v>
                </c:pt>
                <c:pt idx="3">
                  <c:v>138</c:v>
                </c:pt>
                <c:pt idx="4">
                  <c:v>18</c:v>
                </c:pt>
                <c:pt idx="5">
                  <c:v>188</c:v>
                </c:pt>
                <c:pt idx="6">
                  <c:v>102</c:v>
                </c:pt>
                <c:pt idx="7">
                  <c:v>132</c:v>
                </c:pt>
                <c:pt idx="8">
                  <c:v>190</c:v>
                </c:pt>
                <c:pt idx="9">
                  <c:v>3</c:v>
                </c:pt>
                <c:pt idx="10">
                  <c:v>67</c:v>
                </c:pt>
                <c:pt idx="11">
                  <c:v>25</c:v>
                </c:pt>
                <c:pt idx="12">
                  <c:v>207</c:v>
                </c:pt>
                <c:pt idx="13">
                  <c:v>26</c:v>
                </c:pt>
                <c:pt idx="14">
                  <c:v>49</c:v>
                </c:pt>
                <c:pt idx="15">
                  <c:v>47</c:v>
                </c:pt>
                <c:pt idx="16">
                  <c:v>10</c:v>
                </c:pt>
                <c:pt idx="17">
                  <c:v>12</c:v>
                </c:pt>
                <c:pt idx="18">
                  <c:v>80</c:v>
                </c:pt>
                <c:pt idx="19">
                  <c:v>144</c:v>
                </c:pt>
                <c:pt idx="20">
                  <c:v>76</c:v>
                </c:pt>
                <c:pt idx="21">
                  <c:v>12</c:v>
                </c:pt>
                <c:pt idx="22">
                  <c:v>38</c:v>
                </c:pt>
                <c:pt idx="23">
                  <c:v>33</c:v>
                </c:pt>
                <c:pt idx="24">
                  <c:v>13</c:v>
                </c:pt>
                <c:pt idx="25">
                  <c:v>44</c:v>
                </c:pt>
                <c:pt idx="26">
                  <c:v>31</c:v>
                </c:pt>
                <c:pt idx="27">
                  <c:v>19</c:v>
                </c:pt>
                <c:pt idx="28">
                  <c:v>69</c:v>
                </c:pt>
                <c:pt idx="29">
                  <c:v>6</c:v>
                </c:pt>
                <c:pt idx="30">
                  <c:v>34</c:v>
                </c:pt>
                <c:pt idx="31">
                  <c:v>17</c:v>
                </c:pt>
                <c:pt idx="32">
                  <c:v>11</c:v>
                </c:pt>
                <c:pt idx="33">
                  <c:v>10</c:v>
                </c:pt>
                <c:pt idx="34">
                  <c:v>0</c:v>
                </c:pt>
                <c:pt idx="35">
                  <c:v>11</c:v>
                </c:pt>
                <c:pt idx="36">
                  <c:v>20</c:v>
                </c:pt>
                <c:pt idx="37">
                  <c:v>31</c:v>
                </c:pt>
                <c:pt idx="38">
                  <c:v>10</c:v>
                </c:pt>
                <c:pt idx="39">
                  <c:v>10</c:v>
                </c:pt>
                <c:pt idx="40">
                  <c:v>0</c:v>
                </c:pt>
              </c:numCache>
            </c:numRef>
          </c:val>
          <c:extLst>
            <c:ext xmlns:c16="http://schemas.microsoft.com/office/drawing/2014/chart" uri="{C3380CC4-5D6E-409C-BE32-E72D297353CC}">
              <c16:uniqueId val="{00000007-4ADE-4661-BB35-E21095D508FC}"/>
            </c:ext>
          </c:extLst>
        </c:ser>
        <c:ser>
          <c:idx val="8"/>
          <c:order val="8"/>
          <c:tx>
            <c:strRef>
              <c:f>phaseology!$J$6</c:f>
              <c:strCache>
                <c:ptCount val="1"/>
                <c:pt idx="0">
                  <c:v>location</c:v>
                </c:pt>
              </c:strCache>
            </c:strRef>
          </c:tx>
          <c:spPr>
            <a:solidFill>
              <a:srgbClr val="CC99FF"/>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phaseology!$J$7:$J$47</c:f>
              <c:numCache>
                <c:formatCode>General</c:formatCode>
                <c:ptCount val="41"/>
                <c:pt idx="0">
                  <c:v>97</c:v>
                </c:pt>
                <c:pt idx="1">
                  <c:v>12</c:v>
                </c:pt>
                <c:pt idx="2">
                  <c:v>1</c:v>
                </c:pt>
                <c:pt idx="3">
                  <c:v>29</c:v>
                </c:pt>
                <c:pt idx="4">
                  <c:v>1</c:v>
                </c:pt>
                <c:pt idx="5">
                  <c:v>12</c:v>
                </c:pt>
                <c:pt idx="6">
                  <c:v>20</c:v>
                </c:pt>
                <c:pt idx="7">
                  <c:v>6</c:v>
                </c:pt>
                <c:pt idx="8">
                  <c:v>4</c:v>
                </c:pt>
                <c:pt idx="9">
                  <c:v>19</c:v>
                </c:pt>
                <c:pt idx="10">
                  <c:v>1</c:v>
                </c:pt>
                <c:pt idx="11">
                  <c:v>7</c:v>
                </c:pt>
                <c:pt idx="12">
                  <c:v>7</c:v>
                </c:pt>
                <c:pt idx="13">
                  <c:v>8</c:v>
                </c:pt>
                <c:pt idx="14">
                  <c:v>4</c:v>
                </c:pt>
                <c:pt idx="15">
                  <c:v>8</c:v>
                </c:pt>
                <c:pt idx="16">
                  <c:v>2</c:v>
                </c:pt>
                <c:pt idx="17">
                  <c:v>1</c:v>
                </c:pt>
                <c:pt idx="18">
                  <c:v>0</c:v>
                </c:pt>
                <c:pt idx="19">
                  <c:v>6</c:v>
                </c:pt>
                <c:pt idx="20">
                  <c:v>22</c:v>
                </c:pt>
                <c:pt idx="21">
                  <c:v>1</c:v>
                </c:pt>
                <c:pt idx="22">
                  <c:v>12</c:v>
                </c:pt>
                <c:pt idx="23">
                  <c:v>1</c:v>
                </c:pt>
                <c:pt idx="24">
                  <c:v>0</c:v>
                </c:pt>
                <c:pt idx="25">
                  <c:v>1</c:v>
                </c:pt>
                <c:pt idx="26">
                  <c:v>9</c:v>
                </c:pt>
                <c:pt idx="27">
                  <c:v>0</c:v>
                </c:pt>
                <c:pt idx="28">
                  <c:v>6</c:v>
                </c:pt>
                <c:pt idx="29">
                  <c:v>4</c:v>
                </c:pt>
                <c:pt idx="30">
                  <c:v>4</c:v>
                </c:pt>
                <c:pt idx="31">
                  <c:v>2</c:v>
                </c:pt>
                <c:pt idx="32">
                  <c:v>0</c:v>
                </c:pt>
                <c:pt idx="33">
                  <c:v>10</c:v>
                </c:pt>
                <c:pt idx="34">
                  <c:v>0</c:v>
                </c:pt>
                <c:pt idx="35">
                  <c:v>2</c:v>
                </c:pt>
                <c:pt idx="36">
                  <c:v>3</c:v>
                </c:pt>
                <c:pt idx="37">
                  <c:v>2</c:v>
                </c:pt>
                <c:pt idx="38">
                  <c:v>0</c:v>
                </c:pt>
                <c:pt idx="39">
                  <c:v>0</c:v>
                </c:pt>
                <c:pt idx="40">
                  <c:v>0</c:v>
                </c:pt>
              </c:numCache>
            </c:numRef>
          </c:val>
          <c:extLst>
            <c:ext xmlns:c16="http://schemas.microsoft.com/office/drawing/2014/chart" uri="{C3380CC4-5D6E-409C-BE32-E72D297353CC}">
              <c16:uniqueId val="{00000008-4ADE-4661-BB35-E21095D508FC}"/>
            </c:ext>
          </c:extLst>
        </c:ser>
        <c:ser>
          <c:idx val="9"/>
          <c:order val="9"/>
          <c:tx>
            <c:strRef>
              <c:f>phaseology!$K$6</c:f>
              <c:strCache>
                <c:ptCount val="1"/>
                <c:pt idx="0">
                  <c:v>geography</c:v>
                </c:pt>
              </c:strCache>
            </c:strRef>
          </c:tx>
          <c:spPr>
            <a:solidFill>
              <a:srgbClr val="FF0000"/>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phaseology!$K$7:$K$47</c:f>
              <c:numCache>
                <c:formatCode>General</c:formatCode>
                <c:ptCount val="41"/>
                <c:pt idx="0">
                  <c:v>0</c:v>
                </c:pt>
                <c:pt idx="1">
                  <c:v>0</c:v>
                </c:pt>
                <c:pt idx="2">
                  <c:v>0</c:v>
                </c:pt>
                <c:pt idx="3">
                  <c:v>3</c:v>
                </c:pt>
                <c:pt idx="4">
                  <c:v>0</c:v>
                </c:pt>
                <c:pt idx="5">
                  <c:v>2</c:v>
                </c:pt>
                <c:pt idx="6">
                  <c:v>1</c:v>
                </c:pt>
                <c:pt idx="7">
                  <c:v>1</c:v>
                </c:pt>
                <c:pt idx="8">
                  <c:v>1</c:v>
                </c:pt>
                <c:pt idx="9">
                  <c:v>0</c:v>
                </c:pt>
                <c:pt idx="10">
                  <c:v>0</c:v>
                </c:pt>
                <c:pt idx="11">
                  <c:v>1</c:v>
                </c:pt>
                <c:pt idx="12">
                  <c:v>1</c:v>
                </c:pt>
                <c:pt idx="13">
                  <c:v>1</c:v>
                </c:pt>
                <c:pt idx="14">
                  <c:v>3</c:v>
                </c:pt>
                <c:pt idx="15">
                  <c:v>0</c:v>
                </c:pt>
                <c:pt idx="16">
                  <c:v>0</c:v>
                </c:pt>
                <c:pt idx="17">
                  <c:v>0</c:v>
                </c:pt>
                <c:pt idx="18">
                  <c:v>2</c:v>
                </c:pt>
                <c:pt idx="19">
                  <c:v>0</c:v>
                </c:pt>
                <c:pt idx="20">
                  <c:v>2</c:v>
                </c:pt>
                <c:pt idx="21">
                  <c:v>0</c:v>
                </c:pt>
                <c:pt idx="22">
                  <c:v>0</c:v>
                </c:pt>
                <c:pt idx="23">
                  <c:v>0</c:v>
                </c:pt>
                <c:pt idx="24">
                  <c:v>0</c:v>
                </c:pt>
                <c:pt idx="25">
                  <c:v>2</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numCache>
            </c:numRef>
          </c:val>
          <c:extLst>
            <c:ext xmlns:c16="http://schemas.microsoft.com/office/drawing/2014/chart" uri="{C3380CC4-5D6E-409C-BE32-E72D297353CC}">
              <c16:uniqueId val="{00000009-4ADE-4661-BB35-E21095D508FC}"/>
            </c:ext>
          </c:extLst>
        </c:ser>
        <c:ser>
          <c:idx val="10"/>
          <c:order val="10"/>
          <c:tx>
            <c:strRef>
              <c:f>phaseology!$L$6</c:f>
              <c:strCache>
                <c:ptCount val="1"/>
                <c:pt idx="0">
                  <c:v>geographical</c:v>
                </c:pt>
              </c:strCache>
            </c:strRef>
          </c:tx>
          <c:spPr>
            <a:solidFill>
              <a:srgbClr val="FF5050"/>
            </a:solidFill>
            <a:ln>
              <a:noFill/>
            </a:ln>
            <a:effectLst/>
          </c:spPr>
          <c:invertIfNegative val="0"/>
          <c:cat>
            <c:strRef>
              <c:f>phaseology!$A$7:$A$47</c:f>
              <c:strCache>
                <c:ptCount val="41"/>
                <c:pt idx="0">
                  <c:v>HUN</c:v>
                </c:pt>
                <c:pt idx="1">
                  <c:v>FRA</c:v>
                </c:pt>
                <c:pt idx="2">
                  <c:v>CZH</c:v>
                </c:pt>
                <c:pt idx="3">
                  <c:v>TUR</c:v>
                </c:pt>
                <c:pt idx="4">
                  <c:v>FIN</c:v>
                </c:pt>
                <c:pt idx="5">
                  <c:v>SCO</c:v>
                </c:pt>
                <c:pt idx="6">
                  <c:v>SRB</c:v>
                </c:pt>
                <c:pt idx="7">
                  <c:v>BUL</c:v>
                </c:pt>
                <c:pt idx="8">
                  <c:v>IRL</c:v>
                </c:pt>
                <c:pt idx="9">
                  <c:v>SWI</c:v>
                </c:pt>
                <c:pt idx="10">
                  <c:v>ITA</c:v>
                </c:pt>
                <c:pt idx="11">
                  <c:v>AUT</c:v>
                </c:pt>
                <c:pt idx="12">
                  <c:v>NIR</c:v>
                </c:pt>
                <c:pt idx="13">
                  <c:v>GER</c:v>
                </c:pt>
                <c:pt idx="14">
                  <c:v>ESP</c:v>
                </c:pt>
                <c:pt idx="15">
                  <c:v>BOS</c:v>
                </c:pt>
                <c:pt idx="16">
                  <c:v>CRO</c:v>
                </c:pt>
                <c:pt idx="17">
                  <c:v>LUX</c:v>
                </c:pt>
                <c:pt idx="18">
                  <c:v>ROM</c:v>
                </c:pt>
                <c:pt idx="19">
                  <c:v>ENG</c:v>
                </c:pt>
                <c:pt idx="20">
                  <c:v>MAC</c:v>
                </c:pt>
                <c:pt idx="21">
                  <c:v>GRE</c:v>
                </c:pt>
                <c:pt idx="22">
                  <c:v>SWE</c:v>
                </c:pt>
                <c:pt idx="23">
                  <c:v>KOS</c:v>
                </c:pt>
                <c:pt idx="24">
                  <c:v>SLK</c:v>
                </c:pt>
                <c:pt idx="25">
                  <c:v>POL</c:v>
                </c:pt>
                <c:pt idx="26">
                  <c:v>NRL</c:v>
                </c:pt>
                <c:pt idx="27">
                  <c:v>ALB</c:v>
                </c:pt>
                <c:pt idx="28">
                  <c:v>WAL</c:v>
                </c:pt>
                <c:pt idx="29">
                  <c:v>NOR</c:v>
                </c:pt>
                <c:pt idx="30">
                  <c:v>EST</c:v>
                </c:pt>
                <c:pt idx="31">
                  <c:v>POR</c:v>
                </c:pt>
                <c:pt idx="32">
                  <c:v>BEL</c:v>
                </c:pt>
                <c:pt idx="33">
                  <c:v>LIT</c:v>
                </c:pt>
                <c:pt idx="34">
                  <c:v>LAT</c:v>
                </c:pt>
                <c:pt idx="35">
                  <c:v>DEN</c:v>
                </c:pt>
                <c:pt idx="36">
                  <c:v>MON</c:v>
                </c:pt>
                <c:pt idx="37">
                  <c:v>MAL</c:v>
                </c:pt>
                <c:pt idx="38">
                  <c:v>SLN</c:v>
                </c:pt>
                <c:pt idx="39">
                  <c:v>ICE</c:v>
                </c:pt>
                <c:pt idx="40">
                  <c:v>CYP</c:v>
                </c:pt>
              </c:strCache>
            </c:strRef>
          </c:cat>
          <c:val>
            <c:numRef>
              <c:f>phaseology!$L$7:$L$47</c:f>
              <c:numCache>
                <c:formatCode>General</c:formatCode>
                <c:ptCount val="41"/>
                <c:pt idx="0">
                  <c:v>9</c:v>
                </c:pt>
                <c:pt idx="1">
                  <c:v>20</c:v>
                </c:pt>
                <c:pt idx="2">
                  <c:v>2</c:v>
                </c:pt>
                <c:pt idx="3">
                  <c:v>21</c:v>
                </c:pt>
                <c:pt idx="4">
                  <c:v>0</c:v>
                </c:pt>
                <c:pt idx="5">
                  <c:v>4</c:v>
                </c:pt>
                <c:pt idx="6">
                  <c:v>5</c:v>
                </c:pt>
                <c:pt idx="7">
                  <c:v>2</c:v>
                </c:pt>
                <c:pt idx="8">
                  <c:v>4</c:v>
                </c:pt>
                <c:pt idx="9">
                  <c:v>1</c:v>
                </c:pt>
                <c:pt idx="10">
                  <c:v>14</c:v>
                </c:pt>
                <c:pt idx="11">
                  <c:v>2</c:v>
                </c:pt>
                <c:pt idx="12">
                  <c:v>5</c:v>
                </c:pt>
                <c:pt idx="13">
                  <c:v>3</c:v>
                </c:pt>
                <c:pt idx="14">
                  <c:v>23</c:v>
                </c:pt>
                <c:pt idx="15">
                  <c:v>5</c:v>
                </c:pt>
                <c:pt idx="16">
                  <c:v>1</c:v>
                </c:pt>
                <c:pt idx="17">
                  <c:v>7</c:v>
                </c:pt>
                <c:pt idx="18">
                  <c:v>4</c:v>
                </c:pt>
                <c:pt idx="19">
                  <c:v>2</c:v>
                </c:pt>
                <c:pt idx="20">
                  <c:v>8</c:v>
                </c:pt>
                <c:pt idx="21">
                  <c:v>12</c:v>
                </c:pt>
                <c:pt idx="22">
                  <c:v>13</c:v>
                </c:pt>
                <c:pt idx="23">
                  <c:v>1</c:v>
                </c:pt>
                <c:pt idx="24">
                  <c:v>5</c:v>
                </c:pt>
                <c:pt idx="25">
                  <c:v>2</c:v>
                </c:pt>
                <c:pt idx="26">
                  <c:v>1</c:v>
                </c:pt>
                <c:pt idx="27">
                  <c:v>0</c:v>
                </c:pt>
                <c:pt idx="28">
                  <c:v>2</c:v>
                </c:pt>
                <c:pt idx="29">
                  <c:v>1</c:v>
                </c:pt>
                <c:pt idx="30">
                  <c:v>3</c:v>
                </c:pt>
                <c:pt idx="31">
                  <c:v>0</c:v>
                </c:pt>
                <c:pt idx="32">
                  <c:v>2</c:v>
                </c:pt>
                <c:pt idx="33">
                  <c:v>8</c:v>
                </c:pt>
                <c:pt idx="34">
                  <c:v>0</c:v>
                </c:pt>
                <c:pt idx="35">
                  <c:v>13</c:v>
                </c:pt>
                <c:pt idx="36">
                  <c:v>2</c:v>
                </c:pt>
                <c:pt idx="37">
                  <c:v>4</c:v>
                </c:pt>
                <c:pt idx="38">
                  <c:v>0</c:v>
                </c:pt>
                <c:pt idx="39">
                  <c:v>0</c:v>
                </c:pt>
                <c:pt idx="40">
                  <c:v>0</c:v>
                </c:pt>
              </c:numCache>
            </c:numRef>
          </c:val>
          <c:extLst>
            <c:ext xmlns:c16="http://schemas.microsoft.com/office/drawing/2014/chart" uri="{C3380CC4-5D6E-409C-BE32-E72D297353CC}">
              <c16:uniqueId val="{0000000A-4ADE-4661-BB35-E21095D508FC}"/>
            </c:ext>
          </c:extLst>
        </c:ser>
        <c:dLbls>
          <c:showLegendKey val="0"/>
          <c:showVal val="0"/>
          <c:showCatName val="0"/>
          <c:showSerName val="0"/>
          <c:showPercent val="0"/>
          <c:showBubbleSize val="0"/>
        </c:dLbls>
        <c:gapWidth val="219"/>
        <c:overlap val="-27"/>
        <c:axId val="477115664"/>
        <c:axId val="431800816"/>
      </c:barChart>
      <c:catAx>
        <c:axId val="47711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431800816"/>
        <c:crosses val="autoZero"/>
        <c:auto val="1"/>
        <c:lblAlgn val="ctr"/>
        <c:lblOffset val="100"/>
        <c:noMultiLvlLbl val="0"/>
      </c:catAx>
      <c:valAx>
        <c:axId val="431800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711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célrendszerek!$DH$1</c:f>
              <c:strCache>
                <c:ptCount val="1"/>
                <c:pt idx="0">
                  <c:v>Proportion of spatial element within lover level objectives (%)</c:v>
                </c:pt>
              </c:strCache>
            </c:strRef>
          </c:tx>
          <c:spPr>
            <a:solidFill>
              <a:schemeClr val="accent6">
                <a:lumMod val="60000"/>
                <a:lumOff val="40000"/>
              </a:schemeClr>
            </a:solidFill>
            <a:ln>
              <a:solidFill>
                <a:schemeClr val="accent6">
                  <a:lumMod val="50000"/>
                </a:schemeClr>
              </a:solidFill>
            </a:ln>
            <a:effectLst/>
          </c:spPr>
          <c:invertIfNegative val="0"/>
          <c:cat>
            <c:strRef>
              <c:f>célrendszerek!$DG$2:$DG$42</c:f>
              <c:strCache>
                <c:ptCount val="41"/>
                <c:pt idx="0">
                  <c:v>NRL</c:v>
                </c:pt>
                <c:pt idx="1">
                  <c:v>FRA</c:v>
                </c:pt>
                <c:pt idx="2">
                  <c:v>SLN</c:v>
                </c:pt>
                <c:pt idx="3">
                  <c:v>NOR</c:v>
                </c:pt>
                <c:pt idx="4">
                  <c:v>KOS</c:v>
                </c:pt>
                <c:pt idx="5">
                  <c:v>NIR</c:v>
                </c:pt>
                <c:pt idx="6">
                  <c:v>FIN</c:v>
                </c:pt>
                <c:pt idx="7">
                  <c:v>SWI</c:v>
                </c:pt>
                <c:pt idx="8">
                  <c:v>POL</c:v>
                </c:pt>
                <c:pt idx="9">
                  <c:v>SWE</c:v>
                </c:pt>
                <c:pt idx="10">
                  <c:v>SLK</c:v>
                </c:pt>
                <c:pt idx="11">
                  <c:v>SCO</c:v>
                </c:pt>
                <c:pt idx="12">
                  <c:v>EST</c:v>
                </c:pt>
                <c:pt idx="13">
                  <c:v>LAT</c:v>
                </c:pt>
                <c:pt idx="14">
                  <c:v>LIT</c:v>
                </c:pt>
                <c:pt idx="15">
                  <c:v>HUN</c:v>
                </c:pt>
                <c:pt idx="16">
                  <c:v>SRB</c:v>
                </c:pt>
                <c:pt idx="17">
                  <c:v>ITA</c:v>
                </c:pt>
                <c:pt idx="18">
                  <c:v>ALB</c:v>
                </c:pt>
                <c:pt idx="19">
                  <c:v>ROM</c:v>
                </c:pt>
                <c:pt idx="20">
                  <c:v>DEN</c:v>
                </c:pt>
                <c:pt idx="21">
                  <c:v>AUT</c:v>
                </c:pt>
                <c:pt idx="22">
                  <c:v>POR</c:v>
                </c:pt>
                <c:pt idx="23">
                  <c:v>TUR</c:v>
                </c:pt>
                <c:pt idx="24">
                  <c:v>BEL</c:v>
                </c:pt>
                <c:pt idx="25">
                  <c:v>BOS</c:v>
                </c:pt>
                <c:pt idx="26">
                  <c:v>ENG</c:v>
                </c:pt>
                <c:pt idx="27">
                  <c:v>ESP</c:v>
                </c:pt>
                <c:pt idx="28">
                  <c:v>GER</c:v>
                </c:pt>
                <c:pt idx="29">
                  <c:v>GRE</c:v>
                </c:pt>
                <c:pt idx="30">
                  <c:v>ICE</c:v>
                </c:pt>
                <c:pt idx="31">
                  <c:v>IRL</c:v>
                </c:pt>
                <c:pt idx="32">
                  <c:v>CRO</c:v>
                </c:pt>
                <c:pt idx="33">
                  <c:v>CZH</c:v>
                </c:pt>
                <c:pt idx="34">
                  <c:v>BUL</c:v>
                </c:pt>
                <c:pt idx="35">
                  <c:v>MAC</c:v>
                </c:pt>
                <c:pt idx="36">
                  <c:v>MON</c:v>
                </c:pt>
                <c:pt idx="37">
                  <c:v>CYP</c:v>
                </c:pt>
                <c:pt idx="38">
                  <c:v>MAL</c:v>
                </c:pt>
                <c:pt idx="39">
                  <c:v>LUX</c:v>
                </c:pt>
                <c:pt idx="40">
                  <c:v>WAL</c:v>
                </c:pt>
              </c:strCache>
            </c:strRef>
          </c:cat>
          <c:val>
            <c:numRef>
              <c:f>célrendszerek!$DH$2:$DH$42</c:f>
              <c:numCache>
                <c:formatCode>General</c:formatCode>
                <c:ptCount val="41"/>
                <c:pt idx="0">
                  <c:v>64.705882352941174</c:v>
                </c:pt>
                <c:pt idx="1">
                  <c:v>57.692307692307686</c:v>
                </c:pt>
                <c:pt idx="2">
                  <c:v>50</c:v>
                </c:pt>
                <c:pt idx="3">
                  <c:v>50</c:v>
                </c:pt>
                <c:pt idx="4">
                  <c:v>42.857142857142854</c:v>
                </c:pt>
                <c:pt idx="5">
                  <c:v>42.857142857142854</c:v>
                </c:pt>
                <c:pt idx="6">
                  <c:v>41.666666666666671</c:v>
                </c:pt>
                <c:pt idx="7">
                  <c:v>33.333333333333329</c:v>
                </c:pt>
                <c:pt idx="8">
                  <c:v>31.25</c:v>
                </c:pt>
                <c:pt idx="9">
                  <c:v>30.3</c:v>
                </c:pt>
                <c:pt idx="10">
                  <c:v>26.315789473684209</c:v>
                </c:pt>
                <c:pt idx="11">
                  <c:v>26.086956521739129</c:v>
                </c:pt>
                <c:pt idx="12">
                  <c:v>25</c:v>
                </c:pt>
                <c:pt idx="13">
                  <c:v>25</c:v>
                </c:pt>
                <c:pt idx="14">
                  <c:v>25</c:v>
                </c:pt>
                <c:pt idx="15">
                  <c:v>21.428571428571427</c:v>
                </c:pt>
                <c:pt idx="16">
                  <c:v>20</c:v>
                </c:pt>
                <c:pt idx="17">
                  <c:v>19.047619047619047</c:v>
                </c:pt>
                <c:pt idx="18">
                  <c:v>18.75</c:v>
                </c:pt>
                <c:pt idx="19">
                  <c:v>18.518518518518519</c:v>
                </c:pt>
                <c:pt idx="20">
                  <c:v>16.666666666666664</c:v>
                </c:pt>
                <c:pt idx="21">
                  <c:v>14.285714285714285</c:v>
                </c:pt>
                <c:pt idx="22">
                  <c:v>13.333333333333334</c:v>
                </c:pt>
                <c:pt idx="23">
                  <c:v>12.5</c:v>
                </c:pt>
                <c:pt idx="24">
                  <c:v>12.5</c:v>
                </c:pt>
                <c:pt idx="25">
                  <c:v>11.111111111111111</c:v>
                </c:pt>
                <c:pt idx="26">
                  <c:v>11.111111111111111</c:v>
                </c:pt>
                <c:pt idx="27">
                  <c:v>8</c:v>
                </c:pt>
                <c:pt idx="28">
                  <c:v>7.6923076923076925</c:v>
                </c:pt>
                <c:pt idx="29">
                  <c:v>6.666666666666667</c:v>
                </c:pt>
                <c:pt idx="30">
                  <c:v>6.666666666666667</c:v>
                </c:pt>
                <c:pt idx="31">
                  <c:v>5</c:v>
                </c:pt>
                <c:pt idx="32">
                  <c:v>0</c:v>
                </c:pt>
                <c:pt idx="33">
                  <c:v>0</c:v>
                </c:pt>
                <c:pt idx="34">
                  <c:v>0</c:v>
                </c:pt>
                <c:pt idx="35">
                  <c:v>0</c:v>
                </c:pt>
                <c:pt idx="36">
                  <c:v>0</c:v>
                </c:pt>
                <c:pt idx="37">
                  <c:v>0</c:v>
                </c:pt>
                <c:pt idx="38">
                  <c:v>0</c:v>
                </c:pt>
                <c:pt idx="39">
                  <c:v>0</c:v>
                </c:pt>
                <c:pt idx="40">
                  <c:v>0</c:v>
                </c:pt>
              </c:numCache>
            </c:numRef>
          </c:val>
          <c:extLst>
            <c:ext xmlns:c16="http://schemas.microsoft.com/office/drawing/2014/chart" uri="{C3380CC4-5D6E-409C-BE32-E72D297353CC}">
              <c16:uniqueId val="{00000000-4EF8-4F1F-A48D-E8AD99B7BD43}"/>
            </c:ext>
          </c:extLst>
        </c:ser>
        <c:dLbls>
          <c:showLegendKey val="0"/>
          <c:showVal val="0"/>
          <c:showCatName val="0"/>
          <c:showSerName val="0"/>
          <c:showPercent val="0"/>
          <c:showBubbleSize val="0"/>
        </c:dLbls>
        <c:gapWidth val="219"/>
        <c:overlap val="-27"/>
        <c:axId val="1950486912"/>
        <c:axId val="1950483552"/>
      </c:barChart>
      <c:catAx>
        <c:axId val="195048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483552"/>
        <c:crosses val="autoZero"/>
        <c:auto val="1"/>
        <c:lblAlgn val="ctr"/>
        <c:lblOffset val="100"/>
        <c:noMultiLvlLbl val="0"/>
      </c:catAx>
      <c:valAx>
        <c:axId val="1950483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4869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célrendszerek!$DD$1</c:f>
              <c:strCache>
                <c:ptCount val="1"/>
                <c:pt idx="0">
                  <c:v>Proportion of just spatial element (%)</c:v>
                </c:pt>
              </c:strCache>
            </c:strRef>
          </c:tx>
          <c:spPr>
            <a:solidFill>
              <a:schemeClr val="accent6">
                <a:lumMod val="60000"/>
                <a:lumOff val="40000"/>
              </a:schemeClr>
            </a:solidFill>
            <a:ln>
              <a:solidFill>
                <a:schemeClr val="accent6">
                  <a:lumMod val="50000"/>
                </a:schemeClr>
              </a:solidFill>
            </a:ln>
            <a:effectLst/>
          </c:spPr>
          <c:invertIfNegative val="0"/>
          <c:cat>
            <c:strRef>
              <c:f>célrendszerek!$DC$2:$DC$42</c:f>
              <c:strCache>
                <c:ptCount val="41"/>
                <c:pt idx="0">
                  <c:v>NRL</c:v>
                </c:pt>
                <c:pt idx="1">
                  <c:v>FRA</c:v>
                </c:pt>
                <c:pt idx="2">
                  <c:v>ITA</c:v>
                </c:pt>
                <c:pt idx="3">
                  <c:v>SWI</c:v>
                </c:pt>
                <c:pt idx="4">
                  <c:v>NOR</c:v>
                </c:pt>
                <c:pt idx="5">
                  <c:v>AUT</c:v>
                </c:pt>
                <c:pt idx="6">
                  <c:v>DEN</c:v>
                </c:pt>
                <c:pt idx="7">
                  <c:v>POR</c:v>
                </c:pt>
                <c:pt idx="8">
                  <c:v>POL</c:v>
                </c:pt>
                <c:pt idx="9">
                  <c:v>SWE</c:v>
                </c:pt>
                <c:pt idx="10">
                  <c:v>NIR</c:v>
                </c:pt>
                <c:pt idx="11">
                  <c:v>HUN</c:v>
                </c:pt>
                <c:pt idx="12">
                  <c:v>SLN</c:v>
                </c:pt>
                <c:pt idx="13">
                  <c:v>KOS</c:v>
                </c:pt>
                <c:pt idx="14">
                  <c:v>BOS</c:v>
                </c:pt>
                <c:pt idx="15">
                  <c:v>TUR</c:v>
                </c:pt>
                <c:pt idx="16">
                  <c:v>LIT</c:v>
                </c:pt>
                <c:pt idx="17">
                  <c:v>LUX</c:v>
                </c:pt>
                <c:pt idx="18">
                  <c:v>ESP</c:v>
                </c:pt>
                <c:pt idx="19">
                  <c:v>FIN</c:v>
                </c:pt>
                <c:pt idx="20">
                  <c:v>ALB</c:v>
                </c:pt>
                <c:pt idx="21">
                  <c:v>SLK</c:v>
                </c:pt>
                <c:pt idx="22">
                  <c:v>LAT</c:v>
                </c:pt>
                <c:pt idx="23">
                  <c:v>SCO</c:v>
                </c:pt>
                <c:pt idx="24">
                  <c:v>ENG</c:v>
                </c:pt>
                <c:pt idx="25">
                  <c:v>GER</c:v>
                </c:pt>
                <c:pt idx="26">
                  <c:v>MAC</c:v>
                </c:pt>
                <c:pt idx="27">
                  <c:v>ROM</c:v>
                </c:pt>
                <c:pt idx="28">
                  <c:v>GRE</c:v>
                </c:pt>
                <c:pt idx="29">
                  <c:v>MON</c:v>
                </c:pt>
                <c:pt idx="30">
                  <c:v>BEL</c:v>
                </c:pt>
                <c:pt idx="31">
                  <c:v>CZH</c:v>
                </c:pt>
                <c:pt idx="32">
                  <c:v>IRL</c:v>
                </c:pt>
                <c:pt idx="33">
                  <c:v>BUL</c:v>
                </c:pt>
                <c:pt idx="34">
                  <c:v>WAL</c:v>
                </c:pt>
                <c:pt idx="35">
                  <c:v>MAL</c:v>
                </c:pt>
                <c:pt idx="36">
                  <c:v>ICE</c:v>
                </c:pt>
                <c:pt idx="37">
                  <c:v>SRB</c:v>
                </c:pt>
                <c:pt idx="38">
                  <c:v>CRO</c:v>
                </c:pt>
                <c:pt idx="39">
                  <c:v>EST</c:v>
                </c:pt>
                <c:pt idx="40">
                  <c:v>CYP</c:v>
                </c:pt>
              </c:strCache>
            </c:strRef>
          </c:cat>
          <c:val>
            <c:numRef>
              <c:f>célrendszerek!$DD$2:$DD$42</c:f>
              <c:numCache>
                <c:formatCode>General</c:formatCode>
                <c:ptCount val="41"/>
                <c:pt idx="0">
                  <c:v>75</c:v>
                </c:pt>
                <c:pt idx="1">
                  <c:v>49.063670411985015</c:v>
                </c:pt>
                <c:pt idx="2">
                  <c:v>47.359154929577464</c:v>
                </c:pt>
                <c:pt idx="3">
                  <c:v>47.222222222222221</c:v>
                </c:pt>
                <c:pt idx="4">
                  <c:v>45.454545454545453</c:v>
                </c:pt>
                <c:pt idx="5">
                  <c:v>45.161290322580641</c:v>
                </c:pt>
                <c:pt idx="6">
                  <c:v>42.857142857142854</c:v>
                </c:pt>
                <c:pt idx="7">
                  <c:v>41.891891891891895</c:v>
                </c:pt>
                <c:pt idx="8">
                  <c:v>41.025641025641022</c:v>
                </c:pt>
                <c:pt idx="9">
                  <c:v>39.619999999999997</c:v>
                </c:pt>
                <c:pt idx="10">
                  <c:v>34.782608695652172</c:v>
                </c:pt>
                <c:pt idx="11">
                  <c:v>34.146341463414636</c:v>
                </c:pt>
                <c:pt idx="12">
                  <c:v>33.333333333333329</c:v>
                </c:pt>
                <c:pt idx="13">
                  <c:v>33.333333333333329</c:v>
                </c:pt>
                <c:pt idx="14">
                  <c:v>32.061068702290072</c:v>
                </c:pt>
                <c:pt idx="15">
                  <c:v>28.68217054263566</c:v>
                </c:pt>
                <c:pt idx="16">
                  <c:v>28.571428571428569</c:v>
                </c:pt>
                <c:pt idx="17">
                  <c:v>28.571428571428569</c:v>
                </c:pt>
                <c:pt idx="18">
                  <c:v>25.762711864406779</c:v>
                </c:pt>
                <c:pt idx="19">
                  <c:v>24.324324324324326</c:v>
                </c:pt>
                <c:pt idx="20">
                  <c:v>24.285714285714285</c:v>
                </c:pt>
                <c:pt idx="21">
                  <c:v>24.064171122994651</c:v>
                </c:pt>
                <c:pt idx="22">
                  <c:v>23.863636363636363</c:v>
                </c:pt>
                <c:pt idx="23">
                  <c:v>23.52941176470588</c:v>
                </c:pt>
                <c:pt idx="24">
                  <c:v>23</c:v>
                </c:pt>
                <c:pt idx="25">
                  <c:v>22.727272727272727</c:v>
                </c:pt>
                <c:pt idx="26">
                  <c:v>20</c:v>
                </c:pt>
                <c:pt idx="27">
                  <c:v>19.379844961240313</c:v>
                </c:pt>
                <c:pt idx="28">
                  <c:v>19.026548672566371</c:v>
                </c:pt>
                <c:pt idx="29">
                  <c:v>18.367346938775512</c:v>
                </c:pt>
                <c:pt idx="30">
                  <c:v>18.181818181818183</c:v>
                </c:pt>
                <c:pt idx="31">
                  <c:v>17.592592592592592</c:v>
                </c:pt>
                <c:pt idx="32">
                  <c:v>16.666666666666664</c:v>
                </c:pt>
                <c:pt idx="33">
                  <c:v>16.556291390728479</c:v>
                </c:pt>
                <c:pt idx="34">
                  <c:v>16.460905349794238</c:v>
                </c:pt>
                <c:pt idx="35">
                  <c:v>15.277777777777779</c:v>
                </c:pt>
                <c:pt idx="36">
                  <c:v>14.457831325301203</c:v>
                </c:pt>
                <c:pt idx="37">
                  <c:v>12.962962962962962</c:v>
                </c:pt>
                <c:pt idx="38">
                  <c:v>12.048192771084338</c:v>
                </c:pt>
                <c:pt idx="39">
                  <c:v>8.3333333333333321</c:v>
                </c:pt>
                <c:pt idx="40">
                  <c:v>4.4776119402985071</c:v>
                </c:pt>
              </c:numCache>
            </c:numRef>
          </c:val>
          <c:extLst>
            <c:ext xmlns:c16="http://schemas.microsoft.com/office/drawing/2014/chart" uri="{C3380CC4-5D6E-409C-BE32-E72D297353CC}">
              <c16:uniqueId val="{00000000-B4E2-4609-BC69-B84F8DE4C6E6}"/>
            </c:ext>
          </c:extLst>
        </c:ser>
        <c:dLbls>
          <c:showLegendKey val="0"/>
          <c:showVal val="0"/>
          <c:showCatName val="0"/>
          <c:showSerName val="0"/>
          <c:showPercent val="0"/>
          <c:showBubbleSize val="0"/>
        </c:dLbls>
        <c:gapWidth val="219"/>
        <c:overlap val="-27"/>
        <c:axId val="1950487872"/>
        <c:axId val="1950506112"/>
      </c:barChart>
      <c:catAx>
        <c:axId val="195048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506112"/>
        <c:crosses val="autoZero"/>
        <c:auto val="1"/>
        <c:lblAlgn val="ctr"/>
        <c:lblOffset val="100"/>
        <c:noMultiLvlLbl val="0"/>
      </c:catAx>
      <c:valAx>
        <c:axId val="195050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4878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célrendszerek!$CX$1</c:f>
              <c:strCache>
                <c:ptCount val="1"/>
                <c:pt idx="0">
                  <c:v>Proportion of measures mentioning spatial planning</c:v>
                </c:pt>
              </c:strCache>
            </c:strRef>
          </c:tx>
          <c:spPr>
            <a:solidFill>
              <a:schemeClr val="accent6">
                <a:lumMod val="60000"/>
                <a:lumOff val="40000"/>
              </a:schemeClr>
            </a:solidFill>
            <a:ln>
              <a:solidFill>
                <a:schemeClr val="accent6">
                  <a:lumMod val="50000"/>
                </a:schemeClr>
              </a:solidFill>
            </a:ln>
            <a:effectLst/>
          </c:spPr>
          <c:invertIfNegative val="0"/>
          <c:cat>
            <c:strRef>
              <c:f>célrendszerek!$CW$2:$CW$42</c:f>
              <c:strCache>
                <c:ptCount val="41"/>
                <c:pt idx="0">
                  <c:v>AUT</c:v>
                </c:pt>
                <c:pt idx="1">
                  <c:v>LUX</c:v>
                </c:pt>
                <c:pt idx="2">
                  <c:v>ICE</c:v>
                </c:pt>
                <c:pt idx="3">
                  <c:v>NIR</c:v>
                </c:pt>
                <c:pt idx="4">
                  <c:v>LAT</c:v>
                </c:pt>
                <c:pt idx="5">
                  <c:v>NRL</c:v>
                </c:pt>
                <c:pt idx="6">
                  <c:v>SWI</c:v>
                </c:pt>
                <c:pt idx="7">
                  <c:v>KOS</c:v>
                </c:pt>
                <c:pt idx="8">
                  <c:v>WAL</c:v>
                </c:pt>
                <c:pt idx="9">
                  <c:v>EST</c:v>
                </c:pt>
                <c:pt idx="10">
                  <c:v>LIT</c:v>
                </c:pt>
                <c:pt idx="11">
                  <c:v>MON</c:v>
                </c:pt>
                <c:pt idx="12">
                  <c:v>SWE</c:v>
                </c:pt>
                <c:pt idx="13">
                  <c:v>CRO</c:v>
                </c:pt>
                <c:pt idx="14">
                  <c:v>GER</c:v>
                </c:pt>
                <c:pt idx="15">
                  <c:v>ESP</c:v>
                </c:pt>
                <c:pt idx="16">
                  <c:v>NOR</c:v>
                </c:pt>
                <c:pt idx="17">
                  <c:v>FRA</c:v>
                </c:pt>
                <c:pt idx="18">
                  <c:v>BUL</c:v>
                </c:pt>
                <c:pt idx="19">
                  <c:v>POL</c:v>
                </c:pt>
                <c:pt idx="20">
                  <c:v>SCO</c:v>
                </c:pt>
                <c:pt idx="21">
                  <c:v>ITA</c:v>
                </c:pt>
                <c:pt idx="22">
                  <c:v>CZH</c:v>
                </c:pt>
                <c:pt idx="23">
                  <c:v>SRB</c:v>
                </c:pt>
                <c:pt idx="24">
                  <c:v>MAL</c:v>
                </c:pt>
                <c:pt idx="25">
                  <c:v>FIN</c:v>
                </c:pt>
                <c:pt idx="26">
                  <c:v>ENG</c:v>
                </c:pt>
                <c:pt idx="27">
                  <c:v>SLK</c:v>
                </c:pt>
                <c:pt idx="28">
                  <c:v>ROM</c:v>
                </c:pt>
                <c:pt idx="29">
                  <c:v>TUR</c:v>
                </c:pt>
                <c:pt idx="30">
                  <c:v>GRE</c:v>
                </c:pt>
                <c:pt idx="31">
                  <c:v>HUN</c:v>
                </c:pt>
                <c:pt idx="32">
                  <c:v>SLN</c:v>
                </c:pt>
                <c:pt idx="33">
                  <c:v>ALB</c:v>
                </c:pt>
                <c:pt idx="34">
                  <c:v>BOS</c:v>
                </c:pt>
                <c:pt idx="35">
                  <c:v>MAC</c:v>
                </c:pt>
                <c:pt idx="36">
                  <c:v>CYP</c:v>
                </c:pt>
                <c:pt idx="37">
                  <c:v>POR</c:v>
                </c:pt>
                <c:pt idx="38">
                  <c:v>BEL</c:v>
                </c:pt>
                <c:pt idx="39">
                  <c:v>IRL</c:v>
                </c:pt>
                <c:pt idx="40">
                  <c:v>DEN</c:v>
                </c:pt>
              </c:strCache>
            </c:strRef>
          </c:cat>
          <c:val>
            <c:numRef>
              <c:f>célrendszerek!$CX$2:$CX$42</c:f>
              <c:numCache>
                <c:formatCode>General</c:formatCode>
                <c:ptCount val="41"/>
                <c:pt idx="0">
                  <c:v>13.709677419354838</c:v>
                </c:pt>
                <c:pt idx="1">
                  <c:v>9.5238095238095237</c:v>
                </c:pt>
                <c:pt idx="2">
                  <c:v>8.4337349397590362</c:v>
                </c:pt>
                <c:pt idx="3">
                  <c:v>7.608695652173914</c:v>
                </c:pt>
                <c:pt idx="4">
                  <c:v>6.8181818181818175</c:v>
                </c:pt>
                <c:pt idx="5">
                  <c:v>6.25</c:v>
                </c:pt>
                <c:pt idx="6">
                  <c:v>5.5555555555555554</c:v>
                </c:pt>
                <c:pt idx="7">
                  <c:v>5.55</c:v>
                </c:pt>
                <c:pt idx="8">
                  <c:v>4.5267489711934159</c:v>
                </c:pt>
                <c:pt idx="9">
                  <c:v>4.1666666666666661</c:v>
                </c:pt>
                <c:pt idx="10">
                  <c:v>4.0816326530612246</c:v>
                </c:pt>
                <c:pt idx="11">
                  <c:v>4.08</c:v>
                </c:pt>
                <c:pt idx="12">
                  <c:v>3.77</c:v>
                </c:pt>
                <c:pt idx="13">
                  <c:v>3.6144578313253009</c:v>
                </c:pt>
                <c:pt idx="14">
                  <c:v>3.535353535353535</c:v>
                </c:pt>
                <c:pt idx="15">
                  <c:v>3.3898305084745761</c:v>
                </c:pt>
                <c:pt idx="16">
                  <c:v>3.0303030303030303</c:v>
                </c:pt>
                <c:pt idx="17">
                  <c:v>2.9962546816479403</c:v>
                </c:pt>
                <c:pt idx="18">
                  <c:v>2.6490066225165565</c:v>
                </c:pt>
                <c:pt idx="19">
                  <c:v>2.5641025641025639</c:v>
                </c:pt>
                <c:pt idx="20">
                  <c:v>2.4509803921568629</c:v>
                </c:pt>
                <c:pt idx="21">
                  <c:v>2.2887323943661975</c:v>
                </c:pt>
                <c:pt idx="22">
                  <c:v>1.8518518518518516</c:v>
                </c:pt>
                <c:pt idx="23">
                  <c:v>1.8518518518518516</c:v>
                </c:pt>
                <c:pt idx="24">
                  <c:v>1.3888888888888888</c:v>
                </c:pt>
                <c:pt idx="25">
                  <c:v>1.3513513513513513</c:v>
                </c:pt>
                <c:pt idx="26">
                  <c:v>1.3333333333333335</c:v>
                </c:pt>
                <c:pt idx="27">
                  <c:v>1.0695187165775399</c:v>
                </c:pt>
                <c:pt idx="28">
                  <c:v>0.77519379844961245</c:v>
                </c:pt>
                <c:pt idx="29">
                  <c:v>0.77519379844961245</c:v>
                </c:pt>
                <c:pt idx="30">
                  <c:v>0.44247787610619471</c:v>
                </c:pt>
                <c:pt idx="31">
                  <c:v>0</c:v>
                </c:pt>
                <c:pt idx="32">
                  <c:v>0</c:v>
                </c:pt>
                <c:pt idx="33">
                  <c:v>0</c:v>
                </c:pt>
                <c:pt idx="34">
                  <c:v>0</c:v>
                </c:pt>
                <c:pt idx="35">
                  <c:v>0</c:v>
                </c:pt>
                <c:pt idx="36">
                  <c:v>0</c:v>
                </c:pt>
                <c:pt idx="37">
                  <c:v>0</c:v>
                </c:pt>
                <c:pt idx="38">
                  <c:v>0</c:v>
                </c:pt>
                <c:pt idx="39">
                  <c:v>0</c:v>
                </c:pt>
                <c:pt idx="40">
                  <c:v>0</c:v>
                </c:pt>
              </c:numCache>
            </c:numRef>
          </c:val>
          <c:extLst>
            <c:ext xmlns:c16="http://schemas.microsoft.com/office/drawing/2014/chart" uri="{C3380CC4-5D6E-409C-BE32-E72D297353CC}">
              <c16:uniqueId val="{00000000-E61B-4F7C-8B0F-05A5B6F19612}"/>
            </c:ext>
          </c:extLst>
        </c:ser>
        <c:dLbls>
          <c:showLegendKey val="0"/>
          <c:showVal val="0"/>
          <c:showCatName val="0"/>
          <c:showSerName val="0"/>
          <c:showPercent val="0"/>
          <c:showBubbleSize val="0"/>
        </c:dLbls>
        <c:gapWidth val="219"/>
        <c:overlap val="-27"/>
        <c:axId val="1764657424"/>
        <c:axId val="1764643024"/>
      </c:barChart>
      <c:catAx>
        <c:axId val="176465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764643024"/>
        <c:crosses val="autoZero"/>
        <c:auto val="1"/>
        <c:lblAlgn val="ctr"/>
        <c:lblOffset val="100"/>
        <c:noMultiLvlLbl val="0"/>
      </c:catAx>
      <c:valAx>
        <c:axId val="1764643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7646574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célrendszerek!$DA$1</c:f>
              <c:strCache>
                <c:ptCount val="1"/>
                <c:pt idx="0">
                  <c:v>Proportion of measures mentioning spatial MRE</c:v>
                </c:pt>
              </c:strCache>
            </c:strRef>
          </c:tx>
          <c:spPr>
            <a:solidFill>
              <a:schemeClr val="accent6">
                <a:lumMod val="60000"/>
                <a:lumOff val="40000"/>
              </a:schemeClr>
            </a:solidFill>
            <a:ln>
              <a:solidFill>
                <a:schemeClr val="accent6">
                  <a:lumMod val="50000"/>
                </a:schemeClr>
              </a:solidFill>
            </a:ln>
            <a:effectLst/>
          </c:spPr>
          <c:invertIfNegative val="0"/>
          <c:cat>
            <c:strRef>
              <c:f>célrendszerek!$CZ$2:$CZ$42</c:f>
              <c:strCache>
                <c:ptCount val="41"/>
                <c:pt idx="0">
                  <c:v>MAC</c:v>
                </c:pt>
                <c:pt idx="1">
                  <c:v>FIN</c:v>
                </c:pt>
                <c:pt idx="2">
                  <c:v>SRB</c:v>
                </c:pt>
                <c:pt idx="3">
                  <c:v>BEL</c:v>
                </c:pt>
                <c:pt idx="4">
                  <c:v>IRL</c:v>
                </c:pt>
                <c:pt idx="5">
                  <c:v>BOS</c:v>
                </c:pt>
                <c:pt idx="6">
                  <c:v>AUT</c:v>
                </c:pt>
                <c:pt idx="7">
                  <c:v>GER</c:v>
                </c:pt>
                <c:pt idx="8">
                  <c:v>GRE</c:v>
                </c:pt>
                <c:pt idx="9">
                  <c:v>LIT</c:v>
                </c:pt>
                <c:pt idx="10">
                  <c:v>CRO</c:v>
                </c:pt>
                <c:pt idx="11">
                  <c:v>FRA</c:v>
                </c:pt>
                <c:pt idx="12">
                  <c:v>KOS</c:v>
                </c:pt>
                <c:pt idx="13">
                  <c:v>BUL</c:v>
                </c:pt>
                <c:pt idx="14">
                  <c:v>ESP</c:v>
                </c:pt>
                <c:pt idx="15">
                  <c:v>SLK</c:v>
                </c:pt>
                <c:pt idx="16">
                  <c:v>LUX</c:v>
                </c:pt>
                <c:pt idx="17">
                  <c:v>ITA</c:v>
                </c:pt>
                <c:pt idx="18">
                  <c:v>SWI</c:v>
                </c:pt>
                <c:pt idx="19">
                  <c:v>TUR</c:v>
                </c:pt>
                <c:pt idx="20">
                  <c:v>HUN</c:v>
                </c:pt>
                <c:pt idx="21">
                  <c:v>LAT</c:v>
                </c:pt>
                <c:pt idx="22">
                  <c:v>NIR</c:v>
                </c:pt>
                <c:pt idx="23">
                  <c:v>NOR</c:v>
                </c:pt>
                <c:pt idx="24">
                  <c:v>MAL</c:v>
                </c:pt>
                <c:pt idx="25">
                  <c:v>POR</c:v>
                </c:pt>
                <c:pt idx="26">
                  <c:v>POL</c:v>
                </c:pt>
                <c:pt idx="27">
                  <c:v>SCO</c:v>
                </c:pt>
                <c:pt idx="28">
                  <c:v>ROM</c:v>
                </c:pt>
                <c:pt idx="29">
                  <c:v>MON</c:v>
                </c:pt>
                <c:pt idx="30">
                  <c:v>SWE</c:v>
                </c:pt>
                <c:pt idx="31">
                  <c:v>ENG</c:v>
                </c:pt>
                <c:pt idx="32">
                  <c:v>WAL</c:v>
                </c:pt>
                <c:pt idx="33">
                  <c:v>CYP</c:v>
                </c:pt>
                <c:pt idx="34">
                  <c:v>ALB</c:v>
                </c:pt>
                <c:pt idx="35">
                  <c:v>ICE</c:v>
                </c:pt>
                <c:pt idx="36">
                  <c:v>CZH</c:v>
                </c:pt>
                <c:pt idx="37">
                  <c:v>EST</c:v>
                </c:pt>
                <c:pt idx="38">
                  <c:v>SLN</c:v>
                </c:pt>
                <c:pt idx="39">
                  <c:v>NRL</c:v>
                </c:pt>
                <c:pt idx="40">
                  <c:v>DEN</c:v>
                </c:pt>
              </c:strCache>
            </c:strRef>
          </c:cat>
          <c:val>
            <c:numRef>
              <c:f>célrendszerek!$DA$2:$DA$42</c:f>
              <c:numCache>
                <c:formatCode>General</c:formatCode>
                <c:ptCount val="41"/>
                <c:pt idx="0">
                  <c:v>20</c:v>
                </c:pt>
                <c:pt idx="1">
                  <c:v>10.810810810810811</c:v>
                </c:pt>
                <c:pt idx="2">
                  <c:v>9.2592592592592595</c:v>
                </c:pt>
                <c:pt idx="3">
                  <c:v>9.0909090909090917</c:v>
                </c:pt>
                <c:pt idx="4">
                  <c:v>8.3333333333333321</c:v>
                </c:pt>
                <c:pt idx="5">
                  <c:v>7.6335877862595423</c:v>
                </c:pt>
                <c:pt idx="6">
                  <c:v>7.2580645161290329</c:v>
                </c:pt>
                <c:pt idx="7">
                  <c:v>7.0707070707070701</c:v>
                </c:pt>
                <c:pt idx="8">
                  <c:v>6.6371681415929213</c:v>
                </c:pt>
                <c:pt idx="9">
                  <c:v>6.1224489795918364</c:v>
                </c:pt>
                <c:pt idx="10">
                  <c:v>6.024096385542169</c:v>
                </c:pt>
                <c:pt idx="11">
                  <c:v>5.9925093632958806</c:v>
                </c:pt>
                <c:pt idx="12">
                  <c:v>5.55</c:v>
                </c:pt>
                <c:pt idx="13">
                  <c:v>5.298013245033113</c:v>
                </c:pt>
                <c:pt idx="14">
                  <c:v>5.0847457627118651</c:v>
                </c:pt>
                <c:pt idx="15">
                  <c:v>4.8128342245989302</c:v>
                </c:pt>
                <c:pt idx="16">
                  <c:v>4.7619047619047619</c:v>
                </c:pt>
                <c:pt idx="17">
                  <c:v>4.5774647887323949</c:v>
                </c:pt>
                <c:pt idx="18">
                  <c:v>4.1666666666666661</c:v>
                </c:pt>
                <c:pt idx="19">
                  <c:v>3.8759689922480618</c:v>
                </c:pt>
                <c:pt idx="20">
                  <c:v>3.6585365853658534</c:v>
                </c:pt>
                <c:pt idx="21">
                  <c:v>3.4090909090909087</c:v>
                </c:pt>
                <c:pt idx="22">
                  <c:v>3.2608695652173911</c:v>
                </c:pt>
                <c:pt idx="23">
                  <c:v>3.0303030303030303</c:v>
                </c:pt>
                <c:pt idx="24">
                  <c:v>2.7777777777777777</c:v>
                </c:pt>
                <c:pt idx="25">
                  <c:v>2.7027027027027026</c:v>
                </c:pt>
                <c:pt idx="26">
                  <c:v>2.5641025641025639</c:v>
                </c:pt>
                <c:pt idx="27">
                  <c:v>2.4509803921568629</c:v>
                </c:pt>
                <c:pt idx="28">
                  <c:v>2.3255813953488373</c:v>
                </c:pt>
                <c:pt idx="29">
                  <c:v>2.04</c:v>
                </c:pt>
                <c:pt idx="30">
                  <c:v>1.88</c:v>
                </c:pt>
                <c:pt idx="31">
                  <c:v>1.6666666666666701</c:v>
                </c:pt>
                <c:pt idx="32">
                  <c:v>1.6460905349794239</c:v>
                </c:pt>
                <c:pt idx="33">
                  <c:v>1.4925373134328357</c:v>
                </c:pt>
                <c:pt idx="34">
                  <c:v>1.4285714285714286</c:v>
                </c:pt>
                <c:pt idx="35">
                  <c:v>1.2048192771084338</c:v>
                </c:pt>
                <c:pt idx="36">
                  <c:v>0.92592592592592582</c:v>
                </c:pt>
                <c:pt idx="37">
                  <c:v>0</c:v>
                </c:pt>
                <c:pt idx="38">
                  <c:v>0</c:v>
                </c:pt>
                <c:pt idx="39">
                  <c:v>0</c:v>
                </c:pt>
                <c:pt idx="40">
                  <c:v>0</c:v>
                </c:pt>
              </c:numCache>
            </c:numRef>
          </c:val>
          <c:extLst>
            <c:ext xmlns:c16="http://schemas.microsoft.com/office/drawing/2014/chart" uri="{C3380CC4-5D6E-409C-BE32-E72D297353CC}">
              <c16:uniqueId val="{00000000-DDB0-4775-A25F-45674BF1C121}"/>
            </c:ext>
          </c:extLst>
        </c:ser>
        <c:dLbls>
          <c:showLegendKey val="0"/>
          <c:showVal val="0"/>
          <c:showCatName val="0"/>
          <c:showSerName val="0"/>
          <c:showPercent val="0"/>
          <c:showBubbleSize val="0"/>
        </c:dLbls>
        <c:gapWidth val="219"/>
        <c:overlap val="-27"/>
        <c:axId val="1950497472"/>
        <c:axId val="1950494592"/>
      </c:barChart>
      <c:catAx>
        <c:axId val="195049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494592"/>
        <c:crosses val="autoZero"/>
        <c:auto val="1"/>
        <c:lblAlgn val="ctr"/>
        <c:lblOffset val="100"/>
        <c:noMultiLvlLbl val="0"/>
      </c:catAx>
      <c:valAx>
        <c:axId val="1950494592"/>
        <c:scaling>
          <c:orientation val="minMax"/>
          <c:max val="22"/>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eorgia" panose="02040502050405020303" pitchFamily="18" charset="0"/>
                <a:ea typeface="+mn-ea"/>
                <a:cs typeface="+mn-cs"/>
              </a:defRPr>
            </a:pPr>
            <a:endParaRPr lang="hu-HU"/>
          </a:p>
        </c:txPr>
        <c:crossAx val="19504974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2ABF19-B871-48AF-A438-919227C9A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289</Pages>
  <Words>133677</Words>
  <Characters>862223</Characters>
  <Application>Microsoft Office Word</Application>
  <DocSecurity>0</DocSecurity>
  <Lines>11811</Lines>
  <Paragraphs>1964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993936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Sütő Attila Gergely</dc:creator>
  <cp:keywords/>
  <dc:description/>
  <cp:lastModifiedBy>Sütő Attila Gergely</cp:lastModifiedBy>
  <cp:revision>3</cp:revision>
  <cp:lastPrinted>2026-03-26T16:13:00Z</cp:lastPrinted>
  <dcterms:created xsi:type="dcterms:W3CDTF">2026-03-31T05:54:00Z</dcterms:created>
  <dcterms:modified xsi:type="dcterms:W3CDTF">2026-03-31T06:26:00Z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fa5cec07-8186-48ad-99b0-14d4c6c7940e</vt:lpwstr>
  </property>
</Properties>
</file>