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B1AE" w14:textId="6F12A37A" w:rsidR="008C7020" w:rsidRDefault="008C7020" w:rsidP="008C7020">
      <w:pPr>
        <w:rPr>
          <w:b/>
          <w:bCs/>
        </w:rPr>
      </w:pPr>
    </w:p>
    <w:p w14:paraId="5E082007" w14:textId="6B015FD8" w:rsidR="008C7020" w:rsidRDefault="008C7020" w:rsidP="008C7020">
      <w:pPr>
        <w:rPr>
          <w:b/>
          <w:bCs/>
        </w:rPr>
      </w:pPr>
    </w:p>
    <w:p w14:paraId="359A74C3" w14:textId="5D1D5263" w:rsidR="008C7020" w:rsidRDefault="008C7020" w:rsidP="008C7020">
      <w:pPr>
        <w:rPr>
          <w:b/>
          <w:bCs/>
        </w:rPr>
      </w:pPr>
    </w:p>
    <w:p w14:paraId="61D684F3" w14:textId="3916734F" w:rsidR="008C7020" w:rsidRDefault="008C7020" w:rsidP="008C7020">
      <w:pPr>
        <w:rPr>
          <w:b/>
          <w:bCs/>
        </w:rPr>
      </w:pPr>
      <w:r w:rsidRPr="008C702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16673" wp14:editId="00FC11F2">
                <wp:simplePos x="0" y="0"/>
                <wp:positionH relativeFrom="column">
                  <wp:posOffset>748030</wp:posOffset>
                </wp:positionH>
                <wp:positionV relativeFrom="paragraph">
                  <wp:posOffset>168275</wp:posOffset>
                </wp:positionV>
                <wp:extent cx="4562475" cy="318135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AE603" w14:textId="77777777" w:rsidR="008C7020" w:rsidRDefault="008C7020" w:rsidP="008C7020">
                            <w:pPr>
                              <w:jc w:val="center"/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32457415" w14:textId="77777777" w:rsidR="008C7020" w:rsidRDefault="008C7020" w:rsidP="008C7020">
                            <w:pPr>
                              <w:jc w:val="center"/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1C8A136D" w14:textId="47C6D77B" w:rsidR="008C7020" w:rsidRPr="008C7020" w:rsidRDefault="008C7020" w:rsidP="008C7020">
                            <w:pPr>
                              <w:jc w:val="center"/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sz w:val="44"/>
                                <w:szCs w:val="44"/>
                                <w:lang w:eastAsia="en-US"/>
                                <w14:ligatures w14:val="none"/>
                              </w:rPr>
                            </w:pPr>
                            <w:r w:rsidRPr="008C7020"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sz w:val="44"/>
                                <w:szCs w:val="44"/>
                                <w:lang w:eastAsia="en-US"/>
                                <w14:ligatures w14:val="none"/>
                              </w:rPr>
                              <w:t>CALL FOR NOMINATIONS</w:t>
                            </w:r>
                            <w:r w:rsidRPr="008C7020"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sz w:val="44"/>
                                <w:szCs w:val="44"/>
                                <w:lang w:eastAsia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3AE2E0A" w14:textId="426AF6C7" w:rsidR="008C7020" w:rsidRPr="008C7020" w:rsidRDefault="008C7020" w:rsidP="008C7020">
                            <w:pPr>
                              <w:jc w:val="center"/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sz w:val="44"/>
                                <w:szCs w:val="44"/>
                                <w:lang w:eastAsia="en-US"/>
                                <w14:ligatures w14:val="none"/>
                              </w:rPr>
                            </w:pPr>
                            <w:r w:rsidRPr="008C7020"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sz w:val="44"/>
                                <w:szCs w:val="44"/>
                                <w:lang w:eastAsia="en-US"/>
                                <w14:ligatures w14:val="none"/>
                              </w:rPr>
                              <w:t xml:space="preserve">TDK </w:t>
                            </w:r>
                            <w:proofErr w:type="spellStart"/>
                            <w:r w:rsidRPr="008C7020"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sz w:val="44"/>
                                <w:szCs w:val="44"/>
                                <w:lang w:eastAsia="en-US"/>
                                <w14:ligatures w14:val="none"/>
                              </w:rPr>
                              <w:t>Publication</w:t>
                            </w:r>
                            <w:proofErr w:type="spellEnd"/>
                            <w:r w:rsidRPr="008C7020"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sz w:val="44"/>
                                <w:szCs w:val="44"/>
                                <w:lang w:eastAsia="en-US"/>
                                <w14:ligatures w14:val="none"/>
                              </w:rPr>
                              <w:t xml:space="preserve"> Excellence </w:t>
                            </w:r>
                            <w:proofErr w:type="spellStart"/>
                            <w:r w:rsidRPr="008C7020"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sz w:val="44"/>
                                <w:szCs w:val="44"/>
                                <w:lang w:eastAsia="en-US"/>
                                <w14:ligatures w14:val="none"/>
                              </w:rPr>
                              <w:t>Award</w:t>
                            </w:r>
                            <w:proofErr w:type="spellEnd"/>
                          </w:p>
                          <w:p w14:paraId="41E61EAC" w14:textId="2C292B32" w:rsidR="008C7020" w:rsidRPr="008C7020" w:rsidRDefault="008C7020" w:rsidP="008C7020">
                            <w:pPr>
                              <w:jc w:val="center"/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34338C8B" w14:textId="1C7972DE" w:rsidR="008C7020" w:rsidRPr="008C7020" w:rsidRDefault="008C7020" w:rsidP="008C7020">
                            <w:pPr>
                              <w:jc w:val="center"/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lang w:eastAsia="en-US"/>
                                <w14:ligatures w14:val="none"/>
                              </w:rPr>
                            </w:pPr>
                            <w:r w:rsidRPr="008C7020"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lang w:eastAsia="en-US"/>
                                <w14:ligatures w14:val="none"/>
                              </w:rPr>
                              <w:t xml:space="preserve">For </w:t>
                            </w:r>
                            <w:proofErr w:type="spellStart"/>
                            <w:r w:rsidRPr="008C7020"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lang w:eastAsia="en-US"/>
                                <w14:ligatures w14:val="none"/>
                              </w:rPr>
                              <w:t>the</w:t>
                            </w:r>
                            <w:proofErr w:type="spellEnd"/>
                            <w:r w:rsidRPr="008C7020"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lang w:eastAsia="en-US"/>
                                <w14:ligatures w14:val="none"/>
                              </w:rPr>
                              <w:t xml:space="preserve"> 2024/2025 </w:t>
                            </w:r>
                            <w:proofErr w:type="spellStart"/>
                            <w:r w:rsidRPr="008C7020"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lang w:eastAsia="en-US"/>
                                <w14:ligatures w14:val="none"/>
                              </w:rPr>
                              <w:t>Academic</w:t>
                            </w:r>
                            <w:proofErr w:type="spellEnd"/>
                            <w:r w:rsidRPr="008C7020"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lang w:eastAsia="en-US"/>
                                <w14:ligatures w14:val="none"/>
                              </w:rPr>
                              <w:t xml:space="preserve"> Year</w:t>
                            </w:r>
                            <w:r w:rsidRPr="008C7020">
                              <w:rPr>
                                <w:rFonts w:ascii="Georgia" w:eastAsia="Arial Narrow" w:hAnsi="Georgia"/>
                                <w:b/>
                                <w:bCs/>
                                <w:color w:val="002060"/>
                                <w:kern w:val="0"/>
                                <w:lang w:eastAsia="en-US"/>
                                <w14:ligatures w14:val="none"/>
                              </w:rPr>
                              <w:br/>
                            </w:r>
                          </w:p>
                          <w:p w14:paraId="4BC16291" w14:textId="5F491231" w:rsidR="008C7020" w:rsidRDefault="008C7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667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58.9pt;margin-top:13.25pt;width:359.25pt;height:2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">
                <v:textbox>
                  <w:txbxContent>
                    <w:p w14:paraId="4B2AE603" w14:textId="77777777" w:rsidR="008C7020" w:rsidRDefault="008C7020" w:rsidP="008C7020">
                      <w:pPr>
                        <w:jc w:val="center"/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lang w:eastAsia="en-US"/>
                          <w14:ligatures w14:val="none"/>
                        </w:rPr>
                      </w:pPr>
                    </w:p>
                    <w:p w14:paraId="32457415" w14:textId="77777777" w:rsidR="008C7020" w:rsidRDefault="008C7020" w:rsidP="008C7020">
                      <w:pPr>
                        <w:jc w:val="center"/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lang w:eastAsia="en-US"/>
                          <w14:ligatures w14:val="none"/>
                        </w:rPr>
                      </w:pPr>
                    </w:p>
                    <w:p w14:paraId="1C8A136D" w14:textId="47C6D77B" w:rsidR="008C7020" w:rsidRPr="008C7020" w:rsidRDefault="008C7020" w:rsidP="008C7020">
                      <w:pPr>
                        <w:jc w:val="center"/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sz w:val="44"/>
                          <w:szCs w:val="44"/>
                          <w:lang w:eastAsia="en-US"/>
                          <w14:ligatures w14:val="none"/>
                        </w:rPr>
                      </w:pPr>
                      <w:r w:rsidRPr="008C7020"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sz w:val="44"/>
                          <w:szCs w:val="44"/>
                          <w:lang w:eastAsia="en-US"/>
                          <w14:ligatures w14:val="none"/>
                        </w:rPr>
                        <w:t>CALL FOR NOMINATIONS</w:t>
                      </w:r>
                      <w:r w:rsidRPr="008C7020"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sz w:val="44"/>
                          <w:szCs w:val="44"/>
                          <w:lang w:eastAsia="en-US"/>
                          <w14:ligatures w14:val="none"/>
                        </w:rPr>
                        <w:t xml:space="preserve"> </w:t>
                      </w:r>
                    </w:p>
                    <w:p w14:paraId="63AE2E0A" w14:textId="426AF6C7" w:rsidR="008C7020" w:rsidRPr="008C7020" w:rsidRDefault="008C7020" w:rsidP="008C7020">
                      <w:pPr>
                        <w:jc w:val="center"/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sz w:val="44"/>
                          <w:szCs w:val="44"/>
                          <w:lang w:eastAsia="en-US"/>
                          <w14:ligatures w14:val="none"/>
                        </w:rPr>
                      </w:pPr>
                      <w:r w:rsidRPr="008C7020"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sz w:val="44"/>
                          <w:szCs w:val="44"/>
                          <w:lang w:eastAsia="en-US"/>
                          <w14:ligatures w14:val="none"/>
                        </w:rPr>
                        <w:t xml:space="preserve">TDK </w:t>
                      </w:r>
                      <w:proofErr w:type="spellStart"/>
                      <w:r w:rsidRPr="008C7020"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sz w:val="44"/>
                          <w:szCs w:val="44"/>
                          <w:lang w:eastAsia="en-US"/>
                          <w14:ligatures w14:val="none"/>
                        </w:rPr>
                        <w:t>Publication</w:t>
                      </w:r>
                      <w:proofErr w:type="spellEnd"/>
                      <w:r w:rsidRPr="008C7020"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sz w:val="44"/>
                          <w:szCs w:val="44"/>
                          <w:lang w:eastAsia="en-US"/>
                          <w14:ligatures w14:val="none"/>
                        </w:rPr>
                        <w:t xml:space="preserve"> Excellence </w:t>
                      </w:r>
                      <w:proofErr w:type="spellStart"/>
                      <w:r w:rsidRPr="008C7020"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sz w:val="44"/>
                          <w:szCs w:val="44"/>
                          <w:lang w:eastAsia="en-US"/>
                          <w14:ligatures w14:val="none"/>
                        </w:rPr>
                        <w:t>Award</w:t>
                      </w:r>
                      <w:proofErr w:type="spellEnd"/>
                    </w:p>
                    <w:p w14:paraId="41E61EAC" w14:textId="2C292B32" w:rsidR="008C7020" w:rsidRPr="008C7020" w:rsidRDefault="008C7020" w:rsidP="008C7020">
                      <w:pPr>
                        <w:jc w:val="center"/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lang w:eastAsia="en-US"/>
                          <w14:ligatures w14:val="none"/>
                        </w:rPr>
                      </w:pPr>
                    </w:p>
                    <w:p w14:paraId="34338C8B" w14:textId="1C7972DE" w:rsidR="008C7020" w:rsidRPr="008C7020" w:rsidRDefault="008C7020" w:rsidP="008C7020">
                      <w:pPr>
                        <w:jc w:val="center"/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lang w:eastAsia="en-US"/>
                          <w14:ligatures w14:val="none"/>
                        </w:rPr>
                      </w:pPr>
                      <w:r w:rsidRPr="008C7020"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lang w:eastAsia="en-US"/>
                          <w14:ligatures w14:val="none"/>
                        </w:rPr>
                        <w:t xml:space="preserve">For </w:t>
                      </w:r>
                      <w:proofErr w:type="spellStart"/>
                      <w:r w:rsidRPr="008C7020"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lang w:eastAsia="en-US"/>
                          <w14:ligatures w14:val="none"/>
                        </w:rPr>
                        <w:t>the</w:t>
                      </w:r>
                      <w:proofErr w:type="spellEnd"/>
                      <w:r w:rsidRPr="008C7020"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lang w:eastAsia="en-US"/>
                          <w14:ligatures w14:val="none"/>
                        </w:rPr>
                        <w:t xml:space="preserve"> 2024/2025 </w:t>
                      </w:r>
                      <w:proofErr w:type="spellStart"/>
                      <w:r w:rsidRPr="008C7020"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lang w:eastAsia="en-US"/>
                          <w14:ligatures w14:val="none"/>
                        </w:rPr>
                        <w:t>Academic</w:t>
                      </w:r>
                      <w:proofErr w:type="spellEnd"/>
                      <w:r w:rsidRPr="008C7020"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lang w:eastAsia="en-US"/>
                          <w14:ligatures w14:val="none"/>
                        </w:rPr>
                        <w:t xml:space="preserve"> Year</w:t>
                      </w:r>
                      <w:r w:rsidRPr="008C7020">
                        <w:rPr>
                          <w:rFonts w:ascii="Georgia" w:eastAsia="Arial Narrow" w:hAnsi="Georgia"/>
                          <w:b/>
                          <w:bCs/>
                          <w:color w:val="002060"/>
                          <w:kern w:val="0"/>
                          <w:lang w:eastAsia="en-US"/>
                          <w14:ligatures w14:val="none"/>
                        </w:rPr>
                        <w:br/>
                      </w:r>
                    </w:p>
                    <w:p w14:paraId="4BC16291" w14:textId="5F491231" w:rsidR="008C7020" w:rsidRDefault="008C7020"/>
                  </w:txbxContent>
                </v:textbox>
                <w10:wrap type="square"/>
              </v:shape>
            </w:pict>
          </mc:Fallback>
        </mc:AlternateContent>
      </w:r>
    </w:p>
    <w:p w14:paraId="7D014537" w14:textId="58E1582A" w:rsidR="008C7020" w:rsidRDefault="008C7020" w:rsidP="008C7020">
      <w:pPr>
        <w:rPr>
          <w:b/>
          <w:bCs/>
        </w:rPr>
      </w:pPr>
    </w:p>
    <w:p w14:paraId="295456CE" w14:textId="72EC5015" w:rsidR="008C7020" w:rsidRDefault="008C7020" w:rsidP="008C7020">
      <w:pPr>
        <w:rPr>
          <w:b/>
          <w:bCs/>
        </w:rPr>
      </w:pPr>
    </w:p>
    <w:p w14:paraId="57E2FE75" w14:textId="57617E09" w:rsidR="008C7020" w:rsidRDefault="008C7020" w:rsidP="008C7020">
      <w:pPr>
        <w:rPr>
          <w:b/>
          <w:bCs/>
        </w:rPr>
      </w:pPr>
    </w:p>
    <w:p w14:paraId="13E181F1" w14:textId="0F6F70C0" w:rsidR="008C7020" w:rsidRDefault="008C7020" w:rsidP="008C7020">
      <w:pPr>
        <w:rPr>
          <w:b/>
          <w:bCs/>
        </w:rPr>
      </w:pPr>
    </w:p>
    <w:p w14:paraId="12297392" w14:textId="77777777" w:rsidR="008C7020" w:rsidRDefault="008C7020" w:rsidP="008C7020">
      <w:pPr>
        <w:rPr>
          <w:b/>
          <w:bCs/>
        </w:rPr>
      </w:pPr>
    </w:p>
    <w:p w14:paraId="44B2AAC0" w14:textId="77777777" w:rsidR="008C7020" w:rsidRDefault="008C7020" w:rsidP="008C7020">
      <w:pPr>
        <w:rPr>
          <w:b/>
          <w:bCs/>
        </w:rPr>
      </w:pPr>
    </w:p>
    <w:p w14:paraId="55A58404" w14:textId="77777777" w:rsidR="008C7020" w:rsidRDefault="008C7020" w:rsidP="008C7020">
      <w:pPr>
        <w:rPr>
          <w:b/>
          <w:bCs/>
        </w:rPr>
      </w:pPr>
    </w:p>
    <w:p w14:paraId="5DEAFD98" w14:textId="77777777" w:rsidR="008C7020" w:rsidRDefault="008C7020" w:rsidP="008C7020">
      <w:pPr>
        <w:rPr>
          <w:b/>
          <w:bCs/>
        </w:rPr>
      </w:pPr>
    </w:p>
    <w:p w14:paraId="40D97479" w14:textId="77777777" w:rsidR="008C7020" w:rsidRDefault="008C7020" w:rsidP="008C7020">
      <w:pPr>
        <w:rPr>
          <w:b/>
          <w:bCs/>
        </w:rPr>
      </w:pPr>
    </w:p>
    <w:p w14:paraId="0D59E5F4" w14:textId="77777777" w:rsidR="008C7020" w:rsidRDefault="008C7020" w:rsidP="008C7020">
      <w:pPr>
        <w:rPr>
          <w:b/>
          <w:bCs/>
        </w:rPr>
      </w:pPr>
    </w:p>
    <w:p w14:paraId="00029998" w14:textId="77777777" w:rsidR="008C7020" w:rsidRDefault="008C7020" w:rsidP="008C7020">
      <w:pPr>
        <w:rPr>
          <w:b/>
          <w:bCs/>
        </w:rPr>
      </w:pPr>
    </w:p>
    <w:p w14:paraId="4D20889E" w14:textId="77777777" w:rsidR="008C7020" w:rsidRDefault="008C7020" w:rsidP="008C7020">
      <w:pPr>
        <w:rPr>
          <w:b/>
          <w:bCs/>
        </w:rPr>
      </w:pPr>
    </w:p>
    <w:p w14:paraId="4FC92DB2" w14:textId="77777777" w:rsidR="008C7020" w:rsidRDefault="008C7020" w:rsidP="008C7020">
      <w:pPr>
        <w:rPr>
          <w:b/>
          <w:bCs/>
        </w:rPr>
      </w:pPr>
    </w:p>
    <w:p w14:paraId="16FA0D9B" w14:textId="77777777" w:rsidR="008C7020" w:rsidRDefault="008C7020" w:rsidP="008C7020">
      <w:pPr>
        <w:rPr>
          <w:b/>
          <w:bCs/>
        </w:rPr>
      </w:pPr>
    </w:p>
    <w:p w14:paraId="241CCCA9" w14:textId="77777777" w:rsidR="008C7020" w:rsidRDefault="008C7020" w:rsidP="008C7020">
      <w:pPr>
        <w:rPr>
          <w:b/>
          <w:bCs/>
        </w:rPr>
      </w:pPr>
    </w:p>
    <w:p w14:paraId="717EAFA0" w14:textId="77777777" w:rsidR="008C7020" w:rsidRDefault="008C7020" w:rsidP="008C7020">
      <w:pPr>
        <w:rPr>
          <w:b/>
          <w:bCs/>
        </w:rPr>
      </w:pPr>
    </w:p>
    <w:p w14:paraId="26B3BF45" w14:textId="77777777" w:rsidR="008C7020" w:rsidRDefault="008C7020" w:rsidP="008C7020">
      <w:pPr>
        <w:rPr>
          <w:b/>
          <w:bCs/>
        </w:rPr>
      </w:pPr>
    </w:p>
    <w:p w14:paraId="76A75916" w14:textId="77777777" w:rsidR="008C7020" w:rsidRDefault="008C7020" w:rsidP="008C7020">
      <w:pPr>
        <w:rPr>
          <w:b/>
          <w:bCs/>
        </w:rPr>
      </w:pPr>
    </w:p>
    <w:p w14:paraId="7808B0D8" w14:textId="77777777" w:rsidR="008C7020" w:rsidRDefault="008C7020" w:rsidP="008C7020">
      <w:pPr>
        <w:rPr>
          <w:b/>
          <w:bCs/>
        </w:rPr>
      </w:pPr>
    </w:p>
    <w:p w14:paraId="2B6CBB71" w14:textId="77777777" w:rsidR="008C7020" w:rsidRDefault="008C7020" w:rsidP="008C7020">
      <w:pPr>
        <w:rPr>
          <w:b/>
          <w:bCs/>
        </w:rPr>
      </w:pPr>
    </w:p>
    <w:p w14:paraId="4335AD7A" w14:textId="77777777" w:rsidR="008C7020" w:rsidRDefault="008C7020" w:rsidP="008C7020">
      <w:pPr>
        <w:rPr>
          <w:b/>
          <w:bCs/>
        </w:rPr>
      </w:pPr>
    </w:p>
    <w:p w14:paraId="0DB510D0" w14:textId="77777777" w:rsidR="008C7020" w:rsidRDefault="008C7020" w:rsidP="008C7020">
      <w:pPr>
        <w:rPr>
          <w:b/>
          <w:bCs/>
        </w:rPr>
      </w:pPr>
    </w:p>
    <w:p w14:paraId="5CEF65DB" w14:textId="77777777" w:rsidR="008C7020" w:rsidRDefault="008C7020" w:rsidP="008C7020">
      <w:pPr>
        <w:rPr>
          <w:b/>
          <w:bCs/>
        </w:rPr>
      </w:pPr>
    </w:p>
    <w:p w14:paraId="543A741A" w14:textId="77777777" w:rsidR="008C7020" w:rsidRDefault="008C7020" w:rsidP="008C7020">
      <w:pPr>
        <w:rPr>
          <w:b/>
          <w:bCs/>
        </w:rPr>
      </w:pPr>
    </w:p>
    <w:p w14:paraId="450CD6CA" w14:textId="77777777" w:rsidR="008C7020" w:rsidRDefault="008C7020" w:rsidP="008C7020">
      <w:pPr>
        <w:rPr>
          <w:b/>
          <w:bCs/>
        </w:rPr>
      </w:pPr>
    </w:p>
    <w:p w14:paraId="3DCD09F6" w14:textId="77777777" w:rsidR="008C7020" w:rsidRDefault="008C7020" w:rsidP="008C7020">
      <w:pPr>
        <w:rPr>
          <w:b/>
          <w:bCs/>
        </w:rPr>
      </w:pPr>
    </w:p>
    <w:p w14:paraId="169574D1" w14:textId="7ECB0234" w:rsidR="008C7020" w:rsidRPr="008C7020" w:rsidRDefault="008C7020" w:rsidP="008C7020">
      <w:pPr>
        <w:jc w:val="center"/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</w:pPr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CALL FOR NOMINATIONS</w:t>
      </w:r>
    </w:p>
    <w:p w14:paraId="7EAF44D2" w14:textId="77777777" w:rsidR="008C7020" w:rsidRDefault="008C7020" w:rsidP="008C7020">
      <w:pPr>
        <w:jc w:val="center"/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</w:pPr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For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2024/2025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Academic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Year</w:t>
      </w:r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br/>
        <w:t xml:space="preserve">TDK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Excellence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Award</w:t>
      </w:r>
      <w:proofErr w:type="spellEnd"/>
    </w:p>
    <w:p w14:paraId="7B2B80B2" w14:textId="77777777" w:rsidR="008C7020" w:rsidRPr="008C7020" w:rsidRDefault="008C7020" w:rsidP="008C7020">
      <w:pPr>
        <w:jc w:val="center"/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</w:pPr>
    </w:p>
    <w:p w14:paraId="24F036C2" w14:textId="77777777" w:rsidR="008C7020" w:rsidRDefault="008C7020" w:rsidP="008C7020">
      <w:pPr>
        <w:jc w:val="center"/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</w:pPr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The Budapest Corvinus University,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based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on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Presidential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Committee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Resolution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No. 15/2022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regarding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awards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for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students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,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announces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a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call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for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TDK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Excellence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Award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for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students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and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staff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University for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second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semester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2024/2025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academic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year</w:t>
      </w:r>
      <w:proofErr w:type="spellEnd"/>
      <w:r w:rsidRPr="008C7020"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  <w:t>.</w:t>
      </w:r>
    </w:p>
    <w:p w14:paraId="0C2A5FC3" w14:textId="77777777" w:rsidR="008C7020" w:rsidRDefault="008C7020" w:rsidP="008C7020">
      <w:pPr>
        <w:jc w:val="center"/>
        <w:rPr>
          <w:rFonts w:ascii="Georgia" w:eastAsia="Arial Narrow" w:hAnsi="Georgia"/>
          <w:b/>
          <w:bCs/>
          <w:color w:val="002060"/>
          <w:kern w:val="0"/>
          <w:lang w:eastAsia="en-US"/>
          <w14:ligatures w14:val="none"/>
        </w:rPr>
      </w:pPr>
    </w:p>
    <w:p w14:paraId="6B136D74" w14:textId="77777777" w:rsidR="008C7020" w:rsidRPr="008C7020" w:rsidRDefault="008C7020" w:rsidP="008C7020">
      <w:pPr>
        <w:jc w:val="center"/>
        <w:rPr>
          <w:rFonts w:ascii="Georgia" w:eastAsia="Arial Narrow" w:hAnsi="Georgia"/>
          <w:color w:val="002060"/>
          <w:kern w:val="0"/>
          <w:lang w:eastAsia="en-US"/>
          <w14:ligatures w14:val="none"/>
        </w:rPr>
      </w:pPr>
    </w:p>
    <w:p w14:paraId="2E717DBB" w14:textId="77777777" w:rsidR="008C7020" w:rsidRPr="008C7020" w:rsidRDefault="008C7020" w:rsidP="008C7020">
      <w:pPr>
        <w:rPr>
          <w:rFonts w:ascii="Georgia" w:eastAsia="Arial Narrow" w:hAnsi="Georgia"/>
          <w:color w:val="002060"/>
          <w:kern w:val="0"/>
          <w:lang w:eastAsia="en-US"/>
          <w14:ligatures w14:val="none"/>
        </w:rPr>
      </w:pP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(1) The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goal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TDK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Excellence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Award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is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to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encourage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continuation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TDK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research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and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results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in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recognized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and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prestigious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academic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platforms.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(2) The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award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be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conferred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Rector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(3)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students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and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staff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members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University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are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eligible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to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(4) The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conditions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for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submitting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an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are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: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a)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least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one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author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TDK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thesis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forming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basis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must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have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had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active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student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status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University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during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semester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submission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b) The TDK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thesis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must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have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been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submitted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a TDK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conference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organized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University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between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September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1, 2020, and May 31, 2025.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(5) The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must be for a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that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clearly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references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(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either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in a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footnote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in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main text)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that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it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is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based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a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thesis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from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University’s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TDK (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Scientific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Students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’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Associations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). The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must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include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: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a) The TDK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thesis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that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forms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basis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b)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If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has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been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published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article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based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TDK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thesis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c)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If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is in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process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, a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letter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acceptance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and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final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manuscript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d) A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supporting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statement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from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any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author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who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is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not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affiliated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with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University,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confirming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that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student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staff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member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submitting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is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eligible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to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with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co-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authored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work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(6) The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award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be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granted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only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to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those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with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an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active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student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status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staff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employment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University.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(7) The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award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consists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a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one-time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monetary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prize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:</w:t>
      </w:r>
    </w:p>
    <w:p w14:paraId="52F12CD3" w14:textId="77777777" w:rsidR="008C7020" w:rsidRPr="008C7020" w:rsidRDefault="008C7020" w:rsidP="008C7020">
      <w:pPr>
        <w:numPr>
          <w:ilvl w:val="0"/>
          <w:numId w:val="1"/>
        </w:numPr>
        <w:rPr>
          <w:rFonts w:ascii="Georgia" w:eastAsia="Arial Narrow" w:hAnsi="Georgia"/>
          <w:color w:val="002060"/>
          <w:kern w:val="0"/>
          <w:lang w:eastAsia="en-US"/>
          <w14:ligatures w14:val="none"/>
        </w:rPr>
      </w:pP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For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in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Hungarian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: 120,000 HUF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gross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per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</w:t>
      </w:r>
      <w:proofErr w:type="spellEnd"/>
    </w:p>
    <w:p w14:paraId="095175D8" w14:textId="77777777" w:rsidR="008C7020" w:rsidRPr="008C7020" w:rsidRDefault="008C7020" w:rsidP="008C7020">
      <w:pPr>
        <w:numPr>
          <w:ilvl w:val="0"/>
          <w:numId w:val="1"/>
        </w:numPr>
        <w:rPr>
          <w:rFonts w:ascii="Georgia" w:eastAsia="Arial Narrow" w:hAnsi="Georgia"/>
          <w:color w:val="002060"/>
          <w:kern w:val="0"/>
          <w:lang w:eastAsia="en-US"/>
          <w14:ligatures w14:val="none"/>
        </w:rPr>
      </w:pP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For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in English: 250,000 HUF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gross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per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The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award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is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granted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per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submitted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work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so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if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thesis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has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multiple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authors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award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be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divided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according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to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their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given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statements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;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if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no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such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statements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are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provided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amount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be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equally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split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.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If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one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authors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lastRenderedPageBreak/>
        <w:t xml:space="preserve">is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not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affiliated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with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University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a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student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staff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member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portion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prize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designated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for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that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author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be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shared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among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those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affiliated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with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University.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(8) The University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award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prize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after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completion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institutional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TDK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competition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(9)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Applications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and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attachments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must be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submitted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via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Neptun:</w:t>
      </w:r>
    </w:p>
    <w:p w14:paraId="1522951F" w14:textId="77777777" w:rsidR="008C7020" w:rsidRPr="008C7020" w:rsidRDefault="008C7020" w:rsidP="008C7020">
      <w:pPr>
        <w:numPr>
          <w:ilvl w:val="0"/>
          <w:numId w:val="1"/>
        </w:numPr>
        <w:rPr>
          <w:rFonts w:ascii="Georgia" w:eastAsia="Arial Narrow" w:hAnsi="Georgia"/>
          <w:color w:val="002060"/>
          <w:kern w:val="0"/>
          <w:lang w:eastAsia="en-US"/>
          <w14:ligatures w14:val="none"/>
        </w:rPr>
      </w:pP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For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student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applicants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: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Under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"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Administration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/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Requests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/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Fillable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Requests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"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section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through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request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“P603-TDK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Excellence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Award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(H) 2024/2025/2”.</w:t>
      </w:r>
    </w:p>
    <w:p w14:paraId="6ABF7BD5" w14:textId="77777777" w:rsidR="008C7020" w:rsidRPr="008C7020" w:rsidRDefault="008C7020" w:rsidP="008C7020">
      <w:pPr>
        <w:numPr>
          <w:ilvl w:val="0"/>
          <w:numId w:val="1"/>
        </w:numPr>
        <w:rPr>
          <w:rFonts w:ascii="Georgia" w:eastAsia="Arial Narrow" w:hAnsi="Georgia"/>
          <w:color w:val="002060"/>
          <w:kern w:val="0"/>
          <w:lang w:eastAsia="en-US"/>
          <w14:ligatures w14:val="none"/>
        </w:rPr>
      </w:pP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For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staff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applicants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: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Under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"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Administration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/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Requests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/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Fillable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Requests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"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section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through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request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“O101-TDK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Excellence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Award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(M) 2024/2025/2”.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The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period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begins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June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16, 2025,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10:00 AM, and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deadline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for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submission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is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June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20, 2025,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12:00 PM.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Late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applications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not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be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considered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, and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there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is no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possibility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to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submit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documents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after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deadline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(10) No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supplementary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documents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be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accepted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after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deadline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.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Applications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be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evaluated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based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solely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submitted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documents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(11)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Applications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be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evaluated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a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three-member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professional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committee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in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each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scientific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field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(GTDT, KTDT, TTDT),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appointed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chairperson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relevant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TDT (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Scientific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Students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’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Associations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) in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agreement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with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chair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ETDT (National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Scientific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Students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’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Association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). The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chair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relevant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TDT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be a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permanent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member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each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committee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(12)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Evaluation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Criteria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: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>a) For English-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language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: Minimum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Scopus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Q2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ranking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b) For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Hungarian-language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: Minimum MTA-A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ranking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c)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If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total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amount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required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for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awards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exceeds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available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budget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specified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in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call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applications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be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ranked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according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to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AIP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score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of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journal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in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which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appears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.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Only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those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publications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that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match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budget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will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be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considered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for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monetary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awards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.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(13)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There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is no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possibility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for an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appeal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or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legal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remedy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against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the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decision.</w:t>
      </w:r>
    </w:p>
    <w:p w14:paraId="7C58E703" w14:textId="77777777" w:rsidR="008C7020" w:rsidRDefault="008C7020" w:rsidP="008C7020">
      <w:pPr>
        <w:rPr>
          <w:rFonts w:ascii="Georgia" w:eastAsia="Arial Narrow" w:hAnsi="Georgia"/>
          <w:color w:val="002060"/>
          <w:kern w:val="0"/>
          <w:lang w:eastAsia="en-US"/>
          <w14:ligatures w14:val="none"/>
        </w:rPr>
      </w:pPr>
    </w:p>
    <w:p w14:paraId="08CD32CC" w14:textId="77777777" w:rsidR="008C7020" w:rsidRDefault="008C7020" w:rsidP="008C7020">
      <w:pPr>
        <w:rPr>
          <w:rFonts w:ascii="Georgia" w:eastAsia="Arial Narrow" w:hAnsi="Georgia"/>
          <w:color w:val="002060"/>
          <w:kern w:val="0"/>
          <w:lang w:eastAsia="en-US"/>
          <w14:ligatures w14:val="none"/>
        </w:rPr>
      </w:pPr>
    </w:p>
    <w:p w14:paraId="1A002C19" w14:textId="77777777" w:rsidR="008C7020" w:rsidRDefault="008C7020" w:rsidP="008C7020">
      <w:pPr>
        <w:rPr>
          <w:rFonts w:ascii="Georgia" w:eastAsia="Arial Narrow" w:hAnsi="Georgia"/>
          <w:color w:val="002060"/>
          <w:kern w:val="0"/>
          <w:lang w:eastAsia="en-US"/>
          <w14:ligatures w14:val="none"/>
        </w:rPr>
      </w:pPr>
    </w:p>
    <w:p w14:paraId="4EFE95B6" w14:textId="43226818" w:rsidR="008C7020" w:rsidRPr="008C7020" w:rsidRDefault="008C7020" w:rsidP="008C7020">
      <w:pPr>
        <w:rPr>
          <w:rFonts w:ascii="Georgia" w:eastAsia="Arial Narrow" w:hAnsi="Georgia"/>
          <w:color w:val="002060"/>
          <w:kern w:val="0"/>
          <w:lang w:eastAsia="en-US"/>
          <w14:ligatures w14:val="none"/>
        </w:rPr>
      </w:pP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Budapest,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June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12, 2025.</w:t>
      </w:r>
    </w:p>
    <w:p w14:paraId="17C24036" w14:textId="77777777" w:rsidR="008C7020" w:rsidRPr="008C7020" w:rsidRDefault="008C7020" w:rsidP="008C7020">
      <w:pPr>
        <w:ind w:left="4956" w:firstLine="708"/>
        <w:rPr>
          <w:rFonts w:ascii="Georgia" w:eastAsia="Arial Narrow" w:hAnsi="Georgia"/>
          <w:color w:val="002060"/>
          <w:kern w:val="0"/>
          <w:lang w:eastAsia="en-US"/>
          <w14:ligatures w14:val="none"/>
        </w:rPr>
      </w:pP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Dr. Judit Nagy</w:t>
      </w:r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br/>
        <w:t xml:space="preserve">Vice </w:t>
      </w:r>
      <w:proofErr w:type="spellStart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>Rector</w:t>
      </w:r>
      <w:proofErr w:type="spellEnd"/>
      <w:r w:rsidRPr="008C7020">
        <w:rPr>
          <w:rFonts w:ascii="Georgia" w:eastAsia="Arial Narrow" w:hAnsi="Georgia"/>
          <w:color w:val="002060"/>
          <w:kern w:val="0"/>
          <w:lang w:eastAsia="en-US"/>
          <w14:ligatures w14:val="none"/>
        </w:rPr>
        <w:t xml:space="preserve"> for Student Affairs</w:t>
      </w:r>
    </w:p>
    <w:p w14:paraId="3349D10A" w14:textId="77777777" w:rsidR="00AA5BB8" w:rsidRPr="008C7020" w:rsidRDefault="00AA5BB8">
      <w:pPr>
        <w:rPr>
          <w:rFonts w:ascii="Georgia" w:eastAsia="Arial Narrow" w:hAnsi="Georgia"/>
          <w:color w:val="002060"/>
          <w:kern w:val="0"/>
          <w:lang w:eastAsia="en-US"/>
          <w14:ligatures w14:val="none"/>
        </w:rPr>
      </w:pPr>
    </w:p>
    <w:sectPr w:rsidR="00AA5BB8" w:rsidRPr="008C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E57A4"/>
    <w:multiLevelType w:val="multilevel"/>
    <w:tmpl w:val="FD02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90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20"/>
    <w:rsid w:val="00091496"/>
    <w:rsid w:val="007B4C88"/>
    <w:rsid w:val="008C7020"/>
    <w:rsid w:val="00AA5BB8"/>
    <w:rsid w:val="00AD1716"/>
    <w:rsid w:val="00AD53A7"/>
    <w:rsid w:val="00D969C6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3F934"/>
  <w15:chartTrackingRefBased/>
  <w15:docId w15:val="{05CC0389-D27F-4A44-9C5B-9D1EF1B2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7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7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C7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7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7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7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7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7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7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C7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7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7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702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702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70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70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70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70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C7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C7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C7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C7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C7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C70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C70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C702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C7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C702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C7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708A1F0D1EE4C899D916031A8324D" ma:contentTypeVersion="16" ma:contentTypeDescription="Create a new document." ma:contentTypeScope="" ma:versionID="e69f5d348499c848180ef38ca3feeb18">
  <xsd:schema xmlns:xsd="http://www.w3.org/2001/XMLSchema" xmlns:xs="http://www.w3.org/2001/XMLSchema" xmlns:p="http://schemas.microsoft.com/office/2006/metadata/properties" xmlns:ns2="a2d1769d-cb30-4662-a897-8f762aac7660" xmlns:ns3="2c0fcf54-db9b-4855-917c-aaa92675f01f" targetNamespace="http://schemas.microsoft.com/office/2006/metadata/properties" ma:root="true" ma:fieldsID="9b518fc6e1ed7e5cb575a2706bfa2a2b" ns2:_="" ns3:_="">
    <xsd:import namespace="a2d1769d-cb30-4662-a897-8f762aac7660"/>
    <xsd:import namespace="2c0fcf54-db9b-4855-917c-aaa92675f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69d-cb30-4662-a897-8f762aac7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cf54-db9b-4855-917c-aaa92675f0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63122-1c07-4d0d-a428-a240302c0f83}" ma:internalName="TaxCatchAll" ma:showField="CatchAllData" ma:web="2c0fcf54-db9b-4855-917c-aaa92675f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fcf54-db9b-4855-917c-aaa92675f01f" xsi:nil="true"/>
    <lcf76f155ced4ddcb4097134ff3c332f xmlns="a2d1769d-cb30-4662-a897-8f762aac76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E28993-C956-48F2-86D4-4FEBEF84A0BB}"/>
</file>

<file path=customXml/itemProps2.xml><?xml version="1.0" encoding="utf-8"?>
<ds:datastoreItem xmlns:ds="http://schemas.openxmlformats.org/officeDocument/2006/customXml" ds:itemID="{63FE1FBE-4DCB-4C52-809B-B2F581BED9CF}"/>
</file>

<file path=customXml/itemProps3.xml><?xml version="1.0" encoding="utf-8"?>
<ds:datastoreItem xmlns:ds="http://schemas.openxmlformats.org/officeDocument/2006/customXml" ds:itemID="{7E68953E-5C21-40AF-9B2A-D06E7CBD8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3731</Characters>
  <Application>Microsoft Office Word</Application>
  <DocSecurity>0</DocSecurity>
  <Lines>31</Lines>
  <Paragraphs>8</Paragraphs>
  <ScaleCrop>false</ScaleCrop>
  <Company>Budapest Corvinus Egyetem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Forgony Barbara</dc:creator>
  <cp:keywords/>
  <dc:description/>
  <cp:lastModifiedBy>Forgony Barbara</cp:lastModifiedBy>
  <cp:revision>1</cp:revision>
  <dcterms:created xsi:type="dcterms:W3CDTF">2025-06-12T08:17:00Z</dcterms:created>
  <dcterms:modified xsi:type="dcterms:W3CDTF">2025-06-12T08:22:00Z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0x0101007B5708A1F0D1EE4C899D916031A8324D</vt:lpwstr>
  </property>
</Properties>
</file>